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diagrams/drawing1.xml" ContentType="application/vnd.ms-office.drawingml.diagramDrawing+xml"/>
  <Override PartName="/word/diagrams/colors1.xml" ContentType="application/vnd.openxmlformats-officedocument.drawingml.diagramColors+xml"/>
  <Override PartName="/word/diagrams/layout1.xml" ContentType="application/vnd.openxmlformats-officedocument.drawingml.diagramLayout+xml"/>
  <Override PartName="/word/diagrams/quickStyle1.xml" ContentType="application/vnd.openxmlformats-officedocument.drawingml.diagramStyl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3D1DFF" w14:textId="2EC33E35" w:rsidR="0024531A" w:rsidRDefault="00AA392D">
      <w:pPr>
        <w:rPr>
          <w:lang w:val="es-ES"/>
        </w:rPr>
      </w:pPr>
      <w:r>
        <w:rPr>
          <w:noProof/>
          <w:lang w:val="es-ES" w:eastAsia="es-ES"/>
        </w:rPr>
        <w:drawing>
          <wp:anchor distT="0" distB="0" distL="114300" distR="114300" simplePos="0" relativeHeight="251660288" behindDoc="0" locked="0" layoutInCell="1" allowOverlap="1" wp14:anchorId="36D7D275" wp14:editId="73658292">
            <wp:simplePos x="0" y="0"/>
            <wp:positionH relativeFrom="column">
              <wp:posOffset>-1141970</wp:posOffset>
            </wp:positionH>
            <wp:positionV relativeFrom="paragraph">
              <wp:posOffset>-1821060</wp:posOffset>
            </wp:positionV>
            <wp:extent cx="8005314" cy="10232849"/>
            <wp:effectExtent l="0" t="0" r="0" b="0"/>
            <wp:wrapNone/>
            <wp:docPr id="1" name="Imagen 1" descr="../../../../Port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d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8833" cy="102373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48E3D" w14:textId="6559529D" w:rsidR="00BF7D15" w:rsidRDefault="00BF7D15">
      <w:pPr>
        <w:rPr>
          <w:lang w:val="es-ES"/>
        </w:rPr>
      </w:pPr>
    </w:p>
    <w:p w14:paraId="54C18264" w14:textId="77777777" w:rsidR="00BF7D15" w:rsidRDefault="00BF7D15">
      <w:pPr>
        <w:rPr>
          <w:lang w:val="es-ES"/>
        </w:rPr>
      </w:pPr>
    </w:p>
    <w:p w14:paraId="1EB41411" w14:textId="77777777" w:rsidR="00BF7D15" w:rsidRDefault="00BF7D15">
      <w:pPr>
        <w:rPr>
          <w:lang w:val="es-ES"/>
        </w:rPr>
      </w:pPr>
    </w:p>
    <w:p w14:paraId="7D728C91" w14:textId="77777777" w:rsidR="00BF7D15" w:rsidRDefault="00BF7D15">
      <w:pPr>
        <w:rPr>
          <w:lang w:val="es-ES"/>
        </w:rPr>
      </w:pPr>
    </w:p>
    <w:p w14:paraId="2E877FF4" w14:textId="77777777" w:rsidR="00BF7D15" w:rsidRDefault="00BF7D15">
      <w:pPr>
        <w:rPr>
          <w:lang w:val="es-ES"/>
        </w:rPr>
      </w:pPr>
    </w:p>
    <w:p w14:paraId="1F446F10" w14:textId="77777777" w:rsidR="00BF7D15" w:rsidRDefault="00BF7D15">
      <w:pPr>
        <w:rPr>
          <w:lang w:val="es-ES"/>
        </w:rPr>
      </w:pPr>
    </w:p>
    <w:p w14:paraId="1F656DDD" w14:textId="77777777" w:rsidR="00BF7D15" w:rsidRDefault="00BF7D15">
      <w:pPr>
        <w:rPr>
          <w:lang w:val="es-ES"/>
        </w:rPr>
      </w:pPr>
    </w:p>
    <w:p w14:paraId="113481D8" w14:textId="77777777" w:rsidR="00BF7D15" w:rsidRDefault="00BF7D15">
      <w:pPr>
        <w:rPr>
          <w:lang w:val="es-ES"/>
        </w:rPr>
      </w:pPr>
    </w:p>
    <w:p w14:paraId="2665E4AE" w14:textId="77777777" w:rsidR="00BF7D15" w:rsidRDefault="00BF7D15">
      <w:pPr>
        <w:rPr>
          <w:lang w:val="es-ES"/>
        </w:rPr>
      </w:pPr>
    </w:p>
    <w:p w14:paraId="2E02BD4E" w14:textId="77777777" w:rsidR="00BF7D15" w:rsidRDefault="00BF7D15">
      <w:pPr>
        <w:rPr>
          <w:lang w:val="es-ES"/>
        </w:rPr>
      </w:pPr>
    </w:p>
    <w:p w14:paraId="3A2527DD" w14:textId="77777777" w:rsidR="00BF7D15" w:rsidRDefault="00BF7D15">
      <w:pPr>
        <w:rPr>
          <w:lang w:val="es-ES"/>
        </w:rPr>
      </w:pPr>
    </w:p>
    <w:p w14:paraId="3E770A8C" w14:textId="77777777" w:rsidR="00BF7D15" w:rsidRDefault="00BF7D15">
      <w:pPr>
        <w:rPr>
          <w:lang w:val="es-ES"/>
        </w:rPr>
      </w:pPr>
    </w:p>
    <w:p w14:paraId="77DC7EB6" w14:textId="77777777" w:rsidR="00BF7D15" w:rsidRDefault="00BF7D15">
      <w:pPr>
        <w:rPr>
          <w:lang w:val="es-ES"/>
        </w:rPr>
      </w:pPr>
    </w:p>
    <w:p w14:paraId="60F614DC" w14:textId="77777777" w:rsidR="00BF7D15" w:rsidRDefault="00BF7D15">
      <w:pPr>
        <w:rPr>
          <w:lang w:val="es-ES"/>
        </w:rPr>
      </w:pPr>
    </w:p>
    <w:p w14:paraId="5B8B28CB" w14:textId="77777777" w:rsidR="00BF7D15" w:rsidRDefault="00BF7D15">
      <w:pPr>
        <w:rPr>
          <w:lang w:val="es-ES"/>
        </w:rPr>
      </w:pPr>
    </w:p>
    <w:p w14:paraId="04A8CAAB" w14:textId="77777777" w:rsidR="00BF7D15" w:rsidRDefault="00BF7D15">
      <w:pPr>
        <w:rPr>
          <w:lang w:val="es-ES"/>
        </w:rPr>
      </w:pPr>
    </w:p>
    <w:p w14:paraId="5A73AA35" w14:textId="77777777" w:rsidR="00BF7D15" w:rsidRDefault="00BF7D15">
      <w:pPr>
        <w:rPr>
          <w:lang w:val="es-ES"/>
        </w:rPr>
      </w:pPr>
    </w:p>
    <w:p w14:paraId="225593EA" w14:textId="77777777" w:rsidR="00BF7D15" w:rsidRDefault="00BF7D15">
      <w:pPr>
        <w:rPr>
          <w:lang w:val="es-ES"/>
        </w:rPr>
      </w:pPr>
    </w:p>
    <w:p w14:paraId="4818379F" w14:textId="77777777" w:rsidR="00BF7D15" w:rsidRDefault="00BF7D15">
      <w:pPr>
        <w:rPr>
          <w:lang w:val="es-ES"/>
        </w:rPr>
      </w:pPr>
    </w:p>
    <w:p w14:paraId="641AB0C4" w14:textId="77777777" w:rsidR="00BF7D15" w:rsidRDefault="00BF7D15">
      <w:pPr>
        <w:rPr>
          <w:lang w:val="es-ES"/>
        </w:rPr>
      </w:pPr>
    </w:p>
    <w:p w14:paraId="6EFC3F85" w14:textId="77777777" w:rsidR="00BF7D15" w:rsidRDefault="00BF7D15">
      <w:pPr>
        <w:rPr>
          <w:lang w:val="es-ES"/>
        </w:rPr>
      </w:pPr>
    </w:p>
    <w:p w14:paraId="5E1DB5DE" w14:textId="77777777" w:rsidR="00BF7D15" w:rsidRDefault="00BF7D15">
      <w:pPr>
        <w:rPr>
          <w:lang w:val="es-ES"/>
        </w:rPr>
      </w:pPr>
    </w:p>
    <w:p w14:paraId="34D6FCDC" w14:textId="77777777" w:rsidR="00BF7D15" w:rsidRDefault="00BF7D15">
      <w:pPr>
        <w:rPr>
          <w:lang w:val="es-ES"/>
        </w:rPr>
      </w:pPr>
    </w:p>
    <w:p w14:paraId="36AF5D63" w14:textId="6C986A19" w:rsidR="00BF7D15" w:rsidRDefault="00BF7D15">
      <w:pPr>
        <w:rPr>
          <w:lang w:val="es-ES"/>
        </w:rPr>
      </w:pPr>
    </w:p>
    <w:p w14:paraId="009E742A" w14:textId="7EF312E3" w:rsidR="00BF7D15" w:rsidRDefault="00BF7D15">
      <w:pPr>
        <w:rPr>
          <w:lang w:val="es-ES"/>
        </w:rPr>
      </w:pPr>
    </w:p>
    <w:p w14:paraId="59DB1086" w14:textId="77777777" w:rsidR="00BF7D15" w:rsidRDefault="00BF7D15">
      <w:pPr>
        <w:rPr>
          <w:lang w:val="es-ES"/>
        </w:rPr>
      </w:pPr>
    </w:p>
    <w:p w14:paraId="4415D765" w14:textId="77777777" w:rsidR="00BF7D15" w:rsidRDefault="00BF7D15">
      <w:pPr>
        <w:rPr>
          <w:lang w:val="es-ES"/>
        </w:rPr>
      </w:pPr>
    </w:p>
    <w:p w14:paraId="14F52685" w14:textId="77777777" w:rsidR="00BF7D15" w:rsidRDefault="00BF7D15">
      <w:pPr>
        <w:rPr>
          <w:lang w:val="es-ES"/>
        </w:rPr>
      </w:pPr>
    </w:p>
    <w:p w14:paraId="1BD37437" w14:textId="77777777" w:rsidR="00BF7D15" w:rsidRDefault="00BF7D15">
      <w:pPr>
        <w:rPr>
          <w:lang w:val="es-ES"/>
        </w:rPr>
      </w:pPr>
    </w:p>
    <w:p w14:paraId="1A1E28CA" w14:textId="77777777" w:rsidR="00BF7D15" w:rsidRDefault="00BF7D15">
      <w:pPr>
        <w:rPr>
          <w:lang w:val="es-ES"/>
        </w:rPr>
      </w:pPr>
    </w:p>
    <w:p w14:paraId="120F99D0" w14:textId="77777777" w:rsidR="00BF7D15" w:rsidRDefault="00BF7D15">
      <w:pPr>
        <w:rPr>
          <w:lang w:val="es-ES"/>
        </w:rPr>
      </w:pPr>
    </w:p>
    <w:p w14:paraId="7B8C7E86" w14:textId="77777777" w:rsidR="00BF7D15" w:rsidRDefault="00BF7D15">
      <w:pPr>
        <w:rPr>
          <w:lang w:val="es-ES"/>
        </w:rPr>
      </w:pPr>
    </w:p>
    <w:p w14:paraId="57DEE333" w14:textId="77777777" w:rsidR="00BF7D15" w:rsidRDefault="00BF7D15">
      <w:pPr>
        <w:rPr>
          <w:lang w:val="es-ES"/>
        </w:rPr>
      </w:pPr>
    </w:p>
    <w:p w14:paraId="1CBEF392" w14:textId="77777777" w:rsidR="00BF7D15" w:rsidRDefault="00BF7D15">
      <w:pPr>
        <w:rPr>
          <w:lang w:val="es-ES"/>
        </w:rPr>
      </w:pPr>
    </w:p>
    <w:p w14:paraId="6492EBEC" w14:textId="77777777" w:rsidR="00BF7D15" w:rsidRDefault="00BF7D15">
      <w:pPr>
        <w:rPr>
          <w:lang w:val="es-ES"/>
        </w:rPr>
      </w:pPr>
    </w:p>
    <w:p w14:paraId="7371AC4D" w14:textId="77777777" w:rsidR="00BF7D15" w:rsidRDefault="00BF7D15">
      <w:pPr>
        <w:rPr>
          <w:lang w:val="es-ES"/>
        </w:rPr>
      </w:pPr>
    </w:p>
    <w:p w14:paraId="6AEBF191" w14:textId="77777777" w:rsidR="00BF7D15" w:rsidRDefault="00BF7D15">
      <w:pPr>
        <w:rPr>
          <w:lang w:val="es-ES"/>
        </w:rPr>
      </w:pPr>
    </w:p>
    <w:p w14:paraId="789F4195" w14:textId="77777777" w:rsidR="00BF7D15" w:rsidRDefault="00BF7D15">
      <w:pPr>
        <w:rPr>
          <w:lang w:val="es-ES"/>
        </w:rPr>
      </w:pPr>
    </w:p>
    <w:p w14:paraId="10A3DF5A" w14:textId="77777777" w:rsidR="00BF7D15" w:rsidRDefault="00BF7D15">
      <w:pPr>
        <w:rPr>
          <w:lang w:val="es-ES"/>
        </w:rPr>
      </w:pPr>
    </w:p>
    <w:p w14:paraId="79BC3AA9" w14:textId="137F1FEC" w:rsidR="00BF7D15" w:rsidRDefault="00BF7D15">
      <w:pPr>
        <w:rPr>
          <w:lang w:val="es-ES"/>
        </w:rPr>
      </w:pPr>
    </w:p>
    <w:p w14:paraId="452363B9" w14:textId="3E4A44DF" w:rsidR="00BF7D15" w:rsidRDefault="00BF7D15">
      <w:pPr>
        <w:rPr>
          <w:lang w:val="es-ES"/>
        </w:rPr>
      </w:pPr>
    </w:p>
    <w:p w14:paraId="79B593A2" w14:textId="6C82A26A" w:rsidR="00BF7D15" w:rsidRDefault="00BF7D15">
      <w:pPr>
        <w:rPr>
          <w:lang w:val="es-ES"/>
        </w:rPr>
      </w:pPr>
    </w:p>
    <w:p w14:paraId="45EDAF7A" w14:textId="11675794" w:rsidR="00BF7D15" w:rsidRDefault="00F074ED">
      <w:pPr>
        <w:rPr>
          <w:lang w:val="es-ES"/>
        </w:rPr>
      </w:pPr>
      <w:r>
        <w:rPr>
          <w:noProof/>
          <w:lang w:val="es-ES" w:eastAsia="es-ES"/>
        </w:rPr>
        <w:lastRenderedPageBreak/>
        <w:drawing>
          <wp:anchor distT="0" distB="0" distL="114300" distR="114300" simplePos="0" relativeHeight="251661312" behindDoc="1" locked="0" layoutInCell="1" allowOverlap="1" wp14:anchorId="6CCEF8B0" wp14:editId="5A895ED1">
            <wp:simplePos x="0" y="0"/>
            <wp:positionH relativeFrom="column">
              <wp:posOffset>-860569</wp:posOffset>
            </wp:positionH>
            <wp:positionV relativeFrom="paragraph">
              <wp:posOffset>-1187450</wp:posOffset>
            </wp:positionV>
            <wp:extent cx="7665128" cy="1084592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PME]_Proyección-de-Precio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65128" cy="10845920"/>
                    </a:xfrm>
                    <a:prstGeom prst="rect">
                      <a:avLst/>
                    </a:prstGeom>
                  </pic:spPr>
                </pic:pic>
              </a:graphicData>
            </a:graphic>
            <wp14:sizeRelH relativeFrom="page">
              <wp14:pctWidth>0</wp14:pctWidth>
            </wp14:sizeRelH>
            <wp14:sizeRelV relativeFrom="page">
              <wp14:pctHeight>0</wp14:pctHeight>
            </wp14:sizeRelV>
          </wp:anchor>
        </w:drawing>
      </w:r>
    </w:p>
    <w:p w14:paraId="4A71BE73" w14:textId="5C17A023" w:rsidR="00BF7D15" w:rsidRDefault="00BF7D15">
      <w:pPr>
        <w:rPr>
          <w:lang w:val="es-ES"/>
        </w:rPr>
      </w:pPr>
    </w:p>
    <w:p w14:paraId="08A42789" w14:textId="6673E285" w:rsidR="00BF7D15" w:rsidRDefault="00BF7D15">
      <w:pPr>
        <w:rPr>
          <w:lang w:val="es-ES"/>
        </w:rPr>
      </w:pPr>
    </w:p>
    <w:p w14:paraId="1C8D5983" w14:textId="77777777" w:rsidR="00BF7D15" w:rsidRDefault="00BF7D15">
      <w:pPr>
        <w:rPr>
          <w:lang w:val="es-ES"/>
        </w:rPr>
      </w:pPr>
    </w:p>
    <w:p w14:paraId="75AFA68A" w14:textId="77777777" w:rsidR="00BF7D15" w:rsidRDefault="00BF7D15">
      <w:pPr>
        <w:rPr>
          <w:lang w:val="es-ES"/>
        </w:rPr>
      </w:pPr>
    </w:p>
    <w:p w14:paraId="6E9505EC" w14:textId="77777777" w:rsidR="00BF7D15" w:rsidRDefault="00BF7D15">
      <w:pPr>
        <w:rPr>
          <w:lang w:val="es-ES"/>
        </w:rPr>
      </w:pPr>
    </w:p>
    <w:p w14:paraId="6611306F" w14:textId="77777777" w:rsidR="00BF7D15" w:rsidRDefault="00BF7D15">
      <w:pPr>
        <w:rPr>
          <w:lang w:val="es-ES"/>
        </w:rPr>
      </w:pPr>
    </w:p>
    <w:p w14:paraId="3C7BFC59" w14:textId="77777777" w:rsidR="00BF7D15" w:rsidRDefault="00BF7D15">
      <w:pPr>
        <w:rPr>
          <w:lang w:val="es-ES"/>
        </w:rPr>
      </w:pPr>
    </w:p>
    <w:p w14:paraId="7B8CBCFE" w14:textId="77777777" w:rsidR="00BF7D15" w:rsidRDefault="00BF7D15">
      <w:pPr>
        <w:rPr>
          <w:lang w:val="es-ES"/>
        </w:rPr>
      </w:pPr>
    </w:p>
    <w:p w14:paraId="613B543B" w14:textId="77777777" w:rsidR="00BF7D15" w:rsidRDefault="00BF7D15">
      <w:pPr>
        <w:rPr>
          <w:lang w:val="es-ES"/>
        </w:rPr>
      </w:pPr>
    </w:p>
    <w:p w14:paraId="3C1B544B" w14:textId="77777777" w:rsidR="00BF7D15" w:rsidRDefault="00BF7D15">
      <w:pPr>
        <w:rPr>
          <w:lang w:val="es-ES"/>
        </w:rPr>
      </w:pPr>
    </w:p>
    <w:p w14:paraId="7F7D9A8F" w14:textId="77777777" w:rsidR="00BF7D15" w:rsidRDefault="00BF7D15">
      <w:pPr>
        <w:rPr>
          <w:lang w:val="es-ES"/>
        </w:rPr>
      </w:pPr>
    </w:p>
    <w:p w14:paraId="109F4D93" w14:textId="77777777" w:rsidR="00BF7D15" w:rsidRDefault="00BF7D15">
      <w:pPr>
        <w:rPr>
          <w:lang w:val="es-ES"/>
        </w:rPr>
      </w:pPr>
    </w:p>
    <w:p w14:paraId="4A6FA9FD" w14:textId="77777777" w:rsidR="00BF7D15" w:rsidRDefault="00BF7D15">
      <w:pPr>
        <w:rPr>
          <w:lang w:val="es-ES"/>
        </w:rPr>
      </w:pPr>
    </w:p>
    <w:p w14:paraId="38D9217B" w14:textId="77777777" w:rsidR="00BF7D15" w:rsidRDefault="00BF7D15">
      <w:pPr>
        <w:rPr>
          <w:lang w:val="es-ES"/>
        </w:rPr>
      </w:pPr>
    </w:p>
    <w:p w14:paraId="7CE64BF7" w14:textId="77777777" w:rsidR="00BF7D15" w:rsidRDefault="00BF7D15">
      <w:pPr>
        <w:rPr>
          <w:lang w:val="es-ES"/>
        </w:rPr>
      </w:pPr>
    </w:p>
    <w:p w14:paraId="29FD2C3B" w14:textId="77777777" w:rsidR="00BF7D15" w:rsidRDefault="00BF7D15">
      <w:pPr>
        <w:rPr>
          <w:lang w:val="es-ES"/>
        </w:rPr>
      </w:pPr>
    </w:p>
    <w:p w14:paraId="7096A3AE" w14:textId="77777777" w:rsidR="00BF7D15" w:rsidRDefault="00BF7D15">
      <w:pPr>
        <w:rPr>
          <w:lang w:val="es-ES"/>
        </w:rPr>
      </w:pPr>
    </w:p>
    <w:p w14:paraId="5E1238A7" w14:textId="77777777" w:rsidR="00BF7D15" w:rsidRDefault="00BF7D15">
      <w:pPr>
        <w:rPr>
          <w:lang w:val="es-ES"/>
        </w:rPr>
      </w:pPr>
    </w:p>
    <w:p w14:paraId="7C1454FA" w14:textId="77777777" w:rsidR="00BF7D15" w:rsidRDefault="00BF7D15">
      <w:pPr>
        <w:rPr>
          <w:lang w:val="es-ES"/>
        </w:rPr>
      </w:pPr>
    </w:p>
    <w:p w14:paraId="330CF3C1" w14:textId="77777777" w:rsidR="00BF7D15" w:rsidRDefault="00BF7D15">
      <w:pPr>
        <w:rPr>
          <w:lang w:val="es-ES"/>
        </w:rPr>
      </w:pPr>
    </w:p>
    <w:p w14:paraId="12F0138D" w14:textId="77777777" w:rsidR="00BF7D15" w:rsidRDefault="00BF7D15">
      <w:pPr>
        <w:rPr>
          <w:lang w:val="es-ES"/>
        </w:rPr>
      </w:pPr>
    </w:p>
    <w:p w14:paraId="1F2AB2EF" w14:textId="77777777" w:rsidR="00BF7D15" w:rsidRDefault="00BF7D15">
      <w:pPr>
        <w:rPr>
          <w:lang w:val="es-ES"/>
        </w:rPr>
      </w:pPr>
    </w:p>
    <w:p w14:paraId="441F42D5" w14:textId="77777777" w:rsidR="00BF7D15" w:rsidRDefault="00BF7D15">
      <w:pPr>
        <w:rPr>
          <w:lang w:val="es-ES"/>
        </w:rPr>
      </w:pPr>
    </w:p>
    <w:p w14:paraId="7E53AE35" w14:textId="77777777" w:rsidR="00BF7D15" w:rsidRDefault="00BF7D15">
      <w:pPr>
        <w:rPr>
          <w:lang w:val="es-ES"/>
        </w:rPr>
      </w:pPr>
    </w:p>
    <w:p w14:paraId="6B4F165F" w14:textId="77777777" w:rsidR="00BF7D15" w:rsidRDefault="00BF7D15">
      <w:pPr>
        <w:rPr>
          <w:lang w:val="es-ES"/>
        </w:rPr>
      </w:pPr>
    </w:p>
    <w:p w14:paraId="541A22BC" w14:textId="77777777" w:rsidR="00BF7D15" w:rsidRDefault="00BF7D15">
      <w:pPr>
        <w:rPr>
          <w:lang w:val="es-ES"/>
        </w:rPr>
      </w:pPr>
    </w:p>
    <w:p w14:paraId="09B3799D" w14:textId="77777777" w:rsidR="00BF7D15" w:rsidRDefault="00BF7D15">
      <w:pPr>
        <w:rPr>
          <w:lang w:val="es-ES"/>
        </w:rPr>
      </w:pPr>
    </w:p>
    <w:p w14:paraId="454D446A" w14:textId="77777777" w:rsidR="00BF7D15" w:rsidRDefault="00BF7D15">
      <w:pPr>
        <w:rPr>
          <w:lang w:val="es-ES"/>
        </w:rPr>
      </w:pPr>
    </w:p>
    <w:p w14:paraId="4046822E" w14:textId="77777777" w:rsidR="00BF7D15" w:rsidRDefault="00BF7D15">
      <w:pPr>
        <w:rPr>
          <w:lang w:val="es-ES"/>
        </w:rPr>
      </w:pPr>
    </w:p>
    <w:p w14:paraId="6BFCF939" w14:textId="77777777" w:rsidR="00BF7D15" w:rsidRDefault="00BF7D15">
      <w:pPr>
        <w:rPr>
          <w:lang w:val="es-ES"/>
        </w:rPr>
      </w:pPr>
    </w:p>
    <w:p w14:paraId="62F1E9BB" w14:textId="77777777" w:rsidR="00BF7D15" w:rsidRDefault="00BF7D15">
      <w:pPr>
        <w:rPr>
          <w:lang w:val="es-ES"/>
        </w:rPr>
      </w:pPr>
    </w:p>
    <w:p w14:paraId="75A085AB" w14:textId="77777777" w:rsidR="00BF7D15" w:rsidRDefault="00BF7D15">
      <w:pPr>
        <w:rPr>
          <w:lang w:val="es-ES"/>
        </w:rPr>
      </w:pPr>
    </w:p>
    <w:p w14:paraId="2A34F00D" w14:textId="77777777" w:rsidR="00BF7D15" w:rsidRDefault="00BF7D15">
      <w:pPr>
        <w:rPr>
          <w:lang w:val="es-ES"/>
        </w:rPr>
      </w:pPr>
    </w:p>
    <w:p w14:paraId="4BE9F12C" w14:textId="77777777" w:rsidR="00BF7D15" w:rsidRDefault="00BF7D15">
      <w:pPr>
        <w:rPr>
          <w:lang w:val="es-ES"/>
        </w:rPr>
      </w:pPr>
    </w:p>
    <w:p w14:paraId="68D605A4" w14:textId="77777777" w:rsidR="00BF7D15" w:rsidRDefault="00BF7D15">
      <w:pPr>
        <w:rPr>
          <w:lang w:val="es-ES"/>
        </w:rPr>
      </w:pPr>
    </w:p>
    <w:p w14:paraId="75A34A8D" w14:textId="45184986" w:rsidR="00732D38" w:rsidRDefault="00732D38">
      <w:pPr>
        <w:rPr>
          <w:lang w:val="es-ES"/>
        </w:rPr>
      </w:pPr>
      <w:r>
        <w:rPr>
          <w:lang w:val="es-ES"/>
        </w:rPr>
        <w:br w:type="page"/>
      </w:r>
    </w:p>
    <w:p w14:paraId="1CFDD5F5" w14:textId="2BC71DDC" w:rsidR="00732D38" w:rsidRDefault="00732D38" w:rsidP="00A61687">
      <w:pPr>
        <w:pStyle w:val="Ttulo4"/>
        <w:tabs>
          <w:tab w:val="left" w:pos="4035"/>
        </w:tabs>
        <w:spacing w:line="360" w:lineRule="auto"/>
        <w:rPr>
          <w:noProof w:val="0"/>
        </w:rPr>
      </w:pPr>
      <w:r w:rsidRPr="000625F8">
        <w:rPr>
          <w:noProof w:val="0"/>
        </w:rPr>
        <w:lastRenderedPageBreak/>
        <w:t>TABLA DE CONTENIDO</w:t>
      </w:r>
      <w:r w:rsidR="00A61687">
        <w:rPr>
          <w:noProof w:val="0"/>
        </w:rPr>
        <w:tab/>
      </w:r>
    </w:p>
    <w:p w14:paraId="0BAB5703" w14:textId="77777777" w:rsidR="005E73A9" w:rsidRPr="005E73A9" w:rsidRDefault="005E73A9" w:rsidP="00A61687">
      <w:pPr>
        <w:spacing w:line="360" w:lineRule="auto"/>
        <w:rPr>
          <w:lang w:val="es-CO" w:eastAsia="es-ES"/>
        </w:rPr>
      </w:pPr>
    </w:p>
    <w:p w14:paraId="1FD3E919" w14:textId="6AAFD249" w:rsidR="005E73A9" w:rsidRPr="005E73A9" w:rsidRDefault="00732D38" w:rsidP="00A61687">
      <w:pPr>
        <w:pStyle w:val="TDC4"/>
        <w:spacing w:before="120" w:after="120"/>
        <w:rPr>
          <w:rFonts w:eastAsiaTheme="minorEastAsia"/>
          <w:lang w:val="es-ES"/>
        </w:rPr>
      </w:pPr>
      <w:r w:rsidRPr="003910DD">
        <w:fldChar w:fldCharType="begin"/>
      </w:r>
      <w:r w:rsidRPr="003910DD">
        <w:instrText xml:space="preserve"> TOC \o "1-5" \h \z \u </w:instrText>
      </w:r>
      <w:r w:rsidRPr="003910DD">
        <w:fldChar w:fldCharType="separate"/>
      </w:r>
      <w:hyperlink w:anchor="_Toc530045813" w:history="1">
        <w:r w:rsidR="005E73A9" w:rsidRPr="005E73A9">
          <w:rPr>
            <w:rStyle w:val="Hipervnculo"/>
            <w:b w:val="0"/>
          </w:rPr>
          <w:t>LISTA DE GRÁFICAS</w:t>
        </w:r>
        <w:r w:rsidR="005E73A9" w:rsidRPr="005E73A9">
          <w:rPr>
            <w:webHidden/>
          </w:rPr>
          <w:tab/>
        </w:r>
        <w:r w:rsidR="005E73A9" w:rsidRPr="005E73A9">
          <w:rPr>
            <w:webHidden/>
          </w:rPr>
          <w:fldChar w:fldCharType="begin"/>
        </w:r>
        <w:r w:rsidR="005E73A9" w:rsidRPr="005E73A9">
          <w:rPr>
            <w:webHidden/>
          </w:rPr>
          <w:instrText xml:space="preserve"> PAGEREF _Toc530045813 \h </w:instrText>
        </w:r>
        <w:r w:rsidR="005E73A9" w:rsidRPr="005E73A9">
          <w:rPr>
            <w:webHidden/>
          </w:rPr>
        </w:r>
        <w:r w:rsidR="005E73A9" w:rsidRPr="005E73A9">
          <w:rPr>
            <w:webHidden/>
          </w:rPr>
          <w:fldChar w:fldCharType="separate"/>
        </w:r>
        <w:r w:rsidR="005E73A9" w:rsidRPr="005E73A9">
          <w:rPr>
            <w:webHidden/>
          </w:rPr>
          <w:t>4</w:t>
        </w:r>
        <w:r w:rsidR="005E73A9" w:rsidRPr="005E73A9">
          <w:rPr>
            <w:webHidden/>
          </w:rPr>
          <w:fldChar w:fldCharType="end"/>
        </w:r>
      </w:hyperlink>
    </w:p>
    <w:p w14:paraId="1FA2268C" w14:textId="200232EE" w:rsidR="005E73A9" w:rsidRPr="005E73A9" w:rsidRDefault="00D31F30" w:rsidP="00A61687">
      <w:pPr>
        <w:pStyle w:val="TDC4"/>
        <w:spacing w:before="120" w:after="120"/>
        <w:rPr>
          <w:rFonts w:eastAsiaTheme="minorEastAsia"/>
          <w:lang w:val="es-ES"/>
        </w:rPr>
      </w:pPr>
      <w:hyperlink w:anchor="_Toc530045814" w:history="1">
        <w:r w:rsidR="005E73A9" w:rsidRPr="005E73A9">
          <w:rPr>
            <w:rStyle w:val="Hipervnculo"/>
            <w:b w:val="0"/>
          </w:rPr>
          <w:t>LISTA DE TABLAS</w:t>
        </w:r>
        <w:r w:rsidR="005E73A9" w:rsidRPr="005E73A9">
          <w:rPr>
            <w:webHidden/>
          </w:rPr>
          <w:tab/>
        </w:r>
        <w:r w:rsidR="005E73A9" w:rsidRPr="005E73A9">
          <w:rPr>
            <w:webHidden/>
          </w:rPr>
          <w:fldChar w:fldCharType="begin"/>
        </w:r>
        <w:r w:rsidR="005E73A9" w:rsidRPr="005E73A9">
          <w:rPr>
            <w:webHidden/>
          </w:rPr>
          <w:instrText xml:space="preserve"> PAGEREF _Toc530045814 \h </w:instrText>
        </w:r>
        <w:r w:rsidR="005E73A9" w:rsidRPr="005E73A9">
          <w:rPr>
            <w:webHidden/>
          </w:rPr>
        </w:r>
        <w:r w:rsidR="005E73A9" w:rsidRPr="005E73A9">
          <w:rPr>
            <w:webHidden/>
          </w:rPr>
          <w:fldChar w:fldCharType="separate"/>
        </w:r>
        <w:r w:rsidR="005E73A9" w:rsidRPr="005E73A9">
          <w:rPr>
            <w:webHidden/>
          </w:rPr>
          <w:t>7</w:t>
        </w:r>
        <w:r w:rsidR="005E73A9" w:rsidRPr="005E73A9">
          <w:rPr>
            <w:webHidden/>
          </w:rPr>
          <w:fldChar w:fldCharType="end"/>
        </w:r>
      </w:hyperlink>
    </w:p>
    <w:p w14:paraId="2AAD80C2" w14:textId="28A90A2E" w:rsidR="005E73A9" w:rsidRPr="005E73A9" w:rsidRDefault="00D31F30" w:rsidP="00A61687">
      <w:pPr>
        <w:pStyle w:val="TDC4"/>
        <w:spacing w:before="120" w:after="120"/>
        <w:rPr>
          <w:rFonts w:eastAsiaTheme="minorEastAsia"/>
          <w:lang w:val="es-ES"/>
        </w:rPr>
      </w:pPr>
      <w:hyperlink w:anchor="_Toc530045815" w:history="1">
        <w:r w:rsidR="005E73A9" w:rsidRPr="005E73A9">
          <w:rPr>
            <w:rStyle w:val="Hipervnculo"/>
            <w:b w:val="0"/>
          </w:rPr>
          <w:t>INTRODUCCIÓN</w:t>
        </w:r>
        <w:r w:rsidR="005E73A9" w:rsidRPr="005E73A9">
          <w:rPr>
            <w:webHidden/>
          </w:rPr>
          <w:tab/>
        </w:r>
        <w:r w:rsidR="005E73A9" w:rsidRPr="005E73A9">
          <w:rPr>
            <w:webHidden/>
          </w:rPr>
          <w:fldChar w:fldCharType="begin"/>
        </w:r>
        <w:r w:rsidR="005E73A9" w:rsidRPr="005E73A9">
          <w:rPr>
            <w:webHidden/>
          </w:rPr>
          <w:instrText xml:space="preserve"> PAGEREF _Toc530045815 \h </w:instrText>
        </w:r>
        <w:r w:rsidR="005E73A9" w:rsidRPr="005E73A9">
          <w:rPr>
            <w:webHidden/>
          </w:rPr>
        </w:r>
        <w:r w:rsidR="005E73A9" w:rsidRPr="005E73A9">
          <w:rPr>
            <w:webHidden/>
          </w:rPr>
          <w:fldChar w:fldCharType="separate"/>
        </w:r>
        <w:r w:rsidR="005E73A9" w:rsidRPr="005E73A9">
          <w:rPr>
            <w:webHidden/>
          </w:rPr>
          <w:t>1</w:t>
        </w:r>
        <w:r w:rsidR="005E73A9" w:rsidRPr="005E73A9">
          <w:rPr>
            <w:webHidden/>
          </w:rPr>
          <w:fldChar w:fldCharType="end"/>
        </w:r>
      </w:hyperlink>
    </w:p>
    <w:p w14:paraId="5D315948" w14:textId="5F236414" w:rsidR="005E73A9" w:rsidRPr="005E73A9" w:rsidRDefault="00D31F30" w:rsidP="00A61687">
      <w:pPr>
        <w:pStyle w:val="TDC1"/>
        <w:tabs>
          <w:tab w:val="left" w:pos="880"/>
          <w:tab w:val="right" w:leader="dot" w:pos="9678"/>
        </w:tabs>
        <w:spacing w:before="120" w:after="120" w:line="360" w:lineRule="auto"/>
        <w:jc w:val="both"/>
        <w:rPr>
          <w:rFonts w:ascii="Arial" w:eastAsiaTheme="minorEastAsia" w:hAnsi="Arial" w:cs="Arial"/>
          <w:b w:val="0"/>
          <w:bCs w:val="0"/>
          <w:caps w:val="0"/>
          <w:noProof/>
          <w:sz w:val="22"/>
          <w:szCs w:val="22"/>
          <w:lang w:val="es-ES"/>
        </w:rPr>
      </w:pPr>
      <w:hyperlink w:anchor="_Toc530045816" w:history="1">
        <w:r w:rsidR="005E73A9" w:rsidRPr="005E73A9">
          <w:rPr>
            <w:rStyle w:val="Hipervnculo"/>
            <w:rFonts w:ascii="Arial" w:eastAsiaTheme="majorEastAsia" w:hAnsi="Arial" w:cs="Arial"/>
            <w:b w:val="0"/>
            <w:caps w:val="0"/>
            <w:noProof/>
            <w:sz w:val="22"/>
            <w:szCs w:val="22"/>
          </w:rPr>
          <w:t>1</w:t>
        </w:r>
        <w:r w:rsidR="005E73A9" w:rsidRPr="005E73A9">
          <w:rPr>
            <w:rFonts w:ascii="Arial" w:eastAsiaTheme="minorEastAsia" w:hAnsi="Arial" w:cs="Arial"/>
            <w:b w:val="0"/>
            <w:bCs w:val="0"/>
            <w:caps w:val="0"/>
            <w:noProof/>
            <w:sz w:val="22"/>
            <w:szCs w:val="22"/>
            <w:lang w:val="es-ES"/>
          </w:rPr>
          <w:tab/>
        </w:r>
        <w:r w:rsidR="005E73A9" w:rsidRPr="005E73A9">
          <w:rPr>
            <w:rStyle w:val="Hipervnculo"/>
            <w:rFonts w:ascii="Arial" w:eastAsiaTheme="majorEastAsia" w:hAnsi="Arial" w:cs="Arial"/>
            <w:caps w:val="0"/>
            <w:noProof/>
            <w:sz w:val="22"/>
            <w:szCs w:val="22"/>
          </w:rPr>
          <w:t>CRUDOS WTI Y BRENT</w:t>
        </w:r>
        <w:r w:rsidR="005E73A9" w:rsidRPr="005E73A9">
          <w:rPr>
            <w:rFonts w:ascii="Arial" w:hAnsi="Arial" w:cs="Arial"/>
            <w:b w:val="0"/>
            <w:caps w:val="0"/>
            <w:noProof/>
            <w:webHidden/>
            <w:sz w:val="22"/>
            <w:szCs w:val="22"/>
          </w:rPr>
          <w:tab/>
        </w:r>
        <w:r w:rsidR="005E73A9" w:rsidRPr="005E73A9">
          <w:rPr>
            <w:rFonts w:ascii="Arial" w:hAnsi="Arial" w:cs="Arial"/>
            <w:noProof/>
            <w:webHidden/>
            <w:sz w:val="22"/>
            <w:szCs w:val="22"/>
          </w:rPr>
          <w:fldChar w:fldCharType="begin"/>
        </w:r>
        <w:r w:rsidR="005E73A9" w:rsidRPr="005E73A9">
          <w:rPr>
            <w:rFonts w:ascii="Arial" w:hAnsi="Arial" w:cs="Arial"/>
            <w:noProof/>
            <w:webHidden/>
            <w:sz w:val="22"/>
            <w:szCs w:val="22"/>
          </w:rPr>
          <w:instrText xml:space="preserve"> PAGEREF _Toc530045816 \h </w:instrText>
        </w:r>
        <w:r w:rsidR="005E73A9" w:rsidRPr="005E73A9">
          <w:rPr>
            <w:rFonts w:ascii="Arial" w:hAnsi="Arial" w:cs="Arial"/>
            <w:noProof/>
            <w:webHidden/>
            <w:sz w:val="22"/>
            <w:szCs w:val="22"/>
          </w:rPr>
        </w:r>
        <w:r w:rsidR="005E73A9" w:rsidRPr="005E73A9">
          <w:rPr>
            <w:rFonts w:ascii="Arial" w:hAnsi="Arial" w:cs="Arial"/>
            <w:noProof/>
            <w:webHidden/>
            <w:sz w:val="22"/>
            <w:szCs w:val="22"/>
          </w:rPr>
          <w:fldChar w:fldCharType="separate"/>
        </w:r>
        <w:r w:rsidR="005E73A9" w:rsidRPr="005E73A9">
          <w:rPr>
            <w:rFonts w:ascii="Arial" w:hAnsi="Arial" w:cs="Arial"/>
            <w:caps w:val="0"/>
            <w:noProof/>
            <w:webHidden/>
            <w:sz w:val="22"/>
            <w:szCs w:val="22"/>
          </w:rPr>
          <w:t>2</w:t>
        </w:r>
        <w:r w:rsidR="005E73A9" w:rsidRPr="005E73A9">
          <w:rPr>
            <w:rFonts w:ascii="Arial" w:hAnsi="Arial" w:cs="Arial"/>
            <w:noProof/>
            <w:webHidden/>
            <w:sz w:val="22"/>
            <w:szCs w:val="22"/>
          </w:rPr>
          <w:fldChar w:fldCharType="end"/>
        </w:r>
      </w:hyperlink>
    </w:p>
    <w:p w14:paraId="493B11F2" w14:textId="6373BD1D" w:rsidR="005E73A9" w:rsidRPr="005E73A9" w:rsidRDefault="00D31F30" w:rsidP="00503DBC">
      <w:pPr>
        <w:pStyle w:val="TDC2"/>
        <w:rPr>
          <w:rFonts w:eastAsiaTheme="minorEastAsia"/>
          <w:noProof/>
          <w:lang w:val="es-ES"/>
        </w:rPr>
      </w:pPr>
      <w:hyperlink w:anchor="_Toc530045817" w:history="1">
        <w:r w:rsidR="005E73A9" w:rsidRPr="005E73A9">
          <w:rPr>
            <w:rStyle w:val="Hipervnculo"/>
            <w:rFonts w:ascii="Arial" w:eastAsiaTheme="majorEastAsia" w:hAnsi="Arial" w:cs="Arial"/>
            <w:b w:val="0"/>
            <w:noProof/>
            <w:sz w:val="22"/>
            <w:szCs w:val="22"/>
          </w:rPr>
          <w:t>1.1</w:t>
        </w:r>
        <w:r w:rsidR="005E73A9" w:rsidRPr="005E73A9">
          <w:rPr>
            <w:rFonts w:eastAsiaTheme="minorEastAsia"/>
            <w:noProof/>
            <w:lang w:val="es-ES"/>
          </w:rPr>
          <w:tab/>
        </w:r>
        <w:r w:rsidR="00885848" w:rsidRPr="005E73A9">
          <w:rPr>
            <w:rStyle w:val="Hipervnculo"/>
            <w:rFonts w:ascii="Arial" w:eastAsiaTheme="majorEastAsia" w:hAnsi="Arial" w:cs="Arial"/>
            <w:b w:val="0"/>
            <w:noProof/>
            <w:sz w:val="22"/>
            <w:szCs w:val="22"/>
          </w:rPr>
          <w:t>Oferta Y Demanda</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_Toc530045817 \h </w:instrText>
        </w:r>
        <w:r w:rsidR="005E73A9" w:rsidRPr="005E73A9">
          <w:rPr>
            <w:noProof/>
            <w:webHidden/>
          </w:rPr>
        </w:r>
        <w:r w:rsidR="005E73A9" w:rsidRPr="005E73A9">
          <w:rPr>
            <w:noProof/>
            <w:webHidden/>
          </w:rPr>
          <w:fldChar w:fldCharType="separate"/>
        </w:r>
        <w:r w:rsidR="005E73A9" w:rsidRPr="005E73A9">
          <w:rPr>
            <w:noProof/>
            <w:webHidden/>
          </w:rPr>
          <w:t>2</w:t>
        </w:r>
        <w:r w:rsidR="005E73A9" w:rsidRPr="005E73A9">
          <w:rPr>
            <w:noProof/>
            <w:webHidden/>
          </w:rPr>
          <w:fldChar w:fldCharType="end"/>
        </w:r>
      </w:hyperlink>
    </w:p>
    <w:p w14:paraId="7A2C553D" w14:textId="0B25CCEB" w:rsidR="005E73A9" w:rsidRPr="005E73A9" w:rsidRDefault="00D31F30" w:rsidP="00503DBC">
      <w:pPr>
        <w:pStyle w:val="TDC2"/>
        <w:rPr>
          <w:rFonts w:eastAsiaTheme="minorEastAsia"/>
          <w:noProof/>
          <w:lang w:val="es-ES"/>
        </w:rPr>
      </w:pPr>
      <w:hyperlink w:anchor="_Toc530045818" w:history="1">
        <w:r w:rsidR="005E73A9" w:rsidRPr="005E73A9">
          <w:rPr>
            <w:rStyle w:val="Hipervnculo"/>
            <w:rFonts w:ascii="Arial" w:eastAsiaTheme="majorEastAsia" w:hAnsi="Arial" w:cs="Arial"/>
            <w:b w:val="0"/>
            <w:noProof/>
            <w:sz w:val="22"/>
            <w:szCs w:val="22"/>
          </w:rPr>
          <w:t>1.2</w:t>
        </w:r>
        <w:r w:rsidR="005E73A9" w:rsidRPr="005E73A9">
          <w:rPr>
            <w:rFonts w:eastAsiaTheme="minorEastAsia"/>
            <w:noProof/>
            <w:lang w:val="es-ES"/>
          </w:rPr>
          <w:tab/>
        </w:r>
        <w:r w:rsidR="00885848" w:rsidRPr="005E73A9">
          <w:rPr>
            <w:rStyle w:val="Hipervnculo"/>
            <w:rFonts w:ascii="Arial" w:eastAsiaTheme="majorEastAsia" w:hAnsi="Arial" w:cs="Arial"/>
            <w:b w:val="0"/>
            <w:noProof/>
            <w:sz w:val="22"/>
            <w:szCs w:val="22"/>
          </w:rPr>
          <w:t>Economía Países</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_Toc530045818 \h </w:instrText>
        </w:r>
        <w:r w:rsidR="005E73A9" w:rsidRPr="005E73A9">
          <w:rPr>
            <w:noProof/>
            <w:webHidden/>
          </w:rPr>
        </w:r>
        <w:r w:rsidR="005E73A9" w:rsidRPr="005E73A9">
          <w:rPr>
            <w:noProof/>
            <w:webHidden/>
          </w:rPr>
          <w:fldChar w:fldCharType="separate"/>
        </w:r>
        <w:r w:rsidR="005E73A9" w:rsidRPr="005E73A9">
          <w:rPr>
            <w:noProof/>
            <w:webHidden/>
          </w:rPr>
          <w:t>4</w:t>
        </w:r>
        <w:r w:rsidR="005E73A9" w:rsidRPr="005E73A9">
          <w:rPr>
            <w:noProof/>
            <w:webHidden/>
          </w:rPr>
          <w:fldChar w:fldCharType="end"/>
        </w:r>
      </w:hyperlink>
    </w:p>
    <w:p w14:paraId="11CF0DAF" w14:textId="75B157F5" w:rsidR="005E73A9" w:rsidRPr="005E73A9" w:rsidRDefault="00D31F30" w:rsidP="00503DBC">
      <w:pPr>
        <w:pStyle w:val="TDC2"/>
        <w:rPr>
          <w:rFonts w:eastAsiaTheme="minorEastAsia"/>
          <w:noProof/>
          <w:lang w:val="es-ES"/>
        </w:rPr>
      </w:pPr>
      <w:hyperlink w:anchor="_Toc530045819" w:history="1">
        <w:r w:rsidR="005E73A9" w:rsidRPr="005E73A9">
          <w:rPr>
            <w:rStyle w:val="Hipervnculo"/>
            <w:rFonts w:ascii="Arial" w:eastAsiaTheme="majorEastAsia" w:hAnsi="Arial" w:cs="Arial"/>
            <w:b w:val="0"/>
            <w:noProof/>
            <w:sz w:val="22"/>
            <w:szCs w:val="22"/>
          </w:rPr>
          <w:t>1.3</w:t>
        </w:r>
        <w:r w:rsidR="005E73A9" w:rsidRPr="005E73A9">
          <w:rPr>
            <w:rFonts w:eastAsiaTheme="minorEastAsia"/>
            <w:noProof/>
            <w:lang w:val="es-ES"/>
          </w:rPr>
          <w:tab/>
        </w:r>
        <w:r w:rsidR="00885848" w:rsidRPr="005E73A9">
          <w:rPr>
            <w:rStyle w:val="Hipervnculo"/>
            <w:rFonts w:ascii="Arial" w:eastAsiaTheme="majorEastAsia" w:hAnsi="Arial" w:cs="Arial"/>
            <w:b w:val="0"/>
            <w:noProof/>
            <w:sz w:val="22"/>
            <w:szCs w:val="22"/>
          </w:rPr>
          <w:t>Eventos Programados Y No Programados</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_Toc530045819 \h </w:instrText>
        </w:r>
        <w:r w:rsidR="005E73A9" w:rsidRPr="005E73A9">
          <w:rPr>
            <w:noProof/>
            <w:webHidden/>
          </w:rPr>
        </w:r>
        <w:r w:rsidR="005E73A9" w:rsidRPr="005E73A9">
          <w:rPr>
            <w:noProof/>
            <w:webHidden/>
          </w:rPr>
          <w:fldChar w:fldCharType="separate"/>
        </w:r>
        <w:r w:rsidR="005E73A9" w:rsidRPr="005E73A9">
          <w:rPr>
            <w:noProof/>
            <w:webHidden/>
          </w:rPr>
          <w:t>6</w:t>
        </w:r>
        <w:r w:rsidR="005E73A9" w:rsidRPr="005E73A9">
          <w:rPr>
            <w:noProof/>
            <w:webHidden/>
          </w:rPr>
          <w:fldChar w:fldCharType="end"/>
        </w:r>
      </w:hyperlink>
    </w:p>
    <w:p w14:paraId="4F4CA440" w14:textId="194B49A9" w:rsidR="005E73A9" w:rsidRPr="005E73A9" w:rsidRDefault="00D31F30" w:rsidP="00503DBC">
      <w:pPr>
        <w:pStyle w:val="TDC2"/>
        <w:rPr>
          <w:rFonts w:eastAsiaTheme="minorEastAsia"/>
          <w:noProof/>
          <w:lang w:val="es-ES"/>
        </w:rPr>
      </w:pPr>
      <w:hyperlink w:anchor="_Toc530045820" w:history="1">
        <w:r w:rsidR="005E73A9" w:rsidRPr="005E73A9">
          <w:rPr>
            <w:rStyle w:val="Hipervnculo"/>
            <w:rFonts w:ascii="Arial" w:eastAsiaTheme="majorEastAsia" w:hAnsi="Arial" w:cs="Arial"/>
            <w:b w:val="0"/>
            <w:noProof/>
            <w:sz w:val="22"/>
            <w:szCs w:val="22"/>
          </w:rPr>
          <w:t>1.4</w:t>
        </w:r>
        <w:r w:rsidR="005E73A9" w:rsidRPr="005E73A9">
          <w:rPr>
            <w:rFonts w:eastAsiaTheme="minorEastAsia"/>
            <w:noProof/>
            <w:lang w:val="es-ES"/>
          </w:rPr>
          <w:tab/>
        </w:r>
        <w:r w:rsidR="00885848" w:rsidRPr="005E73A9">
          <w:rPr>
            <w:rStyle w:val="Hipervnculo"/>
            <w:rFonts w:ascii="Arial" w:eastAsiaTheme="majorEastAsia" w:hAnsi="Arial" w:cs="Arial"/>
            <w:b w:val="0"/>
            <w:noProof/>
            <w:sz w:val="22"/>
            <w:szCs w:val="22"/>
          </w:rPr>
          <w:t>Asuntos Geopolíticos</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_Toc530045820 \h </w:instrText>
        </w:r>
        <w:r w:rsidR="005E73A9" w:rsidRPr="005E73A9">
          <w:rPr>
            <w:noProof/>
            <w:webHidden/>
          </w:rPr>
        </w:r>
        <w:r w:rsidR="005E73A9" w:rsidRPr="005E73A9">
          <w:rPr>
            <w:noProof/>
            <w:webHidden/>
          </w:rPr>
          <w:fldChar w:fldCharType="separate"/>
        </w:r>
        <w:r w:rsidR="005E73A9" w:rsidRPr="005E73A9">
          <w:rPr>
            <w:noProof/>
            <w:webHidden/>
          </w:rPr>
          <w:t>6</w:t>
        </w:r>
        <w:r w:rsidR="005E73A9" w:rsidRPr="005E73A9">
          <w:rPr>
            <w:noProof/>
            <w:webHidden/>
          </w:rPr>
          <w:fldChar w:fldCharType="end"/>
        </w:r>
      </w:hyperlink>
    </w:p>
    <w:p w14:paraId="4A46157F" w14:textId="056AD59C" w:rsidR="005E73A9" w:rsidRPr="005E73A9" w:rsidRDefault="00D31F30" w:rsidP="00503DBC">
      <w:pPr>
        <w:pStyle w:val="TDC2"/>
        <w:rPr>
          <w:rFonts w:eastAsiaTheme="minorEastAsia"/>
          <w:noProof/>
          <w:lang w:val="es-ES"/>
        </w:rPr>
      </w:pPr>
      <w:hyperlink w:anchor="_Toc530045821" w:history="1">
        <w:r w:rsidR="005E73A9" w:rsidRPr="005E73A9">
          <w:rPr>
            <w:rStyle w:val="Hipervnculo"/>
            <w:rFonts w:ascii="Arial" w:eastAsiaTheme="majorEastAsia" w:hAnsi="Arial" w:cs="Arial"/>
            <w:b w:val="0"/>
            <w:noProof/>
            <w:sz w:val="22"/>
            <w:szCs w:val="22"/>
          </w:rPr>
          <w:t>1.5</w:t>
        </w:r>
        <w:r w:rsidR="005E73A9" w:rsidRPr="005E73A9">
          <w:rPr>
            <w:rFonts w:eastAsiaTheme="minorEastAsia"/>
            <w:noProof/>
            <w:lang w:val="es-ES"/>
          </w:rPr>
          <w:tab/>
        </w:r>
        <w:r w:rsidR="00885848" w:rsidRPr="005E73A9">
          <w:rPr>
            <w:rStyle w:val="Hipervnculo"/>
            <w:rFonts w:ascii="Arial" w:eastAsiaTheme="majorEastAsia" w:hAnsi="Arial" w:cs="Arial"/>
            <w:b w:val="0"/>
            <w:noProof/>
            <w:sz w:val="22"/>
            <w:szCs w:val="22"/>
          </w:rPr>
          <w:t>Cambio En La Matriz Energética Mundial</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_Toc530045821 \h </w:instrText>
        </w:r>
        <w:r w:rsidR="005E73A9" w:rsidRPr="005E73A9">
          <w:rPr>
            <w:noProof/>
            <w:webHidden/>
          </w:rPr>
        </w:r>
        <w:r w:rsidR="005E73A9" w:rsidRPr="005E73A9">
          <w:rPr>
            <w:noProof/>
            <w:webHidden/>
          </w:rPr>
          <w:fldChar w:fldCharType="separate"/>
        </w:r>
        <w:r w:rsidR="005E73A9" w:rsidRPr="005E73A9">
          <w:rPr>
            <w:noProof/>
            <w:webHidden/>
          </w:rPr>
          <w:t>9</w:t>
        </w:r>
        <w:r w:rsidR="005E73A9" w:rsidRPr="005E73A9">
          <w:rPr>
            <w:noProof/>
            <w:webHidden/>
          </w:rPr>
          <w:fldChar w:fldCharType="end"/>
        </w:r>
      </w:hyperlink>
    </w:p>
    <w:p w14:paraId="7DB398B4" w14:textId="5CF1C85B" w:rsidR="005E73A9" w:rsidRPr="005E73A9" w:rsidRDefault="00D31F30" w:rsidP="00503DBC">
      <w:pPr>
        <w:pStyle w:val="TDC2"/>
        <w:rPr>
          <w:rFonts w:eastAsiaTheme="minorEastAsia"/>
          <w:noProof/>
          <w:lang w:val="es-ES"/>
        </w:rPr>
      </w:pPr>
      <w:hyperlink w:anchor="_Toc530045822" w:history="1">
        <w:r w:rsidR="005E73A9" w:rsidRPr="005E73A9">
          <w:rPr>
            <w:rStyle w:val="Hipervnculo"/>
            <w:rFonts w:ascii="Arial" w:eastAsiaTheme="majorEastAsia" w:hAnsi="Arial" w:cs="Arial"/>
            <w:b w:val="0"/>
            <w:noProof/>
            <w:sz w:val="22"/>
            <w:szCs w:val="22"/>
          </w:rPr>
          <w:t>1.6</w:t>
        </w:r>
        <w:r w:rsidR="005E73A9" w:rsidRPr="005E73A9">
          <w:rPr>
            <w:rFonts w:eastAsiaTheme="minorEastAsia"/>
            <w:noProof/>
            <w:lang w:val="es-ES"/>
          </w:rPr>
          <w:tab/>
        </w:r>
        <w:r w:rsidR="00885848" w:rsidRPr="005E73A9">
          <w:rPr>
            <w:rStyle w:val="Hipervnculo"/>
            <w:rFonts w:ascii="Arial" w:eastAsiaTheme="majorEastAsia" w:hAnsi="Arial" w:cs="Arial"/>
            <w:b w:val="0"/>
            <w:noProof/>
            <w:sz w:val="22"/>
            <w:szCs w:val="22"/>
          </w:rPr>
          <w:t>Escenarios De Precios Del Crudo</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_Toc530045822 \h </w:instrText>
        </w:r>
        <w:r w:rsidR="005E73A9" w:rsidRPr="005E73A9">
          <w:rPr>
            <w:noProof/>
            <w:webHidden/>
          </w:rPr>
        </w:r>
        <w:r w:rsidR="005E73A9" w:rsidRPr="005E73A9">
          <w:rPr>
            <w:noProof/>
            <w:webHidden/>
          </w:rPr>
          <w:fldChar w:fldCharType="separate"/>
        </w:r>
        <w:r w:rsidR="005E73A9" w:rsidRPr="005E73A9">
          <w:rPr>
            <w:noProof/>
            <w:webHidden/>
          </w:rPr>
          <w:t>12</w:t>
        </w:r>
        <w:r w:rsidR="005E73A9" w:rsidRPr="005E73A9">
          <w:rPr>
            <w:noProof/>
            <w:webHidden/>
          </w:rPr>
          <w:fldChar w:fldCharType="end"/>
        </w:r>
      </w:hyperlink>
    </w:p>
    <w:p w14:paraId="6DF61CFC" w14:textId="0252A185" w:rsidR="005E73A9" w:rsidRPr="005E73A9" w:rsidRDefault="00D31F30" w:rsidP="00A61687">
      <w:pPr>
        <w:pStyle w:val="TDC1"/>
        <w:tabs>
          <w:tab w:val="left" w:pos="880"/>
          <w:tab w:val="right" w:leader="dot" w:pos="9678"/>
        </w:tabs>
        <w:spacing w:before="120" w:after="120" w:line="360" w:lineRule="auto"/>
        <w:jc w:val="both"/>
        <w:rPr>
          <w:rFonts w:ascii="Arial" w:eastAsiaTheme="minorEastAsia" w:hAnsi="Arial" w:cs="Arial"/>
          <w:b w:val="0"/>
          <w:bCs w:val="0"/>
          <w:caps w:val="0"/>
          <w:noProof/>
          <w:sz w:val="22"/>
          <w:szCs w:val="22"/>
          <w:lang w:val="es-ES"/>
        </w:rPr>
      </w:pPr>
      <w:hyperlink w:anchor="_Toc530045823" w:history="1">
        <w:r w:rsidR="005E73A9" w:rsidRPr="005E73A9">
          <w:rPr>
            <w:rStyle w:val="Hipervnculo"/>
            <w:rFonts w:ascii="Arial" w:eastAsiaTheme="majorEastAsia" w:hAnsi="Arial" w:cs="Arial"/>
            <w:b w:val="0"/>
            <w:caps w:val="0"/>
            <w:noProof/>
            <w:sz w:val="22"/>
            <w:szCs w:val="22"/>
          </w:rPr>
          <w:t>2</w:t>
        </w:r>
        <w:r w:rsidR="005E73A9" w:rsidRPr="005E73A9">
          <w:rPr>
            <w:rFonts w:ascii="Arial" w:eastAsiaTheme="minorEastAsia" w:hAnsi="Arial" w:cs="Arial"/>
            <w:b w:val="0"/>
            <w:bCs w:val="0"/>
            <w:caps w:val="0"/>
            <w:noProof/>
            <w:sz w:val="22"/>
            <w:szCs w:val="22"/>
            <w:lang w:val="es-ES"/>
          </w:rPr>
          <w:tab/>
        </w:r>
        <w:r w:rsidR="005E73A9" w:rsidRPr="005E73A9">
          <w:rPr>
            <w:rStyle w:val="Hipervnculo"/>
            <w:rFonts w:ascii="Arial" w:eastAsiaTheme="majorEastAsia" w:hAnsi="Arial" w:cs="Arial"/>
            <w:caps w:val="0"/>
            <w:noProof/>
            <w:sz w:val="22"/>
            <w:szCs w:val="22"/>
          </w:rPr>
          <w:t>EL SECTOR ELÉCTRICO COLOMBIANO</w:t>
        </w:r>
        <w:r w:rsidR="005E73A9" w:rsidRPr="005E73A9">
          <w:rPr>
            <w:rFonts w:ascii="Arial" w:hAnsi="Arial" w:cs="Arial"/>
            <w:b w:val="0"/>
            <w:caps w:val="0"/>
            <w:noProof/>
            <w:webHidden/>
            <w:sz w:val="22"/>
            <w:szCs w:val="22"/>
          </w:rPr>
          <w:tab/>
        </w:r>
        <w:r w:rsidR="005E73A9" w:rsidRPr="005E73A9">
          <w:rPr>
            <w:rFonts w:ascii="Arial" w:hAnsi="Arial" w:cs="Arial"/>
            <w:noProof/>
            <w:webHidden/>
            <w:sz w:val="22"/>
            <w:szCs w:val="22"/>
          </w:rPr>
          <w:fldChar w:fldCharType="begin"/>
        </w:r>
        <w:r w:rsidR="005E73A9" w:rsidRPr="005E73A9">
          <w:rPr>
            <w:rFonts w:ascii="Arial" w:hAnsi="Arial" w:cs="Arial"/>
            <w:noProof/>
            <w:webHidden/>
            <w:sz w:val="22"/>
            <w:szCs w:val="22"/>
          </w:rPr>
          <w:instrText xml:space="preserve"> PAGEREF _Toc530045823 \h </w:instrText>
        </w:r>
        <w:r w:rsidR="005E73A9" w:rsidRPr="005E73A9">
          <w:rPr>
            <w:rFonts w:ascii="Arial" w:hAnsi="Arial" w:cs="Arial"/>
            <w:noProof/>
            <w:webHidden/>
            <w:sz w:val="22"/>
            <w:szCs w:val="22"/>
          </w:rPr>
        </w:r>
        <w:r w:rsidR="005E73A9" w:rsidRPr="005E73A9">
          <w:rPr>
            <w:rFonts w:ascii="Arial" w:hAnsi="Arial" w:cs="Arial"/>
            <w:noProof/>
            <w:webHidden/>
            <w:sz w:val="22"/>
            <w:szCs w:val="22"/>
          </w:rPr>
          <w:fldChar w:fldCharType="separate"/>
        </w:r>
        <w:r w:rsidR="005E73A9" w:rsidRPr="005E73A9">
          <w:rPr>
            <w:rFonts w:ascii="Arial" w:hAnsi="Arial" w:cs="Arial"/>
            <w:caps w:val="0"/>
            <w:noProof/>
            <w:webHidden/>
            <w:sz w:val="22"/>
            <w:szCs w:val="22"/>
          </w:rPr>
          <w:t>16</w:t>
        </w:r>
        <w:r w:rsidR="005E73A9" w:rsidRPr="005E73A9">
          <w:rPr>
            <w:rFonts w:ascii="Arial" w:hAnsi="Arial" w:cs="Arial"/>
            <w:noProof/>
            <w:webHidden/>
            <w:sz w:val="22"/>
            <w:szCs w:val="22"/>
          </w:rPr>
          <w:fldChar w:fldCharType="end"/>
        </w:r>
      </w:hyperlink>
    </w:p>
    <w:p w14:paraId="15C2E975" w14:textId="15EACF43" w:rsidR="005E73A9" w:rsidRPr="005E73A9" w:rsidRDefault="00D31F30" w:rsidP="00503DBC">
      <w:pPr>
        <w:pStyle w:val="TDC2"/>
        <w:rPr>
          <w:rFonts w:eastAsiaTheme="minorEastAsia"/>
          <w:noProof/>
          <w:lang w:val="es-ES"/>
        </w:rPr>
      </w:pPr>
      <w:hyperlink w:anchor="_Toc530045824" w:history="1">
        <w:r w:rsidR="005E73A9" w:rsidRPr="005E73A9">
          <w:rPr>
            <w:rStyle w:val="Hipervnculo"/>
            <w:rFonts w:ascii="Arial" w:eastAsiaTheme="majorEastAsia" w:hAnsi="Arial" w:cs="Arial"/>
            <w:b w:val="0"/>
            <w:noProof/>
            <w:sz w:val="22"/>
            <w:szCs w:val="22"/>
          </w:rPr>
          <w:t>2.1</w:t>
        </w:r>
        <w:r w:rsidR="005E73A9" w:rsidRPr="005E73A9">
          <w:rPr>
            <w:rFonts w:eastAsiaTheme="minorEastAsia"/>
            <w:noProof/>
            <w:lang w:val="es-ES"/>
          </w:rPr>
          <w:tab/>
        </w:r>
        <w:r w:rsidR="00885848" w:rsidRPr="005E73A9">
          <w:rPr>
            <w:rStyle w:val="Hipervnculo"/>
            <w:rFonts w:ascii="Arial" w:eastAsiaTheme="majorEastAsia" w:hAnsi="Arial" w:cs="Arial"/>
            <w:b w:val="0"/>
            <w:noProof/>
            <w:sz w:val="22"/>
            <w:szCs w:val="22"/>
          </w:rPr>
          <w:t>Descripción Del Parque Térmico</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_Toc530045824 \h </w:instrText>
        </w:r>
        <w:r w:rsidR="005E73A9" w:rsidRPr="005E73A9">
          <w:rPr>
            <w:noProof/>
            <w:webHidden/>
          </w:rPr>
        </w:r>
        <w:r w:rsidR="005E73A9" w:rsidRPr="005E73A9">
          <w:rPr>
            <w:noProof/>
            <w:webHidden/>
          </w:rPr>
          <w:fldChar w:fldCharType="separate"/>
        </w:r>
        <w:r w:rsidR="005E73A9" w:rsidRPr="005E73A9">
          <w:rPr>
            <w:noProof/>
            <w:webHidden/>
          </w:rPr>
          <w:t>16</w:t>
        </w:r>
        <w:r w:rsidR="005E73A9" w:rsidRPr="005E73A9">
          <w:rPr>
            <w:noProof/>
            <w:webHidden/>
          </w:rPr>
          <w:fldChar w:fldCharType="end"/>
        </w:r>
      </w:hyperlink>
    </w:p>
    <w:p w14:paraId="7182F55C" w14:textId="55E579FD" w:rsidR="005E73A9" w:rsidRPr="005E73A9" w:rsidRDefault="00D31F30" w:rsidP="00A61687">
      <w:pPr>
        <w:pStyle w:val="TDC3"/>
        <w:tabs>
          <w:tab w:val="left" w:pos="880"/>
          <w:tab w:val="right" w:leader="dot" w:pos="9678"/>
        </w:tabs>
        <w:spacing w:before="120" w:after="120" w:line="360" w:lineRule="auto"/>
        <w:jc w:val="both"/>
        <w:rPr>
          <w:rFonts w:ascii="Arial" w:eastAsiaTheme="minorEastAsia" w:hAnsi="Arial" w:cs="Arial"/>
          <w:noProof/>
          <w:sz w:val="22"/>
          <w:szCs w:val="22"/>
          <w:lang w:val="es-ES"/>
        </w:rPr>
      </w:pPr>
      <w:hyperlink w:anchor="_Toc530045825" w:history="1">
        <w:r w:rsidR="005E73A9" w:rsidRPr="005E73A9">
          <w:rPr>
            <w:rStyle w:val="Hipervnculo"/>
            <w:rFonts w:ascii="Arial" w:eastAsiaTheme="majorEastAsia" w:hAnsi="Arial" w:cs="Arial"/>
            <w:noProof/>
            <w:sz w:val="22"/>
            <w:szCs w:val="22"/>
          </w:rPr>
          <w:t>2.1.1</w:t>
        </w:r>
        <w:r w:rsidR="005E73A9" w:rsidRPr="005E73A9">
          <w:rPr>
            <w:rFonts w:ascii="Arial" w:eastAsiaTheme="minorEastAsia" w:hAnsi="Arial" w:cs="Arial"/>
            <w:noProof/>
            <w:sz w:val="22"/>
            <w:szCs w:val="22"/>
            <w:lang w:val="es-ES"/>
          </w:rPr>
          <w:tab/>
        </w:r>
        <w:r w:rsidR="00885848" w:rsidRPr="005E73A9">
          <w:rPr>
            <w:rStyle w:val="Hipervnculo"/>
            <w:rFonts w:ascii="Arial" w:eastAsiaTheme="majorEastAsia" w:hAnsi="Arial" w:cs="Arial"/>
            <w:noProof/>
            <w:sz w:val="22"/>
            <w:szCs w:val="22"/>
          </w:rPr>
          <w:t>Plantas A Gas Natural</w:t>
        </w:r>
        <w:r w:rsidR="005E73A9" w:rsidRPr="005E73A9">
          <w:rPr>
            <w:rFonts w:ascii="Arial" w:hAnsi="Arial" w:cs="Arial"/>
            <w:noProof/>
            <w:webHidden/>
            <w:sz w:val="22"/>
            <w:szCs w:val="22"/>
          </w:rPr>
          <w:tab/>
        </w:r>
        <w:r w:rsidR="005E73A9" w:rsidRPr="005E73A9">
          <w:rPr>
            <w:rFonts w:ascii="Arial" w:hAnsi="Arial" w:cs="Arial"/>
            <w:noProof/>
            <w:webHidden/>
            <w:sz w:val="22"/>
            <w:szCs w:val="22"/>
          </w:rPr>
          <w:fldChar w:fldCharType="begin"/>
        </w:r>
        <w:r w:rsidR="005E73A9" w:rsidRPr="005E73A9">
          <w:rPr>
            <w:rFonts w:ascii="Arial" w:hAnsi="Arial" w:cs="Arial"/>
            <w:noProof/>
            <w:webHidden/>
            <w:sz w:val="22"/>
            <w:szCs w:val="22"/>
          </w:rPr>
          <w:instrText xml:space="preserve"> PAGEREF _Toc530045825 \h </w:instrText>
        </w:r>
        <w:r w:rsidR="005E73A9" w:rsidRPr="005E73A9">
          <w:rPr>
            <w:rFonts w:ascii="Arial" w:hAnsi="Arial" w:cs="Arial"/>
            <w:noProof/>
            <w:webHidden/>
            <w:sz w:val="22"/>
            <w:szCs w:val="22"/>
          </w:rPr>
        </w:r>
        <w:r w:rsidR="005E73A9" w:rsidRPr="005E73A9">
          <w:rPr>
            <w:rFonts w:ascii="Arial" w:hAnsi="Arial" w:cs="Arial"/>
            <w:noProof/>
            <w:webHidden/>
            <w:sz w:val="22"/>
            <w:szCs w:val="22"/>
          </w:rPr>
          <w:fldChar w:fldCharType="separate"/>
        </w:r>
        <w:r w:rsidR="005E73A9" w:rsidRPr="005E73A9">
          <w:rPr>
            <w:rFonts w:ascii="Arial" w:hAnsi="Arial" w:cs="Arial"/>
            <w:noProof/>
            <w:webHidden/>
            <w:sz w:val="22"/>
            <w:szCs w:val="22"/>
          </w:rPr>
          <w:t>17</w:t>
        </w:r>
        <w:r w:rsidR="005E73A9" w:rsidRPr="005E73A9">
          <w:rPr>
            <w:rFonts w:ascii="Arial" w:hAnsi="Arial" w:cs="Arial"/>
            <w:noProof/>
            <w:webHidden/>
            <w:sz w:val="22"/>
            <w:szCs w:val="22"/>
          </w:rPr>
          <w:fldChar w:fldCharType="end"/>
        </w:r>
      </w:hyperlink>
    </w:p>
    <w:p w14:paraId="480BABAE" w14:textId="2C2F3FD5" w:rsidR="005E73A9" w:rsidRPr="005E73A9" w:rsidRDefault="00D31F30" w:rsidP="00A61687">
      <w:pPr>
        <w:pStyle w:val="TDC3"/>
        <w:tabs>
          <w:tab w:val="left" w:pos="880"/>
          <w:tab w:val="right" w:leader="dot" w:pos="9678"/>
        </w:tabs>
        <w:spacing w:before="120" w:after="120" w:line="360" w:lineRule="auto"/>
        <w:jc w:val="both"/>
        <w:rPr>
          <w:rFonts w:ascii="Arial" w:eastAsiaTheme="minorEastAsia" w:hAnsi="Arial" w:cs="Arial"/>
          <w:noProof/>
          <w:sz w:val="22"/>
          <w:szCs w:val="22"/>
          <w:lang w:val="es-ES"/>
        </w:rPr>
      </w:pPr>
      <w:hyperlink w:anchor="_Toc530045826" w:history="1">
        <w:r w:rsidR="005E73A9" w:rsidRPr="005E73A9">
          <w:rPr>
            <w:rStyle w:val="Hipervnculo"/>
            <w:rFonts w:ascii="Arial" w:eastAsiaTheme="majorEastAsia" w:hAnsi="Arial" w:cs="Arial"/>
            <w:noProof/>
            <w:sz w:val="22"/>
            <w:szCs w:val="22"/>
          </w:rPr>
          <w:t>2.1.2</w:t>
        </w:r>
        <w:r w:rsidR="005E73A9" w:rsidRPr="005E73A9">
          <w:rPr>
            <w:rFonts w:ascii="Arial" w:eastAsiaTheme="minorEastAsia" w:hAnsi="Arial" w:cs="Arial"/>
            <w:noProof/>
            <w:sz w:val="22"/>
            <w:szCs w:val="22"/>
            <w:lang w:val="es-ES"/>
          </w:rPr>
          <w:tab/>
        </w:r>
        <w:r w:rsidR="00885848" w:rsidRPr="005E73A9">
          <w:rPr>
            <w:rStyle w:val="Hipervnculo"/>
            <w:rFonts w:ascii="Arial" w:eastAsiaTheme="majorEastAsia" w:hAnsi="Arial" w:cs="Arial"/>
            <w:noProof/>
            <w:sz w:val="22"/>
            <w:szCs w:val="22"/>
          </w:rPr>
          <w:t>Plantas A Carbón</w:t>
        </w:r>
        <w:r w:rsidR="005E73A9" w:rsidRPr="005E73A9">
          <w:rPr>
            <w:rFonts w:ascii="Arial" w:hAnsi="Arial" w:cs="Arial"/>
            <w:noProof/>
            <w:webHidden/>
            <w:sz w:val="22"/>
            <w:szCs w:val="22"/>
          </w:rPr>
          <w:tab/>
        </w:r>
        <w:r w:rsidR="005E73A9" w:rsidRPr="005E73A9">
          <w:rPr>
            <w:rFonts w:ascii="Arial" w:hAnsi="Arial" w:cs="Arial"/>
            <w:noProof/>
            <w:webHidden/>
            <w:sz w:val="22"/>
            <w:szCs w:val="22"/>
          </w:rPr>
          <w:fldChar w:fldCharType="begin"/>
        </w:r>
        <w:r w:rsidR="005E73A9" w:rsidRPr="005E73A9">
          <w:rPr>
            <w:rFonts w:ascii="Arial" w:hAnsi="Arial" w:cs="Arial"/>
            <w:noProof/>
            <w:webHidden/>
            <w:sz w:val="22"/>
            <w:szCs w:val="22"/>
          </w:rPr>
          <w:instrText xml:space="preserve"> PAGEREF _Toc530045826 \h </w:instrText>
        </w:r>
        <w:r w:rsidR="005E73A9" w:rsidRPr="005E73A9">
          <w:rPr>
            <w:rFonts w:ascii="Arial" w:hAnsi="Arial" w:cs="Arial"/>
            <w:noProof/>
            <w:webHidden/>
            <w:sz w:val="22"/>
            <w:szCs w:val="22"/>
          </w:rPr>
        </w:r>
        <w:r w:rsidR="005E73A9" w:rsidRPr="005E73A9">
          <w:rPr>
            <w:rFonts w:ascii="Arial" w:hAnsi="Arial" w:cs="Arial"/>
            <w:noProof/>
            <w:webHidden/>
            <w:sz w:val="22"/>
            <w:szCs w:val="22"/>
          </w:rPr>
          <w:fldChar w:fldCharType="separate"/>
        </w:r>
        <w:r w:rsidR="005E73A9" w:rsidRPr="005E73A9">
          <w:rPr>
            <w:rFonts w:ascii="Arial" w:hAnsi="Arial" w:cs="Arial"/>
            <w:noProof/>
            <w:webHidden/>
            <w:sz w:val="22"/>
            <w:szCs w:val="22"/>
          </w:rPr>
          <w:t>18</w:t>
        </w:r>
        <w:r w:rsidR="005E73A9" w:rsidRPr="005E73A9">
          <w:rPr>
            <w:rFonts w:ascii="Arial" w:hAnsi="Arial" w:cs="Arial"/>
            <w:noProof/>
            <w:webHidden/>
            <w:sz w:val="22"/>
            <w:szCs w:val="22"/>
          </w:rPr>
          <w:fldChar w:fldCharType="end"/>
        </w:r>
      </w:hyperlink>
    </w:p>
    <w:p w14:paraId="02C6035D" w14:textId="301321F8" w:rsidR="005E73A9" w:rsidRPr="005E73A9" w:rsidRDefault="00D31F30" w:rsidP="00A61687">
      <w:pPr>
        <w:pStyle w:val="TDC3"/>
        <w:tabs>
          <w:tab w:val="left" w:pos="880"/>
          <w:tab w:val="right" w:leader="dot" w:pos="9678"/>
        </w:tabs>
        <w:spacing w:before="120" w:after="120" w:line="360" w:lineRule="auto"/>
        <w:jc w:val="both"/>
        <w:rPr>
          <w:rFonts w:ascii="Arial" w:eastAsiaTheme="minorEastAsia" w:hAnsi="Arial" w:cs="Arial"/>
          <w:noProof/>
          <w:sz w:val="22"/>
          <w:szCs w:val="22"/>
          <w:lang w:val="es-ES"/>
        </w:rPr>
      </w:pPr>
      <w:hyperlink w:anchor="_Toc530045827" w:history="1">
        <w:r w:rsidR="005E73A9" w:rsidRPr="00885848">
          <w:rPr>
            <w:rStyle w:val="Hipervnculo"/>
            <w:rFonts w:ascii="Arial" w:eastAsiaTheme="majorEastAsia" w:hAnsi="Arial" w:cs="Arial"/>
            <w:noProof/>
            <w:sz w:val="22"/>
            <w:szCs w:val="22"/>
          </w:rPr>
          <w:t>2.1.3</w:t>
        </w:r>
        <w:r w:rsidR="005E73A9" w:rsidRPr="005E73A9">
          <w:rPr>
            <w:rFonts w:ascii="Arial" w:eastAsiaTheme="minorEastAsia" w:hAnsi="Arial" w:cs="Arial"/>
            <w:noProof/>
            <w:sz w:val="22"/>
            <w:szCs w:val="22"/>
            <w:lang w:val="es-ES"/>
          </w:rPr>
          <w:tab/>
        </w:r>
        <w:r w:rsidR="00885848" w:rsidRPr="005E73A9">
          <w:rPr>
            <w:rStyle w:val="Hipervnculo"/>
            <w:rFonts w:ascii="Arial" w:eastAsiaTheme="majorEastAsia" w:hAnsi="Arial" w:cs="Arial"/>
            <w:noProof/>
            <w:sz w:val="22"/>
            <w:szCs w:val="22"/>
          </w:rPr>
          <w:t>Plantas A Combustibles Líquidos</w:t>
        </w:r>
        <w:r w:rsidR="005E73A9" w:rsidRPr="005E73A9">
          <w:rPr>
            <w:rFonts w:ascii="Arial" w:hAnsi="Arial" w:cs="Arial"/>
            <w:noProof/>
            <w:webHidden/>
            <w:sz w:val="22"/>
            <w:szCs w:val="22"/>
          </w:rPr>
          <w:tab/>
        </w:r>
        <w:r w:rsidR="005E73A9" w:rsidRPr="005E73A9">
          <w:rPr>
            <w:rFonts w:ascii="Arial" w:hAnsi="Arial" w:cs="Arial"/>
            <w:noProof/>
            <w:webHidden/>
            <w:sz w:val="22"/>
            <w:szCs w:val="22"/>
          </w:rPr>
          <w:fldChar w:fldCharType="begin"/>
        </w:r>
        <w:r w:rsidR="005E73A9" w:rsidRPr="005E73A9">
          <w:rPr>
            <w:rFonts w:ascii="Arial" w:hAnsi="Arial" w:cs="Arial"/>
            <w:noProof/>
            <w:webHidden/>
            <w:sz w:val="22"/>
            <w:szCs w:val="22"/>
          </w:rPr>
          <w:instrText xml:space="preserve"> PAGEREF _Toc530045827 \h </w:instrText>
        </w:r>
        <w:r w:rsidR="005E73A9" w:rsidRPr="005E73A9">
          <w:rPr>
            <w:rFonts w:ascii="Arial" w:hAnsi="Arial" w:cs="Arial"/>
            <w:noProof/>
            <w:webHidden/>
            <w:sz w:val="22"/>
            <w:szCs w:val="22"/>
          </w:rPr>
        </w:r>
        <w:r w:rsidR="005E73A9" w:rsidRPr="005E73A9">
          <w:rPr>
            <w:rFonts w:ascii="Arial" w:hAnsi="Arial" w:cs="Arial"/>
            <w:noProof/>
            <w:webHidden/>
            <w:sz w:val="22"/>
            <w:szCs w:val="22"/>
          </w:rPr>
          <w:fldChar w:fldCharType="separate"/>
        </w:r>
        <w:r w:rsidR="005E73A9" w:rsidRPr="005E73A9">
          <w:rPr>
            <w:rFonts w:ascii="Arial" w:hAnsi="Arial" w:cs="Arial"/>
            <w:noProof/>
            <w:webHidden/>
            <w:sz w:val="22"/>
            <w:szCs w:val="22"/>
          </w:rPr>
          <w:t>19</w:t>
        </w:r>
        <w:r w:rsidR="005E73A9" w:rsidRPr="005E73A9">
          <w:rPr>
            <w:rFonts w:ascii="Arial" w:hAnsi="Arial" w:cs="Arial"/>
            <w:noProof/>
            <w:webHidden/>
            <w:sz w:val="22"/>
            <w:szCs w:val="22"/>
          </w:rPr>
          <w:fldChar w:fldCharType="end"/>
        </w:r>
      </w:hyperlink>
    </w:p>
    <w:p w14:paraId="017BAF67" w14:textId="04517975" w:rsidR="005E73A9" w:rsidRPr="005E73A9" w:rsidRDefault="00D31F30" w:rsidP="00503DBC">
      <w:pPr>
        <w:pStyle w:val="TDC2"/>
        <w:rPr>
          <w:rFonts w:eastAsiaTheme="minorEastAsia"/>
          <w:noProof/>
          <w:lang w:val="es-ES"/>
        </w:rPr>
      </w:pPr>
      <w:hyperlink w:anchor="_Toc530045828" w:history="1">
        <w:r w:rsidR="005E73A9" w:rsidRPr="005E73A9">
          <w:rPr>
            <w:rStyle w:val="Hipervnculo"/>
            <w:rFonts w:ascii="Arial" w:eastAsiaTheme="majorEastAsia" w:hAnsi="Arial" w:cs="Arial"/>
            <w:b w:val="0"/>
            <w:noProof/>
            <w:sz w:val="22"/>
            <w:szCs w:val="22"/>
          </w:rPr>
          <w:t>2.2</w:t>
        </w:r>
        <w:r w:rsidR="005E73A9" w:rsidRPr="005E73A9">
          <w:rPr>
            <w:rFonts w:eastAsiaTheme="minorEastAsia"/>
            <w:noProof/>
            <w:lang w:val="es-ES"/>
          </w:rPr>
          <w:tab/>
        </w:r>
        <w:r w:rsidR="005E73A9" w:rsidRPr="005E73A9">
          <w:rPr>
            <w:rStyle w:val="Hipervnculo"/>
            <w:rFonts w:ascii="Arial" w:eastAsiaTheme="majorEastAsia" w:hAnsi="Arial" w:cs="Arial"/>
            <w:b w:val="0"/>
            <w:noProof/>
            <w:sz w:val="22"/>
            <w:szCs w:val="22"/>
          </w:rPr>
          <w:t>G</w:t>
        </w:r>
        <w:r w:rsidR="00885848" w:rsidRPr="005E73A9">
          <w:rPr>
            <w:rStyle w:val="Hipervnculo"/>
            <w:rFonts w:ascii="Arial" w:eastAsiaTheme="majorEastAsia" w:hAnsi="Arial" w:cs="Arial"/>
            <w:b w:val="0"/>
            <w:noProof/>
            <w:sz w:val="22"/>
            <w:szCs w:val="22"/>
          </w:rPr>
          <w:t>eneración De Electricidad Por Recurso</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_Toc530045828 \h </w:instrText>
        </w:r>
        <w:r w:rsidR="005E73A9" w:rsidRPr="005E73A9">
          <w:rPr>
            <w:noProof/>
            <w:webHidden/>
          </w:rPr>
        </w:r>
        <w:r w:rsidR="005E73A9" w:rsidRPr="005E73A9">
          <w:rPr>
            <w:noProof/>
            <w:webHidden/>
          </w:rPr>
          <w:fldChar w:fldCharType="separate"/>
        </w:r>
        <w:r w:rsidR="005E73A9" w:rsidRPr="005E73A9">
          <w:rPr>
            <w:noProof/>
            <w:webHidden/>
          </w:rPr>
          <w:t>20</w:t>
        </w:r>
        <w:r w:rsidR="005E73A9" w:rsidRPr="005E73A9">
          <w:rPr>
            <w:noProof/>
            <w:webHidden/>
          </w:rPr>
          <w:fldChar w:fldCharType="end"/>
        </w:r>
      </w:hyperlink>
    </w:p>
    <w:p w14:paraId="0104A0C5" w14:textId="56F0D49D" w:rsidR="005E73A9" w:rsidRPr="005E73A9" w:rsidRDefault="00D31F30" w:rsidP="00503DBC">
      <w:pPr>
        <w:pStyle w:val="TDC2"/>
        <w:rPr>
          <w:rFonts w:eastAsiaTheme="minorEastAsia"/>
          <w:noProof/>
          <w:lang w:val="es-ES"/>
        </w:rPr>
      </w:pPr>
      <w:hyperlink w:anchor="_Toc530045829" w:history="1">
        <w:r w:rsidR="005E73A9" w:rsidRPr="005E73A9">
          <w:rPr>
            <w:rStyle w:val="Hipervnculo"/>
            <w:rFonts w:ascii="Arial" w:eastAsiaTheme="majorEastAsia" w:hAnsi="Arial" w:cs="Arial"/>
            <w:b w:val="0"/>
            <w:noProof/>
            <w:sz w:val="22"/>
            <w:szCs w:val="22"/>
          </w:rPr>
          <w:t>2.3</w:t>
        </w:r>
        <w:r w:rsidR="005E73A9" w:rsidRPr="005E73A9">
          <w:rPr>
            <w:rFonts w:eastAsiaTheme="minorEastAsia"/>
            <w:noProof/>
            <w:lang w:val="es-ES"/>
          </w:rPr>
          <w:tab/>
        </w:r>
        <w:r w:rsidR="00885848" w:rsidRPr="005E73A9">
          <w:rPr>
            <w:rStyle w:val="Hipervnculo"/>
            <w:rFonts w:ascii="Arial" w:eastAsiaTheme="majorEastAsia" w:hAnsi="Arial" w:cs="Arial"/>
            <w:b w:val="0"/>
            <w:noProof/>
            <w:sz w:val="22"/>
            <w:szCs w:val="22"/>
          </w:rPr>
          <w:t>Consumo De Combustibles Para Generación De Electricidad</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_Toc530045829 \h </w:instrText>
        </w:r>
        <w:r w:rsidR="005E73A9" w:rsidRPr="005E73A9">
          <w:rPr>
            <w:noProof/>
            <w:webHidden/>
          </w:rPr>
        </w:r>
        <w:r w:rsidR="005E73A9" w:rsidRPr="005E73A9">
          <w:rPr>
            <w:noProof/>
            <w:webHidden/>
          </w:rPr>
          <w:fldChar w:fldCharType="separate"/>
        </w:r>
        <w:r w:rsidR="005E73A9" w:rsidRPr="005E73A9">
          <w:rPr>
            <w:noProof/>
            <w:webHidden/>
          </w:rPr>
          <w:t>21</w:t>
        </w:r>
        <w:r w:rsidR="005E73A9" w:rsidRPr="005E73A9">
          <w:rPr>
            <w:noProof/>
            <w:webHidden/>
          </w:rPr>
          <w:fldChar w:fldCharType="end"/>
        </w:r>
      </w:hyperlink>
    </w:p>
    <w:p w14:paraId="29985F55" w14:textId="34BC8CC4" w:rsidR="005E73A9" w:rsidRPr="005E73A9" w:rsidRDefault="00D31F30" w:rsidP="00A61687">
      <w:pPr>
        <w:pStyle w:val="TDC1"/>
        <w:tabs>
          <w:tab w:val="left" w:pos="880"/>
          <w:tab w:val="right" w:leader="dot" w:pos="9678"/>
        </w:tabs>
        <w:spacing w:before="120" w:after="120" w:line="360" w:lineRule="auto"/>
        <w:jc w:val="both"/>
        <w:rPr>
          <w:rFonts w:ascii="Arial" w:eastAsiaTheme="minorEastAsia" w:hAnsi="Arial" w:cs="Arial"/>
          <w:b w:val="0"/>
          <w:bCs w:val="0"/>
          <w:caps w:val="0"/>
          <w:noProof/>
          <w:sz w:val="22"/>
          <w:szCs w:val="22"/>
          <w:lang w:val="es-ES"/>
        </w:rPr>
      </w:pPr>
      <w:hyperlink w:anchor="_Toc530045830" w:history="1">
        <w:r w:rsidR="005E73A9" w:rsidRPr="005E73A9">
          <w:rPr>
            <w:rStyle w:val="Hipervnculo"/>
            <w:rFonts w:ascii="Arial" w:eastAsiaTheme="majorEastAsia" w:hAnsi="Arial" w:cs="Arial"/>
            <w:b w:val="0"/>
            <w:caps w:val="0"/>
            <w:noProof/>
            <w:sz w:val="22"/>
            <w:szCs w:val="22"/>
          </w:rPr>
          <w:t>3</w:t>
        </w:r>
        <w:r w:rsidR="005E73A9" w:rsidRPr="005E73A9">
          <w:rPr>
            <w:rFonts w:ascii="Arial" w:eastAsiaTheme="minorEastAsia" w:hAnsi="Arial" w:cs="Arial"/>
            <w:b w:val="0"/>
            <w:bCs w:val="0"/>
            <w:caps w:val="0"/>
            <w:noProof/>
            <w:sz w:val="22"/>
            <w:szCs w:val="22"/>
            <w:lang w:val="es-ES"/>
          </w:rPr>
          <w:tab/>
        </w:r>
        <w:r w:rsidR="005E73A9" w:rsidRPr="005E73A9">
          <w:rPr>
            <w:rStyle w:val="Hipervnculo"/>
            <w:rFonts w:ascii="Arial" w:eastAsiaTheme="majorEastAsia" w:hAnsi="Arial" w:cs="Arial"/>
            <w:caps w:val="0"/>
            <w:noProof/>
            <w:sz w:val="22"/>
            <w:szCs w:val="22"/>
          </w:rPr>
          <w:t>GAS NATURAL</w:t>
        </w:r>
        <w:r w:rsidR="005E73A9" w:rsidRPr="005E73A9">
          <w:rPr>
            <w:rFonts w:ascii="Arial" w:hAnsi="Arial" w:cs="Arial"/>
            <w:caps w:val="0"/>
            <w:noProof/>
            <w:webHidden/>
            <w:sz w:val="22"/>
            <w:szCs w:val="22"/>
          </w:rPr>
          <w:tab/>
        </w:r>
        <w:r w:rsidR="005E73A9" w:rsidRPr="005E73A9">
          <w:rPr>
            <w:rFonts w:ascii="Arial" w:hAnsi="Arial" w:cs="Arial"/>
            <w:noProof/>
            <w:webHidden/>
            <w:sz w:val="22"/>
            <w:szCs w:val="22"/>
          </w:rPr>
          <w:fldChar w:fldCharType="begin"/>
        </w:r>
        <w:r w:rsidR="005E73A9" w:rsidRPr="005E73A9">
          <w:rPr>
            <w:rFonts w:ascii="Arial" w:hAnsi="Arial" w:cs="Arial"/>
            <w:noProof/>
            <w:webHidden/>
            <w:sz w:val="22"/>
            <w:szCs w:val="22"/>
          </w:rPr>
          <w:instrText xml:space="preserve"> PAGEREF _Toc530045830 \h </w:instrText>
        </w:r>
        <w:r w:rsidR="005E73A9" w:rsidRPr="005E73A9">
          <w:rPr>
            <w:rFonts w:ascii="Arial" w:hAnsi="Arial" w:cs="Arial"/>
            <w:noProof/>
            <w:webHidden/>
            <w:sz w:val="22"/>
            <w:szCs w:val="22"/>
          </w:rPr>
        </w:r>
        <w:r w:rsidR="005E73A9" w:rsidRPr="005E73A9">
          <w:rPr>
            <w:rFonts w:ascii="Arial" w:hAnsi="Arial" w:cs="Arial"/>
            <w:noProof/>
            <w:webHidden/>
            <w:sz w:val="22"/>
            <w:szCs w:val="22"/>
          </w:rPr>
          <w:fldChar w:fldCharType="separate"/>
        </w:r>
        <w:r w:rsidR="005E73A9" w:rsidRPr="005E73A9">
          <w:rPr>
            <w:rFonts w:ascii="Arial" w:hAnsi="Arial" w:cs="Arial"/>
            <w:caps w:val="0"/>
            <w:noProof/>
            <w:webHidden/>
            <w:sz w:val="22"/>
            <w:szCs w:val="22"/>
          </w:rPr>
          <w:t>25</w:t>
        </w:r>
        <w:r w:rsidR="005E73A9" w:rsidRPr="005E73A9">
          <w:rPr>
            <w:rFonts w:ascii="Arial" w:hAnsi="Arial" w:cs="Arial"/>
            <w:noProof/>
            <w:webHidden/>
            <w:sz w:val="22"/>
            <w:szCs w:val="22"/>
          </w:rPr>
          <w:fldChar w:fldCharType="end"/>
        </w:r>
      </w:hyperlink>
    </w:p>
    <w:p w14:paraId="558E0851" w14:textId="18905EF0" w:rsidR="005E73A9" w:rsidRPr="005E73A9" w:rsidRDefault="00D31F30" w:rsidP="00503DBC">
      <w:pPr>
        <w:pStyle w:val="TDC2"/>
        <w:rPr>
          <w:rFonts w:eastAsiaTheme="minorEastAsia"/>
          <w:noProof/>
          <w:lang w:val="es-ES"/>
        </w:rPr>
      </w:pPr>
      <w:hyperlink w:anchor="_Toc530045831" w:history="1">
        <w:r w:rsidR="005E73A9" w:rsidRPr="005E73A9">
          <w:rPr>
            <w:rStyle w:val="Hipervnculo"/>
            <w:rFonts w:ascii="Arial" w:eastAsiaTheme="majorEastAsia" w:hAnsi="Arial" w:cs="Arial"/>
            <w:b w:val="0"/>
            <w:noProof/>
            <w:sz w:val="22"/>
            <w:szCs w:val="22"/>
          </w:rPr>
          <w:t>3.1</w:t>
        </w:r>
        <w:r w:rsidR="005E73A9" w:rsidRPr="005E73A9">
          <w:rPr>
            <w:rFonts w:eastAsiaTheme="minorEastAsia"/>
            <w:noProof/>
            <w:lang w:val="es-ES"/>
          </w:rPr>
          <w:tab/>
        </w:r>
        <w:r w:rsidR="00885848" w:rsidRPr="005E73A9">
          <w:rPr>
            <w:rStyle w:val="Hipervnculo"/>
            <w:rFonts w:ascii="Arial" w:eastAsiaTheme="majorEastAsia" w:hAnsi="Arial" w:cs="Arial"/>
            <w:b w:val="0"/>
            <w:noProof/>
            <w:sz w:val="22"/>
            <w:szCs w:val="22"/>
          </w:rPr>
          <w:t>Precios Internacionales Del Gas Natural</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_Toc530045831 \h </w:instrText>
        </w:r>
        <w:r w:rsidR="005E73A9" w:rsidRPr="005E73A9">
          <w:rPr>
            <w:noProof/>
            <w:webHidden/>
          </w:rPr>
        </w:r>
        <w:r w:rsidR="005E73A9" w:rsidRPr="005E73A9">
          <w:rPr>
            <w:noProof/>
            <w:webHidden/>
          </w:rPr>
          <w:fldChar w:fldCharType="separate"/>
        </w:r>
        <w:r w:rsidR="005E73A9" w:rsidRPr="005E73A9">
          <w:rPr>
            <w:noProof/>
            <w:webHidden/>
          </w:rPr>
          <w:t>25</w:t>
        </w:r>
        <w:r w:rsidR="005E73A9" w:rsidRPr="005E73A9">
          <w:rPr>
            <w:noProof/>
            <w:webHidden/>
          </w:rPr>
          <w:fldChar w:fldCharType="end"/>
        </w:r>
      </w:hyperlink>
    </w:p>
    <w:p w14:paraId="44E1DF92" w14:textId="38EEF77A" w:rsidR="005E73A9" w:rsidRPr="005E73A9" w:rsidRDefault="00D31F30" w:rsidP="00503DBC">
      <w:pPr>
        <w:pStyle w:val="TDC2"/>
        <w:rPr>
          <w:rFonts w:eastAsiaTheme="minorEastAsia"/>
          <w:noProof/>
          <w:lang w:val="es-ES"/>
        </w:rPr>
      </w:pPr>
      <w:hyperlink w:anchor="_Toc530045832" w:history="1">
        <w:r w:rsidR="005E73A9" w:rsidRPr="005E73A9">
          <w:rPr>
            <w:rStyle w:val="Hipervnculo"/>
            <w:rFonts w:ascii="Arial" w:eastAsiaTheme="majorEastAsia" w:hAnsi="Arial" w:cs="Arial"/>
            <w:b w:val="0"/>
            <w:noProof/>
            <w:sz w:val="22"/>
            <w:szCs w:val="22"/>
          </w:rPr>
          <w:t>3.2</w:t>
        </w:r>
        <w:r w:rsidR="005E73A9" w:rsidRPr="005E73A9">
          <w:rPr>
            <w:rFonts w:eastAsiaTheme="minorEastAsia"/>
            <w:noProof/>
            <w:lang w:val="es-ES"/>
          </w:rPr>
          <w:tab/>
        </w:r>
        <w:r w:rsidR="00885848" w:rsidRPr="005E73A9">
          <w:rPr>
            <w:rStyle w:val="Hipervnculo"/>
            <w:rFonts w:ascii="Arial" w:eastAsiaTheme="majorEastAsia" w:hAnsi="Arial" w:cs="Arial"/>
            <w:b w:val="0"/>
            <w:noProof/>
            <w:sz w:val="22"/>
            <w:szCs w:val="22"/>
          </w:rPr>
          <w:t>Oferta Mundial De Gas Natural Licuado</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_Toc530045832 \h </w:instrText>
        </w:r>
        <w:r w:rsidR="005E73A9" w:rsidRPr="005E73A9">
          <w:rPr>
            <w:noProof/>
            <w:webHidden/>
          </w:rPr>
        </w:r>
        <w:r w:rsidR="005E73A9" w:rsidRPr="005E73A9">
          <w:rPr>
            <w:noProof/>
            <w:webHidden/>
          </w:rPr>
          <w:fldChar w:fldCharType="separate"/>
        </w:r>
        <w:r w:rsidR="005E73A9" w:rsidRPr="005E73A9">
          <w:rPr>
            <w:noProof/>
            <w:webHidden/>
          </w:rPr>
          <w:t>27</w:t>
        </w:r>
        <w:r w:rsidR="005E73A9" w:rsidRPr="005E73A9">
          <w:rPr>
            <w:noProof/>
            <w:webHidden/>
          </w:rPr>
          <w:fldChar w:fldCharType="end"/>
        </w:r>
      </w:hyperlink>
    </w:p>
    <w:p w14:paraId="284ABD35" w14:textId="7E213749" w:rsidR="005E73A9" w:rsidRPr="005E73A9" w:rsidRDefault="00D31F30" w:rsidP="00503DBC">
      <w:pPr>
        <w:pStyle w:val="TDC2"/>
        <w:rPr>
          <w:rFonts w:eastAsiaTheme="minorEastAsia"/>
          <w:noProof/>
          <w:lang w:val="es-ES"/>
        </w:rPr>
      </w:pPr>
      <w:hyperlink w:anchor="_Toc530045833" w:history="1">
        <w:r w:rsidR="005E73A9" w:rsidRPr="005E73A9">
          <w:rPr>
            <w:rStyle w:val="Hipervnculo"/>
            <w:rFonts w:ascii="Arial" w:eastAsiaTheme="majorEastAsia" w:hAnsi="Arial" w:cs="Arial"/>
            <w:b w:val="0"/>
            <w:noProof/>
            <w:sz w:val="22"/>
            <w:szCs w:val="22"/>
          </w:rPr>
          <w:t>3.3</w:t>
        </w:r>
        <w:r w:rsidR="005E73A9" w:rsidRPr="005E73A9">
          <w:rPr>
            <w:rFonts w:eastAsiaTheme="minorEastAsia"/>
            <w:noProof/>
            <w:lang w:val="es-ES"/>
          </w:rPr>
          <w:tab/>
        </w:r>
        <w:r w:rsidR="00885848" w:rsidRPr="005E73A9">
          <w:rPr>
            <w:rStyle w:val="Hipervnculo"/>
            <w:rFonts w:ascii="Arial" w:eastAsiaTheme="majorEastAsia" w:hAnsi="Arial" w:cs="Arial"/>
            <w:b w:val="0"/>
            <w:noProof/>
            <w:sz w:val="22"/>
            <w:szCs w:val="22"/>
          </w:rPr>
          <w:t>Demanda Mundial De Gas Natural Licuado</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_Toc530045833 \h </w:instrText>
        </w:r>
        <w:r w:rsidR="005E73A9" w:rsidRPr="005E73A9">
          <w:rPr>
            <w:noProof/>
            <w:webHidden/>
          </w:rPr>
        </w:r>
        <w:r w:rsidR="005E73A9" w:rsidRPr="005E73A9">
          <w:rPr>
            <w:noProof/>
            <w:webHidden/>
          </w:rPr>
          <w:fldChar w:fldCharType="separate"/>
        </w:r>
        <w:r w:rsidR="005E73A9" w:rsidRPr="005E73A9">
          <w:rPr>
            <w:noProof/>
            <w:webHidden/>
          </w:rPr>
          <w:t>33</w:t>
        </w:r>
        <w:r w:rsidR="005E73A9" w:rsidRPr="005E73A9">
          <w:rPr>
            <w:noProof/>
            <w:webHidden/>
          </w:rPr>
          <w:fldChar w:fldCharType="end"/>
        </w:r>
      </w:hyperlink>
    </w:p>
    <w:p w14:paraId="56495393" w14:textId="17D0A275" w:rsidR="005E73A9" w:rsidRPr="005E73A9" w:rsidRDefault="00D31F30" w:rsidP="00503DBC">
      <w:pPr>
        <w:pStyle w:val="TDC2"/>
        <w:rPr>
          <w:rFonts w:eastAsiaTheme="minorEastAsia"/>
          <w:noProof/>
          <w:lang w:val="es-ES"/>
        </w:rPr>
      </w:pPr>
      <w:hyperlink w:anchor="_Toc530045834" w:history="1">
        <w:r w:rsidR="005E73A9" w:rsidRPr="005E73A9">
          <w:rPr>
            <w:rStyle w:val="Hipervnculo"/>
            <w:rFonts w:ascii="Arial" w:eastAsiaTheme="majorEastAsia" w:hAnsi="Arial" w:cs="Arial"/>
            <w:b w:val="0"/>
            <w:noProof/>
            <w:sz w:val="22"/>
            <w:szCs w:val="22"/>
          </w:rPr>
          <w:t>3.4</w:t>
        </w:r>
        <w:r w:rsidR="005E73A9" w:rsidRPr="005E73A9">
          <w:rPr>
            <w:rFonts w:eastAsiaTheme="minorEastAsia"/>
            <w:noProof/>
            <w:lang w:val="es-ES"/>
          </w:rPr>
          <w:tab/>
        </w:r>
        <w:r w:rsidR="00885848" w:rsidRPr="005E73A9">
          <w:rPr>
            <w:rStyle w:val="Hipervnculo"/>
            <w:rFonts w:ascii="Arial" w:eastAsiaTheme="majorEastAsia" w:hAnsi="Arial" w:cs="Arial"/>
            <w:b w:val="0"/>
            <w:noProof/>
            <w:sz w:val="22"/>
            <w:szCs w:val="22"/>
          </w:rPr>
          <w:t>Perspectivas Del Gas Natural Licuado En Colombia</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_Toc530045834 \h </w:instrText>
        </w:r>
        <w:r w:rsidR="005E73A9" w:rsidRPr="005E73A9">
          <w:rPr>
            <w:noProof/>
            <w:webHidden/>
          </w:rPr>
        </w:r>
        <w:r w:rsidR="005E73A9" w:rsidRPr="005E73A9">
          <w:rPr>
            <w:noProof/>
            <w:webHidden/>
          </w:rPr>
          <w:fldChar w:fldCharType="separate"/>
        </w:r>
        <w:r w:rsidR="005E73A9" w:rsidRPr="005E73A9">
          <w:rPr>
            <w:noProof/>
            <w:webHidden/>
          </w:rPr>
          <w:t>35</w:t>
        </w:r>
        <w:r w:rsidR="005E73A9" w:rsidRPr="005E73A9">
          <w:rPr>
            <w:noProof/>
            <w:webHidden/>
          </w:rPr>
          <w:fldChar w:fldCharType="end"/>
        </w:r>
      </w:hyperlink>
    </w:p>
    <w:p w14:paraId="56180684" w14:textId="09FFF3DE" w:rsidR="005E73A9" w:rsidRPr="005E73A9" w:rsidRDefault="00D31F30" w:rsidP="00503DBC">
      <w:pPr>
        <w:pStyle w:val="TDC2"/>
        <w:rPr>
          <w:rFonts w:eastAsiaTheme="minorEastAsia"/>
          <w:noProof/>
          <w:lang w:val="es-ES"/>
        </w:rPr>
      </w:pPr>
      <w:hyperlink w:anchor="_Toc530045835" w:history="1">
        <w:r w:rsidR="005E73A9" w:rsidRPr="005E73A9">
          <w:rPr>
            <w:rStyle w:val="Hipervnculo"/>
            <w:rFonts w:ascii="Arial" w:eastAsiaTheme="majorEastAsia" w:hAnsi="Arial" w:cs="Arial"/>
            <w:b w:val="0"/>
            <w:noProof/>
            <w:sz w:val="22"/>
            <w:szCs w:val="22"/>
          </w:rPr>
          <w:t>3.5</w:t>
        </w:r>
        <w:r w:rsidR="005E73A9" w:rsidRPr="005E73A9">
          <w:rPr>
            <w:rFonts w:eastAsiaTheme="minorEastAsia"/>
            <w:noProof/>
            <w:lang w:val="es-ES"/>
          </w:rPr>
          <w:tab/>
        </w:r>
        <w:r w:rsidR="00885848" w:rsidRPr="005E73A9">
          <w:rPr>
            <w:rStyle w:val="Hipervnculo"/>
            <w:rFonts w:ascii="Arial" w:eastAsiaTheme="majorEastAsia" w:hAnsi="Arial" w:cs="Arial"/>
            <w:b w:val="0"/>
            <w:noProof/>
            <w:sz w:val="22"/>
            <w:szCs w:val="22"/>
          </w:rPr>
          <w:t>Escenario De Importación En Colombia</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_Toc530045835 \h </w:instrText>
        </w:r>
        <w:r w:rsidR="005E73A9" w:rsidRPr="005E73A9">
          <w:rPr>
            <w:noProof/>
            <w:webHidden/>
          </w:rPr>
        </w:r>
        <w:r w:rsidR="005E73A9" w:rsidRPr="005E73A9">
          <w:rPr>
            <w:noProof/>
            <w:webHidden/>
          </w:rPr>
          <w:fldChar w:fldCharType="separate"/>
        </w:r>
        <w:r w:rsidR="005E73A9" w:rsidRPr="005E73A9">
          <w:rPr>
            <w:noProof/>
            <w:webHidden/>
          </w:rPr>
          <w:t>37</w:t>
        </w:r>
        <w:r w:rsidR="005E73A9" w:rsidRPr="005E73A9">
          <w:rPr>
            <w:noProof/>
            <w:webHidden/>
          </w:rPr>
          <w:fldChar w:fldCharType="end"/>
        </w:r>
      </w:hyperlink>
    </w:p>
    <w:p w14:paraId="72BEE72B" w14:textId="689D8846" w:rsidR="005E73A9" w:rsidRPr="005E73A9" w:rsidRDefault="00D31F30" w:rsidP="00A61687">
      <w:pPr>
        <w:pStyle w:val="TDC3"/>
        <w:tabs>
          <w:tab w:val="left" w:pos="880"/>
          <w:tab w:val="right" w:leader="dot" w:pos="9678"/>
        </w:tabs>
        <w:spacing w:before="120" w:after="120" w:line="360" w:lineRule="auto"/>
        <w:jc w:val="both"/>
        <w:rPr>
          <w:rFonts w:ascii="Arial" w:eastAsiaTheme="minorEastAsia" w:hAnsi="Arial" w:cs="Arial"/>
          <w:noProof/>
          <w:sz w:val="22"/>
          <w:szCs w:val="22"/>
          <w:lang w:val="es-ES"/>
        </w:rPr>
      </w:pPr>
      <w:hyperlink w:anchor="_Toc530045836" w:history="1">
        <w:r w:rsidR="005E73A9" w:rsidRPr="005E73A9">
          <w:rPr>
            <w:rStyle w:val="Hipervnculo"/>
            <w:rFonts w:ascii="Arial" w:eastAsiaTheme="majorEastAsia" w:hAnsi="Arial" w:cs="Arial"/>
            <w:noProof/>
            <w:sz w:val="22"/>
            <w:szCs w:val="22"/>
          </w:rPr>
          <w:t>3.5.1</w:t>
        </w:r>
        <w:r w:rsidR="005E73A9" w:rsidRPr="005E73A9">
          <w:rPr>
            <w:rFonts w:ascii="Arial" w:eastAsiaTheme="minorEastAsia" w:hAnsi="Arial" w:cs="Arial"/>
            <w:noProof/>
            <w:sz w:val="22"/>
            <w:szCs w:val="22"/>
            <w:lang w:val="es-ES"/>
          </w:rPr>
          <w:tab/>
        </w:r>
        <w:r w:rsidR="00885848" w:rsidRPr="00885848">
          <w:rPr>
            <w:rStyle w:val="Hipervnculo"/>
            <w:rFonts w:ascii="Arial" w:eastAsiaTheme="majorEastAsia" w:hAnsi="Arial" w:cs="Arial"/>
            <w:noProof/>
            <w:sz w:val="22"/>
            <w:szCs w:val="22"/>
          </w:rPr>
          <w:t>Cadena Y Costos Del Gas Natural Licuado</w:t>
        </w:r>
        <w:r w:rsidR="00885848" w:rsidRPr="005E73A9">
          <w:rPr>
            <w:rFonts w:ascii="Arial" w:hAnsi="Arial" w:cs="Arial"/>
            <w:noProof/>
            <w:webHidden/>
            <w:sz w:val="22"/>
            <w:szCs w:val="22"/>
          </w:rPr>
          <w:tab/>
        </w:r>
        <w:r w:rsidR="005E73A9" w:rsidRPr="005E73A9">
          <w:rPr>
            <w:rFonts w:ascii="Arial" w:hAnsi="Arial" w:cs="Arial"/>
            <w:noProof/>
            <w:webHidden/>
            <w:sz w:val="22"/>
            <w:szCs w:val="22"/>
          </w:rPr>
          <w:fldChar w:fldCharType="begin"/>
        </w:r>
        <w:r w:rsidR="005E73A9" w:rsidRPr="005E73A9">
          <w:rPr>
            <w:rFonts w:ascii="Arial" w:hAnsi="Arial" w:cs="Arial"/>
            <w:noProof/>
            <w:webHidden/>
            <w:sz w:val="22"/>
            <w:szCs w:val="22"/>
          </w:rPr>
          <w:instrText xml:space="preserve"> PAGEREF _Toc530045836 \h </w:instrText>
        </w:r>
        <w:r w:rsidR="005E73A9" w:rsidRPr="005E73A9">
          <w:rPr>
            <w:rFonts w:ascii="Arial" w:hAnsi="Arial" w:cs="Arial"/>
            <w:noProof/>
            <w:webHidden/>
            <w:sz w:val="22"/>
            <w:szCs w:val="22"/>
          </w:rPr>
        </w:r>
        <w:r w:rsidR="005E73A9" w:rsidRPr="005E73A9">
          <w:rPr>
            <w:rFonts w:ascii="Arial" w:hAnsi="Arial" w:cs="Arial"/>
            <w:noProof/>
            <w:webHidden/>
            <w:sz w:val="22"/>
            <w:szCs w:val="22"/>
          </w:rPr>
          <w:fldChar w:fldCharType="separate"/>
        </w:r>
        <w:r w:rsidR="005E73A9" w:rsidRPr="005E73A9">
          <w:rPr>
            <w:rFonts w:ascii="Arial" w:hAnsi="Arial" w:cs="Arial"/>
            <w:noProof/>
            <w:webHidden/>
            <w:sz w:val="22"/>
            <w:szCs w:val="22"/>
          </w:rPr>
          <w:t>39</w:t>
        </w:r>
        <w:r w:rsidR="005E73A9" w:rsidRPr="005E73A9">
          <w:rPr>
            <w:rFonts w:ascii="Arial" w:hAnsi="Arial" w:cs="Arial"/>
            <w:noProof/>
            <w:webHidden/>
            <w:sz w:val="22"/>
            <w:szCs w:val="22"/>
          </w:rPr>
          <w:fldChar w:fldCharType="end"/>
        </w:r>
      </w:hyperlink>
    </w:p>
    <w:p w14:paraId="20B74812" w14:textId="566D7F61" w:rsidR="005E73A9" w:rsidRPr="005E73A9" w:rsidRDefault="00D31F30" w:rsidP="00A61687">
      <w:pPr>
        <w:pStyle w:val="TDC1"/>
        <w:tabs>
          <w:tab w:val="left" w:pos="880"/>
          <w:tab w:val="right" w:leader="dot" w:pos="9678"/>
        </w:tabs>
        <w:spacing w:before="120" w:after="120" w:line="360" w:lineRule="auto"/>
        <w:jc w:val="both"/>
        <w:rPr>
          <w:rFonts w:ascii="Arial" w:eastAsiaTheme="minorEastAsia" w:hAnsi="Arial" w:cs="Arial"/>
          <w:b w:val="0"/>
          <w:bCs w:val="0"/>
          <w:caps w:val="0"/>
          <w:noProof/>
          <w:sz w:val="22"/>
          <w:szCs w:val="22"/>
          <w:lang w:val="es-ES"/>
        </w:rPr>
      </w:pPr>
      <w:hyperlink w:anchor="_Toc530045837" w:history="1">
        <w:r w:rsidR="005E73A9" w:rsidRPr="005E73A9">
          <w:rPr>
            <w:rStyle w:val="Hipervnculo"/>
            <w:rFonts w:ascii="Arial" w:eastAsiaTheme="majorEastAsia" w:hAnsi="Arial" w:cs="Arial"/>
            <w:b w:val="0"/>
            <w:caps w:val="0"/>
            <w:noProof/>
            <w:sz w:val="22"/>
            <w:szCs w:val="22"/>
          </w:rPr>
          <w:t></w:t>
        </w:r>
        <w:r w:rsidR="005E73A9" w:rsidRPr="005E73A9">
          <w:rPr>
            <w:rFonts w:ascii="Arial" w:eastAsiaTheme="minorEastAsia" w:hAnsi="Arial" w:cs="Arial"/>
            <w:b w:val="0"/>
            <w:bCs w:val="0"/>
            <w:caps w:val="0"/>
            <w:noProof/>
            <w:sz w:val="22"/>
            <w:szCs w:val="22"/>
            <w:lang w:val="es-ES"/>
          </w:rPr>
          <w:tab/>
        </w:r>
        <w:r w:rsidR="00885848" w:rsidRPr="005E73A9">
          <w:rPr>
            <w:rStyle w:val="Hipervnculo"/>
            <w:rFonts w:ascii="Arial" w:eastAsiaTheme="majorEastAsia" w:hAnsi="Arial" w:cs="Arial"/>
            <w:b w:val="0"/>
            <w:caps w:val="0"/>
            <w:noProof/>
            <w:sz w:val="22"/>
            <w:szCs w:val="22"/>
          </w:rPr>
          <w:t>Licuefacción</w:t>
        </w:r>
        <w:r w:rsidR="005E73A9" w:rsidRPr="005E73A9">
          <w:rPr>
            <w:rFonts w:ascii="Arial" w:hAnsi="Arial" w:cs="Arial"/>
            <w:b w:val="0"/>
            <w:caps w:val="0"/>
            <w:noProof/>
            <w:webHidden/>
            <w:sz w:val="22"/>
            <w:szCs w:val="22"/>
          </w:rPr>
          <w:tab/>
        </w:r>
        <w:r w:rsidR="005E73A9" w:rsidRPr="005E73A9">
          <w:rPr>
            <w:rFonts w:ascii="Arial" w:hAnsi="Arial" w:cs="Arial"/>
            <w:b w:val="0"/>
            <w:noProof/>
            <w:webHidden/>
            <w:sz w:val="22"/>
            <w:szCs w:val="22"/>
          </w:rPr>
          <w:fldChar w:fldCharType="begin"/>
        </w:r>
        <w:r w:rsidR="005E73A9" w:rsidRPr="005E73A9">
          <w:rPr>
            <w:rFonts w:ascii="Arial" w:hAnsi="Arial" w:cs="Arial"/>
            <w:b w:val="0"/>
            <w:noProof/>
            <w:webHidden/>
            <w:sz w:val="22"/>
            <w:szCs w:val="22"/>
          </w:rPr>
          <w:instrText xml:space="preserve"> PAGEREF _Toc530045837 \h </w:instrText>
        </w:r>
        <w:r w:rsidR="005E73A9" w:rsidRPr="005E73A9">
          <w:rPr>
            <w:rFonts w:ascii="Arial" w:hAnsi="Arial" w:cs="Arial"/>
            <w:b w:val="0"/>
            <w:noProof/>
            <w:webHidden/>
            <w:sz w:val="22"/>
            <w:szCs w:val="22"/>
          </w:rPr>
        </w:r>
        <w:r w:rsidR="005E73A9" w:rsidRPr="005E73A9">
          <w:rPr>
            <w:rFonts w:ascii="Arial" w:hAnsi="Arial" w:cs="Arial"/>
            <w:b w:val="0"/>
            <w:noProof/>
            <w:webHidden/>
            <w:sz w:val="22"/>
            <w:szCs w:val="22"/>
          </w:rPr>
          <w:fldChar w:fldCharType="separate"/>
        </w:r>
        <w:r w:rsidR="005E73A9" w:rsidRPr="005E73A9">
          <w:rPr>
            <w:rFonts w:ascii="Arial" w:hAnsi="Arial" w:cs="Arial"/>
            <w:b w:val="0"/>
            <w:caps w:val="0"/>
            <w:noProof/>
            <w:webHidden/>
            <w:sz w:val="22"/>
            <w:szCs w:val="22"/>
          </w:rPr>
          <w:t>40</w:t>
        </w:r>
        <w:r w:rsidR="005E73A9" w:rsidRPr="005E73A9">
          <w:rPr>
            <w:rFonts w:ascii="Arial" w:hAnsi="Arial" w:cs="Arial"/>
            <w:b w:val="0"/>
            <w:noProof/>
            <w:webHidden/>
            <w:sz w:val="22"/>
            <w:szCs w:val="22"/>
          </w:rPr>
          <w:fldChar w:fldCharType="end"/>
        </w:r>
      </w:hyperlink>
    </w:p>
    <w:p w14:paraId="3254A04C" w14:textId="7945355D" w:rsidR="005E73A9" w:rsidRPr="005E73A9" w:rsidRDefault="00D31F30" w:rsidP="00A61687">
      <w:pPr>
        <w:pStyle w:val="TDC1"/>
        <w:tabs>
          <w:tab w:val="left" w:pos="880"/>
          <w:tab w:val="right" w:leader="dot" w:pos="9678"/>
        </w:tabs>
        <w:spacing w:before="120" w:after="120" w:line="360" w:lineRule="auto"/>
        <w:jc w:val="both"/>
        <w:rPr>
          <w:rFonts w:ascii="Arial" w:eastAsiaTheme="minorEastAsia" w:hAnsi="Arial" w:cs="Arial"/>
          <w:b w:val="0"/>
          <w:bCs w:val="0"/>
          <w:caps w:val="0"/>
          <w:noProof/>
          <w:sz w:val="22"/>
          <w:szCs w:val="22"/>
          <w:lang w:val="es-ES"/>
        </w:rPr>
      </w:pPr>
      <w:hyperlink w:anchor="_Toc530045838" w:history="1">
        <w:r w:rsidR="005E73A9" w:rsidRPr="005E73A9">
          <w:rPr>
            <w:rStyle w:val="Hipervnculo"/>
            <w:rFonts w:ascii="Arial" w:eastAsiaTheme="majorEastAsia" w:hAnsi="Arial" w:cs="Arial"/>
            <w:b w:val="0"/>
            <w:caps w:val="0"/>
            <w:noProof/>
            <w:sz w:val="22"/>
            <w:szCs w:val="22"/>
          </w:rPr>
          <w:t></w:t>
        </w:r>
        <w:r w:rsidR="005E73A9" w:rsidRPr="005E73A9">
          <w:rPr>
            <w:rFonts w:ascii="Arial" w:eastAsiaTheme="minorEastAsia" w:hAnsi="Arial" w:cs="Arial"/>
            <w:b w:val="0"/>
            <w:bCs w:val="0"/>
            <w:caps w:val="0"/>
            <w:noProof/>
            <w:sz w:val="22"/>
            <w:szCs w:val="22"/>
            <w:lang w:val="es-ES"/>
          </w:rPr>
          <w:tab/>
        </w:r>
        <w:r w:rsidR="00885848" w:rsidRPr="005E73A9">
          <w:rPr>
            <w:rStyle w:val="Hipervnculo"/>
            <w:rFonts w:ascii="Arial" w:eastAsiaTheme="majorEastAsia" w:hAnsi="Arial" w:cs="Arial"/>
            <w:b w:val="0"/>
            <w:caps w:val="0"/>
            <w:noProof/>
            <w:sz w:val="22"/>
            <w:szCs w:val="22"/>
          </w:rPr>
          <w:t>Transporte</w:t>
        </w:r>
        <w:r w:rsidR="005E73A9" w:rsidRPr="005E73A9">
          <w:rPr>
            <w:rFonts w:ascii="Arial" w:hAnsi="Arial" w:cs="Arial"/>
            <w:b w:val="0"/>
            <w:caps w:val="0"/>
            <w:noProof/>
            <w:webHidden/>
            <w:sz w:val="22"/>
            <w:szCs w:val="22"/>
          </w:rPr>
          <w:tab/>
        </w:r>
        <w:r w:rsidR="005E73A9" w:rsidRPr="005E73A9">
          <w:rPr>
            <w:rFonts w:ascii="Arial" w:hAnsi="Arial" w:cs="Arial"/>
            <w:b w:val="0"/>
            <w:noProof/>
            <w:webHidden/>
            <w:sz w:val="22"/>
            <w:szCs w:val="22"/>
          </w:rPr>
          <w:fldChar w:fldCharType="begin"/>
        </w:r>
        <w:r w:rsidR="005E73A9" w:rsidRPr="005E73A9">
          <w:rPr>
            <w:rFonts w:ascii="Arial" w:hAnsi="Arial" w:cs="Arial"/>
            <w:b w:val="0"/>
            <w:noProof/>
            <w:webHidden/>
            <w:sz w:val="22"/>
            <w:szCs w:val="22"/>
          </w:rPr>
          <w:instrText xml:space="preserve"> PAGEREF _Toc530045838 \h </w:instrText>
        </w:r>
        <w:r w:rsidR="005E73A9" w:rsidRPr="005E73A9">
          <w:rPr>
            <w:rFonts w:ascii="Arial" w:hAnsi="Arial" w:cs="Arial"/>
            <w:b w:val="0"/>
            <w:noProof/>
            <w:webHidden/>
            <w:sz w:val="22"/>
            <w:szCs w:val="22"/>
          </w:rPr>
        </w:r>
        <w:r w:rsidR="005E73A9" w:rsidRPr="005E73A9">
          <w:rPr>
            <w:rFonts w:ascii="Arial" w:hAnsi="Arial" w:cs="Arial"/>
            <w:b w:val="0"/>
            <w:noProof/>
            <w:webHidden/>
            <w:sz w:val="22"/>
            <w:szCs w:val="22"/>
          </w:rPr>
          <w:fldChar w:fldCharType="separate"/>
        </w:r>
        <w:r w:rsidR="005E73A9" w:rsidRPr="005E73A9">
          <w:rPr>
            <w:rFonts w:ascii="Arial" w:hAnsi="Arial" w:cs="Arial"/>
            <w:b w:val="0"/>
            <w:caps w:val="0"/>
            <w:noProof/>
            <w:webHidden/>
            <w:sz w:val="22"/>
            <w:szCs w:val="22"/>
          </w:rPr>
          <w:t>40</w:t>
        </w:r>
        <w:r w:rsidR="005E73A9" w:rsidRPr="005E73A9">
          <w:rPr>
            <w:rFonts w:ascii="Arial" w:hAnsi="Arial" w:cs="Arial"/>
            <w:b w:val="0"/>
            <w:noProof/>
            <w:webHidden/>
            <w:sz w:val="22"/>
            <w:szCs w:val="22"/>
          </w:rPr>
          <w:fldChar w:fldCharType="end"/>
        </w:r>
      </w:hyperlink>
    </w:p>
    <w:p w14:paraId="73966191" w14:textId="4E26A912" w:rsidR="005E73A9" w:rsidRPr="005E73A9" w:rsidRDefault="00D31F30" w:rsidP="00A61687">
      <w:pPr>
        <w:pStyle w:val="TDC1"/>
        <w:tabs>
          <w:tab w:val="left" w:pos="880"/>
          <w:tab w:val="right" w:leader="dot" w:pos="9678"/>
        </w:tabs>
        <w:spacing w:before="120" w:after="120" w:line="360" w:lineRule="auto"/>
        <w:jc w:val="both"/>
        <w:rPr>
          <w:rFonts w:ascii="Arial" w:eastAsiaTheme="minorEastAsia" w:hAnsi="Arial" w:cs="Arial"/>
          <w:b w:val="0"/>
          <w:bCs w:val="0"/>
          <w:caps w:val="0"/>
          <w:noProof/>
          <w:sz w:val="22"/>
          <w:szCs w:val="22"/>
          <w:lang w:val="es-ES"/>
        </w:rPr>
      </w:pPr>
      <w:hyperlink w:anchor="_Toc530045839" w:history="1">
        <w:r w:rsidR="005E73A9" w:rsidRPr="005E73A9">
          <w:rPr>
            <w:rStyle w:val="Hipervnculo"/>
            <w:rFonts w:ascii="Arial" w:eastAsiaTheme="majorEastAsia" w:hAnsi="Arial" w:cs="Arial"/>
            <w:b w:val="0"/>
            <w:caps w:val="0"/>
            <w:noProof/>
            <w:sz w:val="22"/>
            <w:szCs w:val="22"/>
          </w:rPr>
          <w:t></w:t>
        </w:r>
        <w:r w:rsidR="005E73A9" w:rsidRPr="005E73A9">
          <w:rPr>
            <w:rFonts w:ascii="Arial" w:eastAsiaTheme="minorEastAsia" w:hAnsi="Arial" w:cs="Arial"/>
            <w:b w:val="0"/>
            <w:bCs w:val="0"/>
            <w:caps w:val="0"/>
            <w:noProof/>
            <w:sz w:val="22"/>
            <w:szCs w:val="22"/>
            <w:lang w:val="es-ES"/>
          </w:rPr>
          <w:tab/>
        </w:r>
        <w:r w:rsidR="00885848" w:rsidRPr="005E73A9">
          <w:rPr>
            <w:rStyle w:val="Hipervnculo"/>
            <w:rFonts w:ascii="Arial" w:eastAsiaTheme="majorEastAsia" w:hAnsi="Arial" w:cs="Arial"/>
            <w:b w:val="0"/>
            <w:caps w:val="0"/>
            <w:noProof/>
            <w:sz w:val="22"/>
            <w:szCs w:val="22"/>
          </w:rPr>
          <w:t>Costos Totales</w:t>
        </w:r>
        <w:r w:rsidR="005E73A9" w:rsidRPr="005E73A9">
          <w:rPr>
            <w:rFonts w:ascii="Arial" w:hAnsi="Arial" w:cs="Arial"/>
            <w:b w:val="0"/>
            <w:caps w:val="0"/>
            <w:noProof/>
            <w:webHidden/>
            <w:sz w:val="22"/>
            <w:szCs w:val="22"/>
          </w:rPr>
          <w:tab/>
        </w:r>
        <w:r w:rsidR="005E73A9" w:rsidRPr="005E73A9">
          <w:rPr>
            <w:rFonts w:ascii="Arial" w:hAnsi="Arial" w:cs="Arial"/>
            <w:b w:val="0"/>
            <w:noProof/>
            <w:webHidden/>
            <w:sz w:val="22"/>
            <w:szCs w:val="22"/>
          </w:rPr>
          <w:fldChar w:fldCharType="begin"/>
        </w:r>
        <w:r w:rsidR="005E73A9" w:rsidRPr="005E73A9">
          <w:rPr>
            <w:rFonts w:ascii="Arial" w:hAnsi="Arial" w:cs="Arial"/>
            <w:b w:val="0"/>
            <w:noProof/>
            <w:webHidden/>
            <w:sz w:val="22"/>
            <w:szCs w:val="22"/>
          </w:rPr>
          <w:instrText xml:space="preserve"> PAGEREF _Toc530045839 \h </w:instrText>
        </w:r>
        <w:r w:rsidR="005E73A9" w:rsidRPr="005E73A9">
          <w:rPr>
            <w:rFonts w:ascii="Arial" w:hAnsi="Arial" w:cs="Arial"/>
            <w:b w:val="0"/>
            <w:noProof/>
            <w:webHidden/>
            <w:sz w:val="22"/>
            <w:szCs w:val="22"/>
          </w:rPr>
        </w:r>
        <w:r w:rsidR="005E73A9" w:rsidRPr="005E73A9">
          <w:rPr>
            <w:rFonts w:ascii="Arial" w:hAnsi="Arial" w:cs="Arial"/>
            <w:b w:val="0"/>
            <w:noProof/>
            <w:webHidden/>
            <w:sz w:val="22"/>
            <w:szCs w:val="22"/>
          </w:rPr>
          <w:fldChar w:fldCharType="separate"/>
        </w:r>
        <w:r w:rsidR="005E73A9" w:rsidRPr="005E73A9">
          <w:rPr>
            <w:rFonts w:ascii="Arial" w:hAnsi="Arial" w:cs="Arial"/>
            <w:b w:val="0"/>
            <w:caps w:val="0"/>
            <w:noProof/>
            <w:webHidden/>
            <w:sz w:val="22"/>
            <w:szCs w:val="22"/>
          </w:rPr>
          <w:t>45</w:t>
        </w:r>
        <w:r w:rsidR="005E73A9" w:rsidRPr="005E73A9">
          <w:rPr>
            <w:rFonts w:ascii="Arial" w:hAnsi="Arial" w:cs="Arial"/>
            <w:b w:val="0"/>
            <w:noProof/>
            <w:webHidden/>
            <w:sz w:val="22"/>
            <w:szCs w:val="22"/>
          </w:rPr>
          <w:fldChar w:fldCharType="end"/>
        </w:r>
      </w:hyperlink>
    </w:p>
    <w:p w14:paraId="6B29EF55" w14:textId="3CCB665C" w:rsidR="005E73A9" w:rsidRPr="005E73A9" w:rsidRDefault="00D31F30" w:rsidP="00503DBC">
      <w:pPr>
        <w:pStyle w:val="TDC2"/>
        <w:rPr>
          <w:rFonts w:eastAsiaTheme="minorEastAsia"/>
          <w:noProof/>
          <w:lang w:val="es-ES"/>
        </w:rPr>
      </w:pPr>
      <w:hyperlink w:anchor="_Toc530045840" w:history="1">
        <w:r w:rsidR="005E73A9" w:rsidRPr="005E73A9">
          <w:rPr>
            <w:rStyle w:val="Hipervnculo"/>
            <w:rFonts w:ascii="Arial" w:eastAsiaTheme="majorEastAsia" w:hAnsi="Arial" w:cs="Arial"/>
            <w:b w:val="0"/>
            <w:noProof/>
            <w:sz w:val="22"/>
            <w:szCs w:val="22"/>
          </w:rPr>
          <w:t>3.6</w:t>
        </w:r>
        <w:r w:rsidR="005E73A9" w:rsidRPr="005E73A9">
          <w:rPr>
            <w:rFonts w:eastAsiaTheme="minorEastAsia"/>
            <w:noProof/>
            <w:lang w:val="es-ES"/>
          </w:rPr>
          <w:tab/>
        </w:r>
        <w:r w:rsidR="00885848" w:rsidRPr="005E73A9">
          <w:rPr>
            <w:rStyle w:val="Hipervnculo"/>
            <w:rFonts w:ascii="Arial" w:eastAsiaTheme="majorEastAsia" w:hAnsi="Arial" w:cs="Arial"/>
            <w:b w:val="0"/>
            <w:noProof/>
            <w:sz w:val="22"/>
            <w:szCs w:val="22"/>
          </w:rPr>
          <w:t>Precios Nacionales Del Gas Natural</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_Toc530045840 \h </w:instrText>
        </w:r>
        <w:r w:rsidR="005E73A9" w:rsidRPr="005E73A9">
          <w:rPr>
            <w:noProof/>
            <w:webHidden/>
          </w:rPr>
        </w:r>
        <w:r w:rsidR="005E73A9" w:rsidRPr="005E73A9">
          <w:rPr>
            <w:noProof/>
            <w:webHidden/>
          </w:rPr>
          <w:fldChar w:fldCharType="separate"/>
        </w:r>
        <w:r w:rsidR="005E73A9" w:rsidRPr="005E73A9">
          <w:rPr>
            <w:noProof/>
            <w:webHidden/>
          </w:rPr>
          <w:t>45</w:t>
        </w:r>
        <w:r w:rsidR="005E73A9" w:rsidRPr="005E73A9">
          <w:rPr>
            <w:noProof/>
            <w:webHidden/>
          </w:rPr>
          <w:fldChar w:fldCharType="end"/>
        </w:r>
      </w:hyperlink>
    </w:p>
    <w:p w14:paraId="42CF933A" w14:textId="663C7CED" w:rsidR="005E73A9" w:rsidRPr="005E73A9" w:rsidRDefault="00D31F30" w:rsidP="00A61687">
      <w:pPr>
        <w:pStyle w:val="TDC3"/>
        <w:tabs>
          <w:tab w:val="left" w:pos="880"/>
          <w:tab w:val="right" w:leader="dot" w:pos="9678"/>
        </w:tabs>
        <w:spacing w:before="120" w:after="120" w:line="360" w:lineRule="auto"/>
        <w:jc w:val="both"/>
        <w:rPr>
          <w:rFonts w:ascii="Arial" w:eastAsiaTheme="minorEastAsia" w:hAnsi="Arial" w:cs="Arial"/>
          <w:noProof/>
          <w:sz w:val="22"/>
          <w:szCs w:val="22"/>
          <w:lang w:val="es-ES"/>
        </w:rPr>
      </w:pPr>
      <w:hyperlink w:anchor="_Toc530045841" w:history="1">
        <w:r w:rsidR="005E73A9" w:rsidRPr="005E73A9">
          <w:rPr>
            <w:rStyle w:val="Hipervnculo"/>
            <w:rFonts w:ascii="Arial" w:eastAsiaTheme="majorEastAsia" w:hAnsi="Arial" w:cs="Arial"/>
            <w:noProof/>
            <w:sz w:val="22"/>
            <w:szCs w:val="22"/>
          </w:rPr>
          <w:t>3.6.1</w:t>
        </w:r>
        <w:r w:rsidR="005E73A9" w:rsidRPr="005E73A9">
          <w:rPr>
            <w:rFonts w:ascii="Arial" w:eastAsiaTheme="minorEastAsia" w:hAnsi="Arial" w:cs="Arial"/>
            <w:noProof/>
            <w:sz w:val="22"/>
            <w:szCs w:val="22"/>
            <w:lang w:val="es-ES"/>
          </w:rPr>
          <w:tab/>
        </w:r>
        <w:r w:rsidR="00885848" w:rsidRPr="005E73A9">
          <w:rPr>
            <w:rStyle w:val="Hipervnculo"/>
            <w:rFonts w:ascii="Arial" w:eastAsiaTheme="majorEastAsia" w:hAnsi="Arial" w:cs="Arial"/>
            <w:noProof/>
            <w:sz w:val="22"/>
            <w:szCs w:val="22"/>
          </w:rPr>
          <w:t>Supuestos Y Metodología De Proyección</w:t>
        </w:r>
        <w:r w:rsidR="005E73A9" w:rsidRPr="005E73A9">
          <w:rPr>
            <w:rFonts w:ascii="Arial" w:hAnsi="Arial" w:cs="Arial"/>
            <w:noProof/>
            <w:webHidden/>
            <w:sz w:val="22"/>
            <w:szCs w:val="22"/>
          </w:rPr>
          <w:tab/>
        </w:r>
        <w:r w:rsidR="005E73A9" w:rsidRPr="005E73A9">
          <w:rPr>
            <w:rFonts w:ascii="Arial" w:hAnsi="Arial" w:cs="Arial"/>
            <w:noProof/>
            <w:webHidden/>
            <w:sz w:val="22"/>
            <w:szCs w:val="22"/>
          </w:rPr>
          <w:fldChar w:fldCharType="begin"/>
        </w:r>
        <w:r w:rsidR="005E73A9" w:rsidRPr="005E73A9">
          <w:rPr>
            <w:rFonts w:ascii="Arial" w:hAnsi="Arial" w:cs="Arial"/>
            <w:noProof/>
            <w:webHidden/>
            <w:sz w:val="22"/>
            <w:szCs w:val="22"/>
          </w:rPr>
          <w:instrText xml:space="preserve"> PAGEREF _Toc530045841 \h </w:instrText>
        </w:r>
        <w:r w:rsidR="005E73A9" w:rsidRPr="005E73A9">
          <w:rPr>
            <w:rFonts w:ascii="Arial" w:hAnsi="Arial" w:cs="Arial"/>
            <w:noProof/>
            <w:webHidden/>
            <w:sz w:val="22"/>
            <w:szCs w:val="22"/>
          </w:rPr>
        </w:r>
        <w:r w:rsidR="005E73A9" w:rsidRPr="005E73A9">
          <w:rPr>
            <w:rFonts w:ascii="Arial" w:hAnsi="Arial" w:cs="Arial"/>
            <w:noProof/>
            <w:webHidden/>
            <w:sz w:val="22"/>
            <w:szCs w:val="22"/>
          </w:rPr>
          <w:fldChar w:fldCharType="separate"/>
        </w:r>
        <w:r w:rsidR="005E73A9" w:rsidRPr="005E73A9">
          <w:rPr>
            <w:rFonts w:ascii="Arial" w:hAnsi="Arial" w:cs="Arial"/>
            <w:noProof/>
            <w:webHidden/>
            <w:sz w:val="22"/>
            <w:szCs w:val="22"/>
          </w:rPr>
          <w:t>47</w:t>
        </w:r>
        <w:r w:rsidR="005E73A9" w:rsidRPr="005E73A9">
          <w:rPr>
            <w:rFonts w:ascii="Arial" w:hAnsi="Arial" w:cs="Arial"/>
            <w:noProof/>
            <w:webHidden/>
            <w:sz w:val="22"/>
            <w:szCs w:val="22"/>
          </w:rPr>
          <w:fldChar w:fldCharType="end"/>
        </w:r>
      </w:hyperlink>
    </w:p>
    <w:p w14:paraId="305001F2" w14:textId="1DA7CAAF" w:rsidR="005E73A9" w:rsidRPr="005E73A9" w:rsidRDefault="00D31F30" w:rsidP="00A61687">
      <w:pPr>
        <w:pStyle w:val="TDC1"/>
        <w:tabs>
          <w:tab w:val="left" w:pos="880"/>
          <w:tab w:val="right" w:leader="dot" w:pos="9678"/>
        </w:tabs>
        <w:spacing w:before="120" w:after="120" w:line="360" w:lineRule="auto"/>
        <w:jc w:val="both"/>
        <w:rPr>
          <w:rFonts w:ascii="Arial" w:eastAsiaTheme="minorEastAsia" w:hAnsi="Arial" w:cs="Arial"/>
          <w:b w:val="0"/>
          <w:bCs w:val="0"/>
          <w:caps w:val="0"/>
          <w:noProof/>
          <w:sz w:val="22"/>
          <w:szCs w:val="22"/>
          <w:lang w:val="es-ES"/>
        </w:rPr>
      </w:pPr>
      <w:hyperlink w:anchor="_Toc530045842" w:history="1">
        <w:r w:rsidR="005E73A9" w:rsidRPr="005E73A9">
          <w:rPr>
            <w:rStyle w:val="Hipervnculo"/>
            <w:rFonts w:ascii="Arial" w:eastAsiaTheme="majorEastAsia" w:hAnsi="Arial" w:cs="Arial"/>
            <w:b w:val="0"/>
            <w:caps w:val="0"/>
            <w:noProof/>
            <w:sz w:val="22"/>
            <w:szCs w:val="22"/>
          </w:rPr>
          <w:t></w:t>
        </w:r>
        <w:r w:rsidR="005E73A9" w:rsidRPr="005E73A9">
          <w:rPr>
            <w:rFonts w:ascii="Arial" w:eastAsiaTheme="minorEastAsia" w:hAnsi="Arial" w:cs="Arial"/>
            <w:b w:val="0"/>
            <w:bCs w:val="0"/>
            <w:caps w:val="0"/>
            <w:noProof/>
            <w:sz w:val="22"/>
            <w:szCs w:val="22"/>
            <w:lang w:val="es-ES"/>
          </w:rPr>
          <w:tab/>
        </w:r>
        <w:r w:rsidR="00885848" w:rsidRPr="005E73A9">
          <w:rPr>
            <w:rStyle w:val="Hipervnculo"/>
            <w:rFonts w:ascii="Arial" w:eastAsiaTheme="majorEastAsia" w:hAnsi="Arial" w:cs="Arial"/>
            <w:b w:val="0"/>
            <w:caps w:val="0"/>
            <w:noProof/>
            <w:sz w:val="22"/>
            <w:szCs w:val="22"/>
          </w:rPr>
          <w:t>Supuestos De Mercado</w:t>
        </w:r>
        <w:r w:rsidR="005E73A9" w:rsidRPr="005E73A9">
          <w:rPr>
            <w:rFonts w:ascii="Arial" w:hAnsi="Arial" w:cs="Arial"/>
            <w:b w:val="0"/>
            <w:caps w:val="0"/>
            <w:noProof/>
            <w:webHidden/>
            <w:sz w:val="22"/>
            <w:szCs w:val="22"/>
          </w:rPr>
          <w:tab/>
        </w:r>
        <w:r w:rsidR="005E73A9" w:rsidRPr="005E73A9">
          <w:rPr>
            <w:rFonts w:ascii="Arial" w:hAnsi="Arial" w:cs="Arial"/>
            <w:b w:val="0"/>
            <w:noProof/>
            <w:webHidden/>
            <w:sz w:val="22"/>
            <w:szCs w:val="22"/>
          </w:rPr>
          <w:fldChar w:fldCharType="begin"/>
        </w:r>
        <w:r w:rsidR="005E73A9" w:rsidRPr="005E73A9">
          <w:rPr>
            <w:rFonts w:ascii="Arial" w:hAnsi="Arial" w:cs="Arial"/>
            <w:b w:val="0"/>
            <w:noProof/>
            <w:webHidden/>
            <w:sz w:val="22"/>
            <w:szCs w:val="22"/>
          </w:rPr>
          <w:instrText xml:space="preserve"> PAGEREF _Toc530045842 \h </w:instrText>
        </w:r>
        <w:r w:rsidR="005E73A9" w:rsidRPr="005E73A9">
          <w:rPr>
            <w:rFonts w:ascii="Arial" w:hAnsi="Arial" w:cs="Arial"/>
            <w:b w:val="0"/>
            <w:noProof/>
            <w:webHidden/>
            <w:sz w:val="22"/>
            <w:szCs w:val="22"/>
          </w:rPr>
        </w:r>
        <w:r w:rsidR="005E73A9" w:rsidRPr="005E73A9">
          <w:rPr>
            <w:rFonts w:ascii="Arial" w:hAnsi="Arial" w:cs="Arial"/>
            <w:b w:val="0"/>
            <w:noProof/>
            <w:webHidden/>
            <w:sz w:val="22"/>
            <w:szCs w:val="22"/>
          </w:rPr>
          <w:fldChar w:fldCharType="separate"/>
        </w:r>
        <w:r w:rsidR="005E73A9" w:rsidRPr="005E73A9">
          <w:rPr>
            <w:rFonts w:ascii="Arial" w:hAnsi="Arial" w:cs="Arial"/>
            <w:b w:val="0"/>
            <w:caps w:val="0"/>
            <w:noProof/>
            <w:webHidden/>
            <w:sz w:val="22"/>
            <w:szCs w:val="22"/>
          </w:rPr>
          <w:t>47</w:t>
        </w:r>
        <w:r w:rsidR="005E73A9" w:rsidRPr="005E73A9">
          <w:rPr>
            <w:rFonts w:ascii="Arial" w:hAnsi="Arial" w:cs="Arial"/>
            <w:b w:val="0"/>
            <w:noProof/>
            <w:webHidden/>
            <w:sz w:val="22"/>
            <w:szCs w:val="22"/>
          </w:rPr>
          <w:fldChar w:fldCharType="end"/>
        </w:r>
      </w:hyperlink>
    </w:p>
    <w:p w14:paraId="08676DA5" w14:textId="22AD0471" w:rsidR="005E73A9" w:rsidRPr="005E73A9" w:rsidRDefault="00D31F30" w:rsidP="00A61687">
      <w:pPr>
        <w:pStyle w:val="TDC1"/>
        <w:tabs>
          <w:tab w:val="left" w:pos="880"/>
          <w:tab w:val="right" w:leader="dot" w:pos="9678"/>
        </w:tabs>
        <w:spacing w:before="120" w:after="120" w:line="360" w:lineRule="auto"/>
        <w:jc w:val="both"/>
        <w:rPr>
          <w:rFonts w:ascii="Arial" w:eastAsiaTheme="minorEastAsia" w:hAnsi="Arial" w:cs="Arial"/>
          <w:b w:val="0"/>
          <w:bCs w:val="0"/>
          <w:caps w:val="0"/>
          <w:noProof/>
          <w:sz w:val="22"/>
          <w:szCs w:val="22"/>
          <w:lang w:val="es-ES"/>
        </w:rPr>
      </w:pPr>
      <w:hyperlink w:anchor="_Toc530045843" w:history="1">
        <w:r w:rsidR="005E73A9" w:rsidRPr="005E73A9">
          <w:rPr>
            <w:rStyle w:val="Hipervnculo"/>
            <w:rFonts w:ascii="Arial" w:eastAsiaTheme="majorEastAsia" w:hAnsi="Arial" w:cs="Arial"/>
            <w:b w:val="0"/>
            <w:caps w:val="0"/>
            <w:noProof/>
            <w:sz w:val="22"/>
            <w:szCs w:val="22"/>
          </w:rPr>
          <w:t></w:t>
        </w:r>
        <w:r w:rsidR="005E73A9" w:rsidRPr="005E73A9">
          <w:rPr>
            <w:rFonts w:ascii="Arial" w:eastAsiaTheme="minorEastAsia" w:hAnsi="Arial" w:cs="Arial"/>
            <w:b w:val="0"/>
            <w:bCs w:val="0"/>
            <w:caps w:val="0"/>
            <w:noProof/>
            <w:sz w:val="22"/>
            <w:szCs w:val="22"/>
            <w:lang w:val="es-ES"/>
          </w:rPr>
          <w:tab/>
        </w:r>
        <w:r w:rsidR="00885848" w:rsidRPr="005E73A9">
          <w:rPr>
            <w:rStyle w:val="Hipervnculo"/>
            <w:rFonts w:ascii="Arial" w:eastAsiaTheme="majorEastAsia" w:hAnsi="Arial" w:cs="Arial"/>
            <w:b w:val="0"/>
            <w:caps w:val="0"/>
            <w:noProof/>
            <w:sz w:val="22"/>
            <w:szCs w:val="22"/>
          </w:rPr>
          <w:t>Supuestos De Precios</w:t>
        </w:r>
        <w:r w:rsidR="005E73A9" w:rsidRPr="005E73A9">
          <w:rPr>
            <w:rFonts w:ascii="Arial" w:hAnsi="Arial" w:cs="Arial"/>
            <w:b w:val="0"/>
            <w:caps w:val="0"/>
            <w:noProof/>
            <w:webHidden/>
            <w:sz w:val="22"/>
            <w:szCs w:val="22"/>
          </w:rPr>
          <w:tab/>
        </w:r>
        <w:r w:rsidR="005E73A9" w:rsidRPr="005E73A9">
          <w:rPr>
            <w:rFonts w:ascii="Arial" w:hAnsi="Arial" w:cs="Arial"/>
            <w:b w:val="0"/>
            <w:noProof/>
            <w:webHidden/>
            <w:sz w:val="22"/>
            <w:szCs w:val="22"/>
          </w:rPr>
          <w:fldChar w:fldCharType="begin"/>
        </w:r>
        <w:r w:rsidR="005E73A9" w:rsidRPr="005E73A9">
          <w:rPr>
            <w:rFonts w:ascii="Arial" w:hAnsi="Arial" w:cs="Arial"/>
            <w:b w:val="0"/>
            <w:noProof/>
            <w:webHidden/>
            <w:sz w:val="22"/>
            <w:szCs w:val="22"/>
          </w:rPr>
          <w:instrText xml:space="preserve"> PAGEREF _Toc530045843 \h </w:instrText>
        </w:r>
        <w:r w:rsidR="005E73A9" w:rsidRPr="005E73A9">
          <w:rPr>
            <w:rFonts w:ascii="Arial" w:hAnsi="Arial" w:cs="Arial"/>
            <w:b w:val="0"/>
            <w:noProof/>
            <w:webHidden/>
            <w:sz w:val="22"/>
            <w:szCs w:val="22"/>
          </w:rPr>
        </w:r>
        <w:r w:rsidR="005E73A9" w:rsidRPr="005E73A9">
          <w:rPr>
            <w:rFonts w:ascii="Arial" w:hAnsi="Arial" w:cs="Arial"/>
            <w:b w:val="0"/>
            <w:noProof/>
            <w:webHidden/>
            <w:sz w:val="22"/>
            <w:szCs w:val="22"/>
          </w:rPr>
          <w:fldChar w:fldCharType="separate"/>
        </w:r>
        <w:r w:rsidR="005E73A9" w:rsidRPr="005E73A9">
          <w:rPr>
            <w:rFonts w:ascii="Arial" w:hAnsi="Arial" w:cs="Arial"/>
            <w:b w:val="0"/>
            <w:caps w:val="0"/>
            <w:noProof/>
            <w:webHidden/>
            <w:sz w:val="22"/>
            <w:szCs w:val="22"/>
          </w:rPr>
          <w:t>47</w:t>
        </w:r>
        <w:r w:rsidR="005E73A9" w:rsidRPr="005E73A9">
          <w:rPr>
            <w:rFonts w:ascii="Arial" w:hAnsi="Arial" w:cs="Arial"/>
            <w:b w:val="0"/>
            <w:noProof/>
            <w:webHidden/>
            <w:sz w:val="22"/>
            <w:szCs w:val="22"/>
          </w:rPr>
          <w:fldChar w:fldCharType="end"/>
        </w:r>
      </w:hyperlink>
    </w:p>
    <w:p w14:paraId="02E6066C" w14:textId="2BDEDBAE" w:rsidR="005E73A9" w:rsidRPr="005E73A9" w:rsidRDefault="00D31F30" w:rsidP="00A61687">
      <w:pPr>
        <w:pStyle w:val="TDC1"/>
        <w:tabs>
          <w:tab w:val="left" w:pos="880"/>
          <w:tab w:val="right" w:leader="dot" w:pos="9678"/>
        </w:tabs>
        <w:spacing w:before="120" w:after="120" w:line="360" w:lineRule="auto"/>
        <w:jc w:val="both"/>
        <w:rPr>
          <w:rFonts w:ascii="Arial" w:eastAsiaTheme="minorEastAsia" w:hAnsi="Arial" w:cs="Arial"/>
          <w:b w:val="0"/>
          <w:bCs w:val="0"/>
          <w:caps w:val="0"/>
          <w:noProof/>
          <w:sz w:val="22"/>
          <w:szCs w:val="22"/>
          <w:lang w:val="es-ES"/>
        </w:rPr>
      </w:pPr>
      <w:hyperlink w:anchor="_Toc530045844" w:history="1">
        <w:r w:rsidR="005E73A9" w:rsidRPr="005E73A9">
          <w:rPr>
            <w:rStyle w:val="Hipervnculo"/>
            <w:rFonts w:ascii="Arial" w:eastAsiaTheme="majorEastAsia" w:hAnsi="Arial" w:cs="Arial"/>
            <w:b w:val="0"/>
            <w:caps w:val="0"/>
            <w:noProof/>
            <w:sz w:val="22"/>
            <w:szCs w:val="22"/>
          </w:rPr>
          <w:t></w:t>
        </w:r>
        <w:r w:rsidR="005E73A9" w:rsidRPr="005E73A9">
          <w:rPr>
            <w:rFonts w:ascii="Arial" w:eastAsiaTheme="minorEastAsia" w:hAnsi="Arial" w:cs="Arial"/>
            <w:b w:val="0"/>
            <w:bCs w:val="0"/>
            <w:caps w:val="0"/>
            <w:noProof/>
            <w:sz w:val="22"/>
            <w:szCs w:val="22"/>
            <w:lang w:val="es-ES"/>
          </w:rPr>
          <w:tab/>
        </w:r>
        <w:r w:rsidR="00885848" w:rsidRPr="005E73A9">
          <w:rPr>
            <w:rStyle w:val="Hipervnculo"/>
            <w:rFonts w:ascii="Arial" w:eastAsiaTheme="majorEastAsia" w:hAnsi="Arial" w:cs="Arial"/>
            <w:b w:val="0"/>
            <w:caps w:val="0"/>
            <w:noProof/>
            <w:sz w:val="22"/>
            <w:szCs w:val="22"/>
          </w:rPr>
          <w:t>S</w:t>
        </w:r>
        <w:r w:rsidR="00885848" w:rsidRPr="00885848">
          <w:rPr>
            <w:rStyle w:val="Hipervnculo"/>
            <w:rFonts w:ascii="Arial" w:eastAsiaTheme="majorEastAsia" w:hAnsi="Arial" w:cs="Arial"/>
            <w:b w:val="0"/>
            <w:caps w:val="0"/>
            <w:noProof/>
            <w:sz w:val="22"/>
            <w:szCs w:val="22"/>
          </w:rPr>
          <w:t>upuestos De Escenarios</w:t>
        </w:r>
        <w:r w:rsidR="00885848" w:rsidRPr="005E73A9">
          <w:rPr>
            <w:rFonts w:ascii="Arial" w:hAnsi="Arial" w:cs="Arial"/>
            <w:b w:val="0"/>
            <w:caps w:val="0"/>
            <w:noProof/>
            <w:webHidden/>
            <w:sz w:val="22"/>
            <w:szCs w:val="22"/>
          </w:rPr>
          <w:tab/>
        </w:r>
        <w:r w:rsidR="005E73A9" w:rsidRPr="005E73A9">
          <w:rPr>
            <w:rFonts w:ascii="Arial" w:hAnsi="Arial" w:cs="Arial"/>
            <w:b w:val="0"/>
            <w:noProof/>
            <w:webHidden/>
            <w:sz w:val="22"/>
            <w:szCs w:val="22"/>
          </w:rPr>
          <w:fldChar w:fldCharType="begin"/>
        </w:r>
        <w:r w:rsidR="005E73A9" w:rsidRPr="005E73A9">
          <w:rPr>
            <w:rFonts w:ascii="Arial" w:hAnsi="Arial" w:cs="Arial"/>
            <w:b w:val="0"/>
            <w:noProof/>
            <w:webHidden/>
            <w:sz w:val="22"/>
            <w:szCs w:val="22"/>
          </w:rPr>
          <w:instrText xml:space="preserve"> PAGEREF _Toc530045844 \h </w:instrText>
        </w:r>
        <w:r w:rsidR="005E73A9" w:rsidRPr="005E73A9">
          <w:rPr>
            <w:rFonts w:ascii="Arial" w:hAnsi="Arial" w:cs="Arial"/>
            <w:b w:val="0"/>
            <w:noProof/>
            <w:webHidden/>
            <w:sz w:val="22"/>
            <w:szCs w:val="22"/>
          </w:rPr>
        </w:r>
        <w:r w:rsidR="005E73A9" w:rsidRPr="005E73A9">
          <w:rPr>
            <w:rFonts w:ascii="Arial" w:hAnsi="Arial" w:cs="Arial"/>
            <w:b w:val="0"/>
            <w:noProof/>
            <w:webHidden/>
            <w:sz w:val="22"/>
            <w:szCs w:val="22"/>
          </w:rPr>
          <w:fldChar w:fldCharType="separate"/>
        </w:r>
        <w:r w:rsidR="005E73A9" w:rsidRPr="005E73A9">
          <w:rPr>
            <w:rFonts w:ascii="Arial" w:hAnsi="Arial" w:cs="Arial"/>
            <w:b w:val="0"/>
            <w:caps w:val="0"/>
            <w:noProof/>
            <w:webHidden/>
            <w:sz w:val="22"/>
            <w:szCs w:val="22"/>
          </w:rPr>
          <w:t>48</w:t>
        </w:r>
        <w:r w:rsidR="005E73A9" w:rsidRPr="005E73A9">
          <w:rPr>
            <w:rFonts w:ascii="Arial" w:hAnsi="Arial" w:cs="Arial"/>
            <w:b w:val="0"/>
            <w:noProof/>
            <w:webHidden/>
            <w:sz w:val="22"/>
            <w:szCs w:val="22"/>
          </w:rPr>
          <w:fldChar w:fldCharType="end"/>
        </w:r>
      </w:hyperlink>
    </w:p>
    <w:p w14:paraId="4D91088B" w14:textId="599454CE" w:rsidR="005E73A9" w:rsidRPr="005E73A9" w:rsidRDefault="00D31F30" w:rsidP="00A61687">
      <w:pPr>
        <w:pStyle w:val="TDC3"/>
        <w:tabs>
          <w:tab w:val="left" w:pos="880"/>
          <w:tab w:val="right" w:leader="dot" w:pos="9678"/>
        </w:tabs>
        <w:spacing w:before="120" w:after="120" w:line="360" w:lineRule="auto"/>
        <w:jc w:val="both"/>
        <w:rPr>
          <w:rFonts w:ascii="Arial" w:eastAsiaTheme="minorEastAsia" w:hAnsi="Arial" w:cs="Arial"/>
          <w:noProof/>
          <w:sz w:val="22"/>
          <w:szCs w:val="22"/>
          <w:lang w:val="es-ES"/>
        </w:rPr>
      </w:pPr>
      <w:hyperlink w:anchor="_Toc530045845" w:history="1">
        <w:r w:rsidR="00885848" w:rsidRPr="005E73A9">
          <w:rPr>
            <w:rStyle w:val="Hipervnculo"/>
            <w:rFonts w:ascii="Arial" w:eastAsiaTheme="majorEastAsia" w:hAnsi="Arial" w:cs="Arial"/>
            <w:noProof/>
            <w:sz w:val="22"/>
            <w:szCs w:val="22"/>
          </w:rPr>
          <w:t>3.6.2</w:t>
        </w:r>
        <w:r w:rsidR="00885848" w:rsidRPr="005E73A9">
          <w:rPr>
            <w:rFonts w:ascii="Arial" w:eastAsiaTheme="minorEastAsia" w:hAnsi="Arial" w:cs="Arial"/>
            <w:noProof/>
            <w:sz w:val="22"/>
            <w:szCs w:val="22"/>
            <w:lang w:val="es-ES"/>
          </w:rPr>
          <w:tab/>
        </w:r>
        <w:r w:rsidR="00885848" w:rsidRPr="005E73A9">
          <w:rPr>
            <w:rStyle w:val="Hipervnculo"/>
            <w:rFonts w:ascii="Arial" w:eastAsiaTheme="majorEastAsia" w:hAnsi="Arial" w:cs="Arial"/>
            <w:noProof/>
            <w:sz w:val="22"/>
            <w:szCs w:val="22"/>
          </w:rPr>
          <w:t>Precios Del Gas Natural (2017 – 2040)</w:t>
        </w:r>
        <w:r w:rsidR="00885848" w:rsidRPr="005E73A9">
          <w:rPr>
            <w:rFonts w:ascii="Arial" w:hAnsi="Arial" w:cs="Arial"/>
            <w:noProof/>
            <w:webHidden/>
            <w:sz w:val="22"/>
            <w:szCs w:val="22"/>
          </w:rPr>
          <w:tab/>
        </w:r>
        <w:r w:rsidR="005E73A9" w:rsidRPr="005E73A9">
          <w:rPr>
            <w:rFonts w:ascii="Arial" w:hAnsi="Arial" w:cs="Arial"/>
            <w:noProof/>
            <w:webHidden/>
            <w:sz w:val="22"/>
            <w:szCs w:val="22"/>
          </w:rPr>
          <w:fldChar w:fldCharType="begin"/>
        </w:r>
        <w:r w:rsidR="005E73A9" w:rsidRPr="005E73A9">
          <w:rPr>
            <w:rFonts w:ascii="Arial" w:hAnsi="Arial" w:cs="Arial"/>
            <w:noProof/>
            <w:webHidden/>
            <w:sz w:val="22"/>
            <w:szCs w:val="22"/>
          </w:rPr>
          <w:instrText xml:space="preserve"> PAGEREF _Toc530045845 \h </w:instrText>
        </w:r>
        <w:r w:rsidR="005E73A9" w:rsidRPr="005E73A9">
          <w:rPr>
            <w:rFonts w:ascii="Arial" w:hAnsi="Arial" w:cs="Arial"/>
            <w:noProof/>
            <w:webHidden/>
            <w:sz w:val="22"/>
            <w:szCs w:val="22"/>
          </w:rPr>
        </w:r>
        <w:r w:rsidR="005E73A9" w:rsidRPr="005E73A9">
          <w:rPr>
            <w:rFonts w:ascii="Arial" w:hAnsi="Arial" w:cs="Arial"/>
            <w:noProof/>
            <w:webHidden/>
            <w:sz w:val="22"/>
            <w:szCs w:val="22"/>
          </w:rPr>
          <w:fldChar w:fldCharType="separate"/>
        </w:r>
        <w:r w:rsidR="00885848" w:rsidRPr="005E73A9">
          <w:rPr>
            <w:rFonts w:ascii="Arial" w:hAnsi="Arial" w:cs="Arial"/>
            <w:noProof/>
            <w:webHidden/>
            <w:sz w:val="22"/>
            <w:szCs w:val="22"/>
          </w:rPr>
          <w:t>49</w:t>
        </w:r>
        <w:r w:rsidR="005E73A9" w:rsidRPr="005E73A9">
          <w:rPr>
            <w:rFonts w:ascii="Arial" w:hAnsi="Arial" w:cs="Arial"/>
            <w:noProof/>
            <w:webHidden/>
            <w:sz w:val="22"/>
            <w:szCs w:val="22"/>
          </w:rPr>
          <w:fldChar w:fldCharType="end"/>
        </w:r>
      </w:hyperlink>
    </w:p>
    <w:p w14:paraId="500195E3" w14:textId="7F3677F3" w:rsidR="005E73A9" w:rsidRPr="005E73A9" w:rsidRDefault="00D31F30" w:rsidP="00503DBC">
      <w:pPr>
        <w:pStyle w:val="TDC2"/>
        <w:rPr>
          <w:rFonts w:eastAsiaTheme="minorEastAsia"/>
          <w:noProof/>
          <w:lang w:val="es-ES"/>
        </w:rPr>
      </w:pPr>
      <w:hyperlink w:anchor="_Toc530045846" w:history="1">
        <w:r w:rsidR="005E73A9" w:rsidRPr="005E73A9">
          <w:rPr>
            <w:rStyle w:val="Hipervnculo"/>
            <w:rFonts w:ascii="Arial" w:eastAsiaTheme="majorEastAsia" w:hAnsi="Arial" w:cs="Arial"/>
            <w:b w:val="0"/>
            <w:noProof/>
            <w:sz w:val="22"/>
            <w:szCs w:val="22"/>
          </w:rPr>
          <w:t>3.7</w:t>
        </w:r>
        <w:r w:rsidR="005E73A9" w:rsidRPr="005E73A9">
          <w:rPr>
            <w:rFonts w:eastAsiaTheme="minorEastAsia"/>
            <w:noProof/>
            <w:lang w:val="es-ES"/>
          </w:rPr>
          <w:tab/>
        </w:r>
        <w:r w:rsidR="00885848" w:rsidRPr="005E73A9">
          <w:rPr>
            <w:rStyle w:val="Hipervnculo"/>
            <w:rFonts w:ascii="Arial" w:eastAsiaTheme="majorEastAsia" w:hAnsi="Arial" w:cs="Arial"/>
            <w:b w:val="0"/>
            <w:noProof/>
            <w:sz w:val="22"/>
            <w:szCs w:val="22"/>
          </w:rPr>
          <w:t>Tarifas De Transporte Por Gasoducto</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_Toc530045846 \h </w:instrText>
        </w:r>
        <w:r w:rsidR="005E73A9" w:rsidRPr="005E73A9">
          <w:rPr>
            <w:noProof/>
            <w:webHidden/>
          </w:rPr>
        </w:r>
        <w:r w:rsidR="005E73A9" w:rsidRPr="005E73A9">
          <w:rPr>
            <w:noProof/>
            <w:webHidden/>
          </w:rPr>
          <w:fldChar w:fldCharType="separate"/>
        </w:r>
        <w:r w:rsidR="005E73A9" w:rsidRPr="005E73A9">
          <w:rPr>
            <w:noProof/>
            <w:webHidden/>
          </w:rPr>
          <w:t>51</w:t>
        </w:r>
        <w:r w:rsidR="005E73A9" w:rsidRPr="005E73A9">
          <w:rPr>
            <w:noProof/>
            <w:webHidden/>
          </w:rPr>
          <w:fldChar w:fldCharType="end"/>
        </w:r>
      </w:hyperlink>
    </w:p>
    <w:p w14:paraId="67E00AB1" w14:textId="32591243" w:rsidR="005E73A9" w:rsidRPr="005E73A9" w:rsidRDefault="00D31F30" w:rsidP="00503DBC">
      <w:pPr>
        <w:pStyle w:val="TDC2"/>
        <w:rPr>
          <w:rFonts w:eastAsiaTheme="minorEastAsia"/>
          <w:noProof/>
          <w:lang w:val="es-ES"/>
        </w:rPr>
      </w:pPr>
      <w:hyperlink w:anchor="_Toc530045847" w:history="1">
        <w:r w:rsidR="005E73A9" w:rsidRPr="005E73A9">
          <w:rPr>
            <w:rStyle w:val="Hipervnculo"/>
            <w:rFonts w:ascii="Arial" w:eastAsiaTheme="majorEastAsia" w:hAnsi="Arial" w:cs="Arial"/>
            <w:b w:val="0"/>
            <w:noProof/>
            <w:sz w:val="22"/>
            <w:szCs w:val="22"/>
          </w:rPr>
          <w:t>3.8</w:t>
        </w:r>
        <w:r w:rsidR="005E73A9" w:rsidRPr="005E73A9">
          <w:rPr>
            <w:rFonts w:eastAsiaTheme="minorEastAsia"/>
            <w:noProof/>
            <w:lang w:val="es-ES"/>
          </w:rPr>
          <w:tab/>
        </w:r>
        <w:r w:rsidR="00885848" w:rsidRPr="005E73A9">
          <w:rPr>
            <w:rStyle w:val="Hipervnculo"/>
            <w:rFonts w:ascii="Arial" w:eastAsiaTheme="majorEastAsia" w:hAnsi="Arial" w:cs="Arial"/>
            <w:b w:val="0"/>
            <w:noProof/>
            <w:sz w:val="22"/>
            <w:szCs w:val="22"/>
          </w:rPr>
          <w:t>Precio Del Gas Natural En Térmicas</w:t>
        </w:r>
        <w:r w:rsidR="005E73A9" w:rsidRPr="005E73A9">
          <w:rPr>
            <w:noProof/>
            <w:webHidden/>
          </w:rPr>
          <w:tab/>
        </w:r>
        <w:r w:rsidR="005E73A9" w:rsidRPr="005E73A9">
          <w:rPr>
            <w:noProof/>
            <w:webHidden/>
          </w:rPr>
          <w:fldChar w:fldCharType="begin"/>
        </w:r>
        <w:r w:rsidR="005E73A9" w:rsidRPr="005E73A9">
          <w:rPr>
            <w:noProof/>
            <w:webHidden/>
          </w:rPr>
          <w:instrText xml:space="preserve"> PAGEREF _Toc530045847 \h </w:instrText>
        </w:r>
        <w:r w:rsidR="005E73A9" w:rsidRPr="005E73A9">
          <w:rPr>
            <w:noProof/>
            <w:webHidden/>
          </w:rPr>
        </w:r>
        <w:r w:rsidR="005E73A9" w:rsidRPr="005E73A9">
          <w:rPr>
            <w:noProof/>
            <w:webHidden/>
          </w:rPr>
          <w:fldChar w:fldCharType="separate"/>
        </w:r>
        <w:r w:rsidR="005E73A9" w:rsidRPr="005E73A9">
          <w:rPr>
            <w:noProof/>
            <w:webHidden/>
          </w:rPr>
          <w:t>51</w:t>
        </w:r>
        <w:r w:rsidR="005E73A9" w:rsidRPr="005E73A9">
          <w:rPr>
            <w:noProof/>
            <w:webHidden/>
          </w:rPr>
          <w:fldChar w:fldCharType="end"/>
        </w:r>
      </w:hyperlink>
    </w:p>
    <w:p w14:paraId="1907115A" w14:textId="0887EE29" w:rsidR="005E73A9" w:rsidRPr="005E73A9" w:rsidRDefault="00D31F30" w:rsidP="00A61687">
      <w:pPr>
        <w:pStyle w:val="TDC1"/>
        <w:tabs>
          <w:tab w:val="left" w:pos="880"/>
          <w:tab w:val="right" w:leader="dot" w:pos="9678"/>
        </w:tabs>
        <w:spacing w:before="120" w:after="120" w:line="360" w:lineRule="auto"/>
        <w:jc w:val="both"/>
        <w:rPr>
          <w:rFonts w:ascii="Arial" w:eastAsiaTheme="minorEastAsia" w:hAnsi="Arial" w:cs="Arial"/>
          <w:b w:val="0"/>
          <w:bCs w:val="0"/>
          <w:caps w:val="0"/>
          <w:noProof/>
          <w:sz w:val="22"/>
          <w:szCs w:val="22"/>
          <w:lang w:val="es-ES"/>
        </w:rPr>
      </w:pPr>
      <w:hyperlink w:anchor="_Toc530045848" w:history="1">
        <w:r w:rsidR="005E73A9" w:rsidRPr="005E73A9">
          <w:rPr>
            <w:rStyle w:val="Hipervnculo"/>
            <w:rFonts w:ascii="Arial" w:eastAsiaTheme="majorEastAsia" w:hAnsi="Arial" w:cs="Arial"/>
            <w:b w:val="0"/>
            <w:caps w:val="0"/>
            <w:noProof/>
            <w:sz w:val="22"/>
            <w:szCs w:val="22"/>
          </w:rPr>
          <w:t>4</w:t>
        </w:r>
        <w:r w:rsidR="005E73A9" w:rsidRPr="005E73A9">
          <w:rPr>
            <w:rFonts w:ascii="Arial" w:eastAsiaTheme="minorEastAsia" w:hAnsi="Arial" w:cs="Arial"/>
            <w:b w:val="0"/>
            <w:bCs w:val="0"/>
            <w:caps w:val="0"/>
            <w:noProof/>
            <w:sz w:val="22"/>
            <w:szCs w:val="22"/>
            <w:lang w:val="es-ES"/>
          </w:rPr>
          <w:tab/>
        </w:r>
        <w:r w:rsidR="005E73A9" w:rsidRPr="005E73A9">
          <w:rPr>
            <w:rStyle w:val="Hipervnculo"/>
            <w:rFonts w:ascii="Arial" w:eastAsiaTheme="majorEastAsia" w:hAnsi="Arial" w:cs="Arial"/>
            <w:caps w:val="0"/>
            <w:noProof/>
            <w:sz w:val="22"/>
            <w:szCs w:val="22"/>
          </w:rPr>
          <w:t>JET FUEL</w:t>
        </w:r>
        <w:r w:rsidR="005E73A9" w:rsidRPr="005E73A9">
          <w:rPr>
            <w:rFonts w:ascii="Arial" w:hAnsi="Arial" w:cs="Arial"/>
            <w:caps w:val="0"/>
            <w:noProof/>
            <w:webHidden/>
            <w:sz w:val="22"/>
            <w:szCs w:val="22"/>
          </w:rPr>
          <w:tab/>
        </w:r>
        <w:r w:rsidR="005E73A9" w:rsidRPr="005E73A9">
          <w:rPr>
            <w:rFonts w:ascii="Arial" w:hAnsi="Arial" w:cs="Arial"/>
            <w:noProof/>
            <w:webHidden/>
            <w:sz w:val="22"/>
            <w:szCs w:val="22"/>
          </w:rPr>
          <w:fldChar w:fldCharType="begin"/>
        </w:r>
        <w:r w:rsidR="005E73A9" w:rsidRPr="005E73A9">
          <w:rPr>
            <w:rFonts w:ascii="Arial" w:hAnsi="Arial" w:cs="Arial"/>
            <w:noProof/>
            <w:webHidden/>
            <w:sz w:val="22"/>
            <w:szCs w:val="22"/>
          </w:rPr>
          <w:instrText xml:space="preserve"> PAGEREF _Toc530045848 \h </w:instrText>
        </w:r>
        <w:r w:rsidR="005E73A9" w:rsidRPr="005E73A9">
          <w:rPr>
            <w:rFonts w:ascii="Arial" w:hAnsi="Arial" w:cs="Arial"/>
            <w:noProof/>
            <w:webHidden/>
            <w:sz w:val="22"/>
            <w:szCs w:val="22"/>
          </w:rPr>
        </w:r>
        <w:r w:rsidR="005E73A9" w:rsidRPr="005E73A9">
          <w:rPr>
            <w:rFonts w:ascii="Arial" w:hAnsi="Arial" w:cs="Arial"/>
            <w:noProof/>
            <w:webHidden/>
            <w:sz w:val="22"/>
            <w:szCs w:val="22"/>
          </w:rPr>
          <w:fldChar w:fldCharType="separate"/>
        </w:r>
        <w:r w:rsidR="005E73A9" w:rsidRPr="005E73A9">
          <w:rPr>
            <w:rFonts w:ascii="Arial" w:hAnsi="Arial" w:cs="Arial"/>
            <w:caps w:val="0"/>
            <w:noProof/>
            <w:webHidden/>
            <w:sz w:val="22"/>
            <w:szCs w:val="22"/>
          </w:rPr>
          <w:t>54</w:t>
        </w:r>
        <w:r w:rsidR="005E73A9" w:rsidRPr="005E73A9">
          <w:rPr>
            <w:rFonts w:ascii="Arial" w:hAnsi="Arial" w:cs="Arial"/>
            <w:noProof/>
            <w:webHidden/>
            <w:sz w:val="22"/>
            <w:szCs w:val="22"/>
          </w:rPr>
          <w:fldChar w:fldCharType="end"/>
        </w:r>
      </w:hyperlink>
    </w:p>
    <w:p w14:paraId="3F31767F" w14:textId="46A864F1" w:rsidR="005E73A9" w:rsidRPr="005E73A9" w:rsidRDefault="00D31F30" w:rsidP="00A61687">
      <w:pPr>
        <w:pStyle w:val="TDC1"/>
        <w:tabs>
          <w:tab w:val="left" w:pos="880"/>
          <w:tab w:val="right" w:leader="dot" w:pos="9678"/>
        </w:tabs>
        <w:spacing w:before="120" w:after="120" w:line="360" w:lineRule="auto"/>
        <w:jc w:val="both"/>
        <w:rPr>
          <w:rFonts w:ascii="Arial" w:eastAsiaTheme="minorEastAsia" w:hAnsi="Arial" w:cs="Arial"/>
          <w:b w:val="0"/>
          <w:bCs w:val="0"/>
          <w:caps w:val="0"/>
          <w:noProof/>
          <w:sz w:val="22"/>
          <w:szCs w:val="22"/>
          <w:lang w:val="es-ES"/>
        </w:rPr>
      </w:pPr>
      <w:hyperlink w:anchor="_Toc530045849" w:history="1">
        <w:r w:rsidR="005E73A9" w:rsidRPr="005E73A9">
          <w:rPr>
            <w:rStyle w:val="Hipervnculo"/>
            <w:rFonts w:ascii="Arial" w:eastAsiaTheme="majorEastAsia" w:hAnsi="Arial" w:cs="Arial"/>
            <w:b w:val="0"/>
            <w:caps w:val="0"/>
            <w:noProof/>
            <w:sz w:val="22"/>
            <w:szCs w:val="22"/>
          </w:rPr>
          <w:t>5</w:t>
        </w:r>
        <w:r w:rsidR="005E73A9" w:rsidRPr="005E73A9">
          <w:rPr>
            <w:rFonts w:ascii="Arial" w:eastAsiaTheme="minorEastAsia" w:hAnsi="Arial" w:cs="Arial"/>
            <w:b w:val="0"/>
            <w:bCs w:val="0"/>
            <w:caps w:val="0"/>
            <w:noProof/>
            <w:sz w:val="22"/>
            <w:szCs w:val="22"/>
            <w:lang w:val="es-ES"/>
          </w:rPr>
          <w:tab/>
        </w:r>
        <w:r w:rsidR="005E73A9" w:rsidRPr="005E73A9">
          <w:rPr>
            <w:rStyle w:val="Hipervnculo"/>
            <w:rFonts w:ascii="Arial" w:eastAsiaTheme="majorEastAsia" w:hAnsi="Arial" w:cs="Arial"/>
            <w:caps w:val="0"/>
            <w:noProof/>
            <w:sz w:val="22"/>
            <w:szCs w:val="22"/>
          </w:rPr>
          <w:t>FUEL OIL</w:t>
        </w:r>
        <w:r w:rsidR="005E73A9" w:rsidRPr="005E73A9">
          <w:rPr>
            <w:rFonts w:ascii="Arial" w:hAnsi="Arial" w:cs="Arial"/>
            <w:caps w:val="0"/>
            <w:noProof/>
            <w:webHidden/>
            <w:sz w:val="22"/>
            <w:szCs w:val="22"/>
          </w:rPr>
          <w:tab/>
        </w:r>
        <w:r w:rsidR="005E73A9" w:rsidRPr="005E73A9">
          <w:rPr>
            <w:rFonts w:ascii="Arial" w:hAnsi="Arial" w:cs="Arial"/>
            <w:noProof/>
            <w:webHidden/>
            <w:sz w:val="22"/>
            <w:szCs w:val="22"/>
          </w:rPr>
          <w:fldChar w:fldCharType="begin"/>
        </w:r>
        <w:r w:rsidR="005E73A9" w:rsidRPr="005E73A9">
          <w:rPr>
            <w:rFonts w:ascii="Arial" w:hAnsi="Arial" w:cs="Arial"/>
            <w:noProof/>
            <w:webHidden/>
            <w:sz w:val="22"/>
            <w:szCs w:val="22"/>
          </w:rPr>
          <w:instrText xml:space="preserve"> PAGEREF _Toc530045849 \h </w:instrText>
        </w:r>
        <w:r w:rsidR="005E73A9" w:rsidRPr="005E73A9">
          <w:rPr>
            <w:rFonts w:ascii="Arial" w:hAnsi="Arial" w:cs="Arial"/>
            <w:noProof/>
            <w:webHidden/>
            <w:sz w:val="22"/>
            <w:szCs w:val="22"/>
          </w:rPr>
        </w:r>
        <w:r w:rsidR="005E73A9" w:rsidRPr="005E73A9">
          <w:rPr>
            <w:rFonts w:ascii="Arial" w:hAnsi="Arial" w:cs="Arial"/>
            <w:noProof/>
            <w:webHidden/>
            <w:sz w:val="22"/>
            <w:szCs w:val="22"/>
          </w:rPr>
          <w:fldChar w:fldCharType="separate"/>
        </w:r>
        <w:r w:rsidR="005E73A9" w:rsidRPr="005E73A9">
          <w:rPr>
            <w:rFonts w:ascii="Arial" w:hAnsi="Arial" w:cs="Arial"/>
            <w:caps w:val="0"/>
            <w:noProof/>
            <w:webHidden/>
            <w:sz w:val="22"/>
            <w:szCs w:val="22"/>
          </w:rPr>
          <w:t>59</w:t>
        </w:r>
        <w:r w:rsidR="005E73A9" w:rsidRPr="005E73A9">
          <w:rPr>
            <w:rFonts w:ascii="Arial" w:hAnsi="Arial" w:cs="Arial"/>
            <w:noProof/>
            <w:webHidden/>
            <w:sz w:val="22"/>
            <w:szCs w:val="22"/>
          </w:rPr>
          <w:fldChar w:fldCharType="end"/>
        </w:r>
      </w:hyperlink>
    </w:p>
    <w:p w14:paraId="679BC6F1" w14:textId="56A53AAB" w:rsidR="005E73A9" w:rsidRPr="005E73A9" w:rsidRDefault="00D31F30" w:rsidP="00A61687">
      <w:pPr>
        <w:pStyle w:val="TDC1"/>
        <w:tabs>
          <w:tab w:val="left" w:pos="880"/>
          <w:tab w:val="right" w:leader="dot" w:pos="9678"/>
        </w:tabs>
        <w:spacing w:before="120" w:after="120" w:line="360" w:lineRule="auto"/>
        <w:jc w:val="both"/>
        <w:rPr>
          <w:rFonts w:ascii="Arial" w:eastAsiaTheme="minorEastAsia" w:hAnsi="Arial" w:cs="Arial"/>
          <w:b w:val="0"/>
          <w:bCs w:val="0"/>
          <w:caps w:val="0"/>
          <w:noProof/>
          <w:sz w:val="22"/>
          <w:szCs w:val="22"/>
          <w:lang w:val="es-ES"/>
        </w:rPr>
      </w:pPr>
      <w:hyperlink w:anchor="_Toc530045850" w:history="1">
        <w:r w:rsidR="005E73A9" w:rsidRPr="005E73A9">
          <w:rPr>
            <w:rStyle w:val="Hipervnculo"/>
            <w:rFonts w:ascii="Arial" w:eastAsiaTheme="majorEastAsia" w:hAnsi="Arial" w:cs="Arial"/>
            <w:b w:val="0"/>
            <w:caps w:val="0"/>
            <w:noProof/>
            <w:sz w:val="22"/>
            <w:szCs w:val="22"/>
          </w:rPr>
          <w:t>6</w:t>
        </w:r>
        <w:r w:rsidR="005E73A9" w:rsidRPr="005E73A9">
          <w:rPr>
            <w:rFonts w:ascii="Arial" w:eastAsiaTheme="minorEastAsia" w:hAnsi="Arial" w:cs="Arial"/>
            <w:b w:val="0"/>
            <w:bCs w:val="0"/>
            <w:caps w:val="0"/>
            <w:noProof/>
            <w:sz w:val="22"/>
            <w:szCs w:val="22"/>
            <w:lang w:val="es-ES"/>
          </w:rPr>
          <w:tab/>
        </w:r>
        <w:r w:rsidR="005E73A9" w:rsidRPr="005E73A9">
          <w:rPr>
            <w:rStyle w:val="Hipervnculo"/>
            <w:rFonts w:ascii="Arial" w:eastAsiaTheme="majorEastAsia" w:hAnsi="Arial" w:cs="Arial"/>
            <w:caps w:val="0"/>
            <w:noProof/>
            <w:sz w:val="22"/>
            <w:szCs w:val="22"/>
          </w:rPr>
          <w:t>GASOLINA</w:t>
        </w:r>
        <w:r w:rsidR="005E73A9" w:rsidRPr="005E73A9">
          <w:rPr>
            <w:rFonts w:ascii="Arial" w:hAnsi="Arial" w:cs="Arial"/>
            <w:caps w:val="0"/>
            <w:noProof/>
            <w:webHidden/>
            <w:sz w:val="22"/>
            <w:szCs w:val="22"/>
          </w:rPr>
          <w:tab/>
        </w:r>
        <w:r w:rsidR="005E73A9" w:rsidRPr="005E73A9">
          <w:rPr>
            <w:rFonts w:ascii="Arial" w:hAnsi="Arial" w:cs="Arial"/>
            <w:noProof/>
            <w:webHidden/>
            <w:sz w:val="22"/>
            <w:szCs w:val="22"/>
          </w:rPr>
          <w:fldChar w:fldCharType="begin"/>
        </w:r>
        <w:r w:rsidR="005E73A9" w:rsidRPr="005E73A9">
          <w:rPr>
            <w:rFonts w:ascii="Arial" w:hAnsi="Arial" w:cs="Arial"/>
            <w:noProof/>
            <w:webHidden/>
            <w:sz w:val="22"/>
            <w:szCs w:val="22"/>
          </w:rPr>
          <w:instrText xml:space="preserve"> PAGEREF _Toc530045850 \h </w:instrText>
        </w:r>
        <w:r w:rsidR="005E73A9" w:rsidRPr="005E73A9">
          <w:rPr>
            <w:rFonts w:ascii="Arial" w:hAnsi="Arial" w:cs="Arial"/>
            <w:noProof/>
            <w:webHidden/>
            <w:sz w:val="22"/>
            <w:szCs w:val="22"/>
          </w:rPr>
        </w:r>
        <w:r w:rsidR="005E73A9" w:rsidRPr="005E73A9">
          <w:rPr>
            <w:rFonts w:ascii="Arial" w:hAnsi="Arial" w:cs="Arial"/>
            <w:noProof/>
            <w:webHidden/>
            <w:sz w:val="22"/>
            <w:szCs w:val="22"/>
          </w:rPr>
          <w:fldChar w:fldCharType="separate"/>
        </w:r>
        <w:r w:rsidR="005E73A9" w:rsidRPr="005E73A9">
          <w:rPr>
            <w:rFonts w:ascii="Arial" w:hAnsi="Arial" w:cs="Arial"/>
            <w:caps w:val="0"/>
            <w:noProof/>
            <w:webHidden/>
            <w:sz w:val="22"/>
            <w:szCs w:val="22"/>
          </w:rPr>
          <w:t>64</w:t>
        </w:r>
        <w:r w:rsidR="005E73A9" w:rsidRPr="005E73A9">
          <w:rPr>
            <w:rFonts w:ascii="Arial" w:hAnsi="Arial" w:cs="Arial"/>
            <w:noProof/>
            <w:webHidden/>
            <w:sz w:val="22"/>
            <w:szCs w:val="22"/>
          </w:rPr>
          <w:fldChar w:fldCharType="end"/>
        </w:r>
      </w:hyperlink>
    </w:p>
    <w:p w14:paraId="5E2BFF77" w14:textId="496C8C9E" w:rsidR="005E73A9" w:rsidRPr="005E73A9" w:rsidRDefault="00D31F30" w:rsidP="00A61687">
      <w:pPr>
        <w:pStyle w:val="TDC1"/>
        <w:tabs>
          <w:tab w:val="left" w:pos="880"/>
          <w:tab w:val="right" w:leader="dot" w:pos="9678"/>
        </w:tabs>
        <w:spacing w:before="120" w:after="120" w:line="360" w:lineRule="auto"/>
        <w:jc w:val="both"/>
        <w:rPr>
          <w:rFonts w:ascii="Arial" w:eastAsiaTheme="minorEastAsia" w:hAnsi="Arial" w:cs="Arial"/>
          <w:b w:val="0"/>
          <w:bCs w:val="0"/>
          <w:caps w:val="0"/>
          <w:noProof/>
          <w:sz w:val="22"/>
          <w:szCs w:val="22"/>
          <w:lang w:val="es-ES"/>
        </w:rPr>
      </w:pPr>
      <w:hyperlink w:anchor="_Toc530045851" w:history="1">
        <w:r w:rsidR="005E73A9" w:rsidRPr="005E73A9">
          <w:rPr>
            <w:rStyle w:val="Hipervnculo"/>
            <w:rFonts w:ascii="Arial" w:eastAsiaTheme="majorEastAsia" w:hAnsi="Arial" w:cs="Arial"/>
            <w:b w:val="0"/>
            <w:caps w:val="0"/>
            <w:noProof/>
            <w:sz w:val="22"/>
            <w:szCs w:val="22"/>
          </w:rPr>
          <w:t>7</w:t>
        </w:r>
        <w:r w:rsidR="005E73A9" w:rsidRPr="005E73A9">
          <w:rPr>
            <w:rFonts w:ascii="Arial" w:eastAsiaTheme="minorEastAsia" w:hAnsi="Arial" w:cs="Arial"/>
            <w:b w:val="0"/>
            <w:bCs w:val="0"/>
            <w:caps w:val="0"/>
            <w:noProof/>
            <w:sz w:val="22"/>
            <w:szCs w:val="22"/>
            <w:lang w:val="es-ES"/>
          </w:rPr>
          <w:tab/>
        </w:r>
        <w:r w:rsidR="005E73A9" w:rsidRPr="005E73A9">
          <w:rPr>
            <w:rStyle w:val="Hipervnculo"/>
            <w:rFonts w:ascii="Arial" w:eastAsiaTheme="majorEastAsia" w:hAnsi="Arial" w:cs="Arial"/>
            <w:caps w:val="0"/>
            <w:noProof/>
            <w:sz w:val="22"/>
            <w:szCs w:val="22"/>
          </w:rPr>
          <w:t>DIESEL</w:t>
        </w:r>
        <w:r w:rsidR="005E73A9" w:rsidRPr="005E73A9">
          <w:rPr>
            <w:rFonts w:ascii="Arial" w:hAnsi="Arial" w:cs="Arial"/>
            <w:caps w:val="0"/>
            <w:noProof/>
            <w:webHidden/>
            <w:sz w:val="22"/>
            <w:szCs w:val="22"/>
          </w:rPr>
          <w:tab/>
        </w:r>
        <w:r w:rsidR="005E73A9" w:rsidRPr="005E73A9">
          <w:rPr>
            <w:rFonts w:ascii="Arial" w:hAnsi="Arial" w:cs="Arial"/>
            <w:noProof/>
            <w:webHidden/>
            <w:sz w:val="22"/>
            <w:szCs w:val="22"/>
          </w:rPr>
          <w:fldChar w:fldCharType="begin"/>
        </w:r>
        <w:r w:rsidR="005E73A9" w:rsidRPr="005E73A9">
          <w:rPr>
            <w:rFonts w:ascii="Arial" w:hAnsi="Arial" w:cs="Arial"/>
            <w:noProof/>
            <w:webHidden/>
            <w:sz w:val="22"/>
            <w:szCs w:val="22"/>
          </w:rPr>
          <w:instrText xml:space="preserve"> PAGEREF _Toc530045851 \h </w:instrText>
        </w:r>
        <w:r w:rsidR="005E73A9" w:rsidRPr="005E73A9">
          <w:rPr>
            <w:rFonts w:ascii="Arial" w:hAnsi="Arial" w:cs="Arial"/>
            <w:noProof/>
            <w:webHidden/>
            <w:sz w:val="22"/>
            <w:szCs w:val="22"/>
          </w:rPr>
        </w:r>
        <w:r w:rsidR="005E73A9" w:rsidRPr="005E73A9">
          <w:rPr>
            <w:rFonts w:ascii="Arial" w:hAnsi="Arial" w:cs="Arial"/>
            <w:noProof/>
            <w:webHidden/>
            <w:sz w:val="22"/>
            <w:szCs w:val="22"/>
          </w:rPr>
          <w:fldChar w:fldCharType="separate"/>
        </w:r>
        <w:r w:rsidR="005E73A9" w:rsidRPr="005E73A9">
          <w:rPr>
            <w:rFonts w:ascii="Arial" w:hAnsi="Arial" w:cs="Arial"/>
            <w:caps w:val="0"/>
            <w:noProof/>
            <w:webHidden/>
            <w:sz w:val="22"/>
            <w:szCs w:val="22"/>
          </w:rPr>
          <w:t>71</w:t>
        </w:r>
        <w:r w:rsidR="005E73A9" w:rsidRPr="005E73A9">
          <w:rPr>
            <w:rFonts w:ascii="Arial" w:hAnsi="Arial" w:cs="Arial"/>
            <w:noProof/>
            <w:webHidden/>
            <w:sz w:val="22"/>
            <w:szCs w:val="22"/>
          </w:rPr>
          <w:fldChar w:fldCharType="end"/>
        </w:r>
      </w:hyperlink>
    </w:p>
    <w:p w14:paraId="58F451FE" w14:textId="1B0C9366" w:rsidR="005E73A9" w:rsidRPr="005E73A9" w:rsidRDefault="00D31F30" w:rsidP="00A61687">
      <w:pPr>
        <w:pStyle w:val="TDC1"/>
        <w:tabs>
          <w:tab w:val="left" w:pos="880"/>
          <w:tab w:val="right" w:leader="dot" w:pos="9678"/>
        </w:tabs>
        <w:spacing w:before="120" w:after="120" w:line="360" w:lineRule="auto"/>
        <w:jc w:val="both"/>
        <w:rPr>
          <w:rFonts w:ascii="Arial" w:eastAsiaTheme="minorEastAsia" w:hAnsi="Arial" w:cs="Arial"/>
          <w:b w:val="0"/>
          <w:bCs w:val="0"/>
          <w:caps w:val="0"/>
          <w:noProof/>
          <w:sz w:val="22"/>
          <w:szCs w:val="22"/>
          <w:lang w:val="es-ES"/>
        </w:rPr>
      </w:pPr>
      <w:hyperlink w:anchor="_Toc530045852" w:history="1">
        <w:r w:rsidR="005E73A9" w:rsidRPr="005E73A9">
          <w:rPr>
            <w:rStyle w:val="Hipervnculo"/>
            <w:rFonts w:ascii="Arial" w:eastAsiaTheme="majorEastAsia" w:hAnsi="Arial" w:cs="Arial"/>
            <w:b w:val="0"/>
            <w:caps w:val="0"/>
            <w:noProof/>
            <w:sz w:val="22"/>
            <w:szCs w:val="22"/>
          </w:rPr>
          <w:t>8</w:t>
        </w:r>
        <w:r w:rsidR="005E73A9" w:rsidRPr="005E73A9">
          <w:rPr>
            <w:rFonts w:ascii="Arial" w:eastAsiaTheme="minorEastAsia" w:hAnsi="Arial" w:cs="Arial"/>
            <w:b w:val="0"/>
            <w:bCs w:val="0"/>
            <w:caps w:val="0"/>
            <w:noProof/>
            <w:sz w:val="22"/>
            <w:szCs w:val="22"/>
            <w:lang w:val="es-ES"/>
          </w:rPr>
          <w:tab/>
        </w:r>
        <w:r w:rsidR="005E73A9" w:rsidRPr="005E73A9">
          <w:rPr>
            <w:rStyle w:val="Hipervnculo"/>
            <w:rFonts w:ascii="Arial" w:eastAsiaTheme="majorEastAsia" w:hAnsi="Arial" w:cs="Arial"/>
            <w:caps w:val="0"/>
            <w:noProof/>
            <w:sz w:val="22"/>
            <w:szCs w:val="22"/>
          </w:rPr>
          <w:t>CARBON</w:t>
        </w:r>
        <w:r w:rsidR="005E73A9" w:rsidRPr="005E73A9">
          <w:rPr>
            <w:rFonts w:ascii="Arial" w:hAnsi="Arial" w:cs="Arial"/>
            <w:caps w:val="0"/>
            <w:noProof/>
            <w:webHidden/>
            <w:sz w:val="22"/>
            <w:szCs w:val="22"/>
          </w:rPr>
          <w:tab/>
        </w:r>
        <w:r w:rsidR="005E73A9" w:rsidRPr="005E73A9">
          <w:rPr>
            <w:rFonts w:ascii="Arial" w:hAnsi="Arial" w:cs="Arial"/>
            <w:noProof/>
            <w:webHidden/>
            <w:sz w:val="22"/>
            <w:szCs w:val="22"/>
          </w:rPr>
          <w:fldChar w:fldCharType="begin"/>
        </w:r>
        <w:r w:rsidR="005E73A9" w:rsidRPr="005E73A9">
          <w:rPr>
            <w:rFonts w:ascii="Arial" w:hAnsi="Arial" w:cs="Arial"/>
            <w:noProof/>
            <w:webHidden/>
            <w:sz w:val="22"/>
            <w:szCs w:val="22"/>
          </w:rPr>
          <w:instrText xml:space="preserve"> PAGEREF _Toc530045852 \h </w:instrText>
        </w:r>
        <w:r w:rsidR="005E73A9" w:rsidRPr="005E73A9">
          <w:rPr>
            <w:rFonts w:ascii="Arial" w:hAnsi="Arial" w:cs="Arial"/>
            <w:noProof/>
            <w:webHidden/>
            <w:sz w:val="22"/>
            <w:szCs w:val="22"/>
          </w:rPr>
        </w:r>
        <w:r w:rsidR="005E73A9" w:rsidRPr="005E73A9">
          <w:rPr>
            <w:rFonts w:ascii="Arial" w:hAnsi="Arial" w:cs="Arial"/>
            <w:noProof/>
            <w:webHidden/>
            <w:sz w:val="22"/>
            <w:szCs w:val="22"/>
          </w:rPr>
          <w:fldChar w:fldCharType="separate"/>
        </w:r>
        <w:r w:rsidR="005E73A9" w:rsidRPr="005E73A9">
          <w:rPr>
            <w:rFonts w:ascii="Arial" w:hAnsi="Arial" w:cs="Arial"/>
            <w:caps w:val="0"/>
            <w:noProof/>
            <w:webHidden/>
            <w:sz w:val="22"/>
            <w:szCs w:val="22"/>
          </w:rPr>
          <w:t>80</w:t>
        </w:r>
        <w:r w:rsidR="005E73A9" w:rsidRPr="005E73A9">
          <w:rPr>
            <w:rFonts w:ascii="Arial" w:hAnsi="Arial" w:cs="Arial"/>
            <w:noProof/>
            <w:webHidden/>
            <w:sz w:val="22"/>
            <w:szCs w:val="22"/>
          </w:rPr>
          <w:fldChar w:fldCharType="end"/>
        </w:r>
      </w:hyperlink>
    </w:p>
    <w:p w14:paraId="2FFA6E57" w14:textId="784CD095" w:rsidR="005E73A9" w:rsidRPr="005E73A9" w:rsidRDefault="00D31F30" w:rsidP="00A61687">
      <w:pPr>
        <w:pStyle w:val="TDC1"/>
        <w:tabs>
          <w:tab w:val="left" w:pos="880"/>
          <w:tab w:val="right" w:leader="dot" w:pos="9678"/>
        </w:tabs>
        <w:spacing w:before="120" w:after="120" w:line="360" w:lineRule="auto"/>
        <w:jc w:val="both"/>
        <w:rPr>
          <w:rFonts w:ascii="Arial" w:eastAsiaTheme="minorEastAsia" w:hAnsi="Arial" w:cs="Arial"/>
          <w:b w:val="0"/>
          <w:bCs w:val="0"/>
          <w:caps w:val="0"/>
          <w:noProof/>
          <w:sz w:val="22"/>
          <w:szCs w:val="22"/>
          <w:lang w:val="es-ES"/>
        </w:rPr>
      </w:pPr>
      <w:hyperlink w:anchor="_Toc530045853" w:history="1">
        <w:r w:rsidR="005E73A9" w:rsidRPr="005E73A9">
          <w:rPr>
            <w:rStyle w:val="Hipervnculo"/>
            <w:rFonts w:ascii="Arial" w:eastAsiaTheme="majorEastAsia" w:hAnsi="Arial" w:cs="Arial"/>
            <w:b w:val="0"/>
            <w:caps w:val="0"/>
            <w:noProof/>
            <w:sz w:val="22"/>
            <w:szCs w:val="22"/>
          </w:rPr>
          <w:t>9</w:t>
        </w:r>
        <w:r w:rsidR="005E73A9" w:rsidRPr="005E73A9">
          <w:rPr>
            <w:rFonts w:ascii="Arial" w:eastAsiaTheme="minorEastAsia" w:hAnsi="Arial" w:cs="Arial"/>
            <w:b w:val="0"/>
            <w:bCs w:val="0"/>
            <w:caps w:val="0"/>
            <w:noProof/>
            <w:sz w:val="22"/>
            <w:szCs w:val="22"/>
            <w:lang w:val="es-ES"/>
          </w:rPr>
          <w:tab/>
        </w:r>
        <w:r w:rsidR="005E73A9" w:rsidRPr="005E73A9">
          <w:rPr>
            <w:rStyle w:val="Hipervnculo"/>
            <w:rFonts w:ascii="Arial" w:eastAsiaTheme="majorEastAsia" w:hAnsi="Arial" w:cs="Arial"/>
            <w:caps w:val="0"/>
            <w:noProof/>
            <w:sz w:val="22"/>
            <w:szCs w:val="22"/>
          </w:rPr>
          <w:t>GAS LIQUIADO DEL PETROLEO</w:t>
        </w:r>
        <w:r w:rsidR="005E73A9" w:rsidRPr="005E73A9">
          <w:rPr>
            <w:rFonts w:ascii="Arial" w:hAnsi="Arial" w:cs="Arial"/>
            <w:caps w:val="0"/>
            <w:noProof/>
            <w:webHidden/>
            <w:sz w:val="22"/>
            <w:szCs w:val="22"/>
          </w:rPr>
          <w:tab/>
        </w:r>
        <w:r w:rsidR="005E73A9" w:rsidRPr="005E73A9">
          <w:rPr>
            <w:rFonts w:ascii="Arial" w:hAnsi="Arial" w:cs="Arial"/>
            <w:noProof/>
            <w:webHidden/>
            <w:sz w:val="22"/>
            <w:szCs w:val="22"/>
          </w:rPr>
          <w:fldChar w:fldCharType="begin"/>
        </w:r>
        <w:r w:rsidR="005E73A9" w:rsidRPr="005E73A9">
          <w:rPr>
            <w:rFonts w:ascii="Arial" w:hAnsi="Arial" w:cs="Arial"/>
            <w:noProof/>
            <w:webHidden/>
            <w:sz w:val="22"/>
            <w:szCs w:val="22"/>
          </w:rPr>
          <w:instrText xml:space="preserve"> PAGEREF _Toc530045853 \h </w:instrText>
        </w:r>
        <w:r w:rsidR="005E73A9" w:rsidRPr="005E73A9">
          <w:rPr>
            <w:rFonts w:ascii="Arial" w:hAnsi="Arial" w:cs="Arial"/>
            <w:noProof/>
            <w:webHidden/>
            <w:sz w:val="22"/>
            <w:szCs w:val="22"/>
          </w:rPr>
        </w:r>
        <w:r w:rsidR="005E73A9" w:rsidRPr="005E73A9">
          <w:rPr>
            <w:rFonts w:ascii="Arial" w:hAnsi="Arial" w:cs="Arial"/>
            <w:noProof/>
            <w:webHidden/>
            <w:sz w:val="22"/>
            <w:szCs w:val="22"/>
          </w:rPr>
          <w:fldChar w:fldCharType="separate"/>
        </w:r>
        <w:r w:rsidR="005E73A9" w:rsidRPr="005E73A9">
          <w:rPr>
            <w:rFonts w:ascii="Arial" w:hAnsi="Arial" w:cs="Arial"/>
            <w:caps w:val="0"/>
            <w:noProof/>
            <w:webHidden/>
            <w:sz w:val="22"/>
            <w:szCs w:val="22"/>
          </w:rPr>
          <w:t>84</w:t>
        </w:r>
        <w:r w:rsidR="005E73A9" w:rsidRPr="005E73A9">
          <w:rPr>
            <w:rFonts w:ascii="Arial" w:hAnsi="Arial" w:cs="Arial"/>
            <w:noProof/>
            <w:webHidden/>
            <w:sz w:val="22"/>
            <w:szCs w:val="22"/>
          </w:rPr>
          <w:fldChar w:fldCharType="end"/>
        </w:r>
      </w:hyperlink>
    </w:p>
    <w:p w14:paraId="6C9A95BF" w14:textId="68BCE093" w:rsidR="005E73A9" w:rsidRPr="005E73A9" w:rsidRDefault="00D31F30" w:rsidP="00A61687">
      <w:pPr>
        <w:pStyle w:val="TDC5"/>
        <w:spacing w:before="120" w:after="120"/>
        <w:jc w:val="both"/>
        <w:rPr>
          <w:rFonts w:eastAsiaTheme="minorEastAsia"/>
          <w:lang w:val="es-ES"/>
        </w:rPr>
      </w:pPr>
      <w:hyperlink w:anchor="_Toc530045854" w:history="1">
        <w:r w:rsidR="005E73A9" w:rsidRPr="005E73A9">
          <w:rPr>
            <w:rStyle w:val="Hipervnculo"/>
            <w:b w:val="0"/>
          </w:rPr>
          <w:t>ANEXO I.</w:t>
        </w:r>
        <w:r w:rsidR="005E73A9" w:rsidRPr="005E73A9">
          <w:rPr>
            <w:rFonts w:eastAsiaTheme="minorEastAsia"/>
            <w:lang w:val="es-ES"/>
          </w:rPr>
          <w:tab/>
        </w:r>
        <w:r w:rsidR="005E73A9" w:rsidRPr="0030769E">
          <w:rPr>
            <w:rStyle w:val="Hipervnculo"/>
            <w:b w:val="0"/>
          </w:rPr>
          <w:t>PRECIO EN TERMICAS</w:t>
        </w:r>
        <w:r w:rsidR="005E73A9" w:rsidRPr="005E73A9">
          <w:rPr>
            <w:webHidden/>
          </w:rPr>
          <w:tab/>
        </w:r>
        <w:r w:rsidR="005E73A9" w:rsidRPr="005E73A9">
          <w:rPr>
            <w:webHidden/>
          </w:rPr>
          <w:fldChar w:fldCharType="begin"/>
        </w:r>
        <w:r w:rsidR="005E73A9" w:rsidRPr="005E73A9">
          <w:rPr>
            <w:webHidden/>
          </w:rPr>
          <w:instrText xml:space="preserve"> PAGEREF _Toc530045854 \h </w:instrText>
        </w:r>
        <w:r w:rsidR="005E73A9" w:rsidRPr="005E73A9">
          <w:rPr>
            <w:webHidden/>
          </w:rPr>
        </w:r>
        <w:r w:rsidR="005E73A9" w:rsidRPr="005E73A9">
          <w:rPr>
            <w:webHidden/>
          </w:rPr>
          <w:fldChar w:fldCharType="separate"/>
        </w:r>
        <w:r w:rsidR="005E73A9" w:rsidRPr="005E73A9">
          <w:rPr>
            <w:webHidden/>
          </w:rPr>
          <w:t>89</w:t>
        </w:r>
        <w:r w:rsidR="005E73A9" w:rsidRPr="005E73A9">
          <w:rPr>
            <w:webHidden/>
          </w:rPr>
          <w:fldChar w:fldCharType="end"/>
        </w:r>
      </w:hyperlink>
    </w:p>
    <w:p w14:paraId="016FB607" w14:textId="387C021C" w:rsidR="005E73A9" w:rsidRPr="005E73A9" w:rsidRDefault="00D31F30" w:rsidP="00A61687">
      <w:pPr>
        <w:pStyle w:val="TDC4"/>
        <w:spacing w:before="120" w:after="120"/>
        <w:rPr>
          <w:rStyle w:val="Hipervnculo"/>
        </w:rPr>
      </w:pPr>
      <w:hyperlink w:anchor="_Toc530045856" w:history="1">
        <w:r w:rsidR="005E73A9" w:rsidRPr="005E73A9">
          <w:rPr>
            <w:rStyle w:val="Hipervnculo"/>
          </w:rPr>
          <w:t>REFERENCIAS</w:t>
        </w:r>
        <w:r w:rsidR="005E73A9" w:rsidRPr="005E73A9">
          <w:rPr>
            <w:webHidden/>
          </w:rPr>
          <w:tab/>
        </w:r>
        <w:r w:rsidR="005E73A9" w:rsidRPr="005E73A9">
          <w:rPr>
            <w:webHidden/>
          </w:rPr>
          <w:fldChar w:fldCharType="begin"/>
        </w:r>
        <w:r w:rsidR="005E73A9" w:rsidRPr="005E73A9">
          <w:rPr>
            <w:webHidden/>
          </w:rPr>
          <w:instrText xml:space="preserve"> PAGEREF _Toc530045856 \h </w:instrText>
        </w:r>
        <w:r w:rsidR="005E73A9" w:rsidRPr="005E73A9">
          <w:rPr>
            <w:webHidden/>
          </w:rPr>
        </w:r>
        <w:r w:rsidR="005E73A9" w:rsidRPr="005E73A9">
          <w:rPr>
            <w:webHidden/>
          </w:rPr>
          <w:fldChar w:fldCharType="separate"/>
        </w:r>
        <w:r w:rsidR="005E73A9" w:rsidRPr="005E73A9">
          <w:rPr>
            <w:webHidden/>
          </w:rPr>
          <w:t>91</w:t>
        </w:r>
        <w:r w:rsidR="005E73A9" w:rsidRPr="005E73A9">
          <w:rPr>
            <w:webHidden/>
          </w:rPr>
          <w:fldChar w:fldCharType="end"/>
        </w:r>
      </w:hyperlink>
    </w:p>
    <w:p w14:paraId="0869B934" w14:textId="77777777" w:rsidR="005E73A9" w:rsidRDefault="005E73A9" w:rsidP="00A61687">
      <w:pPr>
        <w:spacing w:before="120" w:after="120" w:line="360" w:lineRule="auto"/>
        <w:jc w:val="both"/>
        <w:rPr>
          <w:rStyle w:val="Hipervnculo"/>
          <w:rFonts w:eastAsiaTheme="majorEastAsia" w:cs="Times New Roman"/>
          <w:noProof/>
          <w:sz w:val="20"/>
          <w:szCs w:val="20"/>
          <w:lang w:val="es-CO" w:eastAsia="es-ES"/>
        </w:rPr>
      </w:pPr>
      <w:r>
        <w:rPr>
          <w:rStyle w:val="Hipervnculo"/>
          <w:rFonts w:eastAsiaTheme="majorEastAsia"/>
          <w:noProof/>
        </w:rPr>
        <w:br w:type="page"/>
      </w:r>
    </w:p>
    <w:p w14:paraId="08410FD6" w14:textId="021E8CB8" w:rsidR="00732D38" w:rsidRDefault="00732D38" w:rsidP="00A61687">
      <w:pPr>
        <w:pStyle w:val="Ttulo4"/>
        <w:spacing w:before="120" w:line="360" w:lineRule="auto"/>
        <w:rPr>
          <w:noProof w:val="0"/>
        </w:rPr>
      </w:pPr>
      <w:r w:rsidRPr="003910DD">
        <w:rPr>
          <w:rFonts w:cs="Arial"/>
          <w:sz w:val="20"/>
          <w:szCs w:val="20"/>
        </w:rPr>
        <w:lastRenderedPageBreak/>
        <w:fldChar w:fldCharType="end"/>
      </w:r>
      <w:bookmarkStart w:id="0" w:name="_Toc530045813"/>
      <w:r w:rsidRPr="004327CD">
        <w:rPr>
          <w:noProof w:val="0"/>
        </w:rPr>
        <w:t>Lista de Gráficas</w:t>
      </w:r>
      <w:bookmarkEnd w:id="0"/>
    </w:p>
    <w:p w14:paraId="632AAC8B" w14:textId="77777777" w:rsidR="00005DBB" w:rsidRPr="00005DBB" w:rsidRDefault="00005DBB" w:rsidP="00005DBB">
      <w:pPr>
        <w:rPr>
          <w:lang w:val="es-CO" w:eastAsia="es-ES"/>
        </w:rPr>
      </w:pPr>
    </w:p>
    <w:p w14:paraId="4146D873" w14:textId="77777777" w:rsidR="000624CA" w:rsidRPr="00A61687" w:rsidRDefault="00732D38">
      <w:pPr>
        <w:pStyle w:val="Tabladeilustraciones"/>
        <w:tabs>
          <w:tab w:val="right" w:leader="dot" w:pos="9678"/>
        </w:tabs>
        <w:rPr>
          <w:rFonts w:asciiTheme="minorHAnsi" w:eastAsiaTheme="minorEastAsia" w:hAnsiTheme="minorHAnsi" w:cstheme="minorBidi"/>
          <w:noProof/>
          <w:szCs w:val="22"/>
          <w:lang w:val="es-ES"/>
        </w:rPr>
      </w:pPr>
      <w:r w:rsidRPr="002334DC">
        <w:rPr>
          <w:rFonts w:cs="Arial"/>
          <w:szCs w:val="22"/>
        </w:rPr>
        <w:fldChar w:fldCharType="begin"/>
      </w:r>
      <w:r w:rsidRPr="002334DC">
        <w:rPr>
          <w:rFonts w:cs="Arial"/>
          <w:szCs w:val="22"/>
        </w:rPr>
        <w:instrText xml:space="preserve"> TOC \h \z \c "Gráfica" </w:instrText>
      </w:r>
      <w:r w:rsidRPr="002334DC">
        <w:rPr>
          <w:rFonts w:cs="Arial"/>
          <w:szCs w:val="22"/>
        </w:rPr>
        <w:fldChar w:fldCharType="separate"/>
      </w:r>
      <w:hyperlink w:anchor="_Toc530033391" w:history="1">
        <w:r w:rsidR="000624CA" w:rsidRPr="00A61687">
          <w:rPr>
            <w:rStyle w:val="Hipervnculo"/>
            <w:b/>
            <w:noProof/>
          </w:rPr>
          <w:t>Gráfica 1</w:t>
        </w:r>
        <w:r w:rsidR="000624CA" w:rsidRPr="00A61687">
          <w:rPr>
            <w:rStyle w:val="Hipervnculo"/>
            <w:b/>
            <w:noProof/>
          </w:rPr>
          <w:noBreakHyphen/>
          <w:t xml:space="preserve">1. </w:t>
        </w:r>
        <w:r w:rsidR="000624CA" w:rsidRPr="00A61687">
          <w:rPr>
            <w:rStyle w:val="Hipervnculo"/>
            <w:noProof/>
          </w:rPr>
          <w:t>Factores que influyen en el precio del crudo</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_Toc530033391 \h </w:instrText>
        </w:r>
        <w:r w:rsidR="000624CA" w:rsidRPr="00A61687">
          <w:rPr>
            <w:noProof/>
            <w:webHidden/>
          </w:rPr>
        </w:r>
        <w:r w:rsidR="000624CA" w:rsidRPr="00A61687">
          <w:rPr>
            <w:noProof/>
            <w:webHidden/>
          </w:rPr>
          <w:fldChar w:fldCharType="separate"/>
        </w:r>
        <w:r w:rsidR="000624CA" w:rsidRPr="00A61687">
          <w:rPr>
            <w:noProof/>
            <w:webHidden/>
          </w:rPr>
          <w:t>3</w:t>
        </w:r>
        <w:r w:rsidR="000624CA" w:rsidRPr="00A61687">
          <w:rPr>
            <w:noProof/>
            <w:webHidden/>
          </w:rPr>
          <w:fldChar w:fldCharType="end"/>
        </w:r>
      </w:hyperlink>
    </w:p>
    <w:p w14:paraId="55EA7F74"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392" w:history="1">
        <w:r w:rsidR="000624CA" w:rsidRPr="00A61687">
          <w:rPr>
            <w:rStyle w:val="Hipervnculo"/>
            <w:b/>
            <w:noProof/>
          </w:rPr>
          <w:t>Gráfica 1</w:t>
        </w:r>
        <w:r w:rsidR="000624CA" w:rsidRPr="00A61687">
          <w:rPr>
            <w:rStyle w:val="Hipervnculo"/>
            <w:b/>
            <w:noProof/>
          </w:rPr>
          <w:noBreakHyphen/>
          <w:t xml:space="preserve">2. </w:t>
        </w:r>
        <w:r w:rsidR="000624CA" w:rsidRPr="00A61687">
          <w:rPr>
            <w:rStyle w:val="Hipervnculo"/>
            <w:noProof/>
          </w:rPr>
          <w:t>Balance de crudo a nivel mundial y precio del Brent</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_Toc530033392 \h </w:instrText>
        </w:r>
        <w:r w:rsidR="000624CA" w:rsidRPr="00A61687">
          <w:rPr>
            <w:noProof/>
            <w:webHidden/>
          </w:rPr>
        </w:r>
        <w:r w:rsidR="000624CA" w:rsidRPr="00A61687">
          <w:rPr>
            <w:noProof/>
            <w:webHidden/>
          </w:rPr>
          <w:fldChar w:fldCharType="separate"/>
        </w:r>
        <w:r w:rsidR="000624CA" w:rsidRPr="00A61687">
          <w:rPr>
            <w:noProof/>
            <w:webHidden/>
          </w:rPr>
          <w:t>4</w:t>
        </w:r>
        <w:r w:rsidR="000624CA" w:rsidRPr="00A61687">
          <w:rPr>
            <w:noProof/>
            <w:webHidden/>
          </w:rPr>
          <w:fldChar w:fldCharType="end"/>
        </w:r>
      </w:hyperlink>
    </w:p>
    <w:p w14:paraId="20287084"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393" w:history="1">
        <w:r w:rsidR="000624CA" w:rsidRPr="00A61687">
          <w:rPr>
            <w:rStyle w:val="Hipervnculo"/>
            <w:b/>
            <w:noProof/>
          </w:rPr>
          <w:t>Gráfica 1</w:t>
        </w:r>
        <w:r w:rsidR="000624CA" w:rsidRPr="00A61687">
          <w:rPr>
            <w:rStyle w:val="Hipervnculo"/>
            <w:b/>
            <w:noProof/>
          </w:rPr>
          <w:noBreakHyphen/>
          <w:t xml:space="preserve">3. </w:t>
        </w:r>
        <w:r w:rsidR="000624CA" w:rsidRPr="00A61687">
          <w:rPr>
            <w:rStyle w:val="Hipervnculo"/>
            <w:noProof/>
          </w:rPr>
          <w:t>Producción de crudo no convencional en Estados Unidos 2006-2017</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_Toc530033393 \h </w:instrText>
        </w:r>
        <w:r w:rsidR="000624CA" w:rsidRPr="00A61687">
          <w:rPr>
            <w:noProof/>
            <w:webHidden/>
          </w:rPr>
        </w:r>
        <w:r w:rsidR="000624CA" w:rsidRPr="00A61687">
          <w:rPr>
            <w:noProof/>
            <w:webHidden/>
          </w:rPr>
          <w:fldChar w:fldCharType="separate"/>
        </w:r>
        <w:r w:rsidR="000624CA" w:rsidRPr="00A61687">
          <w:rPr>
            <w:noProof/>
            <w:webHidden/>
          </w:rPr>
          <w:t>5</w:t>
        </w:r>
        <w:r w:rsidR="000624CA" w:rsidRPr="00A61687">
          <w:rPr>
            <w:noProof/>
            <w:webHidden/>
          </w:rPr>
          <w:fldChar w:fldCharType="end"/>
        </w:r>
      </w:hyperlink>
    </w:p>
    <w:p w14:paraId="4A713698"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394" w:history="1">
        <w:r w:rsidR="000624CA" w:rsidRPr="00A61687">
          <w:rPr>
            <w:rStyle w:val="Hipervnculo"/>
            <w:b/>
            <w:noProof/>
          </w:rPr>
          <w:t>Gráfica 1</w:t>
        </w:r>
        <w:r w:rsidR="000624CA" w:rsidRPr="00A61687">
          <w:rPr>
            <w:rStyle w:val="Hipervnculo"/>
            <w:b/>
            <w:noProof/>
          </w:rPr>
          <w:noBreakHyphen/>
          <w:t xml:space="preserve">4. </w:t>
        </w:r>
        <w:r w:rsidR="000624CA" w:rsidRPr="00A61687">
          <w:rPr>
            <w:rStyle w:val="Hipervnculo"/>
            <w:noProof/>
          </w:rPr>
          <w:t>Participación en consumo de crudo en países OCDE y No OCDE</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_Toc530033394 \h </w:instrText>
        </w:r>
        <w:r w:rsidR="000624CA" w:rsidRPr="00A61687">
          <w:rPr>
            <w:noProof/>
            <w:webHidden/>
          </w:rPr>
        </w:r>
        <w:r w:rsidR="000624CA" w:rsidRPr="00A61687">
          <w:rPr>
            <w:noProof/>
            <w:webHidden/>
          </w:rPr>
          <w:fldChar w:fldCharType="separate"/>
        </w:r>
        <w:r w:rsidR="000624CA" w:rsidRPr="00A61687">
          <w:rPr>
            <w:noProof/>
            <w:webHidden/>
          </w:rPr>
          <w:t>6</w:t>
        </w:r>
        <w:r w:rsidR="000624CA" w:rsidRPr="00A61687">
          <w:rPr>
            <w:noProof/>
            <w:webHidden/>
          </w:rPr>
          <w:fldChar w:fldCharType="end"/>
        </w:r>
      </w:hyperlink>
    </w:p>
    <w:p w14:paraId="7448395C"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395" w:history="1">
        <w:r w:rsidR="000624CA" w:rsidRPr="00A61687">
          <w:rPr>
            <w:rStyle w:val="Hipervnculo"/>
            <w:b/>
            <w:noProof/>
          </w:rPr>
          <w:t>Gráfica 1</w:t>
        </w:r>
        <w:r w:rsidR="000624CA" w:rsidRPr="00A61687">
          <w:rPr>
            <w:rStyle w:val="Hipervnculo"/>
            <w:b/>
            <w:noProof/>
          </w:rPr>
          <w:noBreakHyphen/>
          <w:t xml:space="preserve">5. </w:t>
        </w:r>
        <w:r w:rsidR="000624CA" w:rsidRPr="00A61687">
          <w:rPr>
            <w:rStyle w:val="Hipervnculo"/>
            <w:noProof/>
          </w:rPr>
          <w:t>Oferta y exportaciones de crudo en Irán 2005 - 2017</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_Toc530033395 \h </w:instrText>
        </w:r>
        <w:r w:rsidR="000624CA" w:rsidRPr="00A61687">
          <w:rPr>
            <w:noProof/>
            <w:webHidden/>
          </w:rPr>
        </w:r>
        <w:r w:rsidR="000624CA" w:rsidRPr="00A61687">
          <w:rPr>
            <w:noProof/>
            <w:webHidden/>
          </w:rPr>
          <w:fldChar w:fldCharType="separate"/>
        </w:r>
        <w:r w:rsidR="000624CA" w:rsidRPr="00A61687">
          <w:rPr>
            <w:noProof/>
            <w:webHidden/>
          </w:rPr>
          <w:t>8</w:t>
        </w:r>
        <w:r w:rsidR="000624CA" w:rsidRPr="00A61687">
          <w:rPr>
            <w:noProof/>
            <w:webHidden/>
          </w:rPr>
          <w:fldChar w:fldCharType="end"/>
        </w:r>
      </w:hyperlink>
    </w:p>
    <w:p w14:paraId="11CD7DF4"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396" w:history="1">
        <w:r w:rsidR="000624CA" w:rsidRPr="00A61687">
          <w:rPr>
            <w:rStyle w:val="Hipervnculo"/>
            <w:b/>
            <w:noProof/>
          </w:rPr>
          <w:t>Gráfica 1</w:t>
        </w:r>
        <w:r w:rsidR="000624CA" w:rsidRPr="00A61687">
          <w:rPr>
            <w:rStyle w:val="Hipervnculo"/>
            <w:b/>
            <w:noProof/>
          </w:rPr>
          <w:noBreakHyphen/>
          <w:t xml:space="preserve">6. </w:t>
        </w:r>
        <w:r w:rsidR="000624CA" w:rsidRPr="00A61687">
          <w:rPr>
            <w:rStyle w:val="Hipervnculo"/>
            <w:noProof/>
          </w:rPr>
          <w:t>Proyección consumo mundial primario de energía por fuente año 2040*</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_Toc530033396 \h </w:instrText>
        </w:r>
        <w:r w:rsidR="000624CA" w:rsidRPr="00A61687">
          <w:rPr>
            <w:noProof/>
            <w:webHidden/>
          </w:rPr>
        </w:r>
        <w:r w:rsidR="000624CA" w:rsidRPr="00A61687">
          <w:rPr>
            <w:noProof/>
            <w:webHidden/>
          </w:rPr>
          <w:fldChar w:fldCharType="separate"/>
        </w:r>
        <w:r w:rsidR="000624CA" w:rsidRPr="00A61687">
          <w:rPr>
            <w:noProof/>
            <w:webHidden/>
          </w:rPr>
          <w:t>10</w:t>
        </w:r>
        <w:r w:rsidR="000624CA" w:rsidRPr="00A61687">
          <w:rPr>
            <w:noProof/>
            <w:webHidden/>
          </w:rPr>
          <w:fldChar w:fldCharType="end"/>
        </w:r>
      </w:hyperlink>
    </w:p>
    <w:p w14:paraId="1365B31D"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397" w:history="1">
        <w:r w:rsidR="000624CA" w:rsidRPr="00A61687">
          <w:rPr>
            <w:rStyle w:val="Hipervnculo"/>
            <w:b/>
            <w:noProof/>
          </w:rPr>
          <w:t>Gráfica 1</w:t>
        </w:r>
        <w:r w:rsidR="000624CA" w:rsidRPr="00A61687">
          <w:rPr>
            <w:rStyle w:val="Hipervnculo"/>
            <w:b/>
            <w:noProof/>
          </w:rPr>
          <w:noBreakHyphen/>
          <w:t xml:space="preserve">7 </w:t>
        </w:r>
        <w:r w:rsidR="000624CA" w:rsidRPr="00A61687">
          <w:rPr>
            <w:rStyle w:val="Hipervnculo"/>
            <w:noProof/>
          </w:rPr>
          <w:t>Composición global de la demanda total de crudo 2014-2022.</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_Toc530033397 \h </w:instrText>
        </w:r>
        <w:r w:rsidR="000624CA" w:rsidRPr="00A61687">
          <w:rPr>
            <w:noProof/>
            <w:webHidden/>
          </w:rPr>
        </w:r>
        <w:r w:rsidR="000624CA" w:rsidRPr="00A61687">
          <w:rPr>
            <w:noProof/>
            <w:webHidden/>
          </w:rPr>
          <w:fldChar w:fldCharType="separate"/>
        </w:r>
        <w:r w:rsidR="000624CA" w:rsidRPr="00A61687">
          <w:rPr>
            <w:noProof/>
            <w:webHidden/>
          </w:rPr>
          <w:t>11</w:t>
        </w:r>
        <w:r w:rsidR="000624CA" w:rsidRPr="00A61687">
          <w:rPr>
            <w:noProof/>
            <w:webHidden/>
          </w:rPr>
          <w:fldChar w:fldCharType="end"/>
        </w:r>
      </w:hyperlink>
    </w:p>
    <w:p w14:paraId="3F951F39"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398" w:history="1">
        <w:r w:rsidR="000624CA" w:rsidRPr="00A61687">
          <w:rPr>
            <w:rStyle w:val="Hipervnculo"/>
            <w:b/>
            <w:noProof/>
          </w:rPr>
          <w:t>Gráfica 1</w:t>
        </w:r>
        <w:r w:rsidR="000624CA" w:rsidRPr="00A61687">
          <w:rPr>
            <w:rStyle w:val="Hipervnculo"/>
            <w:b/>
            <w:noProof/>
          </w:rPr>
          <w:noBreakHyphen/>
          <w:t xml:space="preserve">8. </w:t>
        </w:r>
        <w:r w:rsidR="000624CA" w:rsidRPr="00A61687">
          <w:rPr>
            <w:rStyle w:val="Hipervnculo"/>
            <w:noProof/>
          </w:rPr>
          <w:t>Comportamiento de los precios de crudo WTI y BRENT</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_Toc530033398 \h </w:instrText>
        </w:r>
        <w:r w:rsidR="000624CA" w:rsidRPr="00A61687">
          <w:rPr>
            <w:noProof/>
            <w:webHidden/>
          </w:rPr>
        </w:r>
        <w:r w:rsidR="000624CA" w:rsidRPr="00A61687">
          <w:rPr>
            <w:noProof/>
            <w:webHidden/>
          </w:rPr>
          <w:fldChar w:fldCharType="separate"/>
        </w:r>
        <w:r w:rsidR="000624CA" w:rsidRPr="00A61687">
          <w:rPr>
            <w:noProof/>
            <w:webHidden/>
          </w:rPr>
          <w:t>12</w:t>
        </w:r>
        <w:r w:rsidR="000624CA" w:rsidRPr="00A61687">
          <w:rPr>
            <w:noProof/>
            <w:webHidden/>
          </w:rPr>
          <w:fldChar w:fldCharType="end"/>
        </w:r>
      </w:hyperlink>
    </w:p>
    <w:p w14:paraId="56DBB6AE"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399" w:history="1">
        <w:r w:rsidR="000624CA" w:rsidRPr="00A61687">
          <w:rPr>
            <w:rStyle w:val="Hipervnculo"/>
            <w:b/>
            <w:noProof/>
          </w:rPr>
          <w:t>Gráfica 1</w:t>
        </w:r>
        <w:r w:rsidR="000624CA" w:rsidRPr="00A61687">
          <w:rPr>
            <w:rStyle w:val="Hipervnculo"/>
            <w:b/>
            <w:noProof/>
          </w:rPr>
          <w:noBreakHyphen/>
          <w:t xml:space="preserve">9. </w:t>
        </w:r>
        <w:r w:rsidR="000624CA" w:rsidRPr="00A61687">
          <w:rPr>
            <w:rStyle w:val="Hipervnculo"/>
            <w:noProof/>
          </w:rPr>
          <w:t>Escenario de los precios del crudo - Brent</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_Toc530033399 \h </w:instrText>
        </w:r>
        <w:r w:rsidR="000624CA" w:rsidRPr="00A61687">
          <w:rPr>
            <w:noProof/>
            <w:webHidden/>
          </w:rPr>
        </w:r>
        <w:r w:rsidR="000624CA" w:rsidRPr="00A61687">
          <w:rPr>
            <w:noProof/>
            <w:webHidden/>
          </w:rPr>
          <w:fldChar w:fldCharType="separate"/>
        </w:r>
        <w:r w:rsidR="000624CA" w:rsidRPr="00A61687">
          <w:rPr>
            <w:noProof/>
            <w:webHidden/>
          </w:rPr>
          <w:t>15</w:t>
        </w:r>
        <w:r w:rsidR="000624CA" w:rsidRPr="00A61687">
          <w:rPr>
            <w:noProof/>
            <w:webHidden/>
          </w:rPr>
          <w:fldChar w:fldCharType="end"/>
        </w:r>
      </w:hyperlink>
    </w:p>
    <w:p w14:paraId="45FC1D68"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00" w:history="1">
        <w:r w:rsidR="000624CA" w:rsidRPr="00A61687">
          <w:rPr>
            <w:rStyle w:val="Hipervnculo"/>
            <w:b/>
            <w:noProof/>
          </w:rPr>
          <w:t>Gráfica 2</w:t>
        </w:r>
        <w:r w:rsidR="000624CA" w:rsidRPr="00A61687">
          <w:rPr>
            <w:rStyle w:val="Hipervnculo"/>
            <w:b/>
            <w:noProof/>
          </w:rPr>
          <w:noBreakHyphen/>
          <w:t>1</w:t>
        </w:r>
        <w:r w:rsidR="000624CA" w:rsidRPr="00A61687">
          <w:rPr>
            <w:rStyle w:val="Hipervnculo"/>
            <w:noProof/>
          </w:rPr>
          <w:t xml:space="preserve"> Participación de capacidad instalada térmica en el SIN</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_Toc530033400 \h </w:instrText>
        </w:r>
        <w:r w:rsidR="000624CA" w:rsidRPr="00A61687">
          <w:rPr>
            <w:noProof/>
            <w:webHidden/>
          </w:rPr>
        </w:r>
        <w:r w:rsidR="000624CA" w:rsidRPr="00A61687">
          <w:rPr>
            <w:noProof/>
            <w:webHidden/>
          </w:rPr>
          <w:fldChar w:fldCharType="separate"/>
        </w:r>
        <w:r w:rsidR="000624CA" w:rsidRPr="00A61687">
          <w:rPr>
            <w:noProof/>
            <w:webHidden/>
          </w:rPr>
          <w:t>18</w:t>
        </w:r>
        <w:r w:rsidR="000624CA" w:rsidRPr="00A61687">
          <w:rPr>
            <w:noProof/>
            <w:webHidden/>
          </w:rPr>
          <w:fldChar w:fldCharType="end"/>
        </w:r>
      </w:hyperlink>
    </w:p>
    <w:p w14:paraId="740103B5"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01" w:history="1">
        <w:r w:rsidR="000624CA" w:rsidRPr="00A61687">
          <w:rPr>
            <w:rStyle w:val="Hipervnculo"/>
            <w:b/>
            <w:noProof/>
          </w:rPr>
          <w:t>Gráfica 2</w:t>
        </w:r>
        <w:r w:rsidR="000624CA" w:rsidRPr="00A61687">
          <w:rPr>
            <w:rStyle w:val="Hipervnculo"/>
            <w:b/>
            <w:noProof/>
          </w:rPr>
          <w:noBreakHyphen/>
          <w:t>2</w:t>
        </w:r>
        <w:r w:rsidR="000624CA" w:rsidRPr="00A61687">
          <w:rPr>
            <w:rStyle w:val="Hipervnculo"/>
            <w:noProof/>
          </w:rPr>
          <w:t xml:space="preserve"> Generación de electricidad por tecnología – Participación térmica</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_Toc530033401 \h </w:instrText>
        </w:r>
        <w:r w:rsidR="000624CA" w:rsidRPr="00A61687">
          <w:rPr>
            <w:noProof/>
            <w:webHidden/>
          </w:rPr>
        </w:r>
        <w:r w:rsidR="000624CA" w:rsidRPr="00A61687">
          <w:rPr>
            <w:noProof/>
            <w:webHidden/>
          </w:rPr>
          <w:fldChar w:fldCharType="separate"/>
        </w:r>
        <w:r w:rsidR="000624CA" w:rsidRPr="00A61687">
          <w:rPr>
            <w:noProof/>
            <w:webHidden/>
          </w:rPr>
          <w:t>22</w:t>
        </w:r>
        <w:r w:rsidR="000624CA" w:rsidRPr="00A61687">
          <w:rPr>
            <w:noProof/>
            <w:webHidden/>
          </w:rPr>
          <w:fldChar w:fldCharType="end"/>
        </w:r>
      </w:hyperlink>
    </w:p>
    <w:p w14:paraId="65F82A4B"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02" w:history="1">
        <w:r w:rsidR="000624CA" w:rsidRPr="00A61687">
          <w:rPr>
            <w:rStyle w:val="Hipervnculo"/>
            <w:b/>
            <w:noProof/>
          </w:rPr>
          <w:t>Gráfica 2</w:t>
        </w:r>
        <w:r w:rsidR="000624CA" w:rsidRPr="00A61687">
          <w:rPr>
            <w:rStyle w:val="Hipervnculo"/>
            <w:b/>
            <w:noProof/>
          </w:rPr>
          <w:noBreakHyphen/>
          <w:t xml:space="preserve">3 </w:t>
        </w:r>
        <w:r w:rsidR="000624CA" w:rsidRPr="00A61687">
          <w:rPr>
            <w:rStyle w:val="Hipervnculo"/>
            <w:noProof/>
          </w:rPr>
          <w:t>Uso de combustibles para generación de electricidad</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_Toc530033402 \h </w:instrText>
        </w:r>
        <w:r w:rsidR="000624CA" w:rsidRPr="00A61687">
          <w:rPr>
            <w:noProof/>
            <w:webHidden/>
          </w:rPr>
        </w:r>
        <w:r w:rsidR="000624CA" w:rsidRPr="00A61687">
          <w:rPr>
            <w:noProof/>
            <w:webHidden/>
          </w:rPr>
          <w:fldChar w:fldCharType="separate"/>
        </w:r>
        <w:r w:rsidR="000624CA" w:rsidRPr="00A61687">
          <w:rPr>
            <w:noProof/>
            <w:webHidden/>
          </w:rPr>
          <w:t>23</w:t>
        </w:r>
        <w:r w:rsidR="000624CA" w:rsidRPr="00A61687">
          <w:rPr>
            <w:noProof/>
            <w:webHidden/>
          </w:rPr>
          <w:fldChar w:fldCharType="end"/>
        </w:r>
      </w:hyperlink>
    </w:p>
    <w:p w14:paraId="7C7B5CAE"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03" w:history="1">
        <w:r w:rsidR="000624CA" w:rsidRPr="00A61687">
          <w:rPr>
            <w:rStyle w:val="Hipervnculo"/>
            <w:rFonts w:cs="Arial"/>
            <w:b/>
            <w:noProof/>
          </w:rPr>
          <w:t>Gráfica 2</w:t>
        </w:r>
        <w:r w:rsidR="000624CA" w:rsidRPr="00A61687">
          <w:rPr>
            <w:rStyle w:val="Hipervnculo"/>
            <w:rFonts w:cs="Arial"/>
            <w:b/>
            <w:noProof/>
          </w:rPr>
          <w:noBreakHyphen/>
          <w:t xml:space="preserve">4. </w:t>
        </w:r>
        <w:r w:rsidR="000624CA" w:rsidRPr="00A61687">
          <w:rPr>
            <w:rStyle w:val="Hipervnculo"/>
            <w:rFonts w:cs="Arial"/>
            <w:noProof/>
          </w:rPr>
          <w:t>Precio de bolsa, escasez y oferta por tipo de combustible</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_Toc530033403 \h </w:instrText>
        </w:r>
        <w:r w:rsidR="000624CA" w:rsidRPr="00A61687">
          <w:rPr>
            <w:noProof/>
            <w:webHidden/>
          </w:rPr>
        </w:r>
        <w:r w:rsidR="000624CA" w:rsidRPr="00A61687">
          <w:rPr>
            <w:noProof/>
            <w:webHidden/>
          </w:rPr>
          <w:fldChar w:fldCharType="separate"/>
        </w:r>
        <w:r w:rsidR="000624CA" w:rsidRPr="00A61687">
          <w:rPr>
            <w:noProof/>
            <w:webHidden/>
          </w:rPr>
          <w:t>24</w:t>
        </w:r>
        <w:r w:rsidR="000624CA" w:rsidRPr="00A61687">
          <w:rPr>
            <w:noProof/>
            <w:webHidden/>
          </w:rPr>
          <w:fldChar w:fldCharType="end"/>
        </w:r>
      </w:hyperlink>
    </w:p>
    <w:p w14:paraId="239F6C75"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04" w:history="1">
        <w:r w:rsidR="000624CA" w:rsidRPr="00A61687">
          <w:rPr>
            <w:rStyle w:val="Hipervnculo"/>
            <w:rFonts w:cs="Arial"/>
            <w:b/>
            <w:noProof/>
          </w:rPr>
          <w:t>Gráfica 3</w:t>
        </w:r>
        <w:r w:rsidR="000624CA" w:rsidRPr="00A61687">
          <w:rPr>
            <w:rStyle w:val="Hipervnculo"/>
            <w:rFonts w:cs="Arial"/>
            <w:b/>
            <w:noProof/>
          </w:rPr>
          <w:noBreakHyphen/>
          <w:t xml:space="preserve">1 </w:t>
        </w:r>
        <w:r w:rsidR="000624CA" w:rsidRPr="00A61687">
          <w:rPr>
            <w:rStyle w:val="Hipervnculo"/>
            <w:rFonts w:cs="Arial"/>
            <w:noProof/>
          </w:rPr>
          <w:t>Evolución del precio de gas natural y crudo</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_Toc530033404 \h </w:instrText>
        </w:r>
        <w:r w:rsidR="000624CA" w:rsidRPr="00A61687">
          <w:rPr>
            <w:noProof/>
            <w:webHidden/>
          </w:rPr>
        </w:r>
        <w:r w:rsidR="000624CA" w:rsidRPr="00A61687">
          <w:rPr>
            <w:noProof/>
            <w:webHidden/>
          </w:rPr>
          <w:fldChar w:fldCharType="separate"/>
        </w:r>
        <w:r w:rsidR="000624CA" w:rsidRPr="00A61687">
          <w:rPr>
            <w:noProof/>
            <w:webHidden/>
          </w:rPr>
          <w:t>27</w:t>
        </w:r>
        <w:r w:rsidR="000624CA" w:rsidRPr="00A61687">
          <w:rPr>
            <w:noProof/>
            <w:webHidden/>
          </w:rPr>
          <w:fldChar w:fldCharType="end"/>
        </w:r>
      </w:hyperlink>
    </w:p>
    <w:p w14:paraId="3610980D"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05" w:history="1">
        <w:r w:rsidR="000624CA" w:rsidRPr="00A61687">
          <w:rPr>
            <w:rStyle w:val="Hipervnculo"/>
            <w:rFonts w:cs="Arial"/>
            <w:b/>
            <w:noProof/>
          </w:rPr>
          <w:t>Gráfica 3</w:t>
        </w:r>
        <w:r w:rsidR="000624CA" w:rsidRPr="00A61687">
          <w:rPr>
            <w:rStyle w:val="Hipervnculo"/>
            <w:rFonts w:cs="Arial"/>
            <w:b/>
            <w:noProof/>
          </w:rPr>
          <w:noBreakHyphen/>
          <w:t xml:space="preserve">2. </w:t>
        </w:r>
        <w:r w:rsidR="000624CA" w:rsidRPr="00A61687">
          <w:rPr>
            <w:rStyle w:val="Hipervnculo"/>
            <w:rFonts w:cs="Arial"/>
            <w:noProof/>
          </w:rPr>
          <w:t>Plantas de licuefacción (actuales y potenciales)</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_Toc530033405 \h </w:instrText>
        </w:r>
        <w:r w:rsidR="000624CA" w:rsidRPr="00A61687">
          <w:rPr>
            <w:noProof/>
            <w:webHidden/>
          </w:rPr>
        </w:r>
        <w:r w:rsidR="000624CA" w:rsidRPr="00A61687">
          <w:rPr>
            <w:noProof/>
            <w:webHidden/>
          </w:rPr>
          <w:fldChar w:fldCharType="separate"/>
        </w:r>
        <w:r w:rsidR="000624CA" w:rsidRPr="00A61687">
          <w:rPr>
            <w:noProof/>
            <w:webHidden/>
          </w:rPr>
          <w:t>29</w:t>
        </w:r>
        <w:r w:rsidR="000624CA" w:rsidRPr="00A61687">
          <w:rPr>
            <w:noProof/>
            <w:webHidden/>
          </w:rPr>
          <w:fldChar w:fldCharType="end"/>
        </w:r>
      </w:hyperlink>
    </w:p>
    <w:p w14:paraId="35A5F281"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06" w:history="1">
        <w:r w:rsidR="000624CA" w:rsidRPr="00A61687">
          <w:rPr>
            <w:rStyle w:val="Hipervnculo"/>
            <w:rFonts w:cs="Arial"/>
            <w:b/>
            <w:noProof/>
          </w:rPr>
          <w:t>Gráfica 3</w:t>
        </w:r>
        <w:r w:rsidR="000624CA" w:rsidRPr="00A61687">
          <w:rPr>
            <w:rStyle w:val="Hipervnculo"/>
            <w:rFonts w:cs="Arial"/>
            <w:b/>
            <w:noProof/>
          </w:rPr>
          <w:noBreakHyphen/>
          <w:t xml:space="preserve">3. </w:t>
        </w:r>
        <w:r w:rsidR="000624CA" w:rsidRPr="00A61687">
          <w:rPr>
            <w:rStyle w:val="Hipervnculo"/>
            <w:rFonts w:cs="Arial"/>
            <w:noProof/>
          </w:rPr>
          <w:t>Histórico de exportaciones de GNL a nivel mundial</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_Toc530033406 \h </w:instrText>
        </w:r>
        <w:r w:rsidR="000624CA" w:rsidRPr="00A61687">
          <w:rPr>
            <w:noProof/>
            <w:webHidden/>
          </w:rPr>
        </w:r>
        <w:r w:rsidR="000624CA" w:rsidRPr="00A61687">
          <w:rPr>
            <w:noProof/>
            <w:webHidden/>
          </w:rPr>
          <w:fldChar w:fldCharType="separate"/>
        </w:r>
        <w:r w:rsidR="000624CA" w:rsidRPr="00A61687">
          <w:rPr>
            <w:noProof/>
            <w:webHidden/>
          </w:rPr>
          <w:t>32</w:t>
        </w:r>
        <w:r w:rsidR="000624CA" w:rsidRPr="00A61687">
          <w:rPr>
            <w:noProof/>
            <w:webHidden/>
          </w:rPr>
          <w:fldChar w:fldCharType="end"/>
        </w:r>
      </w:hyperlink>
    </w:p>
    <w:p w14:paraId="3A551927"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07" w:history="1">
        <w:r w:rsidR="000624CA" w:rsidRPr="00A61687">
          <w:rPr>
            <w:rStyle w:val="Hipervnculo"/>
            <w:rFonts w:cs="Arial"/>
            <w:b/>
            <w:iCs/>
            <w:noProof/>
          </w:rPr>
          <w:t>Gráfica 3</w:t>
        </w:r>
        <w:r w:rsidR="000624CA" w:rsidRPr="00A61687">
          <w:rPr>
            <w:rStyle w:val="Hipervnculo"/>
            <w:rFonts w:cs="Arial"/>
            <w:b/>
            <w:iCs/>
            <w:noProof/>
          </w:rPr>
          <w:noBreakHyphen/>
          <w:t xml:space="preserve">4. </w:t>
        </w:r>
        <w:r w:rsidR="000624CA" w:rsidRPr="00A61687">
          <w:rPr>
            <w:rStyle w:val="Hipervnculo"/>
            <w:rFonts w:cs="Arial"/>
            <w:iCs/>
            <w:noProof/>
          </w:rPr>
          <w:t>Capacidad de licuefacción de GNL a nivel mundial (Pareto)</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_Toc530033407 \h </w:instrText>
        </w:r>
        <w:r w:rsidR="000624CA" w:rsidRPr="00A61687">
          <w:rPr>
            <w:noProof/>
            <w:webHidden/>
          </w:rPr>
        </w:r>
        <w:r w:rsidR="000624CA" w:rsidRPr="00A61687">
          <w:rPr>
            <w:noProof/>
            <w:webHidden/>
          </w:rPr>
          <w:fldChar w:fldCharType="separate"/>
        </w:r>
        <w:r w:rsidR="000624CA" w:rsidRPr="00A61687">
          <w:rPr>
            <w:noProof/>
            <w:webHidden/>
          </w:rPr>
          <w:t>32</w:t>
        </w:r>
        <w:r w:rsidR="000624CA" w:rsidRPr="00A61687">
          <w:rPr>
            <w:noProof/>
            <w:webHidden/>
          </w:rPr>
          <w:fldChar w:fldCharType="end"/>
        </w:r>
      </w:hyperlink>
    </w:p>
    <w:p w14:paraId="6DB2C249"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08" w:history="1">
        <w:r w:rsidR="000624CA" w:rsidRPr="00A61687">
          <w:rPr>
            <w:rStyle w:val="Hipervnculo"/>
            <w:rFonts w:cs="Arial"/>
            <w:b/>
            <w:noProof/>
          </w:rPr>
          <w:t>Gráfica 3</w:t>
        </w:r>
        <w:r w:rsidR="000624CA" w:rsidRPr="00A61687">
          <w:rPr>
            <w:rStyle w:val="Hipervnculo"/>
            <w:rFonts w:cs="Arial"/>
            <w:b/>
            <w:noProof/>
          </w:rPr>
          <w:noBreakHyphen/>
          <w:t xml:space="preserve">5. </w:t>
        </w:r>
        <w:r w:rsidR="000624CA" w:rsidRPr="00A61687">
          <w:rPr>
            <w:rStyle w:val="Hipervnculo"/>
            <w:rFonts w:cs="Arial"/>
            <w:noProof/>
          </w:rPr>
          <w:t>Exportación de GNL a nivel mundial (Pareto)</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_Toc530033408 \h </w:instrText>
        </w:r>
        <w:r w:rsidR="000624CA" w:rsidRPr="00A61687">
          <w:rPr>
            <w:noProof/>
            <w:webHidden/>
          </w:rPr>
        </w:r>
        <w:r w:rsidR="000624CA" w:rsidRPr="00A61687">
          <w:rPr>
            <w:noProof/>
            <w:webHidden/>
          </w:rPr>
          <w:fldChar w:fldCharType="separate"/>
        </w:r>
        <w:r w:rsidR="000624CA" w:rsidRPr="00A61687">
          <w:rPr>
            <w:noProof/>
            <w:webHidden/>
          </w:rPr>
          <w:t>33</w:t>
        </w:r>
        <w:r w:rsidR="000624CA" w:rsidRPr="00A61687">
          <w:rPr>
            <w:noProof/>
            <w:webHidden/>
          </w:rPr>
          <w:fldChar w:fldCharType="end"/>
        </w:r>
      </w:hyperlink>
    </w:p>
    <w:p w14:paraId="7DD4518B"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09" w:history="1">
        <w:r w:rsidR="000624CA" w:rsidRPr="00A61687">
          <w:rPr>
            <w:rStyle w:val="Hipervnculo"/>
            <w:rFonts w:cs="Arial"/>
            <w:b/>
            <w:noProof/>
          </w:rPr>
          <w:t>Gráfica 3</w:t>
        </w:r>
        <w:r w:rsidR="000624CA" w:rsidRPr="00A61687">
          <w:rPr>
            <w:rStyle w:val="Hipervnculo"/>
            <w:rFonts w:cs="Arial"/>
            <w:b/>
            <w:noProof/>
          </w:rPr>
          <w:noBreakHyphen/>
          <w:t xml:space="preserve">6. </w:t>
        </w:r>
        <w:r w:rsidR="000624CA" w:rsidRPr="00A61687">
          <w:rPr>
            <w:rStyle w:val="Hipervnculo"/>
            <w:rFonts w:cs="Arial"/>
            <w:noProof/>
          </w:rPr>
          <w:t>Demanda de GNL en América</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_Toc530033409 \h </w:instrText>
        </w:r>
        <w:r w:rsidR="000624CA" w:rsidRPr="00A61687">
          <w:rPr>
            <w:noProof/>
            <w:webHidden/>
          </w:rPr>
        </w:r>
        <w:r w:rsidR="000624CA" w:rsidRPr="00A61687">
          <w:rPr>
            <w:noProof/>
            <w:webHidden/>
          </w:rPr>
          <w:fldChar w:fldCharType="separate"/>
        </w:r>
        <w:r w:rsidR="000624CA" w:rsidRPr="00A61687">
          <w:rPr>
            <w:noProof/>
            <w:webHidden/>
          </w:rPr>
          <w:t>34</w:t>
        </w:r>
        <w:r w:rsidR="000624CA" w:rsidRPr="00A61687">
          <w:rPr>
            <w:noProof/>
            <w:webHidden/>
          </w:rPr>
          <w:fldChar w:fldCharType="end"/>
        </w:r>
      </w:hyperlink>
    </w:p>
    <w:p w14:paraId="55493868"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10" w:history="1">
        <w:r w:rsidR="000624CA" w:rsidRPr="00A61687">
          <w:rPr>
            <w:rStyle w:val="Hipervnculo"/>
            <w:rFonts w:cs="Arial"/>
            <w:b/>
            <w:noProof/>
          </w:rPr>
          <w:t>Gráfica 3</w:t>
        </w:r>
        <w:r w:rsidR="000624CA" w:rsidRPr="00A61687">
          <w:rPr>
            <w:rStyle w:val="Hipervnculo"/>
            <w:rFonts w:cs="Arial"/>
            <w:b/>
            <w:noProof/>
          </w:rPr>
          <w:noBreakHyphen/>
          <w:t xml:space="preserve">7. </w:t>
        </w:r>
        <w:r w:rsidR="000624CA" w:rsidRPr="00A61687">
          <w:rPr>
            <w:rStyle w:val="Hipervnculo"/>
            <w:rFonts w:cs="Arial"/>
            <w:noProof/>
          </w:rPr>
          <w:t>Demanda de GNL en Europa</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_Toc530033410 \h </w:instrText>
        </w:r>
        <w:r w:rsidR="000624CA" w:rsidRPr="00A61687">
          <w:rPr>
            <w:noProof/>
            <w:webHidden/>
          </w:rPr>
        </w:r>
        <w:r w:rsidR="000624CA" w:rsidRPr="00A61687">
          <w:rPr>
            <w:noProof/>
            <w:webHidden/>
          </w:rPr>
          <w:fldChar w:fldCharType="separate"/>
        </w:r>
        <w:r w:rsidR="000624CA" w:rsidRPr="00A61687">
          <w:rPr>
            <w:noProof/>
            <w:webHidden/>
          </w:rPr>
          <w:t>35</w:t>
        </w:r>
        <w:r w:rsidR="000624CA" w:rsidRPr="00A61687">
          <w:rPr>
            <w:noProof/>
            <w:webHidden/>
          </w:rPr>
          <w:fldChar w:fldCharType="end"/>
        </w:r>
      </w:hyperlink>
    </w:p>
    <w:p w14:paraId="7505D1CF"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11" w:history="1">
        <w:r w:rsidR="000624CA" w:rsidRPr="00A61687">
          <w:rPr>
            <w:rStyle w:val="Hipervnculo"/>
            <w:rFonts w:cs="Arial"/>
            <w:b/>
            <w:noProof/>
          </w:rPr>
          <w:t>Gráfica 3</w:t>
        </w:r>
        <w:r w:rsidR="000624CA" w:rsidRPr="00A61687">
          <w:rPr>
            <w:rStyle w:val="Hipervnculo"/>
            <w:rFonts w:cs="Arial"/>
            <w:b/>
            <w:noProof/>
          </w:rPr>
          <w:noBreakHyphen/>
          <w:t xml:space="preserve">8. </w:t>
        </w:r>
        <w:r w:rsidR="000624CA" w:rsidRPr="00A61687">
          <w:rPr>
            <w:rStyle w:val="Hipervnculo"/>
            <w:rFonts w:cs="Arial"/>
            <w:noProof/>
          </w:rPr>
          <w:t>Demanda de GNL en Asia</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_Toc530033411 \h </w:instrText>
        </w:r>
        <w:r w:rsidR="000624CA" w:rsidRPr="00A61687">
          <w:rPr>
            <w:noProof/>
            <w:webHidden/>
          </w:rPr>
        </w:r>
        <w:r w:rsidR="000624CA" w:rsidRPr="00A61687">
          <w:rPr>
            <w:noProof/>
            <w:webHidden/>
          </w:rPr>
          <w:fldChar w:fldCharType="separate"/>
        </w:r>
        <w:r w:rsidR="000624CA" w:rsidRPr="00A61687">
          <w:rPr>
            <w:noProof/>
            <w:webHidden/>
          </w:rPr>
          <w:t>36</w:t>
        </w:r>
        <w:r w:rsidR="000624CA" w:rsidRPr="00A61687">
          <w:rPr>
            <w:noProof/>
            <w:webHidden/>
          </w:rPr>
          <w:fldChar w:fldCharType="end"/>
        </w:r>
      </w:hyperlink>
    </w:p>
    <w:p w14:paraId="7B4EDED8"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12" w:history="1">
        <w:r w:rsidR="000624CA" w:rsidRPr="00A61687">
          <w:rPr>
            <w:rStyle w:val="Hipervnculo"/>
            <w:rFonts w:cs="Arial"/>
            <w:b/>
            <w:noProof/>
          </w:rPr>
          <w:t>Gráfica 3</w:t>
        </w:r>
        <w:r w:rsidR="000624CA" w:rsidRPr="00A61687">
          <w:rPr>
            <w:rStyle w:val="Hipervnculo"/>
            <w:rFonts w:cs="Arial"/>
            <w:b/>
            <w:noProof/>
          </w:rPr>
          <w:noBreakHyphen/>
          <w:t xml:space="preserve">9. </w:t>
        </w:r>
        <w:r w:rsidR="000624CA" w:rsidRPr="00A61687">
          <w:rPr>
            <w:rStyle w:val="Hipervnculo"/>
            <w:rFonts w:cs="Arial"/>
            <w:noProof/>
          </w:rPr>
          <w:t>Distribución de importaciones en Latinoamérica</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_Toc530033412 \h </w:instrText>
        </w:r>
        <w:r w:rsidR="000624CA" w:rsidRPr="00A61687">
          <w:rPr>
            <w:noProof/>
            <w:webHidden/>
          </w:rPr>
        </w:r>
        <w:r w:rsidR="000624CA" w:rsidRPr="00A61687">
          <w:rPr>
            <w:noProof/>
            <w:webHidden/>
          </w:rPr>
          <w:fldChar w:fldCharType="separate"/>
        </w:r>
        <w:r w:rsidR="000624CA" w:rsidRPr="00A61687">
          <w:rPr>
            <w:noProof/>
            <w:webHidden/>
          </w:rPr>
          <w:t>39</w:t>
        </w:r>
        <w:r w:rsidR="000624CA" w:rsidRPr="00A61687">
          <w:rPr>
            <w:noProof/>
            <w:webHidden/>
          </w:rPr>
          <w:fldChar w:fldCharType="end"/>
        </w:r>
      </w:hyperlink>
    </w:p>
    <w:p w14:paraId="1BC7ECFF"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13" w:history="1">
        <w:r w:rsidR="000624CA" w:rsidRPr="00A61687">
          <w:rPr>
            <w:rStyle w:val="Hipervnculo"/>
            <w:rFonts w:eastAsiaTheme="minorHAnsi" w:cs="Arial"/>
            <w:b/>
            <w:noProof/>
            <w:lang w:val="es-ES_tradnl" w:eastAsia="en-US"/>
          </w:rPr>
          <w:t>Gráfica 3</w:t>
        </w:r>
        <w:r w:rsidR="000624CA" w:rsidRPr="00A61687">
          <w:rPr>
            <w:rStyle w:val="Hipervnculo"/>
            <w:rFonts w:eastAsiaTheme="minorHAnsi" w:cs="Arial"/>
            <w:b/>
            <w:noProof/>
            <w:lang w:val="es-ES_tradnl" w:eastAsia="en-US"/>
          </w:rPr>
          <w:noBreakHyphen/>
          <w:t xml:space="preserve">10. </w:t>
        </w:r>
        <w:r w:rsidR="000624CA" w:rsidRPr="00A61687">
          <w:rPr>
            <w:rStyle w:val="Hipervnculo"/>
            <w:rFonts w:eastAsiaTheme="minorHAnsi" w:cs="Arial"/>
            <w:noProof/>
            <w:lang w:val="es-ES_tradnl" w:eastAsia="en-US"/>
          </w:rPr>
          <w:t>Potencial de exportación de GNL a nivel mundial (Pareto)</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_Toc530033413 \h </w:instrText>
        </w:r>
        <w:r w:rsidR="000624CA" w:rsidRPr="00A61687">
          <w:rPr>
            <w:noProof/>
            <w:webHidden/>
          </w:rPr>
        </w:r>
        <w:r w:rsidR="000624CA" w:rsidRPr="00A61687">
          <w:rPr>
            <w:noProof/>
            <w:webHidden/>
          </w:rPr>
          <w:fldChar w:fldCharType="separate"/>
        </w:r>
        <w:r w:rsidR="000624CA" w:rsidRPr="00A61687">
          <w:rPr>
            <w:noProof/>
            <w:webHidden/>
          </w:rPr>
          <w:t>40</w:t>
        </w:r>
        <w:r w:rsidR="000624CA" w:rsidRPr="00A61687">
          <w:rPr>
            <w:noProof/>
            <w:webHidden/>
          </w:rPr>
          <w:fldChar w:fldCharType="end"/>
        </w:r>
      </w:hyperlink>
    </w:p>
    <w:p w14:paraId="5FDBB519"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14" w:history="1">
        <w:r w:rsidR="000624CA" w:rsidRPr="00A61687">
          <w:rPr>
            <w:rStyle w:val="Hipervnculo"/>
            <w:rFonts w:eastAsiaTheme="minorHAnsi" w:cs="Arial"/>
            <w:b/>
            <w:noProof/>
            <w:lang w:val="es-ES_tradnl" w:eastAsia="en-US"/>
          </w:rPr>
          <w:t>Gráfica 3</w:t>
        </w:r>
        <w:r w:rsidR="000624CA" w:rsidRPr="00A61687">
          <w:rPr>
            <w:rStyle w:val="Hipervnculo"/>
            <w:rFonts w:eastAsiaTheme="minorHAnsi" w:cs="Arial"/>
            <w:b/>
            <w:noProof/>
            <w:lang w:val="es-ES_tradnl" w:eastAsia="en-US"/>
          </w:rPr>
          <w:noBreakHyphen/>
          <w:t xml:space="preserve">11. </w:t>
        </w:r>
        <w:r w:rsidR="000624CA" w:rsidRPr="00A61687">
          <w:rPr>
            <w:rStyle w:val="Hipervnculo"/>
            <w:rFonts w:eastAsiaTheme="minorHAnsi" w:cs="Arial"/>
            <w:noProof/>
            <w:lang w:val="es-ES_tradnl" w:eastAsia="en-US"/>
          </w:rPr>
          <w:t>Rutas marítimas de plantas de licuefacción a puerto de Cartagena</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_Toc530033414 \h </w:instrText>
        </w:r>
        <w:r w:rsidR="000624CA" w:rsidRPr="00A61687">
          <w:rPr>
            <w:noProof/>
            <w:webHidden/>
          </w:rPr>
        </w:r>
        <w:r w:rsidR="000624CA" w:rsidRPr="00A61687">
          <w:rPr>
            <w:noProof/>
            <w:webHidden/>
          </w:rPr>
          <w:fldChar w:fldCharType="separate"/>
        </w:r>
        <w:r w:rsidR="000624CA" w:rsidRPr="00A61687">
          <w:rPr>
            <w:noProof/>
            <w:webHidden/>
          </w:rPr>
          <w:t>42</w:t>
        </w:r>
        <w:r w:rsidR="000624CA" w:rsidRPr="00A61687">
          <w:rPr>
            <w:noProof/>
            <w:webHidden/>
          </w:rPr>
          <w:fldChar w:fldCharType="end"/>
        </w:r>
      </w:hyperlink>
    </w:p>
    <w:p w14:paraId="0ABF5E58"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15" w:history="1">
        <w:r w:rsidR="000624CA" w:rsidRPr="00A61687">
          <w:rPr>
            <w:rStyle w:val="Hipervnculo"/>
            <w:rFonts w:eastAsiaTheme="minorHAnsi" w:cs="Arial"/>
            <w:b/>
            <w:noProof/>
            <w:lang w:val="es-ES_tradnl" w:eastAsia="en-US"/>
          </w:rPr>
          <w:t>Gráfica 3</w:t>
        </w:r>
        <w:r w:rsidR="000624CA" w:rsidRPr="00A61687">
          <w:rPr>
            <w:rStyle w:val="Hipervnculo"/>
            <w:rFonts w:eastAsiaTheme="minorHAnsi" w:cs="Arial"/>
            <w:b/>
            <w:noProof/>
            <w:lang w:val="es-ES_tradnl" w:eastAsia="en-US"/>
          </w:rPr>
          <w:noBreakHyphen/>
          <w:t xml:space="preserve">12 </w:t>
        </w:r>
        <w:r w:rsidR="000624CA" w:rsidRPr="00A61687">
          <w:rPr>
            <w:rStyle w:val="Hipervnculo"/>
            <w:rFonts w:eastAsiaTheme="minorHAnsi" w:cs="Arial"/>
            <w:noProof/>
            <w:lang w:val="es-ES_tradnl" w:eastAsia="en-US"/>
          </w:rPr>
          <w:t>Rutas marítimas de plantas de licuefacción a puerto de Buenaventura</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_Toc530033415 \h </w:instrText>
        </w:r>
        <w:r w:rsidR="000624CA" w:rsidRPr="00A61687">
          <w:rPr>
            <w:noProof/>
            <w:webHidden/>
          </w:rPr>
        </w:r>
        <w:r w:rsidR="000624CA" w:rsidRPr="00A61687">
          <w:rPr>
            <w:noProof/>
            <w:webHidden/>
          </w:rPr>
          <w:fldChar w:fldCharType="separate"/>
        </w:r>
        <w:r w:rsidR="000624CA" w:rsidRPr="00A61687">
          <w:rPr>
            <w:noProof/>
            <w:webHidden/>
          </w:rPr>
          <w:t>42</w:t>
        </w:r>
        <w:r w:rsidR="000624CA" w:rsidRPr="00A61687">
          <w:rPr>
            <w:noProof/>
            <w:webHidden/>
          </w:rPr>
          <w:fldChar w:fldCharType="end"/>
        </w:r>
      </w:hyperlink>
    </w:p>
    <w:p w14:paraId="6A931CC6"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16" w:history="1">
        <w:r w:rsidR="000624CA" w:rsidRPr="00A61687">
          <w:rPr>
            <w:rStyle w:val="Hipervnculo"/>
            <w:rFonts w:cs="Arial"/>
            <w:b/>
            <w:noProof/>
          </w:rPr>
          <w:t>Gráfica 3</w:t>
        </w:r>
        <w:r w:rsidR="000624CA" w:rsidRPr="00A61687">
          <w:rPr>
            <w:rStyle w:val="Hipervnculo"/>
            <w:rFonts w:cs="Arial"/>
            <w:b/>
            <w:noProof/>
          </w:rPr>
          <w:noBreakHyphen/>
          <w:t xml:space="preserve">13. </w:t>
        </w:r>
        <w:r w:rsidR="000624CA" w:rsidRPr="00A61687">
          <w:rPr>
            <w:rStyle w:val="Hipervnculo"/>
            <w:rFonts w:cs="Arial"/>
            <w:noProof/>
          </w:rPr>
          <w:t>Costos de transporte de GNL</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_Toc530033416 \h </w:instrText>
        </w:r>
        <w:r w:rsidR="000624CA" w:rsidRPr="00A61687">
          <w:rPr>
            <w:noProof/>
            <w:webHidden/>
          </w:rPr>
        </w:r>
        <w:r w:rsidR="000624CA" w:rsidRPr="00A61687">
          <w:rPr>
            <w:noProof/>
            <w:webHidden/>
          </w:rPr>
          <w:fldChar w:fldCharType="separate"/>
        </w:r>
        <w:r w:rsidR="000624CA" w:rsidRPr="00A61687">
          <w:rPr>
            <w:noProof/>
            <w:webHidden/>
          </w:rPr>
          <w:t>45</w:t>
        </w:r>
        <w:r w:rsidR="000624CA" w:rsidRPr="00A61687">
          <w:rPr>
            <w:noProof/>
            <w:webHidden/>
          </w:rPr>
          <w:fldChar w:fldCharType="end"/>
        </w:r>
      </w:hyperlink>
    </w:p>
    <w:p w14:paraId="28C3CAB9"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17" w:history="1">
        <w:r w:rsidR="000624CA" w:rsidRPr="00A61687">
          <w:rPr>
            <w:rStyle w:val="Hipervnculo"/>
            <w:rFonts w:cs="Arial"/>
            <w:b/>
            <w:noProof/>
          </w:rPr>
          <w:t>Gráfica 3</w:t>
        </w:r>
        <w:r w:rsidR="000624CA" w:rsidRPr="00A61687">
          <w:rPr>
            <w:rStyle w:val="Hipervnculo"/>
            <w:rFonts w:cs="Arial"/>
            <w:b/>
            <w:noProof/>
          </w:rPr>
          <w:noBreakHyphen/>
          <w:t xml:space="preserve">14. </w:t>
        </w:r>
        <w:r w:rsidR="000624CA" w:rsidRPr="00A61687">
          <w:rPr>
            <w:rStyle w:val="Hipervnculo"/>
            <w:rFonts w:cs="Arial"/>
            <w:noProof/>
          </w:rPr>
          <w:t>Precios Nacionales por campo (2015 - 2017)</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_Toc530033417 \h </w:instrText>
        </w:r>
        <w:r w:rsidR="000624CA" w:rsidRPr="00A61687">
          <w:rPr>
            <w:noProof/>
            <w:webHidden/>
          </w:rPr>
        </w:r>
        <w:r w:rsidR="000624CA" w:rsidRPr="00A61687">
          <w:rPr>
            <w:noProof/>
            <w:webHidden/>
          </w:rPr>
          <w:fldChar w:fldCharType="separate"/>
        </w:r>
        <w:r w:rsidR="000624CA" w:rsidRPr="00A61687">
          <w:rPr>
            <w:noProof/>
            <w:webHidden/>
          </w:rPr>
          <w:t>47</w:t>
        </w:r>
        <w:r w:rsidR="000624CA" w:rsidRPr="00A61687">
          <w:rPr>
            <w:noProof/>
            <w:webHidden/>
          </w:rPr>
          <w:fldChar w:fldCharType="end"/>
        </w:r>
      </w:hyperlink>
    </w:p>
    <w:p w14:paraId="7A44D92B"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18" w:history="1">
        <w:r w:rsidR="000624CA" w:rsidRPr="00A61687">
          <w:rPr>
            <w:rStyle w:val="Hipervnculo"/>
            <w:rFonts w:cs="Arial"/>
            <w:b/>
            <w:iCs/>
            <w:noProof/>
          </w:rPr>
          <w:t>Gráfica 3</w:t>
        </w:r>
        <w:r w:rsidR="000624CA" w:rsidRPr="00A61687">
          <w:rPr>
            <w:rStyle w:val="Hipervnculo"/>
            <w:rFonts w:cs="Arial"/>
            <w:b/>
            <w:iCs/>
            <w:noProof/>
          </w:rPr>
          <w:noBreakHyphen/>
          <w:t xml:space="preserve">15. </w:t>
        </w:r>
        <w:r w:rsidR="000624CA" w:rsidRPr="00A61687">
          <w:rPr>
            <w:rStyle w:val="Hipervnculo"/>
            <w:rFonts w:cs="Arial"/>
            <w:iCs/>
            <w:noProof/>
          </w:rPr>
          <w:t>Escenarios Precios Costa para Guajira (2017 – 2040)</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_Toc530033418 \h </w:instrText>
        </w:r>
        <w:r w:rsidR="000624CA" w:rsidRPr="00A61687">
          <w:rPr>
            <w:noProof/>
            <w:webHidden/>
          </w:rPr>
        </w:r>
        <w:r w:rsidR="000624CA" w:rsidRPr="00A61687">
          <w:rPr>
            <w:noProof/>
            <w:webHidden/>
          </w:rPr>
          <w:fldChar w:fldCharType="separate"/>
        </w:r>
        <w:r w:rsidR="000624CA" w:rsidRPr="00A61687">
          <w:rPr>
            <w:noProof/>
            <w:webHidden/>
          </w:rPr>
          <w:t>51</w:t>
        </w:r>
        <w:r w:rsidR="000624CA" w:rsidRPr="00A61687">
          <w:rPr>
            <w:noProof/>
            <w:webHidden/>
          </w:rPr>
          <w:fldChar w:fldCharType="end"/>
        </w:r>
      </w:hyperlink>
    </w:p>
    <w:p w14:paraId="3E4C4F24"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19" w:history="1">
        <w:r w:rsidR="000624CA" w:rsidRPr="00A61687">
          <w:rPr>
            <w:rStyle w:val="Hipervnculo"/>
            <w:rFonts w:cs="Arial"/>
            <w:b/>
            <w:iCs/>
            <w:noProof/>
          </w:rPr>
          <w:t>Gráfica 3</w:t>
        </w:r>
        <w:r w:rsidR="000624CA" w:rsidRPr="00A61687">
          <w:rPr>
            <w:rStyle w:val="Hipervnculo"/>
            <w:rFonts w:cs="Arial"/>
            <w:b/>
            <w:iCs/>
            <w:noProof/>
          </w:rPr>
          <w:noBreakHyphen/>
          <w:t xml:space="preserve">16 </w:t>
        </w:r>
        <w:r w:rsidR="000624CA" w:rsidRPr="00A61687">
          <w:rPr>
            <w:rStyle w:val="Hipervnculo"/>
            <w:rFonts w:cs="Arial"/>
            <w:iCs/>
            <w:noProof/>
          </w:rPr>
          <w:t>Escenarios Precios Costa para Mamonal (2017 – 2040)</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_Toc530033419 \h </w:instrText>
        </w:r>
        <w:r w:rsidR="000624CA" w:rsidRPr="00A61687">
          <w:rPr>
            <w:noProof/>
            <w:webHidden/>
          </w:rPr>
        </w:r>
        <w:r w:rsidR="000624CA" w:rsidRPr="00A61687">
          <w:rPr>
            <w:noProof/>
            <w:webHidden/>
          </w:rPr>
          <w:fldChar w:fldCharType="separate"/>
        </w:r>
        <w:r w:rsidR="000624CA" w:rsidRPr="00A61687">
          <w:rPr>
            <w:noProof/>
            <w:webHidden/>
          </w:rPr>
          <w:t>51</w:t>
        </w:r>
        <w:r w:rsidR="000624CA" w:rsidRPr="00A61687">
          <w:rPr>
            <w:noProof/>
            <w:webHidden/>
          </w:rPr>
          <w:fldChar w:fldCharType="end"/>
        </w:r>
      </w:hyperlink>
    </w:p>
    <w:p w14:paraId="1084F01F"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20" w:history="1">
        <w:r w:rsidR="000624CA" w:rsidRPr="00A61687">
          <w:rPr>
            <w:rStyle w:val="Hipervnculo"/>
            <w:rFonts w:cs="Arial"/>
            <w:b/>
            <w:noProof/>
          </w:rPr>
          <w:t>Gráfica 3</w:t>
        </w:r>
        <w:r w:rsidR="000624CA" w:rsidRPr="00A61687">
          <w:rPr>
            <w:rStyle w:val="Hipervnculo"/>
            <w:rFonts w:cs="Arial"/>
            <w:b/>
            <w:noProof/>
          </w:rPr>
          <w:noBreakHyphen/>
          <w:t xml:space="preserve">17 </w:t>
        </w:r>
        <w:r w:rsidR="000624CA" w:rsidRPr="00A61687">
          <w:rPr>
            <w:rStyle w:val="Hipervnculo"/>
            <w:rFonts w:cs="Arial"/>
            <w:noProof/>
          </w:rPr>
          <w:t>Proyección escenario de referencia por ramal</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_Toc530033420 \h </w:instrText>
        </w:r>
        <w:r w:rsidR="000624CA" w:rsidRPr="00A61687">
          <w:rPr>
            <w:noProof/>
            <w:webHidden/>
          </w:rPr>
        </w:r>
        <w:r w:rsidR="000624CA" w:rsidRPr="00A61687">
          <w:rPr>
            <w:noProof/>
            <w:webHidden/>
          </w:rPr>
          <w:fldChar w:fldCharType="separate"/>
        </w:r>
        <w:r w:rsidR="000624CA" w:rsidRPr="00A61687">
          <w:rPr>
            <w:noProof/>
            <w:webHidden/>
          </w:rPr>
          <w:t>53</w:t>
        </w:r>
        <w:r w:rsidR="000624CA" w:rsidRPr="00A61687">
          <w:rPr>
            <w:noProof/>
            <w:webHidden/>
          </w:rPr>
          <w:fldChar w:fldCharType="end"/>
        </w:r>
      </w:hyperlink>
    </w:p>
    <w:p w14:paraId="56FC9925"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21" w:history="1">
        <w:r w:rsidR="000624CA" w:rsidRPr="00A61687">
          <w:rPr>
            <w:rStyle w:val="Hipervnculo"/>
            <w:rFonts w:cs="Arial"/>
            <w:b/>
            <w:noProof/>
          </w:rPr>
          <w:t>Gráfica 3</w:t>
        </w:r>
        <w:r w:rsidR="000624CA" w:rsidRPr="00A61687">
          <w:rPr>
            <w:rStyle w:val="Hipervnculo"/>
            <w:rFonts w:cs="Arial"/>
            <w:b/>
            <w:noProof/>
          </w:rPr>
          <w:noBreakHyphen/>
          <w:t xml:space="preserve">18. </w:t>
        </w:r>
        <w:r w:rsidR="000624CA" w:rsidRPr="00A61687">
          <w:rPr>
            <w:rStyle w:val="Hipervnculo"/>
            <w:rFonts w:cs="Arial"/>
            <w:noProof/>
          </w:rPr>
          <w:t>Estimación del precio del Gas en plantas Térmicas del Interior</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_Toc530033421 \h </w:instrText>
        </w:r>
        <w:r w:rsidR="000624CA" w:rsidRPr="00A61687">
          <w:rPr>
            <w:noProof/>
            <w:webHidden/>
          </w:rPr>
        </w:r>
        <w:r w:rsidR="000624CA" w:rsidRPr="00A61687">
          <w:rPr>
            <w:noProof/>
            <w:webHidden/>
          </w:rPr>
          <w:fldChar w:fldCharType="separate"/>
        </w:r>
        <w:r w:rsidR="000624CA" w:rsidRPr="00A61687">
          <w:rPr>
            <w:noProof/>
            <w:webHidden/>
          </w:rPr>
          <w:t>54</w:t>
        </w:r>
        <w:r w:rsidR="000624CA" w:rsidRPr="00A61687">
          <w:rPr>
            <w:noProof/>
            <w:webHidden/>
          </w:rPr>
          <w:fldChar w:fldCharType="end"/>
        </w:r>
      </w:hyperlink>
    </w:p>
    <w:p w14:paraId="338C1003"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22" w:history="1">
        <w:r w:rsidR="000624CA" w:rsidRPr="00A61687">
          <w:rPr>
            <w:rStyle w:val="Hipervnculo"/>
            <w:rFonts w:cs="Arial"/>
            <w:b/>
            <w:noProof/>
          </w:rPr>
          <w:t>Gráfica 3</w:t>
        </w:r>
        <w:r w:rsidR="000624CA" w:rsidRPr="00A61687">
          <w:rPr>
            <w:rStyle w:val="Hipervnculo"/>
            <w:rFonts w:cs="Arial"/>
            <w:b/>
            <w:noProof/>
          </w:rPr>
          <w:noBreakHyphen/>
          <w:t xml:space="preserve">19 </w:t>
        </w:r>
        <w:r w:rsidR="000624CA" w:rsidRPr="00A61687">
          <w:rPr>
            <w:rStyle w:val="Hipervnculo"/>
            <w:rFonts w:cs="Arial"/>
            <w:noProof/>
          </w:rPr>
          <w:t>Precio térmicas de occidente con y sin Planta de Regasificación en Buenaventura</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_Toc530033422 \h </w:instrText>
        </w:r>
        <w:r w:rsidR="000624CA" w:rsidRPr="00A61687">
          <w:rPr>
            <w:noProof/>
            <w:webHidden/>
          </w:rPr>
        </w:r>
        <w:r w:rsidR="000624CA" w:rsidRPr="00A61687">
          <w:rPr>
            <w:noProof/>
            <w:webHidden/>
          </w:rPr>
          <w:fldChar w:fldCharType="separate"/>
        </w:r>
        <w:r w:rsidR="000624CA" w:rsidRPr="00A61687">
          <w:rPr>
            <w:noProof/>
            <w:webHidden/>
          </w:rPr>
          <w:t>54</w:t>
        </w:r>
        <w:r w:rsidR="000624CA" w:rsidRPr="00A61687">
          <w:rPr>
            <w:noProof/>
            <w:webHidden/>
          </w:rPr>
          <w:fldChar w:fldCharType="end"/>
        </w:r>
      </w:hyperlink>
    </w:p>
    <w:p w14:paraId="1F4F0853"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23" w:history="1">
        <w:r w:rsidR="000624CA" w:rsidRPr="00A61687">
          <w:rPr>
            <w:rStyle w:val="Hipervnculo"/>
            <w:b/>
            <w:noProof/>
          </w:rPr>
          <w:t>Gráfica 4</w:t>
        </w:r>
        <w:r w:rsidR="000624CA" w:rsidRPr="00A61687">
          <w:rPr>
            <w:rStyle w:val="Hipervnculo"/>
            <w:b/>
            <w:noProof/>
          </w:rPr>
          <w:noBreakHyphen/>
          <w:t xml:space="preserve">1. </w:t>
        </w:r>
        <w:r w:rsidR="000624CA" w:rsidRPr="00A61687">
          <w:rPr>
            <w:rStyle w:val="Hipervnculo"/>
            <w:noProof/>
          </w:rPr>
          <w:t>Ingreso al productor de Jet Fuel Colombia e Índice Jet 54 U.S. Gulf Coast</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_Toc530033423 \h </w:instrText>
        </w:r>
        <w:r w:rsidR="000624CA" w:rsidRPr="00A61687">
          <w:rPr>
            <w:noProof/>
            <w:webHidden/>
          </w:rPr>
        </w:r>
        <w:r w:rsidR="000624CA" w:rsidRPr="00A61687">
          <w:rPr>
            <w:noProof/>
            <w:webHidden/>
          </w:rPr>
          <w:fldChar w:fldCharType="separate"/>
        </w:r>
        <w:r w:rsidR="000624CA" w:rsidRPr="00A61687">
          <w:rPr>
            <w:noProof/>
            <w:webHidden/>
          </w:rPr>
          <w:t>56</w:t>
        </w:r>
        <w:r w:rsidR="000624CA" w:rsidRPr="00A61687">
          <w:rPr>
            <w:noProof/>
            <w:webHidden/>
          </w:rPr>
          <w:fldChar w:fldCharType="end"/>
        </w:r>
      </w:hyperlink>
    </w:p>
    <w:p w14:paraId="35FF2BB3"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24" w:history="1">
        <w:r w:rsidR="000624CA" w:rsidRPr="00A61687">
          <w:rPr>
            <w:rStyle w:val="Hipervnculo"/>
            <w:b/>
            <w:noProof/>
          </w:rPr>
          <w:t>Gráfica 4</w:t>
        </w:r>
        <w:r w:rsidR="000624CA" w:rsidRPr="00A61687">
          <w:rPr>
            <w:rStyle w:val="Hipervnculo"/>
            <w:b/>
            <w:noProof/>
          </w:rPr>
          <w:noBreakHyphen/>
          <w:t xml:space="preserve">2. </w:t>
        </w:r>
        <w:r w:rsidR="000624CA" w:rsidRPr="00A61687">
          <w:rPr>
            <w:rStyle w:val="Hipervnculo"/>
            <w:noProof/>
          </w:rPr>
          <w:t>Perspectiva corto plazo IP Jet Fuel Colombia</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_Toc530033424 \h </w:instrText>
        </w:r>
        <w:r w:rsidR="000624CA" w:rsidRPr="00A61687">
          <w:rPr>
            <w:noProof/>
            <w:webHidden/>
          </w:rPr>
        </w:r>
        <w:r w:rsidR="000624CA" w:rsidRPr="00A61687">
          <w:rPr>
            <w:noProof/>
            <w:webHidden/>
          </w:rPr>
          <w:fldChar w:fldCharType="separate"/>
        </w:r>
        <w:r w:rsidR="000624CA" w:rsidRPr="00A61687">
          <w:rPr>
            <w:noProof/>
            <w:webHidden/>
          </w:rPr>
          <w:t>57</w:t>
        </w:r>
        <w:r w:rsidR="000624CA" w:rsidRPr="00A61687">
          <w:rPr>
            <w:noProof/>
            <w:webHidden/>
          </w:rPr>
          <w:fldChar w:fldCharType="end"/>
        </w:r>
      </w:hyperlink>
    </w:p>
    <w:p w14:paraId="193C39D0"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25" w:history="1">
        <w:r w:rsidR="000624CA" w:rsidRPr="00A61687">
          <w:rPr>
            <w:rStyle w:val="Hipervnculo"/>
            <w:b/>
            <w:noProof/>
          </w:rPr>
          <w:t>Gráfica 4</w:t>
        </w:r>
        <w:r w:rsidR="000624CA" w:rsidRPr="00A61687">
          <w:rPr>
            <w:rStyle w:val="Hipervnculo"/>
            <w:b/>
            <w:noProof/>
          </w:rPr>
          <w:noBreakHyphen/>
          <w:t xml:space="preserve">3. </w:t>
        </w:r>
        <w:r w:rsidR="000624CA" w:rsidRPr="00A61687">
          <w:rPr>
            <w:rStyle w:val="Hipervnculo"/>
            <w:noProof/>
          </w:rPr>
          <w:t>Proyección por escenarios del ingreso al productor colombiano del Jet Fuel</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_Toc530033425 \h </w:instrText>
        </w:r>
        <w:r w:rsidR="000624CA" w:rsidRPr="00A61687">
          <w:rPr>
            <w:noProof/>
            <w:webHidden/>
          </w:rPr>
        </w:r>
        <w:r w:rsidR="000624CA" w:rsidRPr="00A61687">
          <w:rPr>
            <w:noProof/>
            <w:webHidden/>
          </w:rPr>
          <w:fldChar w:fldCharType="separate"/>
        </w:r>
        <w:r w:rsidR="000624CA" w:rsidRPr="00A61687">
          <w:rPr>
            <w:noProof/>
            <w:webHidden/>
          </w:rPr>
          <w:t>58</w:t>
        </w:r>
        <w:r w:rsidR="000624CA" w:rsidRPr="00A61687">
          <w:rPr>
            <w:noProof/>
            <w:webHidden/>
          </w:rPr>
          <w:fldChar w:fldCharType="end"/>
        </w:r>
      </w:hyperlink>
    </w:p>
    <w:p w14:paraId="3682947D"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26" w:history="1">
        <w:r w:rsidR="000624CA" w:rsidRPr="00A61687">
          <w:rPr>
            <w:rStyle w:val="Hipervnculo"/>
            <w:b/>
            <w:noProof/>
          </w:rPr>
          <w:t>Gráfica 4</w:t>
        </w:r>
        <w:r w:rsidR="000624CA" w:rsidRPr="00A61687">
          <w:rPr>
            <w:rStyle w:val="Hipervnculo"/>
            <w:b/>
            <w:noProof/>
          </w:rPr>
          <w:noBreakHyphen/>
          <w:t>4</w:t>
        </w:r>
        <w:r w:rsidR="000624CA" w:rsidRPr="00A61687">
          <w:rPr>
            <w:rStyle w:val="Hipervnculo"/>
            <w:noProof/>
          </w:rPr>
          <w:t>. Estimación del precio de Jet Fuel en planta de Termocentro y Termodorada</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_Toc530033426 \h </w:instrText>
        </w:r>
        <w:r w:rsidR="000624CA" w:rsidRPr="00A61687">
          <w:rPr>
            <w:noProof/>
            <w:webHidden/>
          </w:rPr>
        </w:r>
        <w:r w:rsidR="000624CA" w:rsidRPr="00A61687">
          <w:rPr>
            <w:noProof/>
            <w:webHidden/>
          </w:rPr>
          <w:fldChar w:fldCharType="separate"/>
        </w:r>
        <w:r w:rsidR="000624CA" w:rsidRPr="00A61687">
          <w:rPr>
            <w:noProof/>
            <w:webHidden/>
          </w:rPr>
          <w:t>59</w:t>
        </w:r>
        <w:r w:rsidR="000624CA" w:rsidRPr="00A61687">
          <w:rPr>
            <w:noProof/>
            <w:webHidden/>
          </w:rPr>
          <w:fldChar w:fldCharType="end"/>
        </w:r>
      </w:hyperlink>
    </w:p>
    <w:p w14:paraId="4A875487"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27" w:history="1">
        <w:r w:rsidR="000624CA" w:rsidRPr="00A61687">
          <w:rPr>
            <w:rStyle w:val="Hipervnculo"/>
            <w:b/>
            <w:noProof/>
          </w:rPr>
          <w:t>Gráfica 5</w:t>
        </w:r>
        <w:r w:rsidR="000624CA" w:rsidRPr="00A61687">
          <w:rPr>
            <w:rStyle w:val="Hipervnculo"/>
            <w:b/>
            <w:noProof/>
          </w:rPr>
          <w:noBreakHyphen/>
          <w:t xml:space="preserve">1. </w:t>
        </w:r>
        <w:r w:rsidR="000624CA" w:rsidRPr="00A61687">
          <w:rPr>
            <w:rStyle w:val="Hipervnculo"/>
            <w:noProof/>
          </w:rPr>
          <w:t>Ingreso al productor del Fuel Oíl colombiano e índice del U.S. Gulf Coast</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_Toc530033427 \h </w:instrText>
        </w:r>
        <w:r w:rsidR="000624CA" w:rsidRPr="00A61687">
          <w:rPr>
            <w:noProof/>
            <w:webHidden/>
          </w:rPr>
        </w:r>
        <w:r w:rsidR="000624CA" w:rsidRPr="00A61687">
          <w:rPr>
            <w:noProof/>
            <w:webHidden/>
          </w:rPr>
          <w:fldChar w:fldCharType="separate"/>
        </w:r>
        <w:r w:rsidR="000624CA" w:rsidRPr="00A61687">
          <w:rPr>
            <w:noProof/>
            <w:webHidden/>
          </w:rPr>
          <w:t>61</w:t>
        </w:r>
        <w:r w:rsidR="000624CA" w:rsidRPr="00A61687">
          <w:rPr>
            <w:noProof/>
            <w:webHidden/>
          </w:rPr>
          <w:fldChar w:fldCharType="end"/>
        </w:r>
      </w:hyperlink>
    </w:p>
    <w:p w14:paraId="44C2A612"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28" w:history="1">
        <w:r w:rsidR="000624CA" w:rsidRPr="00A61687">
          <w:rPr>
            <w:rStyle w:val="Hipervnculo"/>
            <w:b/>
            <w:noProof/>
          </w:rPr>
          <w:t>Gráfica 5</w:t>
        </w:r>
        <w:r w:rsidR="000624CA" w:rsidRPr="00A61687">
          <w:rPr>
            <w:rStyle w:val="Hipervnculo"/>
            <w:b/>
            <w:noProof/>
          </w:rPr>
          <w:noBreakHyphen/>
          <w:t xml:space="preserve">2. </w:t>
        </w:r>
        <w:r w:rsidR="000624CA" w:rsidRPr="00A61687">
          <w:rPr>
            <w:rStyle w:val="Hipervnculo"/>
            <w:noProof/>
          </w:rPr>
          <w:t>Perspectiva corto plazo IP Fuel Oil</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_Toc530033428 \h </w:instrText>
        </w:r>
        <w:r w:rsidR="000624CA" w:rsidRPr="00A61687">
          <w:rPr>
            <w:noProof/>
            <w:webHidden/>
          </w:rPr>
        </w:r>
        <w:r w:rsidR="000624CA" w:rsidRPr="00A61687">
          <w:rPr>
            <w:noProof/>
            <w:webHidden/>
          </w:rPr>
          <w:fldChar w:fldCharType="separate"/>
        </w:r>
        <w:r w:rsidR="000624CA" w:rsidRPr="00A61687">
          <w:rPr>
            <w:noProof/>
            <w:webHidden/>
          </w:rPr>
          <w:t>62</w:t>
        </w:r>
        <w:r w:rsidR="000624CA" w:rsidRPr="00A61687">
          <w:rPr>
            <w:noProof/>
            <w:webHidden/>
          </w:rPr>
          <w:fldChar w:fldCharType="end"/>
        </w:r>
      </w:hyperlink>
    </w:p>
    <w:p w14:paraId="7A69D102"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29" w:history="1">
        <w:r w:rsidR="000624CA" w:rsidRPr="00A61687">
          <w:rPr>
            <w:rStyle w:val="Hipervnculo"/>
            <w:b/>
            <w:noProof/>
          </w:rPr>
          <w:t>Gráfica 5</w:t>
        </w:r>
        <w:r w:rsidR="000624CA" w:rsidRPr="00A61687">
          <w:rPr>
            <w:rStyle w:val="Hipervnculo"/>
            <w:b/>
            <w:noProof/>
          </w:rPr>
          <w:noBreakHyphen/>
          <w:t xml:space="preserve">3. </w:t>
        </w:r>
        <w:r w:rsidR="000624CA" w:rsidRPr="00A61687">
          <w:rPr>
            <w:rStyle w:val="Hipervnculo"/>
            <w:noProof/>
          </w:rPr>
          <w:t>Proyección por escenarios del ingreso al productor colombiano del Fuel Oíl</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_Toc530033429 \h </w:instrText>
        </w:r>
        <w:r w:rsidR="000624CA" w:rsidRPr="00A61687">
          <w:rPr>
            <w:noProof/>
            <w:webHidden/>
          </w:rPr>
        </w:r>
        <w:r w:rsidR="000624CA" w:rsidRPr="00A61687">
          <w:rPr>
            <w:noProof/>
            <w:webHidden/>
          </w:rPr>
          <w:fldChar w:fldCharType="separate"/>
        </w:r>
        <w:r w:rsidR="000624CA" w:rsidRPr="00A61687">
          <w:rPr>
            <w:noProof/>
            <w:webHidden/>
          </w:rPr>
          <w:t>63</w:t>
        </w:r>
        <w:r w:rsidR="000624CA" w:rsidRPr="00A61687">
          <w:rPr>
            <w:noProof/>
            <w:webHidden/>
          </w:rPr>
          <w:fldChar w:fldCharType="end"/>
        </w:r>
      </w:hyperlink>
    </w:p>
    <w:p w14:paraId="48843D13"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30" w:history="1">
        <w:r w:rsidR="000624CA" w:rsidRPr="00A61687">
          <w:rPr>
            <w:rStyle w:val="Hipervnculo"/>
            <w:b/>
            <w:noProof/>
          </w:rPr>
          <w:t>Gráfica 5</w:t>
        </w:r>
        <w:r w:rsidR="000624CA" w:rsidRPr="00A61687">
          <w:rPr>
            <w:rStyle w:val="Hipervnculo"/>
            <w:b/>
            <w:noProof/>
          </w:rPr>
          <w:noBreakHyphen/>
          <w:t xml:space="preserve">4. </w:t>
        </w:r>
        <w:r w:rsidR="000624CA" w:rsidRPr="00A61687">
          <w:rPr>
            <w:rStyle w:val="Hipervnculo"/>
            <w:noProof/>
          </w:rPr>
          <w:t>Proyecciones del precio de referencia del Fuel Oíl Termo Barranquilla-Cartagena-Emcali</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_Toc530033430 \h </w:instrText>
        </w:r>
        <w:r w:rsidR="000624CA" w:rsidRPr="00A61687">
          <w:rPr>
            <w:noProof/>
            <w:webHidden/>
          </w:rPr>
        </w:r>
        <w:r w:rsidR="000624CA" w:rsidRPr="00A61687">
          <w:rPr>
            <w:noProof/>
            <w:webHidden/>
          </w:rPr>
          <w:fldChar w:fldCharType="separate"/>
        </w:r>
        <w:r w:rsidR="000624CA" w:rsidRPr="00A61687">
          <w:rPr>
            <w:noProof/>
            <w:webHidden/>
          </w:rPr>
          <w:t>64</w:t>
        </w:r>
        <w:r w:rsidR="000624CA" w:rsidRPr="00A61687">
          <w:rPr>
            <w:noProof/>
            <w:webHidden/>
          </w:rPr>
          <w:fldChar w:fldCharType="end"/>
        </w:r>
      </w:hyperlink>
    </w:p>
    <w:p w14:paraId="1427EBC7"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31" w:history="1">
        <w:r w:rsidR="000624CA" w:rsidRPr="00A61687">
          <w:rPr>
            <w:rStyle w:val="Hipervnculo"/>
            <w:b/>
            <w:noProof/>
          </w:rPr>
          <w:t>Gráfica 6</w:t>
        </w:r>
        <w:r w:rsidR="000624CA" w:rsidRPr="00A61687">
          <w:rPr>
            <w:rStyle w:val="Hipervnculo"/>
            <w:b/>
            <w:noProof/>
          </w:rPr>
          <w:noBreakHyphen/>
          <w:t xml:space="preserve">1. </w:t>
        </w:r>
        <w:r w:rsidR="000624CA" w:rsidRPr="00A61687">
          <w:rPr>
            <w:rStyle w:val="Hipervnculo"/>
            <w:noProof/>
          </w:rPr>
          <w:t>Ingreso al productor de la gasolina e índice del U.S. Gulf Coast</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_Toc530033431 \h </w:instrText>
        </w:r>
        <w:r w:rsidR="000624CA" w:rsidRPr="00A61687">
          <w:rPr>
            <w:noProof/>
            <w:webHidden/>
          </w:rPr>
        </w:r>
        <w:r w:rsidR="000624CA" w:rsidRPr="00A61687">
          <w:rPr>
            <w:noProof/>
            <w:webHidden/>
          </w:rPr>
          <w:fldChar w:fldCharType="separate"/>
        </w:r>
        <w:r w:rsidR="000624CA" w:rsidRPr="00A61687">
          <w:rPr>
            <w:noProof/>
            <w:webHidden/>
          </w:rPr>
          <w:t>68</w:t>
        </w:r>
        <w:r w:rsidR="000624CA" w:rsidRPr="00A61687">
          <w:rPr>
            <w:noProof/>
            <w:webHidden/>
          </w:rPr>
          <w:fldChar w:fldCharType="end"/>
        </w:r>
      </w:hyperlink>
    </w:p>
    <w:p w14:paraId="5A8CFE05"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32" w:history="1">
        <w:r w:rsidR="000624CA" w:rsidRPr="00A61687">
          <w:rPr>
            <w:rStyle w:val="Hipervnculo"/>
            <w:b/>
            <w:noProof/>
          </w:rPr>
          <w:t>Gráfica 6</w:t>
        </w:r>
        <w:r w:rsidR="000624CA" w:rsidRPr="00A61687">
          <w:rPr>
            <w:rStyle w:val="Hipervnculo"/>
            <w:b/>
            <w:noProof/>
          </w:rPr>
          <w:noBreakHyphen/>
          <w:t xml:space="preserve">2. </w:t>
        </w:r>
        <w:r w:rsidR="000624CA" w:rsidRPr="00A61687">
          <w:rPr>
            <w:rStyle w:val="Hipervnculo"/>
            <w:noProof/>
          </w:rPr>
          <w:t>Perspectiva corto plazo IP gasolina motor corriente</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_Toc530033432 \h </w:instrText>
        </w:r>
        <w:r w:rsidR="000624CA" w:rsidRPr="00A61687">
          <w:rPr>
            <w:noProof/>
            <w:webHidden/>
          </w:rPr>
        </w:r>
        <w:r w:rsidR="000624CA" w:rsidRPr="00A61687">
          <w:rPr>
            <w:noProof/>
            <w:webHidden/>
          </w:rPr>
          <w:fldChar w:fldCharType="separate"/>
        </w:r>
        <w:r w:rsidR="000624CA" w:rsidRPr="00A61687">
          <w:rPr>
            <w:noProof/>
            <w:webHidden/>
          </w:rPr>
          <w:t>69</w:t>
        </w:r>
        <w:r w:rsidR="000624CA" w:rsidRPr="00A61687">
          <w:rPr>
            <w:noProof/>
            <w:webHidden/>
          </w:rPr>
          <w:fldChar w:fldCharType="end"/>
        </w:r>
      </w:hyperlink>
    </w:p>
    <w:p w14:paraId="6DF9DFA7"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33" w:history="1">
        <w:r w:rsidR="000624CA" w:rsidRPr="00A61687">
          <w:rPr>
            <w:rStyle w:val="Hipervnculo"/>
            <w:b/>
            <w:noProof/>
          </w:rPr>
          <w:t>Gráfica 6</w:t>
        </w:r>
        <w:r w:rsidR="000624CA" w:rsidRPr="00A61687">
          <w:rPr>
            <w:rStyle w:val="Hipervnculo"/>
            <w:b/>
            <w:noProof/>
          </w:rPr>
          <w:noBreakHyphen/>
          <w:t>3</w:t>
        </w:r>
        <w:r w:rsidR="000624CA" w:rsidRPr="00A61687">
          <w:rPr>
            <w:rStyle w:val="Hipervnculo"/>
            <w:noProof/>
          </w:rPr>
          <w:t>. Proyección por escenarios del ingreso al productor colombiano de la gasolina</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_Toc530033433 \h </w:instrText>
        </w:r>
        <w:r w:rsidR="000624CA" w:rsidRPr="00A61687">
          <w:rPr>
            <w:noProof/>
            <w:webHidden/>
          </w:rPr>
        </w:r>
        <w:r w:rsidR="000624CA" w:rsidRPr="00A61687">
          <w:rPr>
            <w:noProof/>
            <w:webHidden/>
          </w:rPr>
          <w:fldChar w:fldCharType="separate"/>
        </w:r>
        <w:r w:rsidR="000624CA" w:rsidRPr="00A61687">
          <w:rPr>
            <w:noProof/>
            <w:webHidden/>
          </w:rPr>
          <w:t>70</w:t>
        </w:r>
        <w:r w:rsidR="000624CA" w:rsidRPr="00A61687">
          <w:rPr>
            <w:noProof/>
            <w:webHidden/>
          </w:rPr>
          <w:fldChar w:fldCharType="end"/>
        </w:r>
      </w:hyperlink>
    </w:p>
    <w:p w14:paraId="260601B4"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34" w:history="1">
        <w:r w:rsidR="000624CA" w:rsidRPr="00A61687">
          <w:rPr>
            <w:rStyle w:val="Hipervnculo"/>
            <w:b/>
            <w:noProof/>
          </w:rPr>
          <w:t>Gráfica 6</w:t>
        </w:r>
        <w:r w:rsidR="000624CA" w:rsidRPr="00A61687">
          <w:rPr>
            <w:rStyle w:val="Hipervnculo"/>
            <w:b/>
            <w:noProof/>
          </w:rPr>
          <w:noBreakHyphen/>
          <w:t>4</w:t>
        </w:r>
        <w:r w:rsidR="000624CA" w:rsidRPr="00A61687">
          <w:rPr>
            <w:rStyle w:val="Hipervnculo"/>
            <w:noProof/>
          </w:rPr>
          <w:t>. Proyección por escenarios de la gasolina en estación de servicio (Bogotá D.C.)</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_Toc530033434 \h </w:instrText>
        </w:r>
        <w:r w:rsidR="000624CA" w:rsidRPr="00A61687">
          <w:rPr>
            <w:noProof/>
            <w:webHidden/>
          </w:rPr>
        </w:r>
        <w:r w:rsidR="000624CA" w:rsidRPr="00A61687">
          <w:rPr>
            <w:noProof/>
            <w:webHidden/>
          </w:rPr>
          <w:fldChar w:fldCharType="separate"/>
        </w:r>
        <w:r w:rsidR="000624CA" w:rsidRPr="00A61687">
          <w:rPr>
            <w:noProof/>
            <w:webHidden/>
          </w:rPr>
          <w:t>71</w:t>
        </w:r>
        <w:r w:rsidR="000624CA" w:rsidRPr="00A61687">
          <w:rPr>
            <w:noProof/>
            <w:webHidden/>
          </w:rPr>
          <w:fldChar w:fldCharType="end"/>
        </w:r>
      </w:hyperlink>
    </w:p>
    <w:p w14:paraId="4F7C2FEE"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35" w:history="1">
        <w:r w:rsidR="000624CA" w:rsidRPr="00A61687">
          <w:rPr>
            <w:rStyle w:val="Hipervnculo"/>
            <w:b/>
            <w:noProof/>
          </w:rPr>
          <w:t>Gráfica 7</w:t>
        </w:r>
        <w:r w:rsidR="000624CA" w:rsidRPr="00A61687">
          <w:rPr>
            <w:rStyle w:val="Hipervnculo"/>
            <w:b/>
            <w:noProof/>
          </w:rPr>
          <w:noBreakHyphen/>
          <w:t>1</w:t>
        </w:r>
        <w:r w:rsidR="000624CA" w:rsidRPr="00A61687">
          <w:rPr>
            <w:rStyle w:val="Hipervnculo"/>
            <w:noProof/>
          </w:rPr>
          <w:t>. Ingreso al productor del diésel colombiano e índice del U.S. Golf Coast</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_Toc530033435 \h </w:instrText>
        </w:r>
        <w:r w:rsidR="000624CA" w:rsidRPr="00A61687">
          <w:rPr>
            <w:noProof/>
            <w:webHidden/>
          </w:rPr>
        </w:r>
        <w:r w:rsidR="000624CA" w:rsidRPr="00A61687">
          <w:rPr>
            <w:noProof/>
            <w:webHidden/>
          </w:rPr>
          <w:fldChar w:fldCharType="separate"/>
        </w:r>
        <w:r w:rsidR="000624CA" w:rsidRPr="00A61687">
          <w:rPr>
            <w:noProof/>
            <w:webHidden/>
          </w:rPr>
          <w:t>76</w:t>
        </w:r>
        <w:r w:rsidR="000624CA" w:rsidRPr="00A61687">
          <w:rPr>
            <w:noProof/>
            <w:webHidden/>
          </w:rPr>
          <w:fldChar w:fldCharType="end"/>
        </w:r>
      </w:hyperlink>
    </w:p>
    <w:p w14:paraId="6A47999F"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36" w:history="1">
        <w:r w:rsidR="000624CA" w:rsidRPr="00A61687">
          <w:rPr>
            <w:rStyle w:val="Hipervnculo"/>
            <w:b/>
            <w:noProof/>
          </w:rPr>
          <w:t>Gráfica 7</w:t>
        </w:r>
        <w:r w:rsidR="000624CA" w:rsidRPr="00A61687">
          <w:rPr>
            <w:rStyle w:val="Hipervnculo"/>
            <w:b/>
            <w:noProof/>
          </w:rPr>
          <w:noBreakHyphen/>
          <w:t>2</w:t>
        </w:r>
        <w:r w:rsidR="000624CA" w:rsidRPr="00A61687">
          <w:rPr>
            <w:rStyle w:val="Hipervnculo"/>
            <w:noProof/>
          </w:rPr>
          <w:t>. Perspectiva corto plazo IP diésel</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_Toc530033436 \h </w:instrText>
        </w:r>
        <w:r w:rsidR="000624CA" w:rsidRPr="00A61687">
          <w:rPr>
            <w:noProof/>
            <w:webHidden/>
          </w:rPr>
        </w:r>
        <w:r w:rsidR="000624CA" w:rsidRPr="00A61687">
          <w:rPr>
            <w:noProof/>
            <w:webHidden/>
          </w:rPr>
          <w:fldChar w:fldCharType="separate"/>
        </w:r>
        <w:r w:rsidR="000624CA" w:rsidRPr="00A61687">
          <w:rPr>
            <w:noProof/>
            <w:webHidden/>
          </w:rPr>
          <w:t>77</w:t>
        </w:r>
        <w:r w:rsidR="000624CA" w:rsidRPr="00A61687">
          <w:rPr>
            <w:noProof/>
            <w:webHidden/>
          </w:rPr>
          <w:fldChar w:fldCharType="end"/>
        </w:r>
      </w:hyperlink>
    </w:p>
    <w:p w14:paraId="57DD52A2"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37" w:history="1">
        <w:r w:rsidR="000624CA" w:rsidRPr="00A61687">
          <w:rPr>
            <w:rStyle w:val="Hipervnculo"/>
            <w:b/>
            <w:noProof/>
          </w:rPr>
          <w:t>Gráfica 7</w:t>
        </w:r>
        <w:r w:rsidR="000624CA" w:rsidRPr="00A61687">
          <w:rPr>
            <w:rStyle w:val="Hipervnculo"/>
            <w:b/>
            <w:noProof/>
          </w:rPr>
          <w:noBreakHyphen/>
          <w:t xml:space="preserve">3. </w:t>
        </w:r>
        <w:r w:rsidR="000624CA" w:rsidRPr="00A61687">
          <w:rPr>
            <w:rStyle w:val="Hipervnculo"/>
            <w:noProof/>
          </w:rPr>
          <w:t>Proyección por escenarios del ingreso al productor colombiano del Diésel</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_Toc530033437 \h </w:instrText>
        </w:r>
        <w:r w:rsidR="000624CA" w:rsidRPr="00A61687">
          <w:rPr>
            <w:noProof/>
            <w:webHidden/>
          </w:rPr>
        </w:r>
        <w:r w:rsidR="000624CA" w:rsidRPr="00A61687">
          <w:rPr>
            <w:noProof/>
            <w:webHidden/>
          </w:rPr>
          <w:fldChar w:fldCharType="separate"/>
        </w:r>
        <w:r w:rsidR="000624CA" w:rsidRPr="00A61687">
          <w:rPr>
            <w:noProof/>
            <w:webHidden/>
          </w:rPr>
          <w:t>78</w:t>
        </w:r>
        <w:r w:rsidR="000624CA" w:rsidRPr="00A61687">
          <w:rPr>
            <w:noProof/>
            <w:webHidden/>
          </w:rPr>
          <w:fldChar w:fldCharType="end"/>
        </w:r>
      </w:hyperlink>
    </w:p>
    <w:p w14:paraId="60B803F1"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38" w:history="1">
        <w:r w:rsidR="000624CA" w:rsidRPr="00A61687">
          <w:rPr>
            <w:rStyle w:val="Hipervnculo"/>
            <w:b/>
            <w:noProof/>
          </w:rPr>
          <w:t>Gráfica 7</w:t>
        </w:r>
        <w:r w:rsidR="000624CA" w:rsidRPr="00A61687">
          <w:rPr>
            <w:rStyle w:val="Hipervnculo"/>
            <w:b/>
            <w:noProof/>
          </w:rPr>
          <w:noBreakHyphen/>
          <w:t xml:space="preserve">4. </w:t>
        </w:r>
        <w:r w:rsidR="000624CA" w:rsidRPr="00A61687">
          <w:rPr>
            <w:rStyle w:val="Hipervnculo"/>
            <w:noProof/>
          </w:rPr>
          <w:t>Proyecciones del precio de referencia del Diésel para las plantas de generación</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_Toc530033438 \h </w:instrText>
        </w:r>
        <w:r w:rsidR="000624CA" w:rsidRPr="00A61687">
          <w:rPr>
            <w:noProof/>
            <w:webHidden/>
          </w:rPr>
        </w:r>
        <w:r w:rsidR="000624CA" w:rsidRPr="00A61687">
          <w:rPr>
            <w:noProof/>
            <w:webHidden/>
          </w:rPr>
          <w:fldChar w:fldCharType="separate"/>
        </w:r>
        <w:r w:rsidR="000624CA" w:rsidRPr="00A61687">
          <w:rPr>
            <w:noProof/>
            <w:webHidden/>
          </w:rPr>
          <w:t>79</w:t>
        </w:r>
        <w:r w:rsidR="000624CA" w:rsidRPr="00A61687">
          <w:rPr>
            <w:noProof/>
            <w:webHidden/>
          </w:rPr>
          <w:fldChar w:fldCharType="end"/>
        </w:r>
      </w:hyperlink>
    </w:p>
    <w:p w14:paraId="0E7C0E65"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39" w:history="1">
        <w:r w:rsidR="000624CA" w:rsidRPr="00A61687">
          <w:rPr>
            <w:rStyle w:val="Hipervnculo"/>
            <w:b/>
            <w:noProof/>
          </w:rPr>
          <w:t>Gráfica 7</w:t>
        </w:r>
        <w:r w:rsidR="000624CA" w:rsidRPr="00A61687">
          <w:rPr>
            <w:rStyle w:val="Hipervnculo"/>
            <w:b/>
            <w:noProof/>
          </w:rPr>
          <w:noBreakHyphen/>
          <w:t xml:space="preserve">5. </w:t>
        </w:r>
        <w:r w:rsidR="000624CA" w:rsidRPr="00A61687">
          <w:rPr>
            <w:rStyle w:val="Hipervnculo"/>
            <w:noProof/>
          </w:rPr>
          <w:t>Proyección por escenarios del diésel en estación de servicio (Bogotá D.C.)</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_Toc530033439 \h </w:instrText>
        </w:r>
        <w:r w:rsidR="000624CA" w:rsidRPr="00A61687">
          <w:rPr>
            <w:noProof/>
            <w:webHidden/>
          </w:rPr>
        </w:r>
        <w:r w:rsidR="000624CA" w:rsidRPr="00A61687">
          <w:rPr>
            <w:noProof/>
            <w:webHidden/>
          </w:rPr>
          <w:fldChar w:fldCharType="separate"/>
        </w:r>
        <w:r w:rsidR="000624CA" w:rsidRPr="00A61687">
          <w:rPr>
            <w:noProof/>
            <w:webHidden/>
          </w:rPr>
          <w:t>80</w:t>
        </w:r>
        <w:r w:rsidR="000624CA" w:rsidRPr="00A61687">
          <w:rPr>
            <w:noProof/>
            <w:webHidden/>
          </w:rPr>
          <w:fldChar w:fldCharType="end"/>
        </w:r>
      </w:hyperlink>
    </w:p>
    <w:p w14:paraId="4840E400"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40" w:history="1">
        <w:r w:rsidR="000624CA" w:rsidRPr="00A61687">
          <w:rPr>
            <w:rStyle w:val="Hipervnculo"/>
            <w:b/>
            <w:noProof/>
          </w:rPr>
          <w:t>Gráfica 8</w:t>
        </w:r>
        <w:r w:rsidR="000624CA" w:rsidRPr="00A61687">
          <w:rPr>
            <w:rStyle w:val="Hipervnculo"/>
            <w:b/>
            <w:noProof/>
          </w:rPr>
          <w:noBreakHyphen/>
          <w:t xml:space="preserve">1. </w:t>
        </w:r>
        <w:r w:rsidR="000624CA" w:rsidRPr="00A61687">
          <w:rPr>
            <w:rStyle w:val="Hipervnculo"/>
            <w:noProof/>
          </w:rPr>
          <w:t>Precios del carbón colombiano e índice del Banco Mundial</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_Toc530033440 \h </w:instrText>
        </w:r>
        <w:r w:rsidR="000624CA" w:rsidRPr="00A61687">
          <w:rPr>
            <w:noProof/>
            <w:webHidden/>
          </w:rPr>
        </w:r>
        <w:r w:rsidR="000624CA" w:rsidRPr="00A61687">
          <w:rPr>
            <w:noProof/>
            <w:webHidden/>
          </w:rPr>
          <w:fldChar w:fldCharType="separate"/>
        </w:r>
        <w:r w:rsidR="000624CA" w:rsidRPr="00A61687">
          <w:rPr>
            <w:noProof/>
            <w:webHidden/>
          </w:rPr>
          <w:t>81</w:t>
        </w:r>
        <w:r w:rsidR="000624CA" w:rsidRPr="00A61687">
          <w:rPr>
            <w:noProof/>
            <w:webHidden/>
          </w:rPr>
          <w:fldChar w:fldCharType="end"/>
        </w:r>
      </w:hyperlink>
    </w:p>
    <w:p w14:paraId="7C77AD63"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41" w:history="1">
        <w:r w:rsidR="000624CA" w:rsidRPr="00A61687">
          <w:rPr>
            <w:rStyle w:val="Hipervnculo"/>
            <w:b/>
            <w:iCs/>
            <w:noProof/>
          </w:rPr>
          <w:t>Gráfica 8</w:t>
        </w:r>
        <w:r w:rsidR="000624CA" w:rsidRPr="00A61687">
          <w:rPr>
            <w:rStyle w:val="Hipervnculo"/>
            <w:b/>
            <w:iCs/>
            <w:noProof/>
          </w:rPr>
          <w:noBreakHyphen/>
          <w:t xml:space="preserve">2. </w:t>
        </w:r>
        <w:r w:rsidR="000624CA" w:rsidRPr="00A61687">
          <w:rPr>
            <w:rStyle w:val="Hipervnculo"/>
            <w:iCs/>
            <w:noProof/>
          </w:rPr>
          <w:t>Perspectiva Corto Plazo IP Carbón</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_Toc530033441 \h </w:instrText>
        </w:r>
        <w:r w:rsidR="000624CA" w:rsidRPr="00A61687">
          <w:rPr>
            <w:noProof/>
            <w:webHidden/>
          </w:rPr>
        </w:r>
        <w:r w:rsidR="000624CA" w:rsidRPr="00A61687">
          <w:rPr>
            <w:noProof/>
            <w:webHidden/>
          </w:rPr>
          <w:fldChar w:fldCharType="separate"/>
        </w:r>
        <w:r w:rsidR="000624CA" w:rsidRPr="00A61687">
          <w:rPr>
            <w:noProof/>
            <w:webHidden/>
          </w:rPr>
          <w:t>82</w:t>
        </w:r>
        <w:r w:rsidR="000624CA" w:rsidRPr="00A61687">
          <w:rPr>
            <w:noProof/>
            <w:webHidden/>
          </w:rPr>
          <w:fldChar w:fldCharType="end"/>
        </w:r>
      </w:hyperlink>
    </w:p>
    <w:p w14:paraId="1643A38E"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42" w:history="1">
        <w:r w:rsidR="000624CA" w:rsidRPr="00A61687">
          <w:rPr>
            <w:rStyle w:val="Hipervnculo"/>
            <w:b/>
            <w:noProof/>
          </w:rPr>
          <w:t>Gráfica 8</w:t>
        </w:r>
        <w:r w:rsidR="000624CA" w:rsidRPr="00A61687">
          <w:rPr>
            <w:rStyle w:val="Hipervnculo"/>
            <w:b/>
            <w:noProof/>
          </w:rPr>
          <w:noBreakHyphen/>
          <w:t xml:space="preserve">3. </w:t>
        </w:r>
        <w:r w:rsidR="000624CA" w:rsidRPr="00A61687">
          <w:rPr>
            <w:rStyle w:val="Hipervnculo"/>
            <w:noProof/>
          </w:rPr>
          <w:t>Proyección por escenarios del ingreso al productor de carbón colombiano</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_Toc530033442 \h </w:instrText>
        </w:r>
        <w:r w:rsidR="000624CA" w:rsidRPr="00A61687">
          <w:rPr>
            <w:noProof/>
            <w:webHidden/>
          </w:rPr>
        </w:r>
        <w:r w:rsidR="000624CA" w:rsidRPr="00A61687">
          <w:rPr>
            <w:noProof/>
            <w:webHidden/>
          </w:rPr>
          <w:fldChar w:fldCharType="separate"/>
        </w:r>
        <w:r w:rsidR="000624CA" w:rsidRPr="00A61687">
          <w:rPr>
            <w:noProof/>
            <w:webHidden/>
          </w:rPr>
          <w:t>83</w:t>
        </w:r>
        <w:r w:rsidR="000624CA" w:rsidRPr="00A61687">
          <w:rPr>
            <w:noProof/>
            <w:webHidden/>
          </w:rPr>
          <w:fldChar w:fldCharType="end"/>
        </w:r>
      </w:hyperlink>
    </w:p>
    <w:p w14:paraId="3BE64A57"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43" w:history="1">
        <w:r w:rsidR="000624CA" w:rsidRPr="00A61687">
          <w:rPr>
            <w:rStyle w:val="Hipervnculo"/>
            <w:b/>
            <w:noProof/>
          </w:rPr>
          <w:t>Gráfica 8</w:t>
        </w:r>
        <w:r w:rsidR="000624CA" w:rsidRPr="00A61687">
          <w:rPr>
            <w:rStyle w:val="Hipervnculo"/>
            <w:b/>
            <w:noProof/>
          </w:rPr>
          <w:noBreakHyphen/>
          <w:t>4</w:t>
        </w:r>
        <w:r w:rsidR="000624CA" w:rsidRPr="00A61687">
          <w:rPr>
            <w:rStyle w:val="Hipervnculo"/>
            <w:noProof/>
          </w:rPr>
          <w:t>. Proyecciones del precio de referencia del carbón para térmicas</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_Toc530033443 \h </w:instrText>
        </w:r>
        <w:r w:rsidR="000624CA" w:rsidRPr="00A61687">
          <w:rPr>
            <w:noProof/>
            <w:webHidden/>
          </w:rPr>
        </w:r>
        <w:r w:rsidR="000624CA" w:rsidRPr="00A61687">
          <w:rPr>
            <w:noProof/>
            <w:webHidden/>
          </w:rPr>
          <w:fldChar w:fldCharType="separate"/>
        </w:r>
        <w:r w:rsidR="000624CA" w:rsidRPr="00A61687">
          <w:rPr>
            <w:noProof/>
            <w:webHidden/>
          </w:rPr>
          <w:t>83</w:t>
        </w:r>
        <w:r w:rsidR="000624CA" w:rsidRPr="00A61687">
          <w:rPr>
            <w:noProof/>
            <w:webHidden/>
          </w:rPr>
          <w:fldChar w:fldCharType="end"/>
        </w:r>
      </w:hyperlink>
    </w:p>
    <w:p w14:paraId="0CBEB796"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44" w:history="1">
        <w:r w:rsidR="000624CA" w:rsidRPr="00A61687">
          <w:rPr>
            <w:rStyle w:val="Hipervnculo"/>
            <w:b/>
            <w:noProof/>
          </w:rPr>
          <w:t>Gráfica 9</w:t>
        </w:r>
        <w:r w:rsidR="000624CA" w:rsidRPr="00A61687">
          <w:rPr>
            <w:rStyle w:val="Hipervnculo"/>
            <w:b/>
            <w:noProof/>
          </w:rPr>
          <w:noBreakHyphen/>
          <w:t xml:space="preserve">1. </w:t>
        </w:r>
        <w:r w:rsidR="000624CA" w:rsidRPr="00A61687">
          <w:rPr>
            <w:rStyle w:val="Hipervnculo"/>
            <w:noProof/>
          </w:rPr>
          <w:t>Precios del GLP e índice del U.S. Golf Coast</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_Toc530033444 \h </w:instrText>
        </w:r>
        <w:r w:rsidR="000624CA" w:rsidRPr="00A61687">
          <w:rPr>
            <w:noProof/>
            <w:webHidden/>
          </w:rPr>
        </w:r>
        <w:r w:rsidR="000624CA" w:rsidRPr="00A61687">
          <w:rPr>
            <w:noProof/>
            <w:webHidden/>
          </w:rPr>
          <w:fldChar w:fldCharType="separate"/>
        </w:r>
        <w:r w:rsidR="000624CA" w:rsidRPr="00A61687">
          <w:rPr>
            <w:noProof/>
            <w:webHidden/>
          </w:rPr>
          <w:t>86</w:t>
        </w:r>
        <w:r w:rsidR="000624CA" w:rsidRPr="00A61687">
          <w:rPr>
            <w:noProof/>
            <w:webHidden/>
          </w:rPr>
          <w:fldChar w:fldCharType="end"/>
        </w:r>
      </w:hyperlink>
    </w:p>
    <w:p w14:paraId="0B95B004"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45" w:history="1">
        <w:r w:rsidR="000624CA" w:rsidRPr="00A61687">
          <w:rPr>
            <w:rStyle w:val="Hipervnculo"/>
            <w:b/>
            <w:noProof/>
          </w:rPr>
          <w:t>Gráfica 9</w:t>
        </w:r>
        <w:r w:rsidR="000624CA" w:rsidRPr="00A61687">
          <w:rPr>
            <w:rStyle w:val="Hipervnculo"/>
            <w:b/>
            <w:noProof/>
          </w:rPr>
          <w:noBreakHyphen/>
          <w:t xml:space="preserve">2. </w:t>
        </w:r>
        <w:r w:rsidR="000624CA" w:rsidRPr="00A61687">
          <w:rPr>
            <w:rStyle w:val="Hipervnculo"/>
            <w:noProof/>
          </w:rPr>
          <w:t>Perspectiva corto plazo IP GLP</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_Toc530033445 \h </w:instrText>
        </w:r>
        <w:r w:rsidR="000624CA" w:rsidRPr="00A61687">
          <w:rPr>
            <w:noProof/>
            <w:webHidden/>
          </w:rPr>
        </w:r>
        <w:r w:rsidR="000624CA" w:rsidRPr="00A61687">
          <w:rPr>
            <w:noProof/>
            <w:webHidden/>
          </w:rPr>
          <w:fldChar w:fldCharType="separate"/>
        </w:r>
        <w:r w:rsidR="000624CA" w:rsidRPr="00A61687">
          <w:rPr>
            <w:noProof/>
            <w:webHidden/>
          </w:rPr>
          <w:t>87</w:t>
        </w:r>
        <w:r w:rsidR="000624CA" w:rsidRPr="00A61687">
          <w:rPr>
            <w:noProof/>
            <w:webHidden/>
          </w:rPr>
          <w:fldChar w:fldCharType="end"/>
        </w:r>
      </w:hyperlink>
    </w:p>
    <w:p w14:paraId="088E379D"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46" w:history="1">
        <w:r w:rsidR="000624CA" w:rsidRPr="00A61687">
          <w:rPr>
            <w:rStyle w:val="Hipervnculo"/>
            <w:b/>
            <w:noProof/>
          </w:rPr>
          <w:t>Gráfica 9</w:t>
        </w:r>
        <w:r w:rsidR="000624CA" w:rsidRPr="00A61687">
          <w:rPr>
            <w:rStyle w:val="Hipervnculo"/>
            <w:b/>
            <w:noProof/>
          </w:rPr>
          <w:noBreakHyphen/>
          <w:t xml:space="preserve">3. </w:t>
        </w:r>
        <w:r w:rsidR="000624CA" w:rsidRPr="00A61687">
          <w:rPr>
            <w:rStyle w:val="Hipervnculo"/>
            <w:noProof/>
          </w:rPr>
          <w:t>Proyección del ingreso al productor del GLP para Barranca</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_Toc530033446 \h </w:instrText>
        </w:r>
        <w:r w:rsidR="000624CA" w:rsidRPr="00A61687">
          <w:rPr>
            <w:noProof/>
            <w:webHidden/>
          </w:rPr>
        </w:r>
        <w:r w:rsidR="000624CA" w:rsidRPr="00A61687">
          <w:rPr>
            <w:noProof/>
            <w:webHidden/>
          </w:rPr>
          <w:fldChar w:fldCharType="separate"/>
        </w:r>
        <w:r w:rsidR="000624CA" w:rsidRPr="00A61687">
          <w:rPr>
            <w:noProof/>
            <w:webHidden/>
          </w:rPr>
          <w:t>88</w:t>
        </w:r>
        <w:r w:rsidR="000624CA" w:rsidRPr="00A61687">
          <w:rPr>
            <w:noProof/>
            <w:webHidden/>
          </w:rPr>
          <w:fldChar w:fldCharType="end"/>
        </w:r>
      </w:hyperlink>
    </w:p>
    <w:p w14:paraId="52F83150" w14:textId="77777777" w:rsidR="000624CA"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47" w:history="1">
        <w:r w:rsidR="000624CA" w:rsidRPr="00A61687">
          <w:rPr>
            <w:rStyle w:val="Hipervnculo"/>
            <w:b/>
            <w:noProof/>
          </w:rPr>
          <w:t>Gráfica 9</w:t>
        </w:r>
        <w:r w:rsidR="000624CA" w:rsidRPr="00A61687">
          <w:rPr>
            <w:rStyle w:val="Hipervnculo"/>
            <w:b/>
            <w:noProof/>
          </w:rPr>
          <w:noBreakHyphen/>
          <w:t xml:space="preserve">4. </w:t>
        </w:r>
        <w:r w:rsidR="000624CA" w:rsidRPr="00A61687">
          <w:rPr>
            <w:rStyle w:val="Hipervnculo"/>
            <w:noProof/>
          </w:rPr>
          <w:t>Proyección del ingreso al productor del GLP para Cusiana</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_Toc530033447 \h </w:instrText>
        </w:r>
        <w:r w:rsidR="000624CA" w:rsidRPr="00A61687">
          <w:rPr>
            <w:noProof/>
            <w:webHidden/>
          </w:rPr>
        </w:r>
        <w:r w:rsidR="000624CA" w:rsidRPr="00A61687">
          <w:rPr>
            <w:noProof/>
            <w:webHidden/>
          </w:rPr>
          <w:fldChar w:fldCharType="separate"/>
        </w:r>
        <w:r w:rsidR="000624CA" w:rsidRPr="00A61687">
          <w:rPr>
            <w:noProof/>
            <w:webHidden/>
          </w:rPr>
          <w:t>88</w:t>
        </w:r>
        <w:r w:rsidR="000624CA" w:rsidRPr="00A61687">
          <w:rPr>
            <w:noProof/>
            <w:webHidden/>
          </w:rPr>
          <w:fldChar w:fldCharType="end"/>
        </w:r>
      </w:hyperlink>
    </w:p>
    <w:p w14:paraId="1688BB82" w14:textId="77777777" w:rsidR="000624CA"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30033448" w:history="1">
        <w:r w:rsidR="000624CA" w:rsidRPr="00A61687">
          <w:rPr>
            <w:rStyle w:val="Hipervnculo"/>
            <w:b/>
            <w:noProof/>
          </w:rPr>
          <w:t>Gráfica 9</w:t>
        </w:r>
        <w:r w:rsidR="000624CA" w:rsidRPr="00A61687">
          <w:rPr>
            <w:rStyle w:val="Hipervnculo"/>
            <w:b/>
            <w:noProof/>
          </w:rPr>
          <w:noBreakHyphen/>
          <w:t xml:space="preserve">5. </w:t>
        </w:r>
        <w:r w:rsidR="000624CA" w:rsidRPr="00A61687">
          <w:rPr>
            <w:rStyle w:val="Hipervnculo"/>
            <w:noProof/>
          </w:rPr>
          <w:t>Proyección del ingreso al productor del GLP para Cartagena</w:t>
        </w:r>
        <w:r w:rsidR="000624CA" w:rsidRPr="00A61687">
          <w:rPr>
            <w:noProof/>
            <w:webHidden/>
          </w:rPr>
          <w:tab/>
        </w:r>
        <w:r w:rsidR="000624CA" w:rsidRPr="00A61687">
          <w:rPr>
            <w:noProof/>
            <w:webHidden/>
          </w:rPr>
          <w:fldChar w:fldCharType="begin"/>
        </w:r>
        <w:r w:rsidR="000624CA" w:rsidRPr="00A61687">
          <w:rPr>
            <w:noProof/>
            <w:webHidden/>
          </w:rPr>
          <w:instrText xml:space="preserve"> PAGEREF _Toc530033448 \h </w:instrText>
        </w:r>
        <w:r w:rsidR="000624CA" w:rsidRPr="00A61687">
          <w:rPr>
            <w:noProof/>
            <w:webHidden/>
          </w:rPr>
        </w:r>
        <w:r w:rsidR="000624CA" w:rsidRPr="00A61687">
          <w:rPr>
            <w:noProof/>
            <w:webHidden/>
          </w:rPr>
          <w:fldChar w:fldCharType="separate"/>
        </w:r>
        <w:r w:rsidR="000624CA" w:rsidRPr="00A61687">
          <w:rPr>
            <w:noProof/>
            <w:webHidden/>
          </w:rPr>
          <w:t>89</w:t>
        </w:r>
        <w:r w:rsidR="000624CA" w:rsidRPr="00A61687">
          <w:rPr>
            <w:noProof/>
            <w:webHidden/>
          </w:rPr>
          <w:fldChar w:fldCharType="end"/>
        </w:r>
      </w:hyperlink>
    </w:p>
    <w:p w14:paraId="4B8662A0" w14:textId="7EC00691" w:rsidR="003B7FEC" w:rsidRDefault="00732D38" w:rsidP="003B7FEC">
      <w:pPr>
        <w:rPr>
          <w:rFonts w:cs="Arial"/>
          <w:szCs w:val="22"/>
        </w:rPr>
      </w:pPr>
      <w:r w:rsidRPr="002334DC">
        <w:rPr>
          <w:rFonts w:cs="Arial"/>
          <w:szCs w:val="22"/>
        </w:rPr>
        <w:fldChar w:fldCharType="end"/>
      </w:r>
    </w:p>
    <w:p w14:paraId="27C8EA61" w14:textId="77777777" w:rsidR="003B7FEC" w:rsidRDefault="003B7FEC">
      <w:pPr>
        <w:rPr>
          <w:rFonts w:cs="Arial"/>
          <w:szCs w:val="22"/>
        </w:rPr>
      </w:pPr>
      <w:r>
        <w:rPr>
          <w:rFonts w:cs="Arial"/>
          <w:szCs w:val="22"/>
        </w:rPr>
        <w:br w:type="page"/>
      </w:r>
    </w:p>
    <w:p w14:paraId="74FF2B12" w14:textId="53DFD2B4" w:rsidR="00732D38" w:rsidRDefault="00732D38" w:rsidP="00005DBB">
      <w:pPr>
        <w:pStyle w:val="Ttulo4"/>
        <w:rPr>
          <w:noProof w:val="0"/>
        </w:rPr>
      </w:pPr>
      <w:bookmarkStart w:id="1" w:name="_Toc530045814"/>
      <w:r w:rsidRPr="002334DC">
        <w:rPr>
          <w:noProof w:val="0"/>
        </w:rPr>
        <w:lastRenderedPageBreak/>
        <w:t>Lista de TABLAS</w:t>
      </w:r>
      <w:bookmarkEnd w:id="1"/>
    </w:p>
    <w:p w14:paraId="0DDA5DBD" w14:textId="77777777" w:rsidR="00005DBB" w:rsidRPr="00005DBB" w:rsidRDefault="00005DBB" w:rsidP="00005DBB">
      <w:pPr>
        <w:rPr>
          <w:lang w:val="es-CO" w:eastAsia="es-ES"/>
        </w:rPr>
      </w:pPr>
    </w:p>
    <w:p w14:paraId="5068559A" w14:textId="77777777" w:rsidR="00915705" w:rsidRPr="00A61687" w:rsidRDefault="00732D38">
      <w:pPr>
        <w:pStyle w:val="Tabladeilustraciones"/>
        <w:tabs>
          <w:tab w:val="right" w:leader="dot" w:pos="9678"/>
        </w:tabs>
        <w:rPr>
          <w:rFonts w:asciiTheme="minorHAnsi" w:eastAsiaTheme="minorEastAsia" w:hAnsiTheme="minorHAnsi" w:cstheme="minorBidi"/>
          <w:noProof/>
          <w:szCs w:val="22"/>
          <w:lang w:val="es-ES"/>
        </w:rPr>
      </w:pPr>
      <w:r w:rsidRPr="002334DC">
        <w:rPr>
          <w:rFonts w:cs="Arial"/>
          <w:szCs w:val="22"/>
        </w:rPr>
        <w:fldChar w:fldCharType="begin"/>
      </w:r>
      <w:r w:rsidRPr="002334DC">
        <w:rPr>
          <w:rFonts w:cs="Arial"/>
          <w:szCs w:val="22"/>
        </w:rPr>
        <w:instrText xml:space="preserve"> TOC \h \z \c "Tabla" </w:instrText>
      </w:r>
      <w:r w:rsidRPr="002334DC">
        <w:rPr>
          <w:rFonts w:cs="Arial"/>
          <w:szCs w:val="22"/>
        </w:rPr>
        <w:fldChar w:fldCharType="separate"/>
      </w:r>
      <w:hyperlink w:anchor="_Toc529889742" w:history="1">
        <w:r w:rsidR="00915705" w:rsidRPr="00A61687">
          <w:rPr>
            <w:rStyle w:val="Hipervnculo"/>
            <w:b/>
            <w:noProof/>
          </w:rPr>
          <w:t>Tabla 2</w:t>
        </w:r>
        <w:r w:rsidR="00915705" w:rsidRPr="00A61687">
          <w:rPr>
            <w:rStyle w:val="Hipervnculo"/>
            <w:b/>
            <w:noProof/>
          </w:rPr>
          <w:noBreakHyphen/>
          <w:t xml:space="preserve">1 </w:t>
        </w:r>
        <w:r w:rsidR="00915705" w:rsidRPr="00A61687">
          <w:rPr>
            <w:rStyle w:val="Hipervnculo"/>
            <w:noProof/>
          </w:rPr>
          <w:t>Unidades de generación térmica del SIN operadas con gas natural</w:t>
        </w:r>
        <w:r w:rsidR="00915705" w:rsidRPr="00A61687">
          <w:rPr>
            <w:noProof/>
            <w:webHidden/>
          </w:rPr>
          <w:tab/>
        </w:r>
        <w:r w:rsidR="00915705" w:rsidRPr="00A61687">
          <w:rPr>
            <w:noProof/>
            <w:webHidden/>
          </w:rPr>
          <w:fldChar w:fldCharType="begin"/>
        </w:r>
        <w:r w:rsidR="00915705" w:rsidRPr="00A61687">
          <w:rPr>
            <w:noProof/>
            <w:webHidden/>
          </w:rPr>
          <w:instrText xml:space="preserve"> PAGEREF _Toc529889742 \h </w:instrText>
        </w:r>
        <w:r w:rsidR="00915705" w:rsidRPr="00A61687">
          <w:rPr>
            <w:noProof/>
            <w:webHidden/>
          </w:rPr>
        </w:r>
        <w:r w:rsidR="00915705" w:rsidRPr="00A61687">
          <w:rPr>
            <w:noProof/>
            <w:webHidden/>
          </w:rPr>
          <w:fldChar w:fldCharType="separate"/>
        </w:r>
        <w:r w:rsidR="000624CA" w:rsidRPr="00A61687">
          <w:rPr>
            <w:noProof/>
            <w:webHidden/>
          </w:rPr>
          <w:t>18</w:t>
        </w:r>
        <w:r w:rsidR="00915705" w:rsidRPr="00A61687">
          <w:rPr>
            <w:noProof/>
            <w:webHidden/>
          </w:rPr>
          <w:fldChar w:fldCharType="end"/>
        </w:r>
      </w:hyperlink>
    </w:p>
    <w:p w14:paraId="4DA8E616" w14:textId="77777777" w:rsidR="00915705"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29889743" w:history="1">
        <w:r w:rsidR="00915705" w:rsidRPr="00A61687">
          <w:rPr>
            <w:rStyle w:val="Hipervnculo"/>
            <w:b/>
            <w:noProof/>
          </w:rPr>
          <w:t>Tabla 2</w:t>
        </w:r>
        <w:r w:rsidR="00915705" w:rsidRPr="00A61687">
          <w:rPr>
            <w:rStyle w:val="Hipervnculo"/>
            <w:b/>
            <w:noProof/>
          </w:rPr>
          <w:noBreakHyphen/>
          <w:t xml:space="preserve">2  </w:t>
        </w:r>
        <w:r w:rsidR="00915705" w:rsidRPr="00A61687">
          <w:rPr>
            <w:rStyle w:val="Hipervnculo"/>
            <w:noProof/>
          </w:rPr>
          <w:t>Unidades de generación térmica del SIN operadas con carbón</w:t>
        </w:r>
        <w:r w:rsidR="00915705" w:rsidRPr="00A61687">
          <w:rPr>
            <w:noProof/>
            <w:webHidden/>
          </w:rPr>
          <w:tab/>
        </w:r>
        <w:r w:rsidR="00915705" w:rsidRPr="00A61687">
          <w:rPr>
            <w:noProof/>
            <w:webHidden/>
          </w:rPr>
          <w:fldChar w:fldCharType="begin"/>
        </w:r>
        <w:r w:rsidR="00915705" w:rsidRPr="00A61687">
          <w:rPr>
            <w:noProof/>
            <w:webHidden/>
          </w:rPr>
          <w:instrText xml:space="preserve"> PAGEREF _Toc529889743 \h </w:instrText>
        </w:r>
        <w:r w:rsidR="00915705" w:rsidRPr="00A61687">
          <w:rPr>
            <w:noProof/>
            <w:webHidden/>
          </w:rPr>
        </w:r>
        <w:r w:rsidR="00915705" w:rsidRPr="00A61687">
          <w:rPr>
            <w:noProof/>
            <w:webHidden/>
          </w:rPr>
          <w:fldChar w:fldCharType="separate"/>
        </w:r>
        <w:r w:rsidR="000624CA" w:rsidRPr="00A61687">
          <w:rPr>
            <w:noProof/>
            <w:webHidden/>
          </w:rPr>
          <w:t>19</w:t>
        </w:r>
        <w:r w:rsidR="00915705" w:rsidRPr="00A61687">
          <w:rPr>
            <w:noProof/>
            <w:webHidden/>
          </w:rPr>
          <w:fldChar w:fldCharType="end"/>
        </w:r>
      </w:hyperlink>
    </w:p>
    <w:p w14:paraId="638FBE78" w14:textId="77777777" w:rsidR="00915705"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29889744" w:history="1">
        <w:r w:rsidR="00915705" w:rsidRPr="00A61687">
          <w:rPr>
            <w:rStyle w:val="Hipervnculo"/>
            <w:b/>
            <w:noProof/>
          </w:rPr>
          <w:t>Tabla 2</w:t>
        </w:r>
        <w:r w:rsidR="00915705" w:rsidRPr="00A61687">
          <w:rPr>
            <w:rStyle w:val="Hipervnculo"/>
            <w:b/>
            <w:noProof/>
          </w:rPr>
          <w:noBreakHyphen/>
          <w:t xml:space="preserve">3 </w:t>
        </w:r>
        <w:r w:rsidR="00915705" w:rsidRPr="00A61687">
          <w:rPr>
            <w:rStyle w:val="Hipervnculo"/>
            <w:noProof/>
          </w:rPr>
          <w:t>Unidades de generación térmica del SIN operadas con combustibles líquidos</w:t>
        </w:r>
        <w:r w:rsidR="00915705" w:rsidRPr="00A61687">
          <w:rPr>
            <w:noProof/>
            <w:webHidden/>
          </w:rPr>
          <w:tab/>
        </w:r>
        <w:r w:rsidR="00915705" w:rsidRPr="00A61687">
          <w:rPr>
            <w:noProof/>
            <w:webHidden/>
          </w:rPr>
          <w:fldChar w:fldCharType="begin"/>
        </w:r>
        <w:r w:rsidR="00915705" w:rsidRPr="00A61687">
          <w:rPr>
            <w:noProof/>
            <w:webHidden/>
          </w:rPr>
          <w:instrText xml:space="preserve"> PAGEREF _Toc529889744 \h </w:instrText>
        </w:r>
        <w:r w:rsidR="00915705" w:rsidRPr="00A61687">
          <w:rPr>
            <w:noProof/>
            <w:webHidden/>
          </w:rPr>
        </w:r>
        <w:r w:rsidR="00915705" w:rsidRPr="00A61687">
          <w:rPr>
            <w:noProof/>
            <w:webHidden/>
          </w:rPr>
          <w:fldChar w:fldCharType="separate"/>
        </w:r>
        <w:r w:rsidR="000624CA" w:rsidRPr="00A61687">
          <w:rPr>
            <w:noProof/>
            <w:webHidden/>
          </w:rPr>
          <w:t>21</w:t>
        </w:r>
        <w:r w:rsidR="00915705" w:rsidRPr="00A61687">
          <w:rPr>
            <w:noProof/>
            <w:webHidden/>
          </w:rPr>
          <w:fldChar w:fldCharType="end"/>
        </w:r>
      </w:hyperlink>
    </w:p>
    <w:p w14:paraId="1C8AF1B0" w14:textId="77777777" w:rsidR="00915705"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29889745" w:history="1">
        <w:r w:rsidR="00915705" w:rsidRPr="00A61687">
          <w:rPr>
            <w:rStyle w:val="Hipervnculo"/>
            <w:rFonts w:cs="Arial"/>
            <w:b/>
            <w:noProof/>
          </w:rPr>
          <w:t>Tabla 3</w:t>
        </w:r>
        <w:r w:rsidR="00915705" w:rsidRPr="00A61687">
          <w:rPr>
            <w:rStyle w:val="Hipervnculo"/>
            <w:rFonts w:cs="Arial"/>
            <w:b/>
            <w:noProof/>
          </w:rPr>
          <w:noBreakHyphen/>
          <w:t>1</w:t>
        </w:r>
        <w:r w:rsidR="00915705" w:rsidRPr="00A61687">
          <w:rPr>
            <w:rStyle w:val="Hipervnculo"/>
            <w:rFonts w:cs="Arial"/>
            <w:noProof/>
          </w:rPr>
          <w:t>. Infraestructura mundial de licuefacción exportaciones</w:t>
        </w:r>
        <w:r w:rsidR="00915705" w:rsidRPr="00A61687">
          <w:rPr>
            <w:noProof/>
            <w:webHidden/>
          </w:rPr>
          <w:tab/>
        </w:r>
        <w:r w:rsidR="00915705" w:rsidRPr="00A61687">
          <w:rPr>
            <w:noProof/>
            <w:webHidden/>
          </w:rPr>
          <w:fldChar w:fldCharType="begin"/>
        </w:r>
        <w:r w:rsidR="00915705" w:rsidRPr="00A61687">
          <w:rPr>
            <w:noProof/>
            <w:webHidden/>
          </w:rPr>
          <w:instrText xml:space="preserve"> PAGEREF _Toc529889745 \h </w:instrText>
        </w:r>
        <w:r w:rsidR="00915705" w:rsidRPr="00A61687">
          <w:rPr>
            <w:noProof/>
            <w:webHidden/>
          </w:rPr>
        </w:r>
        <w:r w:rsidR="00915705" w:rsidRPr="00A61687">
          <w:rPr>
            <w:noProof/>
            <w:webHidden/>
          </w:rPr>
          <w:fldChar w:fldCharType="separate"/>
        </w:r>
        <w:r w:rsidR="000624CA" w:rsidRPr="00A61687">
          <w:rPr>
            <w:noProof/>
            <w:webHidden/>
          </w:rPr>
          <w:t>30</w:t>
        </w:r>
        <w:r w:rsidR="00915705" w:rsidRPr="00A61687">
          <w:rPr>
            <w:noProof/>
            <w:webHidden/>
          </w:rPr>
          <w:fldChar w:fldCharType="end"/>
        </w:r>
      </w:hyperlink>
    </w:p>
    <w:p w14:paraId="1966BC97" w14:textId="77777777" w:rsidR="00915705"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29889746" w:history="1">
        <w:r w:rsidR="00915705" w:rsidRPr="00A61687">
          <w:rPr>
            <w:rStyle w:val="Hipervnculo"/>
            <w:rFonts w:eastAsiaTheme="minorHAnsi" w:cs="Arial"/>
            <w:b/>
            <w:noProof/>
            <w:lang w:val="es-ES_tradnl" w:eastAsia="en-US"/>
          </w:rPr>
          <w:t>Tabla 3</w:t>
        </w:r>
        <w:r w:rsidR="00915705" w:rsidRPr="00A61687">
          <w:rPr>
            <w:rStyle w:val="Hipervnculo"/>
            <w:rFonts w:eastAsiaTheme="minorHAnsi" w:cs="Arial"/>
            <w:b/>
            <w:noProof/>
            <w:lang w:val="es-ES_tradnl" w:eastAsia="en-US"/>
          </w:rPr>
          <w:noBreakHyphen/>
          <w:t>2:</w:t>
        </w:r>
        <w:r w:rsidR="00915705" w:rsidRPr="00A61687">
          <w:rPr>
            <w:rStyle w:val="Hipervnculo"/>
            <w:rFonts w:eastAsiaTheme="minorHAnsi" w:cs="Arial"/>
            <w:noProof/>
            <w:lang w:val="es-ES_tradnl" w:eastAsia="en-US"/>
          </w:rPr>
          <w:t xml:space="preserve"> Especificaciones del FSRU en Cartagena</w:t>
        </w:r>
        <w:r w:rsidR="00915705" w:rsidRPr="00A61687">
          <w:rPr>
            <w:noProof/>
            <w:webHidden/>
          </w:rPr>
          <w:tab/>
        </w:r>
        <w:r w:rsidR="00915705" w:rsidRPr="00A61687">
          <w:rPr>
            <w:noProof/>
            <w:webHidden/>
          </w:rPr>
          <w:fldChar w:fldCharType="begin"/>
        </w:r>
        <w:r w:rsidR="00915705" w:rsidRPr="00A61687">
          <w:rPr>
            <w:noProof/>
            <w:webHidden/>
          </w:rPr>
          <w:instrText xml:space="preserve"> PAGEREF _Toc529889746 \h </w:instrText>
        </w:r>
        <w:r w:rsidR="00915705" w:rsidRPr="00A61687">
          <w:rPr>
            <w:noProof/>
            <w:webHidden/>
          </w:rPr>
        </w:r>
        <w:r w:rsidR="00915705" w:rsidRPr="00A61687">
          <w:rPr>
            <w:noProof/>
            <w:webHidden/>
          </w:rPr>
          <w:fldChar w:fldCharType="separate"/>
        </w:r>
        <w:r w:rsidR="000624CA" w:rsidRPr="00A61687">
          <w:rPr>
            <w:noProof/>
            <w:webHidden/>
          </w:rPr>
          <w:t>37</w:t>
        </w:r>
        <w:r w:rsidR="00915705" w:rsidRPr="00A61687">
          <w:rPr>
            <w:noProof/>
            <w:webHidden/>
          </w:rPr>
          <w:fldChar w:fldCharType="end"/>
        </w:r>
      </w:hyperlink>
    </w:p>
    <w:p w14:paraId="155DA38E" w14:textId="77777777" w:rsidR="00915705"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29889747" w:history="1">
        <w:r w:rsidR="00915705" w:rsidRPr="00A61687">
          <w:rPr>
            <w:rStyle w:val="Hipervnculo"/>
            <w:rFonts w:eastAsiaTheme="minorHAnsi" w:cs="Arial"/>
            <w:b/>
            <w:noProof/>
            <w:lang w:val="es-ES_tradnl" w:eastAsia="en-US"/>
          </w:rPr>
          <w:t>Tabla 3</w:t>
        </w:r>
        <w:r w:rsidR="00915705" w:rsidRPr="00A61687">
          <w:rPr>
            <w:rStyle w:val="Hipervnculo"/>
            <w:rFonts w:eastAsiaTheme="minorHAnsi" w:cs="Arial"/>
            <w:b/>
            <w:noProof/>
            <w:lang w:val="es-ES_tradnl" w:eastAsia="en-US"/>
          </w:rPr>
          <w:noBreakHyphen/>
          <w:t>3</w:t>
        </w:r>
        <w:r w:rsidR="00915705" w:rsidRPr="00A61687">
          <w:rPr>
            <w:rStyle w:val="Hipervnculo"/>
            <w:rFonts w:eastAsiaTheme="minorHAnsi" w:cs="Arial"/>
            <w:noProof/>
            <w:lang w:val="es-ES_tradnl" w:eastAsia="en-US"/>
          </w:rPr>
          <w:t>: Especificaciones del proyecto planta de regasificación del pacífico colombiano</w:t>
        </w:r>
        <w:r w:rsidR="00915705" w:rsidRPr="00A61687">
          <w:rPr>
            <w:noProof/>
            <w:webHidden/>
          </w:rPr>
          <w:tab/>
        </w:r>
        <w:r w:rsidR="00915705" w:rsidRPr="00A61687">
          <w:rPr>
            <w:noProof/>
            <w:webHidden/>
          </w:rPr>
          <w:fldChar w:fldCharType="begin"/>
        </w:r>
        <w:r w:rsidR="00915705" w:rsidRPr="00A61687">
          <w:rPr>
            <w:noProof/>
            <w:webHidden/>
          </w:rPr>
          <w:instrText xml:space="preserve"> PAGEREF _Toc529889747 \h </w:instrText>
        </w:r>
        <w:r w:rsidR="00915705" w:rsidRPr="00A61687">
          <w:rPr>
            <w:noProof/>
            <w:webHidden/>
          </w:rPr>
        </w:r>
        <w:r w:rsidR="00915705" w:rsidRPr="00A61687">
          <w:rPr>
            <w:noProof/>
            <w:webHidden/>
          </w:rPr>
          <w:fldChar w:fldCharType="separate"/>
        </w:r>
        <w:r w:rsidR="000624CA" w:rsidRPr="00A61687">
          <w:rPr>
            <w:noProof/>
            <w:webHidden/>
          </w:rPr>
          <w:t>37</w:t>
        </w:r>
        <w:r w:rsidR="00915705" w:rsidRPr="00A61687">
          <w:rPr>
            <w:noProof/>
            <w:webHidden/>
          </w:rPr>
          <w:fldChar w:fldCharType="end"/>
        </w:r>
      </w:hyperlink>
    </w:p>
    <w:p w14:paraId="445848FD" w14:textId="77777777" w:rsidR="00915705"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29889748" w:history="1">
        <w:r w:rsidR="00915705" w:rsidRPr="00A61687">
          <w:rPr>
            <w:rStyle w:val="Hipervnculo"/>
            <w:rFonts w:eastAsiaTheme="minorHAnsi" w:cs="Arial"/>
            <w:b/>
            <w:noProof/>
            <w:lang w:val="es-ES_tradnl" w:eastAsia="en-US"/>
          </w:rPr>
          <w:t>Tabla 3</w:t>
        </w:r>
        <w:r w:rsidR="00915705" w:rsidRPr="00A61687">
          <w:rPr>
            <w:rStyle w:val="Hipervnculo"/>
            <w:rFonts w:eastAsiaTheme="minorHAnsi" w:cs="Arial"/>
            <w:b/>
            <w:noProof/>
            <w:lang w:val="es-ES_tradnl" w:eastAsia="en-US"/>
          </w:rPr>
          <w:noBreakHyphen/>
          <w:t xml:space="preserve">4. </w:t>
        </w:r>
        <w:r w:rsidR="00915705" w:rsidRPr="00A61687">
          <w:rPr>
            <w:rStyle w:val="Hipervnculo"/>
            <w:rFonts w:eastAsiaTheme="minorHAnsi" w:cs="Arial"/>
            <w:noProof/>
            <w:lang w:val="es-ES_tradnl" w:eastAsia="en-US"/>
          </w:rPr>
          <w:t>Costos de transporte por fuente de suministro de GNL a Cartagena</w:t>
        </w:r>
        <w:r w:rsidR="00915705" w:rsidRPr="00A61687">
          <w:rPr>
            <w:noProof/>
            <w:webHidden/>
          </w:rPr>
          <w:tab/>
        </w:r>
        <w:r w:rsidR="00915705" w:rsidRPr="00A61687">
          <w:rPr>
            <w:noProof/>
            <w:webHidden/>
          </w:rPr>
          <w:fldChar w:fldCharType="begin"/>
        </w:r>
        <w:r w:rsidR="00915705" w:rsidRPr="00A61687">
          <w:rPr>
            <w:noProof/>
            <w:webHidden/>
          </w:rPr>
          <w:instrText xml:space="preserve"> PAGEREF _Toc529889748 \h </w:instrText>
        </w:r>
        <w:r w:rsidR="00915705" w:rsidRPr="00A61687">
          <w:rPr>
            <w:noProof/>
            <w:webHidden/>
          </w:rPr>
        </w:r>
        <w:r w:rsidR="00915705" w:rsidRPr="00A61687">
          <w:rPr>
            <w:noProof/>
            <w:webHidden/>
          </w:rPr>
          <w:fldChar w:fldCharType="separate"/>
        </w:r>
        <w:r w:rsidR="000624CA" w:rsidRPr="00A61687">
          <w:rPr>
            <w:noProof/>
            <w:webHidden/>
          </w:rPr>
          <w:t>43</w:t>
        </w:r>
        <w:r w:rsidR="00915705" w:rsidRPr="00A61687">
          <w:rPr>
            <w:noProof/>
            <w:webHidden/>
          </w:rPr>
          <w:fldChar w:fldCharType="end"/>
        </w:r>
      </w:hyperlink>
    </w:p>
    <w:p w14:paraId="09F4F9EA" w14:textId="77777777" w:rsidR="00915705"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29889749" w:history="1">
        <w:r w:rsidR="00915705" w:rsidRPr="00A61687">
          <w:rPr>
            <w:rStyle w:val="Hipervnculo"/>
            <w:rFonts w:eastAsiaTheme="minorHAnsi" w:cs="Arial"/>
            <w:b/>
            <w:noProof/>
            <w:lang w:val="es-ES_tradnl" w:eastAsia="en-US"/>
          </w:rPr>
          <w:t>Tabla 3</w:t>
        </w:r>
        <w:r w:rsidR="00915705" w:rsidRPr="00A61687">
          <w:rPr>
            <w:rStyle w:val="Hipervnculo"/>
            <w:rFonts w:eastAsiaTheme="minorHAnsi" w:cs="Arial"/>
            <w:b/>
            <w:noProof/>
            <w:lang w:val="es-ES_tradnl" w:eastAsia="en-US"/>
          </w:rPr>
          <w:noBreakHyphen/>
          <w:t xml:space="preserve">6 </w:t>
        </w:r>
        <w:r w:rsidR="00915705" w:rsidRPr="00A61687">
          <w:rPr>
            <w:rStyle w:val="Hipervnculo"/>
            <w:rFonts w:eastAsiaTheme="minorHAnsi" w:cs="Arial"/>
            <w:noProof/>
            <w:lang w:val="es-ES_tradnl" w:eastAsia="en-US"/>
          </w:rPr>
          <w:t>Costos de transporte por fuente de suministro de GNL a Buenaventura</w:t>
        </w:r>
        <w:r w:rsidR="00915705" w:rsidRPr="00A61687">
          <w:rPr>
            <w:noProof/>
            <w:webHidden/>
          </w:rPr>
          <w:tab/>
        </w:r>
        <w:r w:rsidR="00915705" w:rsidRPr="00A61687">
          <w:rPr>
            <w:noProof/>
            <w:webHidden/>
          </w:rPr>
          <w:fldChar w:fldCharType="begin"/>
        </w:r>
        <w:r w:rsidR="00915705" w:rsidRPr="00A61687">
          <w:rPr>
            <w:noProof/>
            <w:webHidden/>
          </w:rPr>
          <w:instrText xml:space="preserve"> PAGEREF _Toc529889749 \h </w:instrText>
        </w:r>
        <w:r w:rsidR="00915705" w:rsidRPr="00A61687">
          <w:rPr>
            <w:noProof/>
            <w:webHidden/>
          </w:rPr>
        </w:r>
        <w:r w:rsidR="00915705" w:rsidRPr="00A61687">
          <w:rPr>
            <w:noProof/>
            <w:webHidden/>
          </w:rPr>
          <w:fldChar w:fldCharType="separate"/>
        </w:r>
        <w:r w:rsidR="000624CA" w:rsidRPr="00A61687">
          <w:rPr>
            <w:noProof/>
            <w:webHidden/>
          </w:rPr>
          <w:t>44</w:t>
        </w:r>
        <w:r w:rsidR="00915705" w:rsidRPr="00A61687">
          <w:rPr>
            <w:noProof/>
            <w:webHidden/>
          </w:rPr>
          <w:fldChar w:fldCharType="end"/>
        </w:r>
      </w:hyperlink>
    </w:p>
    <w:p w14:paraId="16243DFB" w14:textId="77777777" w:rsidR="00915705"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29889750" w:history="1">
        <w:r w:rsidR="00915705" w:rsidRPr="00A61687">
          <w:rPr>
            <w:rStyle w:val="Hipervnculo"/>
            <w:b/>
            <w:noProof/>
          </w:rPr>
          <w:t>Tabla 4</w:t>
        </w:r>
        <w:r w:rsidR="00915705" w:rsidRPr="00A61687">
          <w:rPr>
            <w:rStyle w:val="Hipervnculo"/>
            <w:b/>
            <w:noProof/>
          </w:rPr>
          <w:noBreakHyphen/>
          <w:t xml:space="preserve">1 </w:t>
        </w:r>
        <w:r w:rsidR="00915705" w:rsidRPr="00A61687">
          <w:rPr>
            <w:rStyle w:val="Hipervnculo"/>
            <w:noProof/>
          </w:rPr>
          <w:t>Plantas de Generación que consumen Jet Fuel</w:t>
        </w:r>
        <w:r w:rsidR="00915705" w:rsidRPr="00A61687">
          <w:rPr>
            <w:noProof/>
            <w:webHidden/>
          </w:rPr>
          <w:tab/>
        </w:r>
        <w:r w:rsidR="00915705" w:rsidRPr="00A61687">
          <w:rPr>
            <w:noProof/>
            <w:webHidden/>
          </w:rPr>
          <w:fldChar w:fldCharType="begin"/>
        </w:r>
        <w:r w:rsidR="00915705" w:rsidRPr="00A61687">
          <w:rPr>
            <w:noProof/>
            <w:webHidden/>
          </w:rPr>
          <w:instrText xml:space="preserve"> PAGEREF _Toc529889750 \h </w:instrText>
        </w:r>
        <w:r w:rsidR="00915705" w:rsidRPr="00A61687">
          <w:rPr>
            <w:noProof/>
            <w:webHidden/>
          </w:rPr>
        </w:r>
        <w:r w:rsidR="00915705" w:rsidRPr="00A61687">
          <w:rPr>
            <w:noProof/>
            <w:webHidden/>
          </w:rPr>
          <w:fldChar w:fldCharType="separate"/>
        </w:r>
        <w:r w:rsidR="000624CA" w:rsidRPr="00A61687">
          <w:rPr>
            <w:noProof/>
            <w:webHidden/>
          </w:rPr>
          <w:t>58</w:t>
        </w:r>
        <w:r w:rsidR="00915705" w:rsidRPr="00A61687">
          <w:rPr>
            <w:noProof/>
            <w:webHidden/>
          </w:rPr>
          <w:fldChar w:fldCharType="end"/>
        </w:r>
      </w:hyperlink>
    </w:p>
    <w:p w14:paraId="076A93F7" w14:textId="77777777" w:rsidR="00915705"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29889751" w:history="1">
        <w:r w:rsidR="00915705" w:rsidRPr="00A61687">
          <w:rPr>
            <w:rStyle w:val="Hipervnculo"/>
            <w:b/>
            <w:noProof/>
          </w:rPr>
          <w:t>Tabla 5</w:t>
        </w:r>
        <w:r w:rsidR="00915705" w:rsidRPr="00A61687">
          <w:rPr>
            <w:rStyle w:val="Hipervnculo"/>
            <w:b/>
            <w:noProof/>
          </w:rPr>
          <w:noBreakHyphen/>
          <w:t xml:space="preserve">1. </w:t>
        </w:r>
        <w:r w:rsidR="00915705" w:rsidRPr="00A61687">
          <w:rPr>
            <w:rStyle w:val="Hipervnculo"/>
            <w:noProof/>
          </w:rPr>
          <w:t>Plantas de generación que consumen Fuel Oíl</w:t>
        </w:r>
        <w:r w:rsidR="00915705" w:rsidRPr="00A61687">
          <w:rPr>
            <w:noProof/>
            <w:webHidden/>
          </w:rPr>
          <w:tab/>
        </w:r>
        <w:r w:rsidR="00915705" w:rsidRPr="00A61687">
          <w:rPr>
            <w:noProof/>
            <w:webHidden/>
          </w:rPr>
          <w:fldChar w:fldCharType="begin"/>
        </w:r>
        <w:r w:rsidR="00915705" w:rsidRPr="00A61687">
          <w:rPr>
            <w:noProof/>
            <w:webHidden/>
          </w:rPr>
          <w:instrText xml:space="preserve"> PAGEREF _Toc529889751 \h </w:instrText>
        </w:r>
        <w:r w:rsidR="00915705" w:rsidRPr="00A61687">
          <w:rPr>
            <w:noProof/>
            <w:webHidden/>
          </w:rPr>
        </w:r>
        <w:r w:rsidR="00915705" w:rsidRPr="00A61687">
          <w:rPr>
            <w:noProof/>
            <w:webHidden/>
          </w:rPr>
          <w:fldChar w:fldCharType="separate"/>
        </w:r>
        <w:r w:rsidR="000624CA" w:rsidRPr="00A61687">
          <w:rPr>
            <w:noProof/>
            <w:webHidden/>
          </w:rPr>
          <w:t>63</w:t>
        </w:r>
        <w:r w:rsidR="00915705" w:rsidRPr="00A61687">
          <w:rPr>
            <w:noProof/>
            <w:webHidden/>
          </w:rPr>
          <w:fldChar w:fldCharType="end"/>
        </w:r>
      </w:hyperlink>
    </w:p>
    <w:p w14:paraId="1EBB0CAD" w14:textId="77777777" w:rsidR="00915705"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29889752" w:history="1">
        <w:r w:rsidR="00915705" w:rsidRPr="00A61687">
          <w:rPr>
            <w:rStyle w:val="Hipervnculo"/>
            <w:b/>
            <w:noProof/>
          </w:rPr>
          <w:t>Tabla 6</w:t>
        </w:r>
        <w:r w:rsidR="00915705" w:rsidRPr="00A61687">
          <w:rPr>
            <w:rStyle w:val="Hipervnculo"/>
            <w:b/>
            <w:noProof/>
          </w:rPr>
          <w:noBreakHyphen/>
          <w:t xml:space="preserve">1 </w:t>
        </w:r>
        <w:r w:rsidR="00915705" w:rsidRPr="00A61687">
          <w:rPr>
            <w:rStyle w:val="Hipervnculo"/>
            <w:noProof/>
          </w:rPr>
          <w:t>Componentes Tarifarios de la Gasolina Motor Corriente</w:t>
        </w:r>
        <w:r w:rsidR="00915705" w:rsidRPr="00A61687">
          <w:rPr>
            <w:noProof/>
            <w:webHidden/>
          </w:rPr>
          <w:tab/>
        </w:r>
        <w:r w:rsidR="00915705" w:rsidRPr="00A61687">
          <w:rPr>
            <w:noProof/>
            <w:webHidden/>
          </w:rPr>
          <w:fldChar w:fldCharType="begin"/>
        </w:r>
        <w:r w:rsidR="00915705" w:rsidRPr="00A61687">
          <w:rPr>
            <w:noProof/>
            <w:webHidden/>
          </w:rPr>
          <w:instrText xml:space="preserve"> PAGEREF _Toc529889752 \h </w:instrText>
        </w:r>
        <w:r w:rsidR="00915705" w:rsidRPr="00A61687">
          <w:rPr>
            <w:noProof/>
            <w:webHidden/>
          </w:rPr>
        </w:r>
        <w:r w:rsidR="00915705" w:rsidRPr="00A61687">
          <w:rPr>
            <w:noProof/>
            <w:webHidden/>
          </w:rPr>
          <w:fldChar w:fldCharType="separate"/>
        </w:r>
        <w:r w:rsidR="000624CA" w:rsidRPr="00A61687">
          <w:rPr>
            <w:noProof/>
            <w:webHidden/>
          </w:rPr>
          <w:t>66</w:t>
        </w:r>
        <w:r w:rsidR="00915705" w:rsidRPr="00A61687">
          <w:rPr>
            <w:noProof/>
            <w:webHidden/>
          </w:rPr>
          <w:fldChar w:fldCharType="end"/>
        </w:r>
      </w:hyperlink>
    </w:p>
    <w:p w14:paraId="08E20731" w14:textId="77777777" w:rsidR="00915705" w:rsidRPr="00A61687"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29889753" w:history="1">
        <w:r w:rsidR="00915705" w:rsidRPr="00A61687">
          <w:rPr>
            <w:rStyle w:val="Hipervnculo"/>
            <w:b/>
            <w:noProof/>
          </w:rPr>
          <w:t>Tabla 7</w:t>
        </w:r>
        <w:r w:rsidR="00915705" w:rsidRPr="00A61687">
          <w:rPr>
            <w:rStyle w:val="Hipervnculo"/>
            <w:b/>
            <w:noProof/>
          </w:rPr>
          <w:noBreakHyphen/>
          <w:t xml:space="preserve">1 </w:t>
        </w:r>
        <w:r w:rsidR="00915705" w:rsidRPr="00A61687">
          <w:rPr>
            <w:rStyle w:val="Hipervnculo"/>
            <w:noProof/>
          </w:rPr>
          <w:t>Componentes tarifarios del Diésel</w:t>
        </w:r>
        <w:r w:rsidR="00915705" w:rsidRPr="00A61687">
          <w:rPr>
            <w:noProof/>
            <w:webHidden/>
          </w:rPr>
          <w:tab/>
        </w:r>
        <w:r w:rsidR="00915705" w:rsidRPr="00A61687">
          <w:rPr>
            <w:noProof/>
            <w:webHidden/>
          </w:rPr>
          <w:fldChar w:fldCharType="begin"/>
        </w:r>
        <w:r w:rsidR="00915705" w:rsidRPr="00A61687">
          <w:rPr>
            <w:noProof/>
            <w:webHidden/>
          </w:rPr>
          <w:instrText xml:space="preserve"> PAGEREF _Toc529889753 \h </w:instrText>
        </w:r>
        <w:r w:rsidR="00915705" w:rsidRPr="00A61687">
          <w:rPr>
            <w:noProof/>
            <w:webHidden/>
          </w:rPr>
        </w:r>
        <w:r w:rsidR="00915705" w:rsidRPr="00A61687">
          <w:rPr>
            <w:noProof/>
            <w:webHidden/>
          </w:rPr>
          <w:fldChar w:fldCharType="separate"/>
        </w:r>
        <w:r w:rsidR="000624CA" w:rsidRPr="00A61687">
          <w:rPr>
            <w:noProof/>
            <w:webHidden/>
          </w:rPr>
          <w:t>73</w:t>
        </w:r>
        <w:r w:rsidR="00915705" w:rsidRPr="00A61687">
          <w:rPr>
            <w:noProof/>
            <w:webHidden/>
          </w:rPr>
          <w:fldChar w:fldCharType="end"/>
        </w:r>
      </w:hyperlink>
    </w:p>
    <w:p w14:paraId="623A9B12" w14:textId="77777777" w:rsidR="00915705" w:rsidRDefault="00D31F30">
      <w:pPr>
        <w:pStyle w:val="Tabladeilustraciones"/>
        <w:tabs>
          <w:tab w:val="right" w:leader="dot" w:pos="9678"/>
        </w:tabs>
        <w:rPr>
          <w:rFonts w:asciiTheme="minorHAnsi" w:eastAsiaTheme="minorEastAsia" w:hAnsiTheme="minorHAnsi" w:cstheme="minorBidi"/>
          <w:noProof/>
          <w:szCs w:val="22"/>
          <w:lang w:val="es-ES"/>
        </w:rPr>
      </w:pPr>
      <w:hyperlink w:anchor="_Toc529889754" w:history="1">
        <w:r w:rsidR="00915705" w:rsidRPr="00A61687">
          <w:rPr>
            <w:rStyle w:val="Hipervnculo"/>
            <w:b/>
            <w:noProof/>
          </w:rPr>
          <w:t>Tabla 7</w:t>
        </w:r>
        <w:r w:rsidR="00915705" w:rsidRPr="00A61687">
          <w:rPr>
            <w:rStyle w:val="Hipervnculo"/>
            <w:b/>
            <w:noProof/>
          </w:rPr>
          <w:noBreakHyphen/>
          <w:t xml:space="preserve">2. </w:t>
        </w:r>
        <w:r w:rsidR="00915705" w:rsidRPr="00A61687">
          <w:rPr>
            <w:rStyle w:val="Hipervnculo"/>
            <w:noProof/>
          </w:rPr>
          <w:t>Plantas de Generación que consumen diésel</w:t>
        </w:r>
        <w:r w:rsidR="00915705" w:rsidRPr="00A61687">
          <w:rPr>
            <w:noProof/>
            <w:webHidden/>
          </w:rPr>
          <w:tab/>
        </w:r>
        <w:r w:rsidR="00915705" w:rsidRPr="00A61687">
          <w:rPr>
            <w:noProof/>
            <w:webHidden/>
          </w:rPr>
          <w:fldChar w:fldCharType="begin"/>
        </w:r>
        <w:r w:rsidR="00915705" w:rsidRPr="00A61687">
          <w:rPr>
            <w:noProof/>
            <w:webHidden/>
          </w:rPr>
          <w:instrText xml:space="preserve"> PAGEREF _Toc529889754 \h </w:instrText>
        </w:r>
        <w:r w:rsidR="00915705" w:rsidRPr="00A61687">
          <w:rPr>
            <w:noProof/>
            <w:webHidden/>
          </w:rPr>
        </w:r>
        <w:r w:rsidR="00915705" w:rsidRPr="00A61687">
          <w:rPr>
            <w:noProof/>
            <w:webHidden/>
          </w:rPr>
          <w:fldChar w:fldCharType="separate"/>
        </w:r>
        <w:r w:rsidR="000624CA" w:rsidRPr="00A61687">
          <w:rPr>
            <w:noProof/>
            <w:webHidden/>
          </w:rPr>
          <w:t>78</w:t>
        </w:r>
        <w:r w:rsidR="00915705" w:rsidRPr="00A61687">
          <w:rPr>
            <w:noProof/>
            <w:webHidden/>
          </w:rPr>
          <w:fldChar w:fldCharType="end"/>
        </w:r>
      </w:hyperlink>
    </w:p>
    <w:p w14:paraId="0229A5DC" w14:textId="77777777" w:rsidR="00732D38" w:rsidRPr="004327CD" w:rsidRDefault="00732D38" w:rsidP="00732D38">
      <w:pPr>
        <w:rPr>
          <w:rFonts w:cs="Arial"/>
          <w:b/>
        </w:rPr>
      </w:pPr>
      <w:r w:rsidRPr="002334DC">
        <w:rPr>
          <w:rFonts w:cs="Arial"/>
          <w:szCs w:val="22"/>
        </w:rPr>
        <w:fldChar w:fldCharType="end"/>
      </w:r>
    </w:p>
    <w:p w14:paraId="12CCA578" w14:textId="19072028" w:rsidR="003B7FEC" w:rsidRDefault="003B7FEC" w:rsidP="00732D38">
      <w:pPr>
        <w:rPr>
          <w:rFonts w:cs="Arial"/>
          <w:b/>
        </w:rPr>
      </w:pPr>
      <w:r>
        <w:rPr>
          <w:rFonts w:cs="Arial"/>
          <w:b/>
        </w:rPr>
        <w:br w:type="page"/>
      </w:r>
    </w:p>
    <w:p w14:paraId="4FF49714" w14:textId="77777777" w:rsidR="00732D38" w:rsidRPr="00BB7129" w:rsidRDefault="00732D38" w:rsidP="00732D38">
      <w:pPr>
        <w:rPr>
          <w:rFonts w:ascii="Arial" w:hAnsi="Arial" w:cs="Arial"/>
        </w:rPr>
      </w:pPr>
      <w:r w:rsidRPr="00BB7129">
        <w:rPr>
          <w:rFonts w:ascii="Arial" w:hAnsi="Arial" w:cs="Arial"/>
          <w:b/>
        </w:rPr>
        <w:lastRenderedPageBreak/>
        <w:t>Lista de Siglas:</w:t>
      </w:r>
    </w:p>
    <w:p w14:paraId="7554CABB" w14:textId="77777777" w:rsidR="00732D38" w:rsidRPr="007B6CA0" w:rsidRDefault="00732D38" w:rsidP="00732D38">
      <w:pPr>
        <w:pStyle w:val="Prrafodelista"/>
        <w:numPr>
          <w:ilvl w:val="0"/>
          <w:numId w:val="7"/>
        </w:numPr>
        <w:spacing w:line="276" w:lineRule="auto"/>
        <w:rPr>
          <w:b w:val="0"/>
          <w:sz w:val="22"/>
        </w:rPr>
      </w:pPr>
      <w:r w:rsidRPr="007B6CA0">
        <w:rPr>
          <w:b w:val="0"/>
          <w:sz w:val="22"/>
        </w:rPr>
        <w:t>AIE</w:t>
      </w:r>
      <w:r w:rsidRPr="007B6CA0">
        <w:rPr>
          <w:b w:val="0"/>
          <w:sz w:val="22"/>
        </w:rPr>
        <w:tab/>
      </w:r>
      <w:r w:rsidRPr="007B6CA0">
        <w:rPr>
          <w:b w:val="0"/>
          <w:sz w:val="22"/>
        </w:rPr>
        <w:tab/>
        <w:t>Agencia Internacional de Energía</w:t>
      </w:r>
    </w:p>
    <w:p w14:paraId="50F25A6C" w14:textId="77777777" w:rsidR="00732D38" w:rsidRPr="007B6CA0" w:rsidRDefault="00732D38" w:rsidP="00732D38">
      <w:pPr>
        <w:pStyle w:val="Prrafodelista"/>
        <w:numPr>
          <w:ilvl w:val="0"/>
          <w:numId w:val="7"/>
        </w:numPr>
        <w:spacing w:line="276" w:lineRule="auto"/>
        <w:rPr>
          <w:b w:val="0"/>
          <w:sz w:val="22"/>
        </w:rPr>
      </w:pPr>
      <w:r w:rsidRPr="007B6CA0">
        <w:rPr>
          <w:b w:val="0"/>
          <w:sz w:val="22"/>
        </w:rPr>
        <w:t>ANH</w:t>
      </w:r>
      <w:r w:rsidRPr="007B6CA0">
        <w:rPr>
          <w:b w:val="0"/>
          <w:sz w:val="22"/>
        </w:rPr>
        <w:tab/>
      </w:r>
      <w:r w:rsidRPr="007B6CA0">
        <w:rPr>
          <w:b w:val="0"/>
          <w:sz w:val="22"/>
        </w:rPr>
        <w:tab/>
        <w:t>Agencia Nacional de Hidrocarburos</w:t>
      </w:r>
    </w:p>
    <w:p w14:paraId="7C83D00D" w14:textId="77777777" w:rsidR="00732D38" w:rsidRPr="007B6CA0" w:rsidRDefault="00732D38" w:rsidP="00732D38">
      <w:pPr>
        <w:pStyle w:val="Prrafodelista"/>
        <w:numPr>
          <w:ilvl w:val="0"/>
          <w:numId w:val="7"/>
        </w:numPr>
        <w:spacing w:line="276" w:lineRule="auto"/>
        <w:rPr>
          <w:b w:val="0"/>
          <w:sz w:val="22"/>
        </w:rPr>
      </w:pPr>
      <w:r w:rsidRPr="007B6CA0">
        <w:rPr>
          <w:b w:val="0"/>
          <w:sz w:val="22"/>
        </w:rPr>
        <w:t xml:space="preserve">BP </w:t>
      </w:r>
      <w:r w:rsidRPr="007B6CA0">
        <w:rPr>
          <w:b w:val="0"/>
          <w:sz w:val="22"/>
        </w:rPr>
        <w:tab/>
      </w:r>
      <w:r w:rsidRPr="007B6CA0">
        <w:rPr>
          <w:b w:val="0"/>
          <w:sz w:val="22"/>
        </w:rPr>
        <w:tab/>
        <w:t>British Petroleum</w:t>
      </w:r>
    </w:p>
    <w:p w14:paraId="67D1755C" w14:textId="77777777" w:rsidR="00732D38" w:rsidRPr="007B6CA0" w:rsidRDefault="00732D38" w:rsidP="00732D38">
      <w:pPr>
        <w:pStyle w:val="Prrafodelista"/>
        <w:numPr>
          <w:ilvl w:val="0"/>
          <w:numId w:val="7"/>
        </w:numPr>
        <w:spacing w:line="276" w:lineRule="auto"/>
        <w:rPr>
          <w:b w:val="0"/>
          <w:sz w:val="22"/>
        </w:rPr>
      </w:pPr>
      <w:r w:rsidRPr="007B6CA0">
        <w:rPr>
          <w:b w:val="0"/>
          <w:sz w:val="22"/>
        </w:rPr>
        <w:t>CREG</w:t>
      </w:r>
      <w:r w:rsidRPr="007B6CA0">
        <w:rPr>
          <w:b w:val="0"/>
          <w:sz w:val="22"/>
        </w:rPr>
        <w:tab/>
      </w:r>
      <w:r w:rsidRPr="007B6CA0">
        <w:rPr>
          <w:b w:val="0"/>
          <w:sz w:val="22"/>
        </w:rPr>
        <w:tab/>
        <w:t>Comisión de Regulación de Energía y Gas</w:t>
      </w:r>
    </w:p>
    <w:p w14:paraId="69904753" w14:textId="77777777" w:rsidR="00732D38" w:rsidRPr="007B6CA0" w:rsidRDefault="00732D38" w:rsidP="00732D38">
      <w:pPr>
        <w:pStyle w:val="Prrafodelista"/>
        <w:numPr>
          <w:ilvl w:val="0"/>
          <w:numId w:val="7"/>
        </w:numPr>
        <w:spacing w:line="276" w:lineRule="auto"/>
        <w:rPr>
          <w:b w:val="0"/>
          <w:sz w:val="22"/>
          <w:lang w:val="es-ES"/>
        </w:rPr>
      </w:pPr>
      <w:r w:rsidRPr="007B6CA0">
        <w:rPr>
          <w:b w:val="0"/>
          <w:sz w:val="22"/>
          <w:lang w:val="es-ES"/>
        </w:rPr>
        <w:t>EIA</w:t>
      </w:r>
      <w:r w:rsidRPr="007B6CA0">
        <w:rPr>
          <w:b w:val="0"/>
          <w:sz w:val="22"/>
          <w:lang w:val="es-ES"/>
        </w:rPr>
        <w:tab/>
      </w:r>
      <w:r w:rsidRPr="007B6CA0">
        <w:rPr>
          <w:b w:val="0"/>
          <w:sz w:val="22"/>
          <w:lang w:val="es-ES"/>
        </w:rPr>
        <w:tab/>
        <w:t>Administración de Información Energética de los Estados Unidos</w:t>
      </w:r>
    </w:p>
    <w:p w14:paraId="5F0D337C" w14:textId="77777777" w:rsidR="00732D38" w:rsidRPr="007B6CA0" w:rsidRDefault="00732D38" w:rsidP="00732D38">
      <w:pPr>
        <w:pStyle w:val="Prrafodelista"/>
        <w:numPr>
          <w:ilvl w:val="0"/>
          <w:numId w:val="7"/>
        </w:numPr>
        <w:spacing w:line="276" w:lineRule="auto"/>
        <w:rPr>
          <w:b w:val="0"/>
          <w:sz w:val="22"/>
          <w:lang w:val="es-ES"/>
        </w:rPr>
      </w:pPr>
      <w:r w:rsidRPr="007B6CA0">
        <w:rPr>
          <w:b w:val="0"/>
          <w:sz w:val="22"/>
          <w:lang w:val="es-ES"/>
        </w:rPr>
        <w:t>EOR</w:t>
      </w:r>
      <w:r w:rsidRPr="007B6CA0">
        <w:rPr>
          <w:b w:val="0"/>
          <w:sz w:val="22"/>
          <w:lang w:val="es-ES"/>
        </w:rPr>
        <w:tab/>
      </w:r>
      <w:r w:rsidRPr="007B6CA0">
        <w:rPr>
          <w:b w:val="0"/>
          <w:sz w:val="22"/>
          <w:lang w:val="es-ES"/>
        </w:rPr>
        <w:tab/>
        <w:t>Recuperación Mejorada de Crudo</w:t>
      </w:r>
    </w:p>
    <w:p w14:paraId="187D1150" w14:textId="77777777" w:rsidR="00732D38" w:rsidRPr="007B6CA0" w:rsidRDefault="00732D38" w:rsidP="00732D38">
      <w:pPr>
        <w:pStyle w:val="Prrafodelista"/>
        <w:numPr>
          <w:ilvl w:val="0"/>
          <w:numId w:val="7"/>
        </w:numPr>
        <w:spacing w:line="276" w:lineRule="auto"/>
        <w:rPr>
          <w:b w:val="0"/>
          <w:sz w:val="22"/>
        </w:rPr>
      </w:pPr>
      <w:r w:rsidRPr="007B6CA0">
        <w:rPr>
          <w:b w:val="0"/>
          <w:sz w:val="22"/>
        </w:rPr>
        <w:t>GLP</w:t>
      </w:r>
      <w:r w:rsidRPr="007B6CA0">
        <w:rPr>
          <w:b w:val="0"/>
          <w:sz w:val="22"/>
        </w:rPr>
        <w:tab/>
      </w:r>
      <w:r w:rsidRPr="007B6CA0">
        <w:rPr>
          <w:b w:val="0"/>
          <w:sz w:val="22"/>
        </w:rPr>
        <w:tab/>
        <w:t>Gas Licuado del Petróleo</w:t>
      </w:r>
    </w:p>
    <w:p w14:paraId="110DE7CE" w14:textId="77777777" w:rsidR="00732D38" w:rsidRPr="007B6CA0" w:rsidRDefault="00732D38" w:rsidP="00732D38">
      <w:pPr>
        <w:pStyle w:val="Prrafodelista"/>
        <w:numPr>
          <w:ilvl w:val="0"/>
          <w:numId w:val="7"/>
        </w:numPr>
        <w:spacing w:line="276" w:lineRule="auto"/>
        <w:rPr>
          <w:b w:val="0"/>
          <w:sz w:val="22"/>
        </w:rPr>
      </w:pPr>
      <w:r w:rsidRPr="007B6CA0">
        <w:rPr>
          <w:b w:val="0"/>
          <w:sz w:val="22"/>
        </w:rPr>
        <w:t>GNL</w:t>
      </w:r>
      <w:r w:rsidRPr="007B6CA0">
        <w:rPr>
          <w:b w:val="0"/>
          <w:sz w:val="22"/>
        </w:rPr>
        <w:tab/>
      </w:r>
      <w:r w:rsidRPr="007B6CA0">
        <w:rPr>
          <w:b w:val="0"/>
          <w:sz w:val="22"/>
        </w:rPr>
        <w:tab/>
        <w:t>Gas Natural Licuado</w:t>
      </w:r>
    </w:p>
    <w:p w14:paraId="5D829716" w14:textId="77777777" w:rsidR="00732D38" w:rsidRPr="007B6CA0" w:rsidRDefault="00732D38" w:rsidP="00732D38">
      <w:pPr>
        <w:pStyle w:val="Prrafodelista"/>
        <w:numPr>
          <w:ilvl w:val="0"/>
          <w:numId w:val="7"/>
        </w:numPr>
        <w:spacing w:line="276" w:lineRule="auto"/>
        <w:rPr>
          <w:b w:val="0"/>
          <w:sz w:val="22"/>
        </w:rPr>
      </w:pPr>
      <w:r w:rsidRPr="007B6CA0">
        <w:rPr>
          <w:b w:val="0"/>
          <w:sz w:val="22"/>
        </w:rPr>
        <w:t>HH</w:t>
      </w:r>
      <w:r w:rsidRPr="007B6CA0">
        <w:rPr>
          <w:b w:val="0"/>
          <w:sz w:val="22"/>
        </w:rPr>
        <w:tab/>
      </w:r>
      <w:r w:rsidRPr="007B6CA0">
        <w:rPr>
          <w:b w:val="0"/>
          <w:sz w:val="22"/>
        </w:rPr>
        <w:tab/>
        <w:t>Henry Hub</w:t>
      </w:r>
    </w:p>
    <w:p w14:paraId="75EB0B3E" w14:textId="77777777" w:rsidR="00732D38" w:rsidRPr="007B6CA0" w:rsidRDefault="00732D38" w:rsidP="00732D38">
      <w:pPr>
        <w:pStyle w:val="Prrafodelista"/>
        <w:numPr>
          <w:ilvl w:val="0"/>
          <w:numId w:val="7"/>
        </w:numPr>
        <w:spacing w:line="276" w:lineRule="auto"/>
        <w:rPr>
          <w:b w:val="0"/>
          <w:sz w:val="22"/>
        </w:rPr>
      </w:pPr>
      <w:r w:rsidRPr="007B6CA0">
        <w:rPr>
          <w:b w:val="0"/>
          <w:sz w:val="22"/>
        </w:rPr>
        <w:t>JKM</w:t>
      </w:r>
      <w:r w:rsidRPr="007B6CA0">
        <w:rPr>
          <w:b w:val="0"/>
          <w:sz w:val="22"/>
        </w:rPr>
        <w:tab/>
      </w:r>
      <w:r w:rsidRPr="007B6CA0">
        <w:rPr>
          <w:b w:val="0"/>
          <w:sz w:val="22"/>
        </w:rPr>
        <w:tab/>
        <w:t>Japan Korean Marker</w:t>
      </w:r>
    </w:p>
    <w:p w14:paraId="551B4B13" w14:textId="77777777" w:rsidR="00732D38" w:rsidRPr="007B6CA0" w:rsidRDefault="00732D38" w:rsidP="00732D38">
      <w:pPr>
        <w:pStyle w:val="Prrafodelista"/>
        <w:numPr>
          <w:ilvl w:val="0"/>
          <w:numId w:val="7"/>
        </w:numPr>
        <w:spacing w:line="276" w:lineRule="auto"/>
        <w:rPr>
          <w:b w:val="0"/>
          <w:sz w:val="22"/>
        </w:rPr>
      </w:pPr>
      <w:r w:rsidRPr="007B6CA0">
        <w:rPr>
          <w:b w:val="0"/>
          <w:sz w:val="22"/>
        </w:rPr>
        <w:t>MME</w:t>
      </w:r>
      <w:r w:rsidRPr="007B6CA0">
        <w:rPr>
          <w:b w:val="0"/>
          <w:sz w:val="22"/>
        </w:rPr>
        <w:tab/>
      </w:r>
      <w:r w:rsidRPr="007B6CA0">
        <w:rPr>
          <w:b w:val="0"/>
          <w:sz w:val="22"/>
        </w:rPr>
        <w:tab/>
        <w:t>Ministerio de Minas y Energía</w:t>
      </w:r>
    </w:p>
    <w:p w14:paraId="131BF3FE" w14:textId="77777777" w:rsidR="00732D38" w:rsidRPr="007B6CA0" w:rsidRDefault="00732D38" w:rsidP="00732D38">
      <w:pPr>
        <w:pStyle w:val="Prrafodelista"/>
        <w:numPr>
          <w:ilvl w:val="0"/>
          <w:numId w:val="7"/>
        </w:numPr>
        <w:spacing w:line="276" w:lineRule="auto"/>
        <w:rPr>
          <w:b w:val="0"/>
          <w:sz w:val="22"/>
        </w:rPr>
      </w:pPr>
      <w:r w:rsidRPr="007B6CA0">
        <w:rPr>
          <w:b w:val="0"/>
          <w:sz w:val="22"/>
        </w:rPr>
        <w:t>MTPA</w:t>
      </w:r>
      <w:r w:rsidRPr="007B6CA0">
        <w:rPr>
          <w:b w:val="0"/>
          <w:sz w:val="22"/>
        </w:rPr>
        <w:tab/>
      </w:r>
      <w:r w:rsidRPr="007B6CA0">
        <w:rPr>
          <w:b w:val="0"/>
          <w:sz w:val="22"/>
        </w:rPr>
        <w:tab/>
        <w:t xml:space="preserve">Millones de Toneladas por año </w:t>
      </w:r>
    </w:p>
    <w:p w14:paraId="326C13D1" w14:textId="77777777" w:rsidR="00732D38" w:rsidRPr="007B6CA0" w:rsidRDefault="00732D38" w:rsidP="00732D38">
      <w:pPr>
        <w:pStyle w:val="Prrafodelista"/>
        <w:numPr>
          <w:ilvl w:val="0"/>
          <w:numId w:val="7"/>
        </w:numPr>
        <w:spacing w:line="276" w:lineRule="auto"/>
        <w:rPr>
          <w:b w:val="0"/>
          <w:sz w:val="22"/>
        </w:rPr>
      </w:pPr>
      <w:r w:rsidRPr="007B6CA0">
        <w:rPr>
          <w:b w:val="0"/>
          <w:sz w:val="22"/>
        </w:rPr>
        <w:t>NBP</w:t>
      </w:r>
      <w:r w:rsidRPr="007B6CA0">
        <w:rPr>
          <w:b w:val="0"/>
          <w:sz w:val="22"/>
        </w:rPr>
        <w:tab/>
      </w:r>
      <w:r w:rsidRPr="007B6CA0">
        <w:rPr>
          <w:b w:val="0"/>
          <w:sz w:val="22"/>
        </w:rPr>
        <w:tab/>
        <w:t xml:space="preserve">National Balancing Point </w:t>
      </w:r>
    </w:p>
    <w:p w14:paraId="774109C5" w14:textId="77777777" w:rsidR="00732D38" w:rsidRPr="007B6CA0" w:rsidRDefault="00732D38" w:rsidP="00732D38">
      <w:pPr>
        <w:pStyle w:val="Prrafodelista"/>
        <w:numPr>
          <w:ilvl w:val="0"/>
          <w:numId w:val="7"/>
        </w:numPr>
        <w:spacing w:line="276" w:lineRule="auto"/>
        <w:rPr>
          <w:b w:val="0"/>
          <w:sz w:val="22"/>
        </w:rPr>
      </w:pPr>
      <w:r w:rsidRPr="007B6CA0">
        <w:rPr>
          <w:b w:val="0"/>
          <w:sz w:val="22"/>
        </w:rPr>
        <w:t>OCDE</w:t>
      </w:r>
      <w:r w:rsidRPr="007B6CA0">
        <w:rPr>
          <w:b w:val="0"/>
          <w:sz w:val="22"/>
        </w:rPr>
        <w:tab/>
      </w:r>
      <w:r w:rsidRPr="007B6CA0">
        <w:rPr>
          <w:b w:val="0"/>
          <w:sz w:val="22"/>
        </w:rPr>
        <w:tab/>
        <w:t>Organización para la Cooperación y el Desarrollo Económico</w:t>
      </w:r>
    </w:p>
    <w:p w14:paraId="1520CA66" w14:textId="77777777" w:rsidR="00732D38" w:rsidRPr="007B6CA0" w:rsidRDefault="00732D38" w:rsidP="00732D38">
      <w:pPr>
        <w:pStyle w:val="Prrafodelista"/>
        <w:numPr>
          <w:ilvl w:val="0"/>
          <w:numId w:val="7"/>
        </w:numPr>
        <w:spacing w:line="276" w:lineRule="auto"/>
        <w:rPr>
          <w:b w:val="0"/>
          <w:sz w:val="22"/>
        </w:rPr>
      </w:pPr>
      <w:r w:rsidRPr="007B6CA0">
        <w:rPr>
          <w:b w:val="0"/>
          <w:sz w:val="22"/>
        </w:rPr>
        <w:t>OPEP</w:t>
      </w:r>
      <w:r w:rsidRPr="007B6CA0">
        <w:rPr>
          <w:b w:val="0"/>
          <w:sz w:val="22"/>
        </w:rPr>
        <w:tab/>
      </w:r>
      <w:r w:rsidRPr="007B6CA0">
        <w:rPr>
          <w:b w:val="0"/>
          <w:sz w:val="22"/>
        </w:rPr>
        <w:tab/>
      </w:r>
      <w:r>
        <w:rPr>
          <w:b w:val="0"/>
          <w:sz w:val="22"/>
        </w:rPr>
        <w:t xml:space="preserve">Organización de </w:t>
      </w:r>
      <w:r w:rsidRPr="007B6CA0">
        <w:rPr>
          <w:b w:val="0"/>
          <w:sz w:val="22"/>
        </w:rPr>
        <w:t>Países Exportadores de Petróleo</w:t>
      </w:r>
    </w:p>
    <w:p w14:paraId="26015A09" w14:textId="77777777" w:rsidR="00732D38" w:rsidRPr="007B6CA0" w:rsidRDefault="00732D38" w:rsidP="00732D38">
      <w:pPr>
        <w:pStyle w:val="Prrafodelista"/>
        <w:numPr>
          <w:ilvl w:val="0"/>
          <w:numId w:val="7"/>
        </w:numPr>
        <w:spacing w:line="276" w:lineRule="auto"/>
        <w:rPr>
          <w:b w:val="0"/>
          <w:sz w:val="22"/>
        </w:rPr>
      </w:pPr>
      <w:r w:rsidRPr="007B6CA0">
        <w:rPr>
          <w:b w:val="0"/>
          <w:sz w:val="22"/>
        </w:rPr>
        <w:t>PIB</w:t>
      </w:r>
      <w:r w:rsidRPr="007B6CA0">
        <w:rPr>
          <w:b w:val="0"/>
          <w:sz w:val="22"/>
        </w:rPr>
        <w:tab/>
      </w:r>
      <w:r w:rsidRPr="007B6CA0">
        <w:rPr>
          <w:b w:val="0"/>
          <w:sz w:val="22"/>
        </w:rPr>
        <w:tab/>
        <w:t>Producto Interno Bruto</w:t>
      </w:r>
    </w:p>
    <w:p w14:paraId="1CE7E0D7" w14:textId="77777777" w:rsidR="00732D38" w:rsidRPr="007B6CA0" w:rsidRDefault="00732D38" w:rsidP="00732D38">
      <w:pPr>
        <w:pStyle w:val="Prrafodelista"/>
        <w:numPr>
          <w:ilvl w:val="0"/>
          <w:numId w:val="7"/>
        </w:numPr>
        <w:spacing w:line="276" w:lineRule="auto"/>
        <w:rPr>
          <w:b w:val="0"/>
          <w:sz w:val="22"/>
        </w:rPr>
      </w:pPr>
      <w:r w:rsidRPr="007B6CA0">
        <w:rPr>
          <w:b w:val="0"/>
          <w:sz w:val="22"/>
        </w:rPr>
        <w:t>UPME</w:t>
      </w:r>
      <w:r w:rsidRPr="007B6CA0">
        <w:rPr>
          <w:b w:val="0"/>
          <w:sz w:val="22"/>
        </w:rPr>
        <w:tab/>
      </w:r>
      <w:r w:rsidRPr="007B6CA0">
        <w:rPr>
          <w:b w:val="0"/>
          <w:sz w:val="22"/>
        </w:rPr>
        <w:tab/>
        <w:t>Unidad de Planeación Minero Energética</w:t>
      </w:r>
    </w:p>
    <w:p w14:paraId="06A95C38" w14:textId="77777777" w:rsidR="00732D38" w:rsidRPr="007B6CA0" w:rsidRDefault="00732D38" w:rsidP="00732D38"/>
    <w:p w14:paraId="2A438818" w14:textId="77777777" w:rsidR="00732D38" w:rsidRPr="007B6CA0" w:rsidRDefault="00732D38" w:rsidP="00732D38">
      <w:pPr>
        <w:spacing w:after="240"/>
        <w:rPr>
          <w:rFonts w:ascii="Arial" w:hAnsi="Arial" w:cs="Arial"/>
          <w:b/>
        </w:rPr>
      </w:pPr>
      <w:r w:rsidRPr="007B6CA0">
        <w:rPr>
          <w:rFonts w:ascii="Arial" w:hAnsi="Arial" w:cs="Arial"/>
          <w:b/>
        </w:rPr>
        <w:t>Lista de Unidades:</w:t>
      </w:r>
    </w:p>
    <w:p w14:paraId="645F7DC6" w14:textId="77777777" w:rsidR="00657AED" w:rsidRPr="007B6CA0" w:rsidRDefault="00657AED" w:rsidP="00732D38">
      <w:pPr>
        <w:pStyle w:val="Prrafodelista"/>
        <w:numPr>
          <w:ilvl w:val="0"/>
          <w:numId w:val="7"/>
        </w:numPr>
        <w:spacing w:line="276" w:lineRule="auto"/>
        <w:rPr>
          <w:b w:val="0"/>
          <w:sz w:val="22"/>
          <w:lang w:val="es-ES"/>
        </w:rPr>
      </w:pPr>
      <w:r w:rsidRPr="007B6CA0">
        <w:rPr>
          <w:b w:val="0"/>
          <w:sz w:val="22"/>
          <w:lang w:val="es-ES"/>
        </w:rPr>
        <w:t>BBL</w:t>
      </w:r>
      <w:r w:rsidRPr="007B6CA0">
        <w:rPr>
          <w:b w:val="0"/>
          <w:sz w:val="22"/>
          <w:lang w:val="es-ES"/>
        </w:rPr>
        <w:tab/>
      </w:r>
      <w:r w:rsidRPr="007B6CA0">
        <w:rPr>
          <w:b w:val="0"/>
          <w:sz w:val="22"/>
          <w:lang w:val="es-ES"/>
        </w:rPr>
        <w:tab/>
        <w:t>Barril</w:t>
      </w:r>
    </w:p>
    <w:p w14:paraId="3E68F523" w14:textId="77777777" w:rsidR="00657AED" w:rsidRPr="007B6CA0" w:rsidRDefault="00657AED" w:rsidP="00732D38">
      <w:pPr>
        <w:pStyle w:val="Prrafodelista"/>
        <w:numPr>
          <w:ilvl w:val="0"/>
          <w:numId w:val="7"/>
        </w:numPr>
        <w:spacing w:line="276" w:lineRule="auto"/>
        <w:rPr>
          <w:b w:val="0"/>
          <w:sz w:val="22"/>
          <w:lang w:val="es-ES"/>
        </w:rPr>
      </w:pPr>
      <w:r w:rsidRPr="007B6CA0">
        <w:rPr>
          <w:b w:val="0"/>
          <w:sz w:val="22"/>
          <w:lang w:val="es-ES"/>
        </w:rPr>
        <w:t>BPD</w:t>
      </w:r>
      <w:r w:rsidRPr="007B6CA0">
        <w:rPr>
          <w:b w:val="0"/>
          <w:sz w:val="22"/>
          <w:lang w:val="es-ES"/>
        </w:rPr>
        <w:tab/>
      </w:r>
      <w:r w:rsidRPr="007B6CA0">
        <w:rPr>
          <w:b w:val="0"/>
          <w:sz w:val="22"/>
          <w:lang w:val="es-ES"/>
        </w:rPr>
        <w:tab/>
        <w:t>Barriles diarios</w:t>
      </w:r>
    </w:p>
    <w:p w14:paraId="5B91223F" w14:textId="77777777" w:rsidR="00657AED" w:rsidRPr="007B6CA0" w:rsidRDefault="00657AED" w:rsidP="00732D38">
      <w:pPr>
        <w:pStyle w:val="Prrafodelista"/>
        <w:numPr>
          <w:ilvl w:val="0"/>
          <w:numId w:val="7"/>
        </w:numPr>
        <w:spacing w:line="276" w:lineRule="auto"/>
        <w:rPr>
          <w:b w:val="0"/>
          <w:sz w:val="22"/>
          <w:lang w:val="es-ES"/>
        </w:rPr>
      </w:pPr>
      <w:r w:rsidRPr="007B6CA0">
        <w:rPr>
          <w:b w:val="0"/>
          <w:sz w:val="22"/>
          <w:lang w:val="es-ES"/>
        </w:rPr>
        <w:t>BTU</w:t>
      </w:r>
      <w:r w:rsidRPr="007B6CA0">
        <w:rPr>
          <w:b w:val="0"/>
          <w:sz w:val="22"/>
          <w:lang w:val="es-ES"/>
        </w:rPr>
        <w:tab/>
      </w:r>
      <w:r w:rsidRPr="007B6CA0">
        <w:rPr>
          <w:b w:val="0"/>
          <w:sz w:val="22"/>
          <w:lang w:val="es-ES"/>
        </w:rPr>
        <w:tab/>
        <w:t>Unidad térmica británica</w:t>
      </w:r>
    </w:p>
    <w:p w14:paraId="69DB9F41" w14:textId="77777777" w:rsidR="00657AED" w:rsidRPr="007B6CA0" w:rsidRDefault="00657AED" w:rsidP="00732D38">
      <w:pPr>
        <w:pStyle w:val="Prrafodelista"/>
        <w:numPr>
          <w:ilvl w:val="0"/>
          <w:numId w:val="7"/>
        </w:numPr>
        <w:spacing w:line="276" w:lineRule="auto"/>
        <w:rPr>
          <w:b w:val="0"/>
          <w:sz w:val="22"/>
          <w:lang w:val="es-ES"/>
        </w:rPr>
      </w:pPr>
      <w:r w:rsidRPr="007B6CA0">
        <w:rPr>
          <w:b w:val="0"/>
          <w:sz w:val="22"/>
          <w:lang w:val="es-ES"/>
        </w:rPr>
        <w:t>FSRU</w:t>
      </w:r>
      <w:r w:rsidRPr="007B6CA0">
        <w:rPr>
          <w:b w:val="0"/>
          <w:sz w:val="22"/>
          <w:lang w:val="es-ES"/>
        </w:rPr>
        <w:tab/>
      </w:r>
      <w:r w:rsidRPr="007B6CA0">
        <w:rPr>
          <w:b w:val="0"/>
          <w:sz w:val="22"/>
          <w:lang w:val="es-ES"/>
        </w:rPr>
        <w:tab/>
        <w:t>Unidad flotante de almacenamiento y regasificación</w:t>
      </w:r>
    </w:p>
    <w:p w14:paraId="29796EAF" w14:textId="77777777" w:rsidR="00657AED" w:rsidRPr="007B6CA0" w:rsidRDefault="00657AED" w:rsidP="00732D38">
      <w:pPr>
        <w:pStyle w:val="Prrafodelista"/>
        <w:numPr>
          <w:ilvl w:val="0"/>
          <w:numId w:val="7"/>
        </w:numPr>
        <w:spacing w:line="276" w:lineRule="auto"/>
        <w:rPr>
          <w:b w:val="0"/>
          <w:sz w:val="22"/>
          <w:lang w:val="es-ES"/>
        </w:rPr>
      </w:pPr>
      <w:r w:rsidRPr="007B6CA0">
        <w:rPr>
          <w:b w:val="0"/>
          <w:sz w:val="22"/>
          <w:lang w:val="es-ES"/>
        </w:rPr>
        <w:t>GWh</w:t>
      </w:r>
      <w:r w:rsidRPr="007B6CA0">
        <w:rPr>
          <w:b w:val="0"/>
          <w:sz w:val="22"/>
          <w:lang w:val="es-ES"/>
        </w:rPr>
        <w:tab/>
      </w:r>
      <w:r w:rsidRPr="007B6CA0">
        <w:rPr>
          <w:b w:val="0"/>
          <w:sz w:val="22"/>
          <w:lang w:val="es-ES"/>
        </w:rPr>
        <w:tab/>
        <w:t>Gigavatio-hora</w:t>
      </w:r>
    </w:p>
    <w:p w14:paraId="329802E5" w14:textId="77777777" w:rsidR="00657AED" w:rsidRPr="007B6CA0" w:rsidRDefault="00657AED" w:rsidP="00732D38">
      <w:pPr>
        <w:pStyle w:val="Prrafodelista"/>
        <w:numPr>
          <w:ilvl w:val="0"/>
          <w:numId w:val="7"/>
        </w:numPr>
        <w:spacing w:line="276" w:lineRule="auto"/>
        <w:rPr>
          <w:b w:val="0"/>
          <w:sz w:val="22"/>
          <w:lang w:val="es-ES"/>
        </w:rPr>
      </w:pPr>
      <w:r w:rsidRPr="007B6CA0">
        <w:rPr>
          <w:b w:val="0"/>
          <w:sz w:val="22"/>
          <w:lang w:val="es-ES"/>
        </w:rPr>
        <w:t>km</w:t>
      </w:r>
      <w:r w:rsidRPr="007B6CA0">
        <w:rPr>
          <w:b w:val="0"/>
          <w:sz w:val="22"/>
          <w:lang w:val="es-ES"/>
        </w:rPr>
        <w:tab/>
      </w:r>
      <w:r w:rsidRPr="007B6CA0">
        <w:rPr>
          <w:b w:val="0"/>
          <w:sz w:val="22"/>
          <w:lang w:val="es-ES"/>
        </w:rPr>
        <w:tab/>
        <w:t>kilometro</w:t>
      </w:r>
    </w:p>
    <w:p w14:paraId="0CB3E46F" w14:textId="77777777" w:rsidR="00657AED" w:rsidRPr="007B6CA0" w:rsidRDefault="00657AED" w:rsidP="00732D38">
      <w:pPr>
        <w:pStyle w:val="Prrafodelista"/>
        <w:numPr>
          <w:ilvl w:val="0"/>
          <w:numId w:val="7"/>
        </w:numPr>
        <w:spacing w:line="276" w:lineRule="auto"/>
        <w:rPr>
          <w:b w:val="0"/>
          <w:sz w:val="22"/>
          <w:lang w:val="es-ES"/>
        </w:rPr>
      </w:pPr>
      <w:r w:rsidRPr="007B6CA0">
        <w:rPr>
          <w:b w:val="0"/>
          <w:sz w:val="22"/>
          <w:lang w:val="es-ES"/>
        </w:rPr>
        <w:t>kWh</w:t>
      </w:r>
      <w:r w:rsidRPr="007B6CA0">
        <w:rPr>
          <w:b w:val="0"/>
          <w:sz w:val="22"/>
          <w:lang w:val="es-ES"/>
        </w:rPr>
        <w:tab/>
      </w:r>
      <w:r w:rsidRPr="007B6CA0">
        <w:rPr>
          <w:b w:val="0"/>
          <w:sz w:val="22"/>
          <w:lang w:val="es-ES"/>
        </w:rPr>
        <w:tab/>
        <w:t>Kilovatio-hora</w:t>
      </w:r>
    </w:p>
    <w:p w14:paraId="6C4F369C" w14:textId="77777777" w:rsidR="00657AED" w:rsidRPr="007B6CA0" w:rsidRDefault="00657AED" w:rsidP="00732D38">
      <w:pPr>
        <w:pStyle w:val="Prrafodelista"/>
        <w:numPr>
          <w:ilvl w:val="0"/>
          <w:numId w:val="7"/>
        </w:numPr>
        <w:spacing w:line="276" w:lineRule="auto"/>
        <w:rPr>
          <w:b w:val="0"/>
          <w:sz w:val="22"/>
          <w:lang w:val="es-ES"/>
        </w:rPr>
      </w:pPr>
      <w:r w:rsidRPr="007B6CA0">
        <w:rPr>
          <w:b w:val="0"/>
          <w:sz w:val="22"/>
          <w:lang w:val="es-ES"/>
        </w:rPr>
        <w:t>Mm</w:t>
      </w:r>
      <w:r w:rsidRPr="007B6CA0">
        <w:rPr>
          <w:b w:val="0"/>
          <w:sz w:val="22"/>
          <w:vertAlign w:val="superscript"/>
          <w:lang w:val="es-ES"/>
        </w:rPr>
        <w:t>3</w:t>
      </w:r>
      <w:r w:rsidRPr="007B6CA0">
        <w:rPr>
          <w:b w:val="0"/>
          <w:sz w:val="22"/>
          <w:lang w:val="es-ES"/>
        </w:rPr>
        <w:tab/>
      </w:r>
      <w:r w:rsidRPr="007B6CA0">
        <w:rPr>
          <w:b w:val="0"/>
          <w:sz w:val="22"/>
          <w:lang w:val="es-ES"/>
        </w:rPr>
        <w:tab/>
        <w:t>Millón de metros cúbicos</w:t>
      </w:r>
    </w:p>
    <w:p w14:paraId="35EEF908" w14:textId="77777777" w:rsidR="00657AED" w:rsidRPr="007B6CA0" w:rsidRDefault="00657AED" w:rsidP="00732D38">
      <w:pPr>
        <w:pStyle w:val="Prrafodelista"/>
        <w:numPr>
          <w:ilvl w:val="0"/>
          <w:numId w:val="7"/>
        </w:numPr>
        <w:spacing w:line="276" w:lineRule="auto"/>
        <w:rPr>
          <w:b w:val="0"/>
          <w:sz w:val="22"/>
          <w:lang w:val="es-ES"/>
        </w:rPr>
      </w:pPr>
      <w:r w:rsidRPr="007B6CA0">
        <w:rPr>
          <w:b w:val="0"/>
          <w:sz w:val="22"/>
          <w:lang w:val="es-ES"/>
        </w:rPr>
        <w:t>MMBTU</w:t>
      </w:r>
      <w:r w:rsidRPr="007B6CA0">
        <w:rPr>
          <w:b w:val="0"/>
          <w:sz w:val="22"/>
          <w:lang w:val="es-ES"/>
        </w:rPr>
        <w:tab/>
        <w:t>Millones de BTU</w:t>
      </w:r>
    </w:p>
    <w:p w14:paraId="2BD47336" w14:textId="77777777" w:rsidR="00657AED" w:rsidRPr="007B6CA0" w:rsidRDefault="00657AED" w:rsidP="00732D38">
      <w:pPr>
        <w:pStyle w:val="Prrafodelista"/>
        <w:numPr>
          <w:ilvl w:val="0"/>
          <w:numId w:val="7"/>
        </w:numPr>
        <w:spacing w:line="276" w:lineRule="auto"/>
        <w:rPr>
          <w:b w:val="0"/>
          <w:sz w:val="22"/>
          <w:lang w:val="es-ES"/>
        </w:rPr>
      </w:pPr>
      <w:r w:rsidRPr="007B6CA0">
        <w:rPr>
          <w:b w:val="0"/>
          <w:sz w:val="22"/>
          <w:lang w:val="es-ES"/>
        </w:rPr>
        <w:t>MPCD</w:t>
      </w:r>
      <w:r w:rsidRPr="007B6CA0">
        <w:rPr>
          <w:b w:val="0"/>
          <w:sz w:val="22"/>
          <w:lang w:val="es-ES"/>
        </w:rPr>
        <w:tab/>
      </w:r>
      <w:r w:rsidRPr="007B6CA0">
        <w:rPr>
          <w:b w:val="0"/>
          <w:sz w:val="22"/>
          <w:lang w:val="es-ES"/>
        </w:rPr>
        <w:tab/>
        <w:t>Millones de pies cúbicos día</w:t>
      </w:r>
    </w:p>
    <w:p w14:paraId="1054A727" w14:textId="77777777" w:rsidR="00657AED" w:rsidRPr="007B6CA0" w:rsidRDefault="00657AED" w:rsidP="00732D38">
      <w:pPr>
        <w:pStyle w:val="Prrafodelista"/>
        <w:numPr>
          <w:ilvl w:val="0"/>
          <w:numId w:val="7"/>
        </w:numPr>
        <w:spacing w:line="276" w:lineRule="auto"/>
        <w:rPr>
          <w:b w:val="0"/>
          <w:sz w:val="22"/>
          <w:lang w:val="es-ES"/>
        </w:rPr>
      </w:pPr>
      <w:r w:rsidRPr="007B6CA0">
        <w:rPr>
          <w:b w:val="0"/>
          <w:sz w:val="22"/>
          <w:lang w:val="es-ES"/>
        </w:rPr>
        <w:t>MTEP</w:t>
      </w:r>
      <w:r w:rsidRPr="007B6CA0">
        <w:rPr>
          <w:b w:val="0"/>
          <w:sz w:val="22"/>
          <w:lang w:val="es-ES"/>
        </w:rPr>
        <w:tab/>
      </w:r>
      <w:r w:rsidRPr="007B6CA0">
        <w:rPr>
          <w:b w:val="0"/>
          <w:sz w:val="22"/>
          <w:lang w:val="es-ES"/>
        </w:rPr>
        <w:tab/>
        <w:t>Millones de toneladas equivalentes de petróleo</w:t>
      </w:r>
    </w:p>
    <w:p w14:paraId="1A9D300D" w14:textId="77777777" w:rsidR="00657AED" w:rsidRPr="007B6CA0" w:rsidRDefault="00657AED" w:rsidP="00732D38">
      <w:pPr>
        <w:pStyle w:val="Prrafodelista"/>
        <w:numPr>
          <w:ilvl w:val="0"/>
          <w:numId w:val="7"/>
        </w:numPr>
        <w:spacing w:line="276" w:lineRule="auto"/>
        <w:rPr>
          <w:b w:val="0"/>
          <w:sz w:val="22"/>
          <w:lang w:val="es-ES"/>
        </w:rPr>
      </w:pPr>
      <w:r w:rsidRPr="007B6CA0">
        <w:rPr>
          <w:b w:val="0"/>
          <w:sz w:val="22"/>
          <w:lang w:val="es-ES"/>
        </w:rPr>
        <w:t>MW</w:t>
      </w:r>
      <w:r w:rsidRPr="007B6CA0">
        <w:rPr>
          <w:b w:val="0"/>
          <w:sz w:val="22"/>
          <w:lang w:val="es-ES"/>
        </w:rPr>
        <w:tab/>
      </w:r>
      <w:r w:rsidRPr="007B6CA0">
        <w:rPr>
          <w:b w:val="0"/>
          <w:sz w:val="22"/>
          <w:lang w:val="es-ES"/>
        </w:rPr>
        <w:tab/>
        <w:t>Megavatio</w:t>
      </w:r>
    </w:p>
    <w:p w14:paraId="1B4934FF" w14:textId="77777777" w:rsidR="00657AED" w:rsidRPr="007B6CA0" w:rsidRDefault="00657AED" w:rsidP="00732D38">
      <w:pPr>
        <w:pStyle w:val="Prrafodelista"/>
        <w:numPr>
          <w:ilvl w:val="0"/>
          <w:numId w:val="7"/>
        </w:numPr>
        <w:spacing w:line="276" w:lineRule="auto"/>
        <w:rPr>
          <w:b w:val="0"/>
          <w:sz w:val="22"/>
          <w:lang w:val="es-ES"/>
        </w:rPr>
      </w:pPr>
      <w:r w:rsidRPr="007B6CA0">
        <w:rPr>
          <w:b w:val="0"/>
          <w:sz w:val="22"/>
          <w:lang w:val="es-ES"/>
        </w:rPr>
        <w:t>TEP</w:t>
      </w:r>
      <w:r w:rsidRPr="007B6CA0">
        <w:rPr>
          <w:b w:val="0"/>
          <w:sz w:val="22"/>
          <w:lang w:val="es-ES"/>
        </w:rPr>
        <w:tab/>
      </w:r>
      <w:r w:rsidRPr="007B6CA0">
        <w:rPr>
          <w:b w:val="0"/>
          <w:sz w:val="22"/>
          <w:lang w:val="es-ES"/>
        </w:rPr>
        <w:tab/>
        <w:t>Toneladas equivalentes de petróleo</w:t>
      </w:r>
    </w:p>
    <w:p w14:paraId="6282DF0B" w14:textId="77777777" w:rsidR="00657AED" w:rsidRPr="007B6CA0" w:rsidRDefault="00657AED" w:rsidP="00732D38">
      <w:pPr>
        <w:pStyle w:val="Prrafodelista"/>
        <w:numPr>
          <w:ilvl w:val="0"/>
          <w:numId w:val="7"/>
        </w:numPr>
        <w:spacing w:line="276" w:lineRule="auto"/>
        <w:rPr>
          <w:b w:val="0"/>
          <w:sz w:val="22"/>
          <w:lang w:val="es-ES"/>
        </w:rPr>
      </w:pPr>
      <w:r w:rsidRPr="007B6CA0">
        <w:rPr>
          <w:b w:val="0"/>
          <w:sz w:val="22"/>
          <w:lang w:val="es-ES"/>
        </w:rPr>
        <w:t>Ton</w:t>
      </w:r>
      <w:r w:rsidRPr="007B6CA0">
        <w:rPr>
          <w:b w:val="0"/>
          <w:sz w:val="22"/>
          <w:lang w:val="es-ES"/>
        </w:rPr>
        <w:tab/>
      </w:r>
      <w:r w:rsidRPr="007B6CA0">
        <w:rPr>
          <w:b w:val="0"/>
          <w:sz w:val="22"/>
          <w:lang w:val="es-ES"/>
        </w:rPr>
        <w:tab/>
        <w:t>Tonelada</w:t>
      </w:r>
    </w:p>
    <w:p w14:paraId="3B4D19C9" w14:textId="77777777" w:rsidR="00732D38" w:rsidRPr="007B6CA0" w:rsidRDefault="00732D38" w:rsidP="00732D38">
      <w:pPr>
        <w:rPr>
          <w:lang w:val="es-ES"/>
        </w:rPr>
      </w:pPr>
    </w:p>
    <w:p w14:paraId="17E3107C" w14:textId="77777777" w:rsidR="00732D38" w:rsidRPr="007B6CA0" w:rsidRDefault="00732D38" w:rsidP="00732D38">
      <w:pPr>
        <w:spacing w:before="240" w:after="240" w:line="276" w:lineRule="auto"/>
        <w:rPr>
          <w:rFonts w:ascii="Arial" w:eastAsia="Times New Roman" w:hAnsi="Arial" w:cs="Times New Roman"/>
          <w:sz w:val="22"/>
          <w:lang w:val="es-ES" w:eastAsia="es-ES"/>
        </w:rPr>
      </w:pPr>
      <w:r w:rsidRPr="007B6CA0">
        <w:rPr>
          <w:rFonts w:ascii="Arial" w:hAnsi="Arial" w:cs="Arial"/>
          <w:b/>
          <w:sz w:val="22"/>
          <w:szCs w:val="22"/>
        </w:rPr>
        <w:t>Nota</w:t>
      </w:r>
      <w:r w:rsidRPr="007B6CA0">
        <w:rPr>
          <w:rFonts w:ascii="Arial" w:hAnsi="Arial" w:cs="Arial"/>
          <w:b/>
        </w:rPr>
        <w:t>:</w:t>
      </w:r>
      <w:r w:rsidRPr="007B6CA0">
        <w:rPr>
          <w:rFonts w:cs="Arial"/>
          <w:b/>
        </w:rPr>
        <w:tab/>
      </w:r>
      <w:r w:rsidRPr="007B6CA0">
        <w:rPr>
          <w:rFonts w:cs="Arial"/>
        </w:rPr>
        <w:tab/>
      </w:r>
      <w:r w:rsidRPr="007B6CA0">
        <w:rPr>
          <w:rFonts w:ascii="Arial" w:eastAsia="Times New Roman" w:hAnsi="Arial" w:cs="Times New Roman"/>
          <w:sz w:val="22"/>
          <w:lang w:val="es-ES" w:eastAsia="es-ES"/>
        </w:rPr>
        <w:t>,</w:t>
      </w:r>
      <w:r w:rsidRPr="007B6CA0">
        <w:rPr>
          <w:rFonts w:ascii="Arial" w:eastAsia="Times New Roman" w:hAnsi="Arial" w:cs="Times New Roman"/>
          <w:sz w:val="22"/>
          <w:lang w:val="es-ES" w:eastAsia="es-ES"/>
        </w:rPr>
        <w:tab/>
        <w:t>Separador de miles.</w:t>
      </w:r>
    </w:p>
    <w:p w14:paraId="7CFC1E10" w14:textId="77777777" w:rsidR="00732D38" w:rsidRDefault="00732D38" w:rsidP="00732D38">
      <w:pPr>
        <w:spacing w:before="240" w:after="240" w:line="276" w:lineRule="auto"/>
        <w:rPr>
          <w:rFonts w:ascii="Arial" w:eastAsia="Times New Roman" w:hAnsi="Arial" w:cs="Times New Roman"/>
          <w:sz w:val="22"/>
          <w:lang w:val="es-ES" w:eastAsia="es-ES"/>
        </w:rPr>
      </w:pPr>
      <w:r w:rsidRPr="007B6CA0">
        <w:rPr>
          <w:rFonts w:ascii="Arial" w:eastAsia="Times New Roman" w:hAnsi="Arial" w:cs="Times New Roman"/>
          <w:sz w:val="22"/>
          <w:lang w:val="es-ES" w:eastAsia="es-ES"/>
        </w:rPr>
        <w:tab/>
      </w:r>
      <w:r w:rsidRPr="007B6CA0">
        <w:rPr>
          <w:rFonts w:ascii="Arial" w:eastAsia="Times New Roman" w:hAnsi="Arial" w:cs="Times New Roman"/>
          <w:sz w:val="22"/>
          <w:lang w:val="es-ES" w:eastAsia="es-ES"/>
        </w:rPr>
        <w:tab/>
        <w:t>.</w:t>
      </w:r>
      <w:r w:rsidRPr="007B6CA0">
        <w:rPr>
          <w:rFonts w:ascii="Arial" w:eastAsia="Times New Roman" w:hAnsi="Arial" w:cs="Times New Roman"/>
          <w:sz w:val="22"/>
          <w:lang w:val="es-ES" w:eastAsia="es-ES"/>
        </w:rPr>
        <w:tab/>
        <w:t>Separador de decimales.</w:t>
      </w:r>
    </w:p>
    <w:p w14:paraId="592930B3" w14:textId="77777777" w:rsidR="003B7FEC" w:rsidRDefault="003B7FEC" w:rsidP="00732D38">
      <w:pPr>
        <w:spacing w:before="240" w:after="240" w:line="276" w:lineRule="auto"/>
        <w:rPr>
          <w:rFonts w:ascii="Arial" w:eastAsia="Times New Roman" w:hAnsi="Arial" w:cs="Times New Roman"/>
          <w:sz w:val="22"/>
          <w:lang w:val="es-ES" w:eastAsia="es-ES"/>
        </w:rPr>
        <w:sectPr w:rsidR="003B7FEC" w:rsidSect="00F074ED">
          <w:headerReference w:type="default" r:id="rId10"/>
          <w:footerReference w:type="default" r:id="rId11"/>
          <w:pgSz w:w="12240" w:h="15840" w:code="1"/>
          <w:pgMar w:top="1843" w:right="1134" w:bottom="1134" w:left="1418" w:header="284" w:footer="851" w:gutter="0"/>
          <w:pgBorders w:offsetFrom="page">
            <w:bottom w:val="single" w:sz="4" w:space="24" w:color="FFFFFF" w:themeColor="background1"/>
          </w:pgBorders>
          <w:cols w:space="720"/>
          <w:formProt w:val="0"/>
          <w:titlePg/>
          <w:docGrid w:linePitch="360" w:charSpace="-6145"/>
        </w:sectPr>
      </w:pPr>
    </w:p>
    <w:p w14:paraId="098AEECB" w14:textId="77777777" w:rsidR="00914134" w:rsidRPr="004327CD" w:rsidRDefault="00914134" w:rsidP="00914134">
      <w:pPr>
        <w:pStyle w:val="Ttulo4"/>
        <w:rPr>
          <w:noProof w:val="0"/>
        </w:rPr>
      </w:pPr>
      <w:bookmarkStart w:id="2" w:name="_Toc530045815"/>
      <w:r w:rsidRPr="004327CD">
        <w:rPr>
          <w:noProof w:val="0"/>
        </w:rPr>
        <w:lastRenderedPageBreak/>
        <w:t>Introducción</w:t>
      </w:r>
      <w:bookmarkEnd w:id="2"/>
    </w:p>
    <w:p w14:paraId="1A581938" w14:textId="45C5C868" w:rsidR="00AB5D1E" w:rsidRDefault="00914134" w:rsidP="00FB1FFD">
      <w:pPr>
        <w:spacing w:before="240" w:after="240" w:line="276" w:lineRule="auto"/>
        <w:jc w:val="both"/>
        <w:rPr>
          <w:rFonts w:ascii="Arial" w:hAnsi="Arial" w:cs="Arial"/>
          <w:sz w:val="22"/>
          <w:szCs w:val="22"/>
        </w:rPr>
      </w:pPr>
      <w:r w:rsidRPr="00D814D9">
        <w:rPr>
          <w:rFonts w:ascii="Arial" w:hAnsi="Arial" w:cs="Arial"/>
          <w:sz w:val="22"/>
          <w:szCs w:val="22"/>
        </w:rPr>
        <w:t>El objetivo de este documento es presentar la estimación de los precios de las distintas fuentes energéticas utilizadas para la generación de electricidad. Estos precios, son calculados a partir de las perspectivas del mercado internacional de energía y de la regulación y normatividad nacional existente en cada una de estas fuentes.</w:t>
      </w:r>
      <w:r w:rsidR="00AB5D1E">
        <w:rPr>
          <w:rFonts w:ascii="Arial" w:hAnsi="Arial" w:cs="Arial"/>
          <w:sz w:val="22"/>
          <w:szCs w:val="22"/>
        </w:rPr>
        <w:t xml:space="preserve"> C</w:t>
      </w:r>
      <w:r w:rsidR="00FB1FFD" w:rsidRPr="00FB1FFD">
        <w:rPr>
          <w:rFonts w:ascii="Arial" w:hAnsi="Arial" w:cs="Arial"/>
          <w:sz w:val="22"/>
          <w:szCs w:val="22"/>
        </w:rPr>
        <w:t>on base en el análisis de las variables y seguimiento a los distintos mercados</w:t>
      </w:r>
      <w:r w:rsidR="00AB5D1E">
        <w:rPr>
          <w:rFonts w:ascii="Arial" w:hAnsi="Arial" w:cs="Arial"/>
          <w:sz w:val="22"/>
          <w:szCs w:val="22"/>
        </w:rPr>
        <w:t>,</w:t>
      </w:r>
      <w:r w:rsidR="00FB1FFD" w:rsidRPr="00FB1FFD">
        <w:rPr>
          <w:rFonts w:ascii="Arial" w:hAnsi="Arial" w:cs="Arial"/>
          <w:sz w:val="22"/>
          <w:szCs w:val="22"/>
        </w:rPr>
        <w:t xml:space="preserve"> ya sean regionales, nacionales o internacionales</w:t>
      </w:r>
      <w:r w:rsidR="00AB5D1E">
        <w:rPr>
          <w:rFonts w:ascii="Arial" w:hAnsi="Arial" w:cs="Arial"/>
          <w:sz w:val="22"/>
          <w:szCs w:val="22"/>
        </w:rPr>
        <w:t>,</w:t>
      </w:r>
      <w:r w:rsidR="00FB1FFD" w:rsidRPr="00FB1FFD">
        <w:rPr>
          <w:rFonts w:ascii="Arial" w:hAnsi="Arial" w:cs="Arial"/>
          <w:sz w:val="22"/>
          <w:szCs w:val="22"/>
        </w:rPr>
        <w:t xml:space="preserve"> se estimaron escenarios de precios de corto, mediano y largo plazo de los distintos energéticos que hoy son utilizados para la</w:t>
      </w:r>
      <w:r w:rsidR="00FB1FFD" w:rsidRPr="000713F5">
        <w:rPr>
          <w:rFonts w:ascii="Arial" w:hAnsi="Arial" w:cs="Arial"/>
          <w:sz w:val="22"/>
          <w:szCs w:val="22"/>
        </w:rPr>
        <w:t xml:space="preserve"> generaci</w:t>
      </w:r>
      <w:r w:rsidR="00AB5D1E">
        <w:rPr>
          <w:rFonts w:ascii="Arial" w:hAnsi="Arial" w:cs="Arial"/>
          <w:sz w:val="22"/>
          <w:szCs w:val="22"/>
        </w:rPr>
        <w:t>ón de electricidad en Colombia.</w:t>
      </w:r>
    </w:p>
    <w:p w14:paraId="38BF69AD" w14:textId="3C151AD4" w:rsidR="00FB1FFD" w:rsidRDefault="00FB1FFD" w:rsidP="00FB1FFD">
      <w:pPr>
        <w:spacing w:before="240" w:after="240" w:line="276" w:lineRule="auto"/>
        <w:jc w:val="both"/>
        <w:rPr>
          <w:rFonts w:ascii="Arial" w:hAnsi="Arial" w:cs="Arial"/>
          <w:sz w:val="22"/>
          <w:szCs w:val="22"/>
        </w:rPr>
      </w:pPr>
      <w:r w:rsidRPr="000713F5">
        <w:rPr>
          <w:rFonts w:ascii="Arial" w:hAnsi="Arial" w:cs="Arial"/>
          <w:sz w:val="22"/>
          <w:szCs w:val="22"/>
        </w:rPr>
        <w:t xml:space="preserve">Bajo el contexto descrito, el documento pretende dar una visión completa del futuro de los precios de los energéticos entendiendo que </w:t>
      </w:r>
      <w:r w:rsidR="00AB5D1E">
        <w:rPr>
          <w:rFonts w:ascii="Arial" w:hAnsi="Arial" w:cs="Arial"/>
          <w:sz w:val="22"/>
          <w:szCs w:val="22"/>
        </w:rPr>
        <w:t>sus respectivos</w:t>
      </w:r>
      <w:r w:rsidRPr="000713F5">
        <w:rPr>
          <w:rFonts w:ascii="Arial" w:hAnsi="Arial" w:cs="Arial"/>
          <w:sz w:val="22"/>
          <w:szCs w:val="22"/>
        </w:rPr>
        <w:t xml:space="preserve"> mercados tienen importantes diferencias en su desarrollo</w:t>
      </w:r>
      <w:r w:rsidR="001B027C">
        <w:rPr>
          <w:rFonts w:ascii="Arial" w:hAnsi="Arial" w:cs="Arial"/>
          <w:sz w:val="22"/>
          <w:szCs w:val="22"/>
        </w:rPr>
        <w:t xml:space="preserve"> y en</w:t>
      </w:r>
      <w:r w:rsidRPr="000713F5">
        <w:rPr>
          <w:rFonts w:ascii="Arial" w:hAnsi="Arial" w:cs="Arial"/>
          <w:sz w:val="22"/>
          <w:szCs w:val="22"/>
        </w:rPr>
        <w:t xml:space="preserve"> las variables fundamentales que los determinan</w:t>
      </w:r>
      <w:r w:rsidR="001B027C">
        <w:rPr>
          <w:rFonts w:ascii="Arial" w:hAnsi="Arial" w:cs="Arial"/>
          <w:sz w:val="22"/>
          <w:szCs w:val="22"/>
        </w:rPr>
        <w:t>,</w:t>
      </w:r>
      <w:r w:rsidRPr="000713F5">
        <w:rPr>
          <w:rFonts w:ascii="Arial" w:hAnsi="Arial" w:cs="Arial"/>
          <w:sz w:val="22"/>
          <w:szCs w:val="22"/>
        </w:rPr>
        <w:t xml:space="preserve"> lo cual incide directamente en su evolución y comportamiento futuro. Por consiguiente, pronosticar precios es una tarea que implica la consideración de un sinnúmero de factores de diversa índole que pueden cambiar de un momento a otro por razones ajenas a la lógica, causando algún grado de imprecisión </w:t>
      </w:r>
      <w:r w:rsidR="001B027C">
        <w:rPr>
          <w:rFonts w:ascii="Arial" w:hAnsi="Arial" w:cs="Arial"/>
          <w:sz w:val="22"/>
          <w:szCs w:val="22"/>
        </w:rPr>
        <w:t xml:space="preserve">en </w:t>
      </w:r>
      <w:r w:rsidRPr="000713F5">
        <w:rPr>
          <w:rFonts w:ascii="Arial" w:hAnsi="Arial" w:cs="Arial"/>
          <w:sz w:val="22"/>
          <w:szCs w:val="22"/>
        </w:rPr>
        <w:t>el pronóstico</w:t>
      </w:r>
      <w:r w:rsidR="001B027C">
        <w:rPr>
          <w:rFonts w:ascii="Arial" w:hAnsi="Arial" w:cs="Arial"/>
          <w:sz w:val="22"/>
          <w:szCs w:val="22"/>
        </w:rPr>
        <w:t xml:space="preserve"> realizado</w:t>
      </w:r>
      <w:r w:rsidRPr="000713F5">
        <w:rPr>
          <w:rFonts w:ascii="Arial" w:hAnsi="Arial" w:cs="Arial"/>
          <w:sz w:val="22"/>
          <w:szCs w:val="22"/>
        </w:rPr>
        <w:t>, por tanto, los resultados aquí obtenidos deben ser percibidos como tendencias de comportamiento.</w:t>
      </w:r>
    </w:p>
    <w:p w14:paraId="6AA69873" w14:textId="77777777" w:rsidR="006921B8" w:rsidRPr="002E12DB" w:rsidRDefault="007F2276" w:rsidP="00914134">
      <w:pPr>
        <w:spacing w:before="240" w:after="240" w:line="276" w:lineRule="auto"/>
        <w:jc w:val="both"/>
        <w:rPr>
          <w:rFonts w:ascii="Arial" w:hAnsi="Arial" w:cs="Arial"/>
          <w:sz w:val="22"/>
          <w:szCs w:val="22"/>
        </w:rPr>
      </w:pPr>
      <w:r w:rsidRPr="002E12DB">
        <w:rPr>
          <w:rFonts w:ascii="Arial" w:hAnsi="Arial" w:cs="Arial"/>
          <w:sz w:val="22"/>
          <w:szCs w:val="22"/>
        </w:rPr>
        <w:t xml:space="preserve">Así pues, se presenta una </w:t>
      </w:r>
      <w:r w:rsidR="00766958" w:rsidRPr="002E12DB">
        <w:rPr>
          <w:rFonts w:ascii="Arial" w:hAnsi="Arial" w:cs="Arial"/>
          <w:sz w:val="22"/>
          <w:szCs w:val="22"/>
        </w:rPr>
        <w:t xml:space="preserve">contextualización </w:t>
      </w:r>
      <w:r w:rsidR="00110A4D" w:rsidRPr="002E12DB">
        <w:rPr>
          <w:rFonts w:ascii="Arial" w:hAnsi="Arial" w:cs="Arial"/>
          <w:sz w:val="22"/>
          <w:szCs w:val="22"/>
        </w:rPr>
        <w:t>del</w:t>
      </w:r>
      <w:r w:rsidR="006921B8" w:rsidRPr="002E12DB">
        <w:rPr>
          <w:rFonts w:ascii="Arial" w:hAnsi="Arial" w:cs="Arial"/>
          <w:sz w:val="22"/>
          <w:szCs w:val="22"/>
        </w:rPr>
        <w:t xml:space="preserve"> </w:t>
      </w:r>
      <w:r w:rsidR="00110A4D" w:rsidRPr="002E12DB">
        <w:rPr>
          <w:rFonts w:ascii="Arial" w:hAnsi="Arial" w:cs="Arial"/>
          <w:sz w:val="22"/>
          <w:szCs w:val="22"/>
        </w:rPr>
        <w:t>comportamiento del precio del crudo</w:t>
      </w:r>
      <w:r w:rsidR="006921B8" w:rsidRPr="002E12DB">
        <w:rPr>
          <w:rFonts w:ascii="Arial" w:hAnsi="Arial" w:cs="Arial"/>
          <w:sz w:val="22"/>
          <w:szCs w:val="22"/>
        </w:rPr>
        <w:t xml:space="preserve">. Se realizó una estimación de precios nacionales e internacionales de Gas Natural, combustibles líquidos y carbón teniendo en cuenta cada uno de sus respectivos mercados, variables y normatividad. </w:t>
      </w:r>
    </w:p>
    <w:p w14:paraId="246C33A8" w14:textId="6BF8DE18" w:rsidR="002E12DB" w:rsidRPr="002E12DB" w:rsidRDefault="006921B8" w:rsidP="00914134">
      <w:pPr>
        <w:spacing w:before="240" w:after="240" w:line="276" w:lineRule="auto"/>
        <w:jc w:val="both"/>
        <w:rPr>
          <w:rFonts w:ascii="Arial" w:hAnsi="Arial" w:cs="Arial"/>
          <w:sz w:val="22"/>
          <w:szCs w:val="22"/>
        </w:rPr>
      </w:pPr>
      <w:r w:rsidRPr="002E12DB">
        <w:rPr>
          <w:rFonts w:ascii="Arial" w:hAnsi="Arial" w:cs="Arial"/>
          <w:sz w:val="22"/>
          <w:szCs w:val="22"/>
        </w:rPr>
        <w:t xml:space="preserve">Se encuentra que una parte importante del presente documento se centra en precios Gas Natural debido a la importancia de éste energético en la generación eléctrica nacional y el posible desabastecimiento de este energético en la próxima década, tal como se menciona en el Plan de Abastecimiento de Gas Natural 2016 presentado por la UPME. En consecuencia de lo anterior se hace necesario realizar un análisis de </w:t>
      </w:r>
      <w:r w:rsidR="00FB1FFD" w:rsidRPr="002E12DB">
        <w:rPr>
          <w:rFonts w:ascii="Arial" w:hAnsi="Arial" w:cs="Arial"/>
          <w:sz w:val="22"/>
          <w:szCs w:val="22"/>
        </w:rPr>
        <w:t xml:space="preserve">estimación de los precios internacionales de GNL en los puntos de importación (Cartagena y el pacifico colombiano), </w:t>
      </w:r>
      <w:r w:rsidR="002E12DB" w:rsidRPr="002E12DB">
        <w:rPr>
          <w:rFonts w:ascii="Arial" w:hAnsi="Arial" w:cs="Arial"/>
          <w:sz w:val="22"/>
          <w:szCs w:val="22"/>
        </w:rPr>
        <w:t xml:space="preserve">índices de precios internacionales y los costos de transporte y regasificación </w:t>
      </w:r>
      <w:r w:rsidR="00FB1FFD" w:rsidRPr="002E12DB">
        <w:rPr>
          <w:rFonts w:ascii="Arial" w:hAnsi="Arial" w:cs="Arial"/>
          <w:sz w:val="22"/>
          <w:szCs w:val="22"/>
        </w:rPr>
        <w:t xml:space="preserve">a partir del análisis de la dinámica </w:t>
      </w:r>
      <w:r w:rsidRPr="002E12DB">
        <w:rPr>
          <w:rFonts w:ascii="Arial" w:hAnsi="Arial" w:cs="Arial"/>
          <w:sz w:val="22"/>
          <w:szCs w:val="22"/>
        </w:rPr>
        <w:t>de demanda internacional de GNL.</w:t>
      </w:r>
      <w:r w:rsidR="00FB1FFD" w:rsidRPr="002E12DB">
        <w:rPr>
          <w:rFonts w:ascii="Arial" w:hAnsi="Arial" w:cs="Arial"/>
          <w:sz w:val="22"/>
          <w:szCs w:val="22"/>
        </w:rPr>
        <w:t xml:space="preserve"> </w:t>
      </w:r>
    </w:p>
    <w:p w14:paraId="36CCE60B" w14:textId="063FAD18" w:rsidR="00914134" w:rsidRPr="005C54EA" w:rsidRDefault="008F2B3A" w:rsidP="00914134">
      <w:pPr>
        <w:spacing w:before="240" w:after="240" w:line="276" w:lineRule="auto"/>
        <w:jc w:val="both"/>
        <w:rPr>
          <w:rFonts w:ascii="Arial" w:hAnsi="Arial" w:cs="Arial"/>
          <w:sz w:val="22"/>
          <w:szCs w:val="22"/>
        </w:rPr>
      </w:pPr>
      <w:r>
        <w:rPr>
          <w:rFonts w:ascii="Arial" w:hAnsi="Arial" w:cs="Arial"/>
          <w:sz w:val="22"/>
          <w:szCs w:val="22"/>
        </w:rPr>
        <w:t xml:space="preserve">Para ello, este </w:t>
      </w:r>
      <w:r w:rsidR="00914134" w:rsidRPr="000713F5">
        <w:rPr>
          <w:rFonts w:ascii="Arial" w:hAnsi="Arial" w:cs="Arial"/>
          <w:sz w:val="22"/>
          <w:szCs w:val="22"/>
        </w:rPr>
        <w:t>documento considera diversas fuentes de información</w:t>
      </w:r>
      <w:r>
        <w:rPr>
          <w:rFonts w:ascii="Arial" w:hAnsi="Arial" w:cs="Arial"/>
          <w:sz w:val="22"/>
          <w:szCs w:val="22"/>
        </w:rPr>
        <w:t xml:space="preserve"> </w:t>
      </w:r>
      <w:r w:rsidR="001B027C">
        <w:rPr>
          <w:rFonts w:ascii="Arial" w:hAnsi="Arial" w:cs="Arial"/>
          <w:sz w:val="22"/>
          <w:szCs w:val="22"/>
        </w:rPr>
        <w:t xml:space="preserve">de manera </w:t>
      </w:r>
      <w:r>
        <w:rPr>
          <w:rFonts w:ascii="Arial" w:hAnsi="Arial" w:cs="Arial"/>
          <w:sz w:val="22"/>
          <w:szCs w:val="22"/>
        </w:rPr>
        <w:t xml:space="preserve">histórica </w:t>
      </w:r>
      <w:r w:rsidR="001B027C">
        <w:rPr>
          <w:rFonts w:ascii="Arial" w:hAnsi="Arial" w:cs="Arial"/>
          <w:sz w:val="22"/>
          <w:szCs w:val="22"/>
        </w:rPr>
        <w:t xml:space="preserve">y </w:t>
      </w:r>
      <w:r>
        <w:rPr>
          <w:rFonts w:ascii="Arial" w:hAnsi="Arial" w:cs="Arial"/>
          <w:sz w:val="22"/>
          <w:szCs w:val="22"/>
        </w:rPr>
        <w:t>proyectada</w:t>
      </w:r>
      <w:r w:rsidR="001B027C">
        <w:rPr>
          <w:rFonts w:ascii="Arial" w:hAnsi="Arial" w:cs="Arial"/>
          <w:sz w:val="22"/>
          <w:szCs w:val="22"/>
        </w:rPr>
        <w:t xml:space="preserve"> como Platts, Argus y</w:t>
      </w:r>
      <w:r w:rsidR="00914134" w:rsidRPr="000713F5">
        <w:rPr>
          <w:rFonts w:ascii="Arial" w:hAnsi="Arial" w:cs="Arial"/>
          <w:sz w:val="22"/>
          <w:szCs w:val="22"/>
        </w:rPr>
        <w:t xml:space="preserve"> Wood Mackenzie. Por otra parte, la información y supuestos consideran al STEO–Short Term Energy Outlook- del Departamento de Energía de los Estados Unidos (EIA</w:t>
      </w:r>
      <w:r w:rsidR="002E12DB">
        <w:rPr>
          <w:rFonts w:ascii="Arial" w:hAnsi="Arial" w:cs="Arial"/>
          <w:sz w:val="22"/>
          <w:szCs w:val="22"/>
        </w:rPr>
        <w:t xml:space="preserve"> por sus siglas en ingés</w:t>
      </w:r>
      <w:r w:rsidR="00914134" w:rsidRPr="000713F5">
        <w:rPr>
          <w:rFonts w:ascii="Arial" w:hAnsi="Arial" w:cs="Arial"/>
          <w:sz w:val="22"/>
          <w:szCs w:val="22"/>
        </w:rPr>
        <w:t>), donde se presentan las tendencias de los energéticos en el corto plazo. Para el largo plazo se incluye información proveniente de los diferentes estudios y análisis de WoodMackenzie y el AEO – Annual Energy Outlook 2017. Posteriormente, ajustada esta información a la actual regulación energética colombiana, se obtiene una estimación de precios nacionales q</w:t>
      </w:r>
      <w:r w:rsidR="00914134" w:rsidRPr="005C54EA">
        <w:rPr>
          <w:rFonts w:ascii="Arial" w:hAnsi="Arial" w:cs="Arial"/>
          <w:sz w:val="22"/>
          <w:szCs w:val="22"/>
        </w:rPr>
        <w:t>ue responden a las expectativas del mercado internacional.</w:t>
      </w:r>
    </w:p>
    <w:p w14:paraId="0E029FAB" w14:textId="062C81F9" w:rsidR="00C2534B" w:rsidRDefault="00914134" w:rsidP="00C2534B">
      <w:pPr>
        <w:spacing w:before="240" w:after="240" w:line="276" w:lineRule="auto"/>
        <w:jc w:val="both"/>
        <w:rPr>
          <w:rFonts w:ascii="Arial" w:hAnsi="Arial" w:cs="Arial"/>
          <w:sz w:val="22"/>
          <w:szCs w:val="22"/>
        </w:rPr>
      </w:pPr>
      <w:r w:rsidRPr="005C54EA">
        <w:rPr>
          <w:rFonts w:ascii="Arial" w:hAnsi="Arial" w:cs="Arial"/>
          <w:sz w:val="22"/>
          <w:szCs w:val="22"/>
        </w:rPr>
        <w:t xml:space="preserve">Finalmente, </w:t>
      </w:r>
      <w:r w:rsidR="005C54EA" w:rsidRPr="005C54EA">
        <w:rPr>
          <w:rFonts w:ascii="Arial" w:hAnsi="Arial" w:cs="Arial"/>
          <w:sz w:val="22"/>
          <w:szCs w:val="22"/>
        </w:rPr>
        <w:t>este documento constituye un esfuerzo de síntesis metódica conceptual e instrumental de los fundamentos que sustentan la construcción del futuro de los precios de los energéticos, considerando su importancia para la toma de decisiones de carácter operativo y estratégico que representan los mercados energéticos.</w:t>
      </w:r>
    </w:p>
    <w:p w14:paraId="1C46FB69" w14:textId="77777777" w:rsidR="00C2534B" w:rsidRPr="004327CD" w:rsidRDefault="00C2534B" w:rsidP="00914134">
      <w:pPr>
        <w:spacing w:before="240" w:after="240" w:line="276" w:lineRule="auto"/>
        <w:rPr>
          <w:rFonts w:cs="Arial"/>
          <w:szCs w:val="22"/>
        </w:rPr>
        <w:sectPr w:rsidR="00C2534B" w:rsidRPr="004327CD" w:rsidSect="003B7FEC">
          <w:footerReference w:type="default" r:id="rId12"/>
          <w:pgSz w:w="12240" w:h="15840"/>
          <w:pgMar w:top="1843" w:right="1134" w:bottom="1134" w:left="1418" w:header="284" w:footer="851" w:gutter="0"/>
          <w:pgBorders w:offsetFrom="page">
            <w:bottom w:val="single" w:sz="4" w:space="24" w:color="FFFFFF" w:themeColor="background1"/>
          </w:pgBorders>
          <w:pgNumType w:start="1"/>
          <w:cols w:space="720"/>
          <w:formProt w:val="0"/>
          <w:docGrid w:linePitch="360" w:charSpace="-6145"/>
        </w:sectPr>
      </w:pPr>
    </w:p>
    <w:p w14:paraId="032BB846" w14:textId="77777777" w:rsidR="00914134" w:rsidRPr="004327CD" w:rsidRDefault="00914134" w:rsidP="00914134">
      <w:pPr>
        <w:pStyle w:val="Ttulo1"/>
      </w:pPr>
      <w:bookmarkStart w:id="3" w:name="_Ref502136094"/>
      <w:bookmarkStart w:id="4" w:name="_Toc530045816"/>
      <w:r>
        <w:lastRenderedPageBreak/>
        <w:t>CRUDOS wti Y</w:t>
      </w:r>
      <w:r w:rsidRPr="004327CD">
        <w:t xml:space="preserve"> </w:t>
      </w:r>
      <w:r>
        <w:t>BRENT</w:t>
      </w:r>
      <w:bookmarkEnd w:id="3"/>
      <w:bookmarkEnd w:id="4"/>
    </w:p>
    <w:p w14:paraId="3F48FC78" w14:textId="77777777" w:rsidR="00914134" w:rsidRPr="00F11851" w:rsidRDefault="00914134" w:rsidP="00914134">
      <w:pPr>
        <w:spacing w:before="240" w:after="240" w:line="276" w:lineRule="auto"/>
        <w:jc w:val="both"/>
        <w:rPr>
          <w:rFonts w:ascii="Arial" w:hAnsi="Arial" w:cs="Arial"/>
          <w:sz w:val="22"/>
          <w:szCs w:val="22"/>
        </w:rPr>
      </w:pPr>
      <w:r w:rsidRPr="00F11851">
        <w:rPr>
          <w:rFonts w:ascii="Arial" w:hAnsi="Arial" w:cs="Arial"/>
          <w:sz w:val="22"/>
          <w:szCs w:val="22"/>
        </w:rPr>
        <w:t>En este capítulo se analiza la evolución de los precios del petróleo y los acontecimientos más destacados que influyeron en la variación de los mismos durante los años 2014 hasta diciembre de 2017, considerando la correlación existente entre el WTI y el Brent, que por sus características se constituyen en la referencia del mercado de América y de Europa respectivamente.</w:t>
      </w:r>
    </w:p>
    <w:p w14:paraId="6E0A536C" w14:textId="77777777" w:rsidR="00914134" w:rsidRPr="00F11851" w:rsidRDefault="00914134" w:rsidP="00914134">
      <w:pPr>
        <w:spacing w:before="240" w:after="240" w:line="276" w:lineRule="auto"/>
        <w:jc w:val="both"/>
        <w:rPr>
          <w:rFonts w:ascii="Arial" w:hAnsi="Arial" w:cs="Arial"/>
          <w:sz w:val="22"/>
          <w:szCs w:val="22"/>
        </w:rPr>
      </w:pPr>
      <w:r w:rsidRPr="00F11851">
        <w:rPr>
          <w:rFonts w:ascii="Arial" w:hAnsi="Arial" w:cs="Arial"/>
          <w:sz w:val="22"/>
          <w:szCs w:val="22"/>
        </w:rPr>
        <w:t>Es bien sabido que los precios del petróleo muestran alta volatilidad debido a la diversidad de factores que inciden en su determinación, pues son varios los actores con intereses en el comportamiento tales como oferta y demanda global, cambio en la matriz energética mundial, asuntos geopolíticos, eventos programados y no programados, factores socioeconómicos de los diferentes países, entre otros. En consecuencia, a continuación se contextualiza cada uno de los factores mencionados:</w:t>
      </w:r>
    </w:p>
    <w:p w14:paraId="1D2F402F" w14:textId="62C3BA72" w:rsidR="00914134" w:rsidRPr="00321EF7" w:rsidRDefault="00914134" w:rsidP="00914134">
      <w:pPr>
        <w:pStyle w:val="Descripcin"/>
        <w:keepNext/>
        <w:jc w:val="center"/>
        <w:rPr>
          <w:b/>
          <w:i w:val="0"/>
          <w:color w:val="auto"/>
          <w:sz w:val="20"/>
          <w:highlight w:val="yellow"/>
        </w:rPr>
      </w:pPr>
      <w:bookmarkStart w:id="5" w:name="_Toc530033391"/>
      <w:r w:rsidRPr="00321EF7">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r>
        <w:rPr>
          <w:b/>
          <w:i w:val="0"/>
          <w:color w:val="auto"/>
          <w:sz w:val="20"/>
          <w:highlight w:val="yellow"/>
        </w:rPr>
        <w:t>.</w:t>
      </w:r>
      <w:r w:rsidRPr="00321EF7">
        <w:rPr>
          <w:b/>
          <w:i w:val="0"/>
          <w:color w:val="auto"/>
          <w:sz w:val="20"/>
          <w:highlight w:val="yellow"/>
        </w:rPr>
        <w:t xml:space="preserve"> </w:t>
      </w:r>
      <w:r w:rsidRPr="00321EF7">
        <w:rPr>
          <w:i w:val="0"/>
          <w:color w:val="auto"/>
          <w:sz w:val="20"/>
        </w:rPr>
        <w:t>Factores que influyen en el precio del crudo</w:t>
      </w:r>
      <w:bookmarkEnd w:id="5"/>
    </w:p>
    <w:p w14:paraId="38BE1EEB" w14:textId="77777777" w:rsidR="00914134" w:rsidRDefault="00914134" w:rsidP="00914134">
      <w:pPr>
        <w:spacing w:line="276" w:lineRule="auto"/>
        <w:rPr>
          <w:rFonts w:cs="Arial"/>
          <w:i/>
          <w:szCs w:val="22"/>
        </w:rPr>
      </w:pPr>
      <w:r>
        <w:rPr>
          <w:rFonts w:ascii="Times New Roman" w:hAnsi="Times New Roman"/>
          <w:noProof/>
          <w:lang w:val="es-ES" w:eastAsia="es-ES"/>
        </w:rPr>
        <w:drawing>
          <wp:inline distT="0" distB="0" distL="0" distR="0" wp14:anchorId="58BEFC91" wp14:editId="31EC3618">
            <wp:extent cx="6111875" cy="3429000"/>
            <wp:effectExtent l="0" t="76200" r="0" b="76200"/>
            <wp:docPr id="29" name="Diagrama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0B50106" w14:textId="14751E15" w:rsidR="00914134" w:rsidRPr="00A51B7C" w:rsidRDefault="00914134" w:rsidP="00914134">
      <w:pPr>
        <w:jc w:val="center"/>
        <w:rPr>
          <w:rFonts w:ascii="Arial" w:hAnsi="Arial" w:cs="Arial"/>
          <w:sz w:val="16"/>
          <w:szCs w:val="16"/>
        </w:rPr>
      </w:pPr>
      <w:r w:rsidRPr="001B6C48">
        <w:rPr>
          <w:rFonts w:ascii="Arial" w:hAnsi="Arial" w:cs="Arial"/>
          <w:b/>
          <w:sz w:val="16"/>
          <w:szCs w:val="16"/>
        </w:rPr>
        <w:t>Fuente:</w:t>
      </w:r>
      <w:r w:rsidRPr="001B6C48">
        <w:rPr>
          <w:rFonts w:ascii="Arial" w:hAnsi="Arial" w:cs="Arial"/>
          <w:sz w:val="16"/>
          <w:szCs w:val="16"/>
        </w:rPr>
        <w:t xml:space="preserve"> UPME</w:t>
      </w:r>
    </w:p>
    <w:p w14:paraId="6AF53358" w14:textId="77777777" w:rsidR="00914134" w:rsidRDefault="00914134" w:rsidP="00914134">
      <w:pPr>
        <w:pStyle w:val="Ttulo2"/>
      </w:pPr>
      <w:bookmarkStart w:id="6" w:name="_Toc530045817"/>
      <w:r>
        <w:t>Oferta y Demanda</w:t>
      </w:r>
      <w:bookmarkEnd w:id="6"/>
    </w:p>
    <w:p w14:paraId="5BBFB406" w14:textId="77777777" w:rsidR="00914134" w:rsidRPr="00F11851" w:rsidRDefault="00914134" w:rsidP="00914134">
      <w:pPr>
        <w:spacing w:before="240" w:after="240" w:line="276" w:lineRule="auto"/>
        <w:jc w:val="both"/>
        <w:rPr>
          <w:rFonts w:ascii="Arial" w:hAnsi="Arial" w:cs="Arial"/>
          <w:sz w:val="22"/>
          <w:szCs w:val="22"/>
        </w:rPr>
      </w:pPr>
      <w:r w:rsidRPr="00F11851">
        <w:rPr>
          <w:rFonts w:ascii="Arial" w:hAnsi="Arial" w:cs="Arial"/>
          <w:sz w:val="22"/>
          <w:szCs w:val="22"/>
        </w:rPr>
        <w:t xml:space="preserve">Como se puede observar en la </w:t>
      </w:r>
      <w:r w:rsidRPr="00F11851">
        <w:rPr>
          <w:rFonts w:ascii="Arial" w:hAnsi="Arial" w:cs="Arial"/>
          <w:sz w:val="22"/>
          <w:szCs w:val="22"/>
          <w:highlight w:val="yellow"/>
        </w:rPr>
        <w:fldChar w:fldCharType="begin"/>
      </w:r>
      <w:r w:rsidRPr="00F11851">
        <w:rPr>
          <w:rFonts w:ascii="Arial" w:hAnsi="Arial" w:cs="Arial"/>
          <w:sz w:val="22"/>
          <w:szCs w:val="22"/>
          <w:highlight w:val="yellow"/>
        </w:rPr>
        <w:instrText xml:space="preserve"> REF _Ref511053051 \h  \* MERGEFORMAT </w:instrText>
      </w:r>
      <w:r w:rsidRPr="00F11851">
        <w:rPr>
          <w:rFonts w:ascii="Arial" w:hAnsi="Arial" w:cs="Arial"/>
          <w:sz w:val="22"/>
          <w:szCs w:val="22"/>
          <w:highlight w:val="yellow"/>
        </w:rPr>
      </w:r>
      <w:r w:rsidRPr="00F11851">
        <w:rPr>
          <w:rFonts w:ascii="Arial" w:hAnsi="Arial" w:cs="Arial"/>
          <w:sz w:val="22"/>
          <w:szCs w:val="22"/>
          <w:highlight w:val="yellow"/>
        </w:rPr>
        <w:fldChar w:fldCharType="separate"/>
      </w:r>
      <w:r w:rsidR="00915705" w:rsidRPr="00915705">
        <w:rPr>
          <w:rFonts w:ascii="Arial" w:hAnsi="Arial" w:cs="Arial"/>
          <w:sz w:val="22"/>
          <w:szCs w:val="22"/>
          <w:highlight w:val="yellow"/>
        </w:rPr>
        <w:t>Gráfi</w:t>
      </w:r>
      <w:bookmarkStart w:id="7" w:name="_GoBack"/>
      <w:bookmarkEnd w:id="7"/>
      <w:r w:rsidR="00915705" w:rsidRPr="00915705">
        <w:rPr>
          <w:rFonts w:ascii="Arial" w:hAnsi="Arial" w:cs="Arial"/>
          <w:sz w:val="22"/>
          <w:szCs w:val="22"/>
          <w:highlight w:val="yellow"/>
        </w:rPr>
        <w:t>ca 1</w:t>
      </w:r>
      <w:r w:rsidR="00915705" w:rsidRPr="00915705">
        <w:rPr>
          <w:rFonts w:ascii="Arial" w:hAnsi="Arial" w:cs="Arial"/>
          <w:sz w:val="22"/>
          <w:szCs w:val="22"/>
          <w:highlight w:val="yellow"/>
        </w:rPr>
        <w:noBreakHyphen/>
        <w:t>2</w:t>
      </w:r>
      <w:r w:rsidRPr="00F11851">
        <w:rPr>
          <w:rFonts w:ascii="Arial" w:hAnsi="Arial" w:cs="Arial"/>
          <w:sz w:val="22"/>
          <w:szCs w:val="22"/>
          <w:highlight w:val="yellow"/>
        </w:rPr>
        <w:fldChar w:fldCharType="end"/>
      </w:r>
      <w:r w:rsidRPr="00F11851">
        <w:rPr>
          <w:rFonts w:ascii="Arial" w:hAnsi="Arial" w:cs="Arial"/>
          <w:sz w:val="22"/>
          <w:szCs w:val="22"/>
        </w:rPr>
        <w:t xml:space="preserve"> existe una correlación entre el balance de oferta y demanda global y el precio del crudo. Hacia el 2010 se presentó un déficit del aproximadamente 1 millón de barriles al día debido a la baja producción de países como Libia, impactando negativamente el balance. Sin embargo en el primer semestre del 2012 el balance fue positivo debido </w:t>
      </w:r>
      <w:r w:rsidRPr="00E51CEA">
        <w:rPr>
          <w:rFonts w:ascii="Arial" w:hAnsi="Arial" w:cs="Arial"/>
          <w:sz w:val="22"/>
          <w:szCs w:val="22"/>
        </w:rPr>
        <w:t>al 2.60</w:t>
      </w:r>
      <w:r w:rsidRPr="00F11851">
        <w:rPr>
          <w:rFonts w:ascii="Arial" w:hAnsi="Arial" w:cs="Arial"/>
          <w:sz w:val="22"/>
          <w:szCs w:val="22"/>
        </w:rPr>
        <w:t xml:space="preserve">% del aumento en la oferta de Estados Unidos. Ahora bien, hacia el segundo semestre del mismo año el balance continua siendo positivo pero en menor magnitud comparado </w:t>
      </w:r>
      <w:r w:rsidRPr="00F11851">
        <w:rPr>
          <w:rFonts w:ascii="Arial" w:hAnsi="Arial" w:cs="Arial"/>
          <w:sz w:val="22"/>
          <w:szCs w:val="22"/>
        </w:rPr>
        <w:lastRenderedPageBreak/>
        <w:t>con la primera mitad del 2012, debido a una disminución en la oferta de Irán y un aumento en la demanda mundial.</w:t>
      </w:r>
    </w:p>
    <w:p w14:paraId="646A2A29" w14:textId="645D67BE" w:rsidR="00914134" w:rsidRPr="003A5A58" w:rsidRDefault="00914134" w:rsidP="00914134">
      <w:pPr>
        <w:pStyle w:val="Descripcin"/>
        <w:keepNext/>
        <w:spacing w:before="0" w:after="0"/>
        <w:jc w:val="center"/>
        <w:rPr>
          <w:b/>
          <w:i w:val="0"/>
          <w:color w:val="auto"/>
          <w:sz w:val="20"/>
        </w:rPr>
      </w:pPr>
      <w:bookmarkStart w:id="8" w:name="_Ref511053051"/>
      <w:bookmarkStart w:id="9" w:name="_Toc530033392"/>
      <w:r w:rsidRPr="003A5A58">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2</w:t>
      </w:r>
      <w:r w:rsidR="00DA50A5">
        <w:rPr>
          <w:b/>
          <w:i w:val="0"/>
          <w:color w:val="auto"/>
          <w:sz w:val="20"/>
          <w:highlight w:val="yellow"/>
        </w:rPr>
        <w:fldChar w:fldCharType="end"/>
      </w:r>
      <w:bookmarkEnd w:id="8"/>
      <w:r>
        <w:rPr>
          <w:b/>
          <w:i w:val="0"/>
          <w:color w:val="auto"/>
          <w:sz w:val="20"/>
        </w:rPr>
        <w:t>.</w:t>
      </w:r>
      <w:r w:rsidRPr="003A5A58">
        <w:rPr>
          <w:b/>
          <w:i w:val="0"/>
          <w:color w:val="auto"/>
          <w:sz w:val="20"/>
        </w:rPr>
        <w:t xml:space="preserve"> </w:t>
      </w:r>
      <w:r w:rsidRPr="003A5A58">
        <w:rPr>
          <w:i w:val="0"/>
          <w:color w:val="auto"/>
          <w:sz w:val="20"/>
        </w:rPr>
        <w:t>Balance de</w:t>
      </w:r>
      <w:r>
        <w:rPr>
          <w:i w:val="0"/>
          <w:color w:val="auto"/>
          <w:sz w:val="20"/>
        </w:rPr>
        <w:t xml:space="preserve"> c</w:t>
      </w:r>
      <w:r w:rsidRPr="003A5A58">
        <w:rPr>
          <w:i w:val="0"/>
          <w:color w:val="auto"/>
          <w:sz w:val="20"/>
        </w:rPr>
        <w:t>rudo a nivel mundial y precio del Brent</w:t>
      </w:r>
      <w:bookmarkEnd w:id="9"/>
    </w:p>
    <w:p w14:paraId="57E05AE2" w14:textId="68A3FF82" w:rsidR="00914134" w:rsidRPr="004327CD" w:rsidRDefault="00914134" w:rsidP="00914134">
      <w:pPr>
        <w:jc w:val="center"/>
        <w:rPr>
          <w:rFonts w:cs="Arial"/>
          <w:sz w:val="16"/>
          <w:szCs w:val="16"/>
        </w:rPr>
      </w:pPr>
      <w:r w:rsidRPr="001B6C48">
        <w:rPr>
          <w:noProof/>
          <w:lang w:val="es-ES" w:eastAsia="es-ES"/>
        </w:rPr>
        <w:drawing>
          <wp:inline distT="0" distB="0" distL="0" distR="0" wp14:anchorId="4DE41461" wp14:editId="41EEA907">
            <wp:extent cx="5943600" cy="3238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r w:rsidRPr="001B6C48">
        <w:rPr>
          <w:rFonts w:ascii="Arial" w:hAnsi="Arial" w:cs="Arial"/>
          <w:b/>
          <w:sz w:val="16"/>
          <w:szCs w:val="16"/>
        </w:rPr>
        <w:t>Fuente:</w:t>
      </w:r>
      <w:r w:rsidRPr="001B6C48">
        <w:rPr>
          <w:rFonts w:ascii="Arial" w:hAnsi="Arial" w:cs="Arial"/>
          <w:sz w:val="16"/>
          <w:szCs w:val="16"/>
        </w:rPr>
        <w:t xml:space="preserve"> IEA</w:t>
      </w:r>
      <w:r w:rsidR="001B6C48" w:rsidRPr="001B6C48">
        <w:rPr>
          <w:rFonts w:ascii="Arial" w:hAnsi="Arial" w:cs="Arial"/>
          <w:sz w:val="16"/>
          <w:szCs w:val="16"/>
        </w:rPr>
        <w:t xml:space="preserve"> </w:t>
      </w:r>
      <w:r w:rsidR="001B6C48" w:rsidRPr="001B6C48">
        <w:rPr>
          <w:rFonts w:ascii="Arial" w:hAnsi="Arial" w:cs="Arial"/>
          <w:sz w:val="16"/>
          <w:szCs w:val="16"/>
        </w:rPr>
        <w:fldChar w:fldCharType="begin"/>
      </w:r>
      <w:r w:rsidR="001B6C48" w:rsidRPr="001B6C48">
        <w:rPr>
          <w:rFonts w:ascii="Arial" w:hAnsi="Arial" w:cs="Arial"/>
          <w:sz w:val="16"/>
          <w:szCs w:val="16"/>
        </w:rPr>
        <w:instrText xml:space="preserve"> REF _Ref529881082 \r \h </w:instrText>
      </w:r>
      <w:r w:rsidR="001B6C48">
        <w:rPr>
          <w:rFonts w:ascii="Arial" w:hAnsi="Arial" w:cs="Arial"/>
          <w:sz w:val="16"/>
          <w:szCs w:val="16"/>
        </w:rPr>
        <w:instrText xml:space="preserve"> \* MERGEFORMAT </w:instrText>
      </w:r>
      <w:r w:rsidR="001B6C48" w:rsidRPr="001B6C48">
        <w:rPr>
          <w:rFonts w:ascii="Arial" w:hAnsi="Arial" w:cs="Arial"/>
          <w:sz w:val="16"/>
          <w:szCs w:val="16"/>
        </w:rPr>
      </w:r>
      <w:r w:rsidR="001B6C48" w:rsidRPr="001B6C48">
        <w:rPr>
          <w:rFonts w:ascii="Arial" w:hAnsi="Arial" w:cs="Arial"/>
          <w:sz w:val="16"/>
          <w:szCs w:val="16"/>
        </w:rPr>
        <w:fldChar w:fldCharType="separate"/>
      </w:r>
      <w:r w:rsidR="00915705">
        <w:rPr>
          <w:rFonts w:ascii="Arial" w:hAnsi="Arial" w:cs="Arial"/>
          <w:sz w:val="16"/>
          <w:szCs w:val="16"/>
        </w:rPr>
        <w:t>[1]</w:t>
      </w:r>
      <w:r w:rsidR="001B6C48" w:rsidRPr="001B6C48">
        <w:rPr>
          <w:rFonts w:ascii="Arial" w:hAnsi="Arial" w:cs="Arial"/>
          <w:sz w:val="16"/>
          <w:szCs w:val="16"/>
        </w:rPr>
        <w:fldChar w:fldCharType="end"/>
      </w:r>
      <w:r w:rsidR="001B6C48" w:rsidRPr="001B6C48">
        <w:rPr>
          <w:rFonts w:ascii="Arial" w:hAnsi="Arial" w:cs="Arial"/>
          <w:sz w:val="16"/>
          <w:szCs w:val="16"/>
        </w:rPr>
        <w:t xml:space="preserve"> </w:t>
      </w:r>
      <w:r w:rsidR="001B6C48" w:rsidRPr="001B6C48">
        <w:rPr>
          <w:rFonts w:ascii="Arial" w:hAnsi="Arial" w:cs="Arial"/>
          <w:sz w:val="16"/>
          <w:szCs w:val="16"/>
        </w:rPr>
        <w:fldChar w:fldCharType="begin"/>
      </w:r>
      <w:r w:rsidR="001B6C48" w:rsidRPr="001B6C48">
        <w:rPr>
          <w:rFonts w:ascii="Arial" w:hAnsi="Arial" w:cs="Arial"/>
          <w:sz w:val="16"/>
          <w:szCs w:val="16"/>
        </w:rPr>
        <w:instrText xml:space="preserve"> REF _Ref529881093 \r \h </w:instrText>
      </w:r>
      <w:r w:rsidR="001B6C48">
        <w:rPr>
          <w:rFonts w:ascii="Arial" w:hAnsi="Arial" w:cs="Arial"/>
          <w:sz w:val="16"/>
          <w:szCs w:val="16"/>
        </w:rPr>
        <w:instrText xml:space="preserve"> \* MERGEFORMAT </w:instrText>
      </w:r>
      <w:r w:rsidR="001B6C48" w:rsidRPr="001B6C48">
        <w:rPr>
          <w:rFonts w:ascii="Arial" w:hAnsi="Arial" w:cs="Arial"/>
          <w:sz w:val="16"/>
          <w:szCs w:val="16"/>
        </w:rPr>
      </w:r>
      <w:r w:rsidR="001B6C48" w:rsidRPr="001B6C48">
        <w:rPr>
          <w:rFonts w:ascii="Arial" w:hAnsi="Arial" w:cs="Arial"/>
          <w:sz w:val="16"/>
          <w:szCs w:val="16"/>
        </w:rPr>
        <w:fldChar w:fldCharType="separate"/>
      </w:r>
      <w:r w:rsidR="00915705">
        <w:rPr>
          <w:rFonts w:ascii="Arial" w:hAnsi="Arial" w:cs="Arial"/>
          <w:sz w:val="16"/>
          <w:szCs w:val="16"/>
        </w:rPr>
        <w:t>[2]</w:t>
      </w:r>
      <w:r w:rsidR="001B6C48" w:rsidRPr="001B6C48">
        <w:rPr>
          <w:rFonts w:ascii="Arial" w:hAnsi="Arial" w:cs="Arial"/>
          <w:sz w:val="16"/>
          <w:szCs w:val="16"/>
        </w:rPr>
        <w:fldChar w:fldCharType="end"/>
      </w:r>
      <w:r w:rsidR="001B6C48" w:rsidRPr="001B6C48">
        <w:rPr>
          <w:rFonts w:ascii="Arial" w:hAnsi="Arial" w:cs="Arial"/>
          <w:sz w:val="16"/>
          <w:szCs w:val="16"/>
        </w:rPr>
        <w:t xml:space="preserve"> </w:t>
      </w:r>
      <w:r w:rsidR="001B6C48" w:rsidRPr="001B6C48">
        <w:rPr>
          <w:rFonts w:ascii="Arial" w:hAnsi="Arial" w:cs="Arial"/>
          <w:sz w:val="16"/>
          <w:szCs w:val="16"/>
        </w:rPr>
        <w:fldChar w:fldCharType="begin"/>
      </w:r>
      <w:r w:rsidR="001B6C48" w:rsidRPr="001B6C48">
        <w:rPr>
          <w:rFonts w:ascii="Arial" w:hAnsi="Arial" w:cs="Arial"/>
          <w:sz w:val="16"/>
          <w:szCs w:val="16"/>
        </w:rPr>
        <w:instrText xml:space="preserve"> REF _Ref529881100 \r \h </w:instrText>
      </w:r>
      <w:r w:rsidR="001B6C48">
        <w:rPr>
          <w:rFonts w:ascii="Arial" w:hAnsi="Arial" w:cs="Arial"/>
          <w:sz w:val="16"/>
          <w:szCs w:val="16"/>
        </w:rPr>
        <w:instrText xml:space="preserve"> \* MERGEFORMAT </w:instrText>
      </w:r>
      <w:r w:rsidR="001B6C48" w:rsidRPr="001B6C48">
        <w:rPr>
          <w:rFonts w:ascii="Arial" w:hAnsi="Arial" w:cs="Arial"/>
          <w:sz w:val="16"/>
          <w:szCs w:val="16"/>
        </w:rPr>
      </w:r>
      <w:r w:rsidR="001B6C48" w:rsidRPr="001B6C48">
        <w:rPr>
          <w:rFonts w:ascii="Arial" w:hAnsi="Arial" w:cs="Arial"/>
          <w:sz w:val="16"/>
          <w:szCs w:val="16"/>
        </w:rPr>
        <w:fldChar w:fldCharType="separate"/>
      </w:r>
      <w:r w:rsidR="00915705">
        <w:rPr>
          <w:rFonts w:ascii="Arial" w:hAnsi="Arial" w:cs="Arial"/>
          <w:sz w:val="16"/>
          <w:szCs w:val="16"/>
        </w:rPr>
        <w:t>[3]</w:t>
      </w:r>
      <w:r w:rsidR="001B6C48" w:rsidRPr="001B6C48">
        <w:rPr>
          <w:rFonts w:ascii="Arial" w:hAnsi="Arial" w:cs="Arial"/>
          <w:sz w:val="16"/>
          <w:szCs w:val="16"/>
        </w:rPr>
        <w:fldChar w:fldCharType="end"/>
      </w:r>
      <w:r w:rsidRPr="001B6C48">
        <w:rPr>
          <w:rFonts w:ascii="Arial" w:hAnsi="Arial" w:cs="Arial"/>
          <w:sz w:val="16"/>
          <w:szCs w:val="16"/>
        </w:rPr>
        <w:t>, UPME</w:t>
      </w:r>
      <w:r w:rsidRPr="001B6C48">
        <w:rPr>
          <w:rFonts w:cs="Arial"/>
          <w:sz w:val="16"/>
          <w:szCs w:val="16"/>
        </w:rPr>
        <w:t xml:space="preserve"> </w:t>
      </w:r>
    </w:p>
    <w:p w14:paraId="550B70D5" w14:textId="77777777" w:rsidR="00914134" w:rsidRPr="00F11851" w:rsidRDefault="00914134" w:rsidP="00914134">
      <w:pPr>
        <w:spacing w:before="240" w:after="240" w:line="276" w:lineRule="auto"/>
        <w:jc w:val="both"/>
        <w:rPr>
          <w:rFonts w:ascii="Arial" w:hAnsi="Arial" w:cs="Arial"/>
          <w:sz w:val="22"/>
          <w:szCs w:val="22"/>
        </w:rPr>
      </w:pPr>
      <w:r w:rsidRPr="00F11851">
        <w:rPr>
          <w:rFonts w:ascii="Arial" w:hAnsi="Arial" w:cs="Arial"/>
          <w:sz w:val="22"/>
          <w:szCs w:val="22"/>
        </w:rPr>
        <w:t>Para el año 2013, el crecimiento en la producción de países OPEC se mantuvo a niveles de 2012 debido que mientras la oferta en Irak disminuyo, la oferta de libia se recuperó, así mismo, el suministro por parte de los países no OPEC se incrementó en 900 mil barriles día. Sin embargo, la oferta global no suple el crecimiento de la demanda jalonada por los países no OCDE en alrededor de 1.3 millones de barriles día, en consecuencia, se presenta un balance negativo entre abril y diciembre de 2013 (</w:t>
      </w:r>
      <w:r w:rsidRPr="00F11851">
        <w:rPr>
          <w:rFonts w:ascii="Arial" w:hAnsi="Arial" w:cs="Arial"/>
          <w:sz w:val="22"/>
          <w:szCs w:val="22"/>
          <w:highlight w:val="yellow"/>
        </w:rPr>
        <w:t xml:space="preserve">ver </w:t>
      </w:r>
      <w:r w:rsidRPr="00F11851">
        <w:rPr>
          <w:rFonts w:ascii="Arial" w:hAnsi="Arial" w:cs="Arial"/>
          <w:sz w:val="22"/>
          <w:szCs w:val="22"/>
          <w:highlight w:val="yellow"/>
        </w:rPr>
        <w:fldChar w:fldCharType="begin"/>
      </w:r>
      <w:r w:rsidRPr="00F11851">
        <w:rPr>
          <w:rFonts w:ascii="Arial" w:hAnsi="Arial" w:cs="Arial"/>
          <w:sz w:val="22"/>
          <w:szCs w:val="22"/>
          <w:highlight w:val="yellow"/>
        </w:rPr>
        <w:instrText xml:space="preserve"> REF _Ref511053051 \h  \* MERGEFORMAT </w:instrText>
      </w:r>
      <w:r w:rsidRPr="00F11851">
        <w:rPr>
          <w:rFonts w:ascii="Arial" w:hAnsi="Arial" w:cs="Arial"/>
          <w:sz w:val="22"/>
          <w:szCs w:val="22"/>
          <w:highlight w:val="yellow"/>
        </w:rPr>
      </w:r>
      <w:r w:rsidRPr="00F11851">
        <w:rPr>
          <w:rFonts w:ascii="Arial" w:hAnsi="Arial" w:cs="Arial"/>
          <w:sz w:val="22"/>
          <w:szCs w:val="22"/>
          <w:highlight w:val="yellow"/>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1</w:t>
      </w:r>
      <w:r w:rsidR="00915705" w:rsidRPr="00915705">
        <w:rPr>
          <w:rFonts w:ascii="Arial" w:hAnsi="Arial" w:cs="Arial"/>
          <w:noProof/>
          <w:sz w:val="22"/>
          <w:szCs w:val="22"/>
          <w:highlight w:val="yellow"/>
        </w:rPr>
        <w:noBreakHyphen/>
        <w:t>2</w:t>
      </w:r>
      <w:r w:rsidRPr="00F11851">
        <w:rPr>
          <w:rFonts w:ascii="Arial" w:hAnsi="Arial" w:cs="Arial"/>
          <w:sz w:val="22"/>
          <w:szCs w:val="22"/>
          <w:highlight w:val="yellow"/>
        </w:rPr>
        <w:fldChar w:fldCharType="end"/>
      </w:r>
      <w:r w:rsidRPr="00F11851">
        <w:rPr>
          <w:rFonts w:ascii="Arial" w:hAnsi="Arial" w:cs="Arial"/>
          <w:sz w:val="22"/>
          <w:szCs w:val="22"/>
        </w:rPr>
        <w:t>)</w:t>
      </w:r>
    </w:p>
    <w:p w14:paraId="32F48853" w14:textId="77777777" w:rsidR="00914134" w:rsidRPr="00AD49A8" w:rsidRDefault="00914134" w:rsidP="00914134">
      <w:pPr>
        <w:spacing w:before="240" w:after="240" w:line="276" w:lineRule="auto"/>
        <w:jc w:val="both"/>
        <w:rPr>
          <w:rFonts w:cs="Arial"/>
          <w:szCs w:val="22"/>
        </w:rPr>
      </w:pPr>
      <w:r w:rsidRPr="00F11851">
        <w:rPr>
          <w:rFonts w:ascii="Arial" w:hAnsi="Arial" w:cs="Arial"/>
          <w:sz w:val="22"/>
          <w:szCs w:val="22"/>
        </w:rPr>
        <w:t>A partir de la segunda mitad del 2014 se presenta una sobre oferta de crudo debido a la recuperación en la producción de los países OPEP principalmente en medio oriente, junto con el incremento en la producción de los países No-OPEP, especialmente por los volúmenes obtenidos de crudo no convencional</w:t>
      </w:r>
      <w:r w:rsidRPr="00F11851">
        <w:rPr>
          <w:rFonts w:ascii="Arial" w:hAnsi="Arial" w:cs="Arial"/>
          <w:sz w:val="22"/>
          <w:szCs w:val="22"/>
          <w:vertAlign w:val="superscript"/>
        </w:rPr>
        <w:footnoteReference w:id="1"/>
      </w:r>
      <w:r w:rsidRPr="00F11851">
        <w:rPr>
          <w:rFonts w:ascii="Arial" w:hAnsi="Arial" w:cs="Arial"/>
          <w:sz w:val="22"/>
          <w:szCs w:val="22"/>
          <w:vertAlign w:val="superscript"/>
        </w:rPr>
        <w:t xml:space="preserve"> </w:t>
      </w:r>
      <w:r w:rsidRPr="00F11851">
        <w:rPr>
          <w:rFonts w:ascii="Arial" w:hAnsi="Arial" w:cs="Arial"/>
          <w:sz w:val="22"/>
          <w:szCs w:val="22"/>
        </w:rPr>
        <w:t>en Canadá y Estados Unidos. El exceso de oferta alcanzó un incremento superior al millón de barriles día y se mantuvo durante año y medio, entre octubre de 2014 y marzo de 2016. Por otra parte, la demanda global de petróleo presenta un comportamiento marginal, ya que el crecimiento fue solo de 300 mil barriles día siendo este el valor el más bajo de los últimos cinco años.</w:t>
      </w:r>
    </w:p>
    <w:p w14:paraId="6A1EB609" w14:textId="77777777" w:rsidR="00914134" w:rsidRPr="00F11851" w:rsidRDefault="00914134" w:rsidP="00914134">
      <w:pPr>
        <w:spacing w:before="240" w:after="240" w:line="276" w:lineRule="auto"/>
        <w:jc w:val="both"/>
        <w:rPr>
          <w:rFonts w:ascii="Arial" w:hAnsi="Arial" w:cs="Arial"/>
          <w:sz w:val="22"/>
          <w:szCs w:val="22"/>
        </w:rPr>
      </w:pPr>
      <w:r w:rsidRPr="00F11851">
        <w:rPr>
          <w:rFonts w:ascii="Arial" w:hAnsi="Arial" w:cs="Arial"/>
          <w:sz w:val="22"/>
          <w:szCs w:val="22"/>
        </w:rPr>
        <w:t xml:space="preserve">Debido a lo anterior se presenta un desbalance entre la oferta y la demanda mundial. Para manejar este desbalance se procedió aumentar los inventarios superando los niveles históricos, </w:t>
      </w:r>
      <w:r w:rsidRPr="00F11851">
        <w:rPr>
          <w:rFonts w:ascii="Arial" w:hAnsi="Arial" w:cs="Arial"/>
          <w:sz w:val="22"/>
          <w:szCs w:val="22"/>
        </w:rPr>
        <w:lastRenderedPageBreak/>
        <w:t>sin que esta medida haya tenido efecto en el precio del crudo, el cual tuvo una caída de alrededor del 60.0% llegando a niveles de $39 dólares por barril.</w:t>
      </w:r>
    </w:p>
    <w:p w14:paraId="373A67F6" w14:textId="77777777" w:rsidR="00914134" w:rsidRPr="00F11851" w:rsidRDefault="00914134" w:rsidP="00914134">
      <w:pPr>
        <w:spacing w:before="240" w:after="240" w:line="276" w:lineRule="auto"/>
        <w:jc w:val="both"/>
        <w:rPr>
          <w:rFonts w:ascii="Arial" w:hAnsi="Arial" w:cs="Arial"/>
          <w:sz w:val="22"/>
          <w:szCs w:val="22"/>
        </w:rPr>
      </w:pPr>
      <w:r w:rsidRPr="00F11851">
        <w:rPr>
          <w:rFonts w:ascii="Arial" w:hAnsi="Arial" w:cs="Arial"/>
          <w:sz w:val="22"/>
          <w:szCs w:val="22"/>
        </w:rPr>
        <w:t>Sin embargo, a la segunda mitad de 2016 el precio del crudo presenta una recuperación debido a una suma de factores, dentro de los cuales se destaca  la disminución los inventarios por el incremento del 2.3% en la demanda, por el mayor consumo de diésel y combustóleo en Estados Unidos y Europa. Así mismo, la demanda de los países OCDE siguió su crecimiento moderado durante los últimos 4 años, a diferencia del crecimiento en la demanda alcanzada por los países No-OCDE la cual reporto un crecimiento del 2.7%, principalmente en Asia y Rusia.</w:t>
      </w:r>
    </w:p>
    <w:p w14:paraId="56B32966" w14:textId="77777777" w:rsidR="00914134" w:rsidRPr="00F11851" w:rsidRDefault="00914134" w:rsidP="00914134">
      <w:pPr>
        <w:spacing w:before="240" w:after="240" w:line="276" w:lineRule="auto"/>
        <w:jc w:val="both"/>
        <w:rPr>
          <w:rFonts w:ascii="Arial" w:hAnsi="Arial" w:cs="Arial"/>
          <w:sz w:val="22"/>
          <w:szCs w:val="22"/>
        </w:rPr>
      </w:pPr>
      <w:r w:rsidRPr="00F11851">
        <w:rPr>
          <w:rFonts w:ascii="Arial" w:hAnsi="Arial" w:cs="Arial"/>
          <w:sz w:val="22"/>
          <w:szCs w:val="22"/>
        </w:rPr>
        <w:t xml:space="preserve">De igual forma la decisión tomada por algunos de los principales productores de la OPEC de restringir la oferta, mediante la congelación de los niveles de producción de enero de 2016 y la estabilización de la producción de crudos no convencionales en Estados Unidos en niveles de 4 millones de barriles por día en el año 2016 (Ver </w:t>
      </w:r>
      <w:r w:rsidRPr="00F11851">
        <w:rPr>
          <w:rFonts w:ascii="Arial" w:hAnsi="Arial" w:cs="Arial"/>
          <w:sz w:val="22"/>
          <w:szCs w:val="22"/>
        </w:rPr>
        <w:fldChar w:fldCharType="begin"/>
      </w:r>
      <w:r w:rsidRPr="00F11851">
        <w:rPr>
          <w:rFonts w:ascii="Arial" w:hAnsi="Arial" w:cs="Arial"/>
          <w:sz w:val="22"/>
          <w:szCs w:val="22"/>
        </w:rPr>
        <w:instrText xml:space="preserve"> REF _Ref511054760 \h  \* MERGEFORMAT </w:instrText>
      </w:r>
      <w:r w:rsidRPr="00F11851">
        <w:rPr>
          <w:rFonts w:ascii="Arial" w:hAnsi="Arial" w:cs="Arial"/>
          <w:sz w:val="22"/>
          <w:szCs w:val="22"/>
        </w:rPr>
      </w:r>
      <w:r w:rsidRPr="00F11851">
        <w:rPr>
          <w:rFonts w:ascii="Arial" w:hAnsi="Arial" w:cs="Arial"/>
          <w:sz w:val="22"/>
          <w:szCs w:val="22"/>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1</w:t>
      </w:r>
      <w:r w:rsidR="00915705" w:rsidRPr="00915705">
        <w:rPr>
          <w:rFonts w:ascii="Arial" w:hAnsi="Arial" w:cs="Arial"/>
          <w:noProof/>
          <w:sz w:val="22"/>
          <w:szCs w:val="22"/>
          <w:highlight w:val="yellow"/>
        </w:rPr>
        <w:noBreakHyphen/>
        <w:t>3</w:t>
      </w:r>
      <w:r w:rsidRPr="00F11851">
        <w:rPr>
          <w:rFonts w:ascii="Arial" w:hAnsi="Arial" w:cs="Arial"/>
          <w:sz w:val="22"/>
          <w:szCs w:val="22"/>
        </w:rPr>
        <w:fldChar w:fldCharType="end"/>
      </w:r>
      <w:r w:rsidRPr="00F11851">
        <w:rPr>
          <w:rFonts w:ascii="Arial" w:hAnsi="Arial" w:cs="Arial"/>
          <w:sz w:val="22"/>
          <w:szCs w:val="22"/>
        </w:rPr>
        <w:t>), influyó en cierta medida el alza de precio del crudo.</w:t>
      </w:r>
    </w:p>
    <w:p w14:paraId="32481083" w14:textId="6FA5B75C" w:rsidR="00914134" w:rsidRPr="00637373" w:rsidRDefault="00914134" w:rsidP="00914134">
      <w:pPr>
        <w:pStyle w:val="Descripcin"/>
        <w:keepNext/>
        <w:spacing w:after="0"/>
        <w:jc w:val="center"/>
        <w:rPr>
          <w:b/>
          <w:i w:val="0"/>
          <w:color w:val="auto"/>
          <w:sz w:val="20"/>
          <w:highlight w:val="yellow"/>
        </w:rPr>
      </w:pPr>
      <w:bookmarkStart w:id="10" w:name="_Ref511054760"/>
      <w:bookmarkStart w:id="11" w:name="_Toc530033393"/>
      <w:r w:rsidRPr="00637373">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3</w:t>
      </w:r>
      <w:r w:rsidR="00DA50A5">
        <w:rPr>
          <w:b/>
          <w:i w:val="0"/>
          <w:color w:val="auto"/>
          <w:sz w:val="20"/>
          <w:highlight w:val="yellow"/>
        </w:rPr>
        <w:fldChar w:fldCharType="end"/>
      </w:r>
      <w:bookmarkEnd w:id="10"/>
      <w:r>
        <w:rPr>
          <w:b/>
          <w:i w:val="0"/>
          <w:color w:val="auto"/>
          <w:sz w:val="20"/>
          <w:highlight w:val="yellow"/>
        </w:rPr>
        <w:t>.</w:t>
      </w:r>
      <w:r w:rsidRPr="00637373">
        <w:rPr>
          <w:b/>
          <w:i w:val="0"/>
          <w:color w:val="auto"/>
          <w:sz w:val="20"/>
          <w:highlight w:val="yellow"/>
        </w:rPr>
        <w:t xml:space="preserve"> </w:t>
      </w:r>
      <w:r w:rsidRPr="00637373">
        <w:rPr>
          <w:i w:val="0"/>
          <w:color w:val="auto"/>
          <w:sz w:val="20"/>
        </w:rPr>
        <w:t>Producción de crudo no convencional en Estados Unidos 2006-2017</w:t>
      </w:r>
      <w:bookmarkEnd w:id="11"/>
    </w:p>
    <w:p w14:paraId="11AE3EFE" w14:textId="77777777" w:rsidR="00914134" w:rsidRDefault="00914134" w:rsidP="00914134">
      <w:pPr>
        <w:spacing w:line="276" w:lineRule="auto"/>
        <w:jc w:val="center"/>
        <w:rPr>
          <w:rFonts w:cs="Arial"/>
          <w:szCs w:val="22"/>
        </w:rPr>
      </w:pPr>
      <w:r w:rsidRPr="00127C85">
        <w:rPr>
          <w:noProof/>
          <w:lang w:val="es-ES" w:eastAsia="es-ES"/>
        </w:rPr>
        <w:drawing>
          <wp:inline distT="0" distB="0" distL="0" distR="0" wp14:anchorId="7BD73892" wp14:editId="0AA240BD">
            <wp:extent cx="5762625" cy="32385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64B36219" w14:textId="631EC633" w:rsidR="00914134" w:rsidRPr="00A51B7C" w:rsidRDefault="00914134" w:rsidP="00914134">
      <w:pPr>
        <w:jc w:val="center"/>
        <w:rPr>
          <w:rFonts w:ascii="Arial" w:hAnsi="Arial" w:cs="Arial"/>
          <w:sz w:val="16"/>
          <w:szCs w:val="16"/>
        </w:rPr>
      </w:pPr>
      <w:r w:rsidRPr="001B6C48">
        <w:rPr>
          <w:rFonts w:ascii="Arial" w:hAnsi="Arial" w:cs="Arial"/>
          <w:b/>
          <w:sz w:val="16"/>
          <w:szCs w:val="16"/>
        </w:rPr>
        <w:t>Fuente:</w:t>
      </w:r>
      <w:r w:rsidRPr="001B6C48">
        <w:rPr>
          <w:rFonts w:ascii="Arial" w:hAnsi="Arial" w:cs="Arial"/>
          <w:sz w:val="16"/>
          <w:szCs w:val="16"/>
        </w:rPr>
        <w:t xml:space="preserve"> EIA </w:t>
      </w:r>
      <w:r w:rsidR="001B6C48" w:rsidRPr="001B6C48">
        <w:rPr>
          <w:rFonts w:ascii="Arial" w:hAnsi="Arial" w:cs="Arial"/>
          <w:sz w:val="16"/>
          <w:szCs w:val="16"/>
        </w:rPr>
        <w:fldChar w:fldCharType="begin"/>
      </w:r>
      <w:r w:rsidR="001B6C48" w:rsidRPr="001B6C48">
        <w:rPr>
          <w:rFonts w:ascii="Arial" w:hAnsi="Arial" w:cs="Arial"/>
          <w:sz w:val="16"/>
          <w:szCs w:val="16"/>
        </w:rPr>
        <w:instrText xml:space="preserve"> REF _Ref529881139 \r \h </w:instrText>
      </w:r>
      <w:r w:rsidR="001B6C48">
        <w:rPr>
          <w:rFonts w:ascii="Arial" w:hAnsi="Arial" w:cs="Arial"/>
          <w:sz w:val="16"/>
          <w:szCs w:val="16"/>
        </w:rPr>
        <w:instrText xml:space="preserve"> \* MERGEFORMAT </w:instrText>
      </w:r>
      <w:r w:rsidR="001B6C48" w:rsidRPr="001B6C48">
        <w:rPr>
          <w:rFonts w:ascii="Arial" w:hAnsi="Arial" w:cs="Arial"/>
          <w:sz w:val="16"/>
          <w:szCs w:val="16"/>
        </w:rPr>
      </w:r>
      <w:r w:rsidR="001B6C48" w:rsidRPr="001B6C48">
        <w:rPr>
          <w:rFonts w:ascii="Arial" w:hAnsi="Arial" w:cs="Arial"/>
          <w:sz w:val="16"/>
          <w:szCs w:val="16"/>
        </w:rPr>
        <w:fldChar w:fldCharType="separate"/>
      </w:r>
      <w:r w:rsidR="00915705">
        <w:rPr>
          <w:rFonts w:ascii="Arial" w:hAnsi="Arial" w:cs="Arial"/>
          <w:sz w:val="16"/>
          <w:szCs w:val="16"/>
        </w:rPr>
        <w:t>[4]</w:t>
      </w:r>
      <w:r w:rsidR="001B6C48" w:rsidRPr="001B6C48">
        <w:rPr>
          <w:rFonts w:ascii="Arial" w:hAnsi="Arial" w:cs="Arial"/>
          <w:sz w:val="16"/>
          <w:szCs w:val="16"/>
        </w:rPr>
        <w:fldChar w:fldCharType="end"/>
      </w:r>
    </w:p>
    <w:p w14:paraId="50C75264" w14:textId="77777777" w:rsidR="00914134" w:rsidRDefault="00914134" w:rsidP="00914134">
      <w:pPr>
        <w:pStyle w:val="Ttulo2"/>
        <w:spacing w:after="240"/>
      </w:pPr>
      <w:bookmarkStart w:id="12" w:name="_Toc530045818"/>
      <w:r>
        <w:t>Economía Países</w:t>
      </w:r>
      <w:bookmarkEnd w:id="12"/>
    </w:p>
    <w:p w14:paraId="09B0A318" w14:textId="77777777" w:rsidR="00914134" w:rsidRPr="00F11851" w:rsidRDefault="00914134" w:rsidP="00914134">
      <w:pPr>
        <w:spacing w:after="240" w:line="276" w:lineRule="auto"/>
        <w:jc w:val="both"/>
        <w:rPr>
          <w:rFonts w:ascii="Arial" w:hAnsi="Arial" w:cs="Arial"/>
          <w:sz w:val="22"/>
          <w:szCs w:val="22"/>
        </w:rPr>
      </w:pPr>
      <w:r w:rsidRPr="00F11851">
        <w:rPr>
          <w:rFonts w:ascii="Arial" w:hAnsi="Arial" w:cs="Arial"/>
          <w:sz w:val="22"/>
          <w:szCs w:val="22"/>
        </w:rPr>
        <w:t xml:space="preserve">El comportamiento macroeconómico de los países influye de manera importante en la cantidad de crudo consumido a nivel mundial lo que a su vez impacta en el precio del crudo. Así pues, durante la última década el buen comportamiento de las economías de los países OCDE ha influenciado en el aumento del consumo de crudo, sin embargo esta tendencia cambia debido a que los países No OCDE reportan un incremento en sus economías, siendo estos países los que hoy lideran la demanda de crudo en donde en al año 2017 el 52.0% corresponde al consumo global (ver </w:t>
      </w:r>
      <w:r w:rsidRPr="00F11851">
        <w:rPr>
          <w:rFonts w:ascii="Arial" w:hAnsi="Arial" w:cs="Arial"/>
          <w:sz w:val="22"/>
          <w:szCs w:val="22"/>
        </w:rPr>
        <w:fldChar w:fldCharType="begin"/>
      </w:r>
      <w:r w:rsidRPr="00F11851">
        <w:rPr>
          <w:rFonts w:ascii="Arial" w:hAnsi="Arial" w:cs="Arial"/>
          <w:sz w:val="22"/>
          <w:szCs w:val="22"/>
        </w:rPr>
        <w:instrText xml:space="preserve"> REF _Ref511054646 \h  \* MERGEFORMAT </w:instrText>
      </w:r>
      <w:r w:rsidRPr="00F11851">
        <w:rPr>
          <w:rFonts w:ascii="Arial" w:hAnsi="Arial" w:cs="Arial"/>
          <w:sz w:val="22"/>
          <w:szCs w:val="22"/>
        </w:rPr>
      </w:r>
      <w:r w:rsidRPr="00F11851">
        <w:rPr>
          <w:rFonts w:ascii="Arial" w:hAnsi="Arial" w:cs="Arial"/>
          <w:sz w:val="22"/>
          <w:szCs w:val="22"/>
        </w:rPr>
        <w:fldChar w:fldCharType="separate"/>
      </w:r>
      <w:r w:rsidR="00915705" w:rsidRPr="00915705">
        <w:rPr>
          <w:rFonts w:ascii="Arial" w:hAnsi="Arial" w:cs="Arial"/>
          <w:sz w:val="22"/>
          <w:szCs w:val="22"/>
          <w:highlight w:val="yellow"/>
        </w:rPr>
        <w:t>Gráfica 1</w:t>
      </w:r>
      <w:r w:rsidR="00915705" w:rsidRPr="00915705">
        <w:rPr>
          <w:rFonts w:ascii="Arial" w:hAnsi="Arial" w:cs="Arial"/>
          <w:sz w:val="22"/>
          <w:szCs w:val="22"/>
          <w:highlight w:val="yellow"/>
        </w:rPr>
        <w:noBreakHyphen/>
        <w:t>4</w:t>
      </w:r>
      <w:r w:rsidRPr="00F11851">
        <w:rPr>
          <w:rFonts w:ascii="Arial" w:hAnsi="Arial" w:cs="Arial"/>
          <w:sz w:val="22"/>
          <w:szCs w:val="22"/>
        </w:rPr>
        <w:fldChar w:fldCharType="end"/>
      </w:r>
      <w:r w:rsidRPr="00F11851">
        <w:rPr>
          <w:rFonts w:ascii="Arial" w:hAnsi="Arial" w:cs="Arial"/>
          <w:sz w:val="22"/>
          <w:szCs w:val="22"/>
        </w:rPr>
        <w:t>).</w:t>
      </w:r>
    </w:p>
    <w:p w14:paraId="586D7E40" w14:textId="77777777" w:rsidR="00914134" w:rsidRPr="00F11851" w:rsidRDefault="00914134" w:rsidP="00914134">
      <w:pPr>
        <w:spacing w:before="240" w:after="240" w:line="276" w:lineRule="auto"/>
        <w:jc w:val="both"/>
        <w:rPr>
          <w:rFonts w:ascii="Arial" w:hAnsi="Arial" w:cs="Arial"/>
          <w:sz w:val="22"/>
          <w:szCs w:val="22"/>
        </w:rPr>
      </w:pPr>
      <w:r w:rsidRPr="00F11851">
        <w:rPr>
          <w:rFonts w:ascii="Arial" w:hAnsi="Arial" w:cs="Arial"/>
          <w:sz w:val="22"/>
          <w:szCs w:val="22"/>
        </w:rPr>
        <w:lastRenderedPageBreak/>
        <w:t>Así mismo la demanda mundial de crudo había sido jalonada principalmente por las economía emergentes, sin embargo este crecimiento fue afectado por la desaceleración económica de China, la cual venía creciendo en las ultimas 2 décadas debido a la rápida industrialización y gasto en infraestructura, y tuvo una transición económica reflejada en el consumo y servicios, por lo que la demanda de crudo creció un 5.5% anual de 2010 a 2011, mientras que entre 2011 y 2016 el crecimiento promedio de la demanda fue del 4.8% por año. Sin embargo, según la Agencia Internacional de Energía pronostica que a 2020 esta economía tenga un crecimiento anual promedio de 2.4%. Debido a lo anterior la economía de India pasa a ser el foco de atención por su comportamiento económico.</w:t>
      </w:r>
    </w:p>
    <w:p w14:paraId="7B912F5E" w14:textId="6BBC881E" w:rsidR="00914134" w:rsidRPr="007700C2" w:rsidRDefault="00914134" w:rsidP="00914134">
      <w:pPr>
        <w:pStyle w:val="Descripcin"/>
        <w:keepNext/>
        <w:spacing w:before="0" w:after="0"/>
        <w:jc w:val="center"/>
        <w:rPr>
          <w:b/>
          <w:i w:val="0"/>
          <w:color w:val="auto"/>
          <w:sz w:val="20"/>
          <w:highlight w:val="yellow"/>
        </w:rPr>
      </w:pPr>
      <w:bookmarkStart w:id="13" w:name="_Ref511054646"/>
      <w:bookmarkStart w:id="14" w:name="_Toc530033394"/>
      <w:r w:rsidRPr="007700C2">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4</w:t>
      </w:r>
      <w:r w:rsidR="00DA50A5">
        <w:rPr>
          <w:b/>
          <w:i w:val="0"/>
          <w:color w:val="auto"/>
          <w:sz w:val="20"/>
          <w:highlight w:val="yellow"/>
        </w:rPr>
        <w:fldChar w:fldCharType="end"/>
      </w:r>
      <w:bookmarkEnd w:id="13"/>
      <w:r>
        <w:rPr>
          <w:b/>
          <w:i w:val="0"/>
          <w:color w:val="auto"/>
          <w:sz w:val="20"/>
          <w:highlight w:val="yellow"/>
        </w:rPr>
        <w:t>.</w:t>
      </w:r>
      <w:r w:rsidRPr="007700C2">
        <w:rPr>
          <w:b/>
          <w:i w:val="0"/>
          <w:color w:val="auto"/>
          <w:sz w:val="20"/>
          <w:highlight w:val="yellow"/>
        </w:rPr>
        <w:t xml:space="preserve"> </w:t>
      </w:r>
      <w:r w:rsidRPr="007700C2">
        <w:rPr>
          <w:i w:val="0"/>
          <w:color w:val="auto"/>
          <w:sz w:val="20"/>
        </w:rPr>
        <w:t>Participación en consumo de crudo en países OCDE y No OCDE</w:t>
      </w:r>
      <w:bookmarkEnd w:id="14"/>
    </w:p>
    <w:p w14:paraId="0BD32C5A" w14:textId="77777777" w:rsidR="00914134" w:rsidRDefault="00914134" w:rsidP="00914134">
      <w:pPr>
        <w:spacing w:line="276" w:lineRule="auto"/>
        <w:jc w:val="center"/>
        <w:rPr>
          <w:rFonts w:cs="Arial"/>
          <w:szCs w:val="22"/>
        </w:rPr>
      </w:pPr>
      <w:r w:rsidRPr="00127C85">
        <w:rPr>
          <w:noProof/>
          <w:lang w:val="es-ES" w:eastAsia="es-ES"/>
        </w:rPr>
        <w:drawing>
          <wp:inline distT="0" distB="0" distL="0" distR="0" wp14:anchorId="0D9A4457" wp14:editId="723C817D">
            <wp:extent cx="5581650" cy="3238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1650" cy="3238500"/>
                    </a:xfrm>
                    <a:prstGeom prst="rect">
                      <a:avLst/>
                    </a:prstGeom>
                    <a:noFill/>
                    <a:ln>
                      <a:noFill/>
                    </a:ln>
                  </pic:spPr>
                </pic:pic>
              </a:graphicData>
            </a:graphic>
          </wp:inline>
        </w:drawing>
      </w:r>
    </w:p>
    <w:p w14:paraId="3F592E45" w14:textId="383065AD" w:rsidR="00914134" w:rsidRPr="00A51B7C" w:rsidRDefault="00914134" w:rsidP="00914134">
      <w:pPr>
        <w:jc w:val="center"/>
        <w:rPr>
          <w:rFonts w:ascii="Arial" w:hAnsi="Arial" w:cs="Arial"/>
          <w:sz w:val="16"/>
          <w:szCs w:val="16"/>
        </w:rPr>
      </w:pPr>
      <w:r w:rsidRPr="001B6C48">
        <w:rPr>
          <w:rFonts w:ascii="Arial" w:hAnsi="Arial" w:cs="Arial"/>
          <w:b/>
          <w:sz w:val="16"/>
          <w:szCs w:val="16"/>
        </w:rPr>
        <w:t>Fuente:</w:t>
      </w:r>
      <w:r w:rsidRPr="001B6C48">
        <w:rPr>
          <w:rFonts w:ascii="Arial" w:hAnsi="Arial" w:cs="Arial"/>
          <w:sz w:val="16"/>
          <w:szCs w:val="16"/>
        </w:rPr>
        <w:t xml:space="preserve"> BP </w:t>
      </w:r>
      <w:r w:rsidR="001B6C48" w:rsidRPr="001B6C48">
        <w:rPr>
          <w:rFonts w:ascii="Arial" w:hAnsi="Arial" w:cs="Arial"/>
          <w:sz w:val="16"/>
          <w:szCs w:val="16"/>
        </w:rPr>
        <w:fldChar w:fldCharType="begin"/>
      </w:r>
      <w:r w:rsidR="001B6C48" w:rsidRPr="001B6C48">
        <w:rPr>
          <w:rFonts w:ascii="Arial" w:hAnsi="Arial" w:cs="Arial"/>
          <w:sz w:val="16"/>
          <w:szCs w:val="16"/>
        </w:rPr>
        <w:instrText xml:space="preserve"> REF _Ref529881183 \r \h </w:instrText>
      </w:r>
      <w:r w:rsidR="001B6C48">
        <w:rPr>
          <w:rFonts w:ascii="Arial" w:hAnsi="Arial" w:cs="Arial"/>
          <w:sz w:val="16"/>
          <w:szCs w:val="16"/>
        </w:rPr>
        <w:instrText xml:space="preserve"> \* MERGEFORMAT </w:instrText>
      </w:r>
      <w:r w:rsidR="001B6C48" w:rsidRPr="001B6C48">
        <w:rPr>
          <w:rFonts w:ascii="Arial" w:hAnsi="Arial" w:cs="Arial"/>
          <w:sz w:val="16"/>
          <w:szCs w:val="16"/>
        </w:rPr>
      </w:r>
      <w:r w:rsidR="001B6C48" w:rsidRPr="001B6C48">
        <w:rPr>
          <w:rFonts w:ascii="Arial" w:hAnsi="Arial" w:cs="Arial"/>
          <w:sz w:val="16"/>
          <w:szCs w:val="16"/>
        </w:rPr>
        <w:fldChar w:fldCharType="separate"/>
      </w:r>
      <w:r w:rsidR="00915705">
        <w:rPr>
          <w:rFonts w:ascii="Arial" w:hAnsi="Arial" w:cs="Arial"/>
          <w:sz w:val="16"/>
          <w:szCs w:val="16"/>
        </w:rPr>
        <w:t>[5]</w:t>
      </w:r>
      <w:r w:rsidR="001B6C48" w:rsidRPr="001B6C48">
        <w:rPr>
          <w:rFonts w:ascii="Arial" w:hAnsi="Arial" w:cs="Arial"/>
          <w:sz w:val="16"/>
          <w:szCs w:val="16"/>
        </w:rPr>
        <w:fldChar w:fldCharType="end"/>
      </w:r>
      <w:r w:rsidRPr="001B6C48">
        <w:rPr>
          <w:rFonts w:ascii="Arial" w:hAnsi="Arial" w:cs="Arial"/>
          <w:sz w:val="16"/>
          <w:szCs w:val="16"/>
        </w:rPr>
        <w:t xml:space="preserve">, EIA </w:t>
      </w:r>
      <w:r w:rsidR="001B6C48" w:rsidRPr="001B6C48">
        <w:rPr>
          <w:rFonts w:ascii="Arial" w:hAnsi="Arial" w:cs="Arial"/>
          <w:sz w:val="16"/>
          <w:szCs w:val="16"/>
        </w:rPr>
        <w:fldChar w:fldCharType="begin"/>
      </w:r>
      <w:r w:rsidR="001B6C48" w:rsidRPr="001B6C48">
        <w:rPr>
          <w:rFonts w:ascii="Arial" w:hAnsi="Arial" w:cs="Arial"/>
          <w:sz w:val="16"/>
          <w:szCs w:val="16"/>
        </w:rPr>
        <w:instrText xml:space="preserve"> REF _Ref529881201 \r \h </w:instrText>
      </w:r>
      <w:r w:rsidR="001B6C48">
        <w:rPr>
          <w:rFonts w:ascii="Arial" w:hAnsi="Arial" w:cs="Arial"/>
          <w:sz w:val="16"/>
          <w:szCs w:val="16"/>
        </w:rPr>
        <w:instrText xml:space="preserve"> \* MERGEFORMAT </w:instrText>
      </w:r>
      <w:r w:rsidR="001B6C48" w:rsidRPr="001B6C48">
        <w:rPr>
          <w:rFonts w:ascii="Arial" w:hAnsi="Arial" w:cs="Arial"/>
          <w:sz w:val="16"/>
          <w:szCs w:val="16"/>
        </w:rPr>
      </w:r>
      <w:r w:rsidR="001B6C48" w:rsidRPr="001B6C48">
        <w:rPr>
          <w:rFonts w:ascii="Arial" w:hAnsi="Arial" w:cs="Arial"/>
          <w:sz w:val="16"/>
          <w:szCs w:val="16"/>
        </w:rPr>
        <w:fldChar w:fldCharType="separate"/>
      </w:r>
      <w:r w:rsidR="00915705">
        <w:rPr>
          <w:rFonts w:ascii="Arial" w:hAnsi="Arial" w:cs="Arial"/>
          <w:sz w:val="16"/>
          <w:szCs w:val="16"/>
        </w:rPr>
        <w:t>[6]</w:t>
      </w:r>
      <w:r w:rsidR="001B6C48" w:rsidRPr="001B6C48">
        <w:rPr>
          <w:rFonts w:ascii="Arial" w:hAnsi="Arial" w:cs="Arial"/>
          <w:sz w:val="16"/>
          <w:szCs w:val="16"/>
        </w:rPr>
        <w:fldChar w:fldCharType="end"/>
      </w:r>
      <w:r w:rsidRPr="001B6C48">
        <w:rPr>
          <w:rFonts w:ascii="Arial" w:hAnsi="Arial" w:cs="Arial"/>
          <w:sz w:val="16"/>
          <w:szCs w:val="16"/>
        </w:rPr>
        <w:t xml:space="preserve">, UPME </w:t>
      </w:r>
    </w:p>
    <w:p w14:paraId="5B50E209" w14:textId="77777777" w:rsidR="00914134" w:rsidRPr="00F11851" w:rsidRDefault="00914134" w:rsidP="00914134">
      <w:pPr>
        <w:spacing w:before="240" w:after="240" w:line="276" w:lineRule="auto"/>
        <w:jc w:val="both"/>
        <w:rPr>
          <w:rFonts w:ascii="Arial" w:hAnsi="Arial" w:cs="Arial"/>
          <w:sz w:val="22"/>
          <w:szCs w:val="22"/>
        </w:rPr>
      </w:pPr>
      <w:r w:rsidRPr="00F11851">
        <w:rPr>
          <w:rFonts w:ascii="Arial" w:hAnsi="Arial" w:cs="Arial"/>
          <w:sz w:val="22"/>
          <w:szCs w:val="22"/>
        </w:rPr>
        <w:t>Por otra parte, es importante mencionar que la economía de los países dependientes de la producción del crudo y sus exportaciones está jalonada por la cantidad de regalías recibidas. Los ingresos obtenidos por las regalías impactan directamente en el modelo económico de cada país afectando también la estabilidad política la cual es la garantía para atraer inversión extranjera. Teniendo en cuenta que las regalías dependen de la ganancia obtenida por la producción y/o venta interna y externa, así como del precio del crudo, éste último juega un papel determinante en el desenvolvimiento económico de los países productores. Es así como los p</w:t>
      </w:r>
      <w:r>
        <w:rPr>
          <w:rFonts w:ascii="Arial" w:hAnsi="Arial" w:cs="Arial"/>
          <w:sz w:val="22"/>
          <w:szCs w:val="22"/>
        </w:rPr>
        <w:t xml:space="preserve">aíses pertenecientes a la OPEP </w:t>
      </w:r>
      <w:r w:rsidRPr="00F11851">
        <w:rPr>
          <w:rFonts w:ascii="Arial" w:hAnsi="Arial" w:cs="Arial"/>
          <w:sz w:val="22"/>
          <w:szCs w:val="22"/>
        </w:rPr>
        <w:t>vieron una disminución en sus ganancias por la exportación del crudo pasando de USD$ 1.2 billones de dólares en 2012 a $450 mil millones de dólares en 2016 impactando directa y negativamente la disponibilidad presupuestal para el gobierno, además empeorando las ya difíciles situaciones políticas.</w:t>
      </w:r>
    </w:p>
    <w:p w14:paraId="48FC4C5C" w14:textId="77777777" w:rsidR="00914134" w:rsidRDefault="00914134" w:rsidP="00914134">
      <w:pPr>
        <w:pStyle w:val="Ttulo2"/>
      </w:pPr>
      <w:bookmarkStart w:id="15" w:name="_Toc530045819"/>
      <w:r>
        <w:lastRenderedPageBreak/>
        <w:t>Eventos Programados y No Programados</w:t>
      </w:r>
      <w:bookmarkEnd w:id="15"/>
    </w:p>
    <w:p w14:paraId="120A3E24" w14:textId="77777777" w:rsidR="00914134" w:rsidRPr="00F11851" w:rsidRDefault="00914134" w:rsidP="00914134">
      <w:pPr>
        <w:autoSpaceDE w:val="0"/>
        <w:autoSpaceDN w:val="0"/>
        <w:adjustRightInd w:val="0"/>
        <w:spacing w:before="240" w:after="240" w:line="276" w:lineRule="auto"/>
        <w:jc w:val="both"/>
        <w:rPr>
          <w:rFonts w:ascii="Arial" w:hAnsi="Arial" w:cs="Arial"/>
          <w:sz w:val="22"/>
          <w:szCs w:val="22"/>
        </w:rPr>
      </w:pPr>
      <w:r w:rsidRPr="00F11851">
        <w:rPr>
          <w:rFonts w:ascii="Arial" w:hAnsi="Arial" w:cs="Arial"/>
          <w:sz w:val="22"/>
          <w:szCs w:val="22"/>
        </w:rPr>
        <w:t>En el tema de producción de crudo, se hace referencia a dos tipos de eventos que tienen injerencia directa en la oferta e indirecta en el precio. Estos eventos pueden ser programados, para el caso que existan mantenimientos en las refinerías previamente establecidos, y no programados cuando se trata de eventos naturales como huracanes, inundaciones, entre otros. Cabe mencionar  que tanto lo eventos programados como los no programados, se presentan de manera cíclica, y con diferente periodicidad.</w:t>
      </w:r>
    </w:p>
    <w:p w14:paraId="2DFEA0F4" w14:textId="77777777" w:rsidR="00914134" w:rsidRPr="00F11851" w:rsidRDefault="00914134" w:rsidP="00914134">
      <w:pPr>
        <w:autoSpaceDE w:val="0"/>
        <w:autoSpaceDN w:val="0"/>
        <w:adjustRightInd w:val="0"/>
        <w:spacing w:before="240" w:after="240" w:line="276" w:lineRule="auto"/>
        <w:jc w:val="both"/>
        <w:rPr>
          <w:rFonts w:ascii="Arial" w:hAnsi="Arial" w:cs="Arial"/>
          <w:bCs/>
          <w:sz w:val="22"/>
          <w:lang w:val="es-ES"/>
        </w:rPr>
      </w:pPr>
      <w:r w:rsidRPr="00F11851">
        <w:rPr>
          <w:rFonts w:ascii="Arial" w:hAnsi="Arial" w:cs="Arial"/>
          <w:bCs/>
          <w:sz w:val="22"/>
          <w:lang w:val="es-ES"/>
        </w:rPr>
        <w:t>Según la Agencia Internacional de Energía (IEA por sus siglas en inglés), los mantenimientos efectuados en refinerías a nivel global, principalmente en Europa, entre diciembre 2013 y abril de 2014, impactó directamente la producción, la cual se redujo en 2.8 millones de barriles por día. A pesar de lo anterior la oferta mundial creció en 1.1 millones de barriles día entre enero y marzo de 2014 para establecerse en 76.6 millones de barriles día, este crecimiento fue liderado por Estados Unidos, China, Rusia y Medio Oriente</w:t>
      </w:r>
      <w:r>
        <w:rPr>
          <w:rFonts w:ascii="Arial" w:hAnsi="Arial" w:cs="Arial"/>
          <w:bCs/>
          <w:sz w:val="22"/>
          <w:lang w:val="es-ES"/>
        </w:rPr>
        <w:t>.</w:t>
      </w:r>
    </w:p>
    <w:p w14:paraId="1C717B1F" w14:textId="77777777" w:rsidR="00914134" w:rsidRPr="00F11851" w:rsidRDefault="00914134" w:rsidP="00914134">
      <w:pPr>
        <w:autoSpaceDE w:val="0"/>
        <w:autoSpaceDN w:val="0"/>
        <w:adjustRightInd w:val="0"/>
        <w:spacing w:before="240" w:after="240" w:line="276" w:lineRule="auto"/>
        <w:jc w:val="both"/>
        <w:rPr>
          <w:rFonts w:ascii="Arial" w:hAnsi="Arial" w:cs="Arial"/>
          <w:bCs/>
          <w:sz w:val="22"/>
          <w:lang w:val="es-ES"/>
        </w:rPr>
      </w:pPr>
      <w:r w:rsidRPr="00F11851">
        <w:rPr>
          <w:rFonts w:ascii="Arial" w:hAnsi="Arial" w:cs="Arial"/>
          <w:bCs/>
          <w:sz w:val="22"/>
          <w:lang w:val="es-ES"/>
        </w:rPr>
        <w:t>Por otro lado, el intenso frio en Estados Unidos a finales de 2013 provocó un aumento en la demanda de combustibles líquidos para calefacción, sin embargo los precios, en promedio, cayeron mes a mes. Adicionalmente, unos mantenimientos programados en las refinerías provocó una disminución en la oferta la cual tuvo un impacto directo en el precio del crudo ya que los contratos futuros del Brent se transaron a $109.3 dólares por barril y el WTI se transó a $101.3 dólares por barril.</w:t>
      </w:r>
    </w:p>
    <w:p w14:paraId="488D1CDE" w14:textId="77777777" w:rsidR="00914134" w:rsidRPr="00F11851" w:rsidRDefault="00914134" w:rsidP="00914134">
      <w:pPr>
        <w:autoSpaceDE w:val="0"/>
        <w:autoSpaceDN w:val="0"/>
        <w:adjustRightInd w:val="0"/>
        <w:spacing w:before="240" w:after="240" w:line="276" w:lineRule="auto"/>
        <w:jc w:val="both"/>
        <w:rPr>
          <w:rFonts w:ascii="Arial" w:hAnsi="Arial" w:cs="Arial"/>
          <w:sz w:val="22"/>
          <w:szCs w:val="22"/>
        </w:rPr>
      </w:pPr>
      <w:r w:rsidRPr="00F11851">
        <w:rPr>
          <w:rFonts w:ascii="Arial" w:hAnsi="Arial" w:cs="Arial"/>
          <w:sz w:val="22"/>
          <w:szCs w:val="22"/>
        </w:rPr>
        <w:t>Así mismo, uno de los eventos no programados que tienen mayor impacto en la producción de crudo y combustibles líquidos son los huracanes. Por ejemplo para el año 2017 se presentó un record en la aparición simultánea de huracanes, que solo se había visto previamente en el año 2010. Entre el 17 de agosto y 2 de septiembre de 2017 se presentó en la costa del Golfo el huracán Harvey que fue de categoría 4, el cual fue el responsable da la salida de operación del 25.0% de las refinerías de Estados Unidos.</w:t>
      </w:r>
    </w:p>
    <w:p w14:paraId="68994ADC" w14:textId="77777777" w:rsidR="00914134" w:rsidRPr="00F11851" w:rsidRDefault="00914134" w:rsidP="00914134">
      <w:pPr>
        <w:autoSpaceDE w:val="0"/>
        <w:autoSpaceDN w:val="0"/>
        <w:adjustRightInd w:val="0"/>
        <w:spacing w:before="240" w:after="240" w:line="276" w:lineRule="auto"/>
        <w:jc w:val="both"/>
        <w:rPr>
          <w:rFonts w:ascii="Arial" w:hAnsi="Arial" w:cs="Arial"/>
          <w:sz w:val="22"/>
          <w:szCs w:val="22"/>
        </w:rPr>
      </w:pPr>
      <w:r w:rsidRPr="00F11851">
        <w:rPr>
          <w:rFonts w:ascii="Arial" w:hAnsi="Arial" w:cs="Arial"/>
          <w:sz w:val="22"/>
          <w:szCs w:val="22"/>
        </w:rPr>
        <w:t>Según el Banco Mundial, los precios del WTI no aumentaron en la misma proporción que el BRENT, principalmente por el impacto del huracán Harvey. Adicionalmente, el Departamento de Energía de los Estados Unidos tuvo que sacar 5 millones de barriles de sus reservas estratégicas de la costa para ponerlas en el mercado y en su proceso se presentaron inconvenientes por las inundaciones provocadas por el huracán. Otro de los efectos de este evento no programado, fue el aumento de las exportaciones de crudo de hasta 2 millones de barriles día, debido a la salida de funcionamiento de las refinerías y el arbitraje en precios. En consecuencia de lo anterior, hubo una reducción de los inventarios en los países OCDE por la escasez de crudos y sus derivados en el mercado.</w:t>
      </w:r>
    </w:p>
    <w:p w14:paraId="5BD9CE6F" w14:textId="77777777" w:rsidR="00914134" w:rsidRDefault="00914134" w:rsidP="00914134">
      <w:pPr>
        <w:pStyle w:val="Ttulo2"/>
      </w:pPr>
      <w:bookmarkStart w:id="16" w:name="_Toc530045820"/>
      <w:r>
        <w:t>Asuntos Geopolíticos</w:t>
      </w:r>
      <w:bookmarkEnd w:id="16"/>
    </w:p>
    <w:p w14:paraId="4DD16379" w14:textId="77777777" w:rsidR="00914134" w:rsidRPr="00F11851" w:rsidRDefault="00914134" w:rsidP="00914134">
      <w:pPr>
        <w:autoSpaceDE w:val="0"/>
        <w:autoSpaceDN w:val="0"/>
        <w:adjustRightInd w:val="0"/>
        <w:spacing w:before="240" w:after="240" w:line="276" w:lineRule="auto"/>
        <w:jc w:val="both"/>
        <w:rPr>
          <w:rFonts w:ascii="Arial" w:hAnsi="Arial" w:cs="Arial"/>
          <w:sz w:val="22"/>
          <w:szCs w:val="22"/>
        </w:rPr>
      </w:pPr>
      <w:r w:rsidRPr="00F11851">
        <w:rPr>
          <w:rFonts w:ascii="Arial" w:hAnsi="Arial" w:cs="Arial"/>
          <w:sz w:val="22"/>
          <w:szCs w:val="22"/>
        </w:rPr>
        <w:t xml:space="preserve">La situación política a nivel mundial juega un papel fundamental en el precio del crudo, ya que cuando existen conflictos internos constantes, afectan el adecuado desarrollo de la economía y el </w:t>
      </w:r>
      <w:r w:rsidRPr="00F11851">
        <w:rPr>
          <w:rFonts w:ascii="Arial" w:hAnsi="Arial" w:cs="Arial"/>
          <w:sz w:val="22"/>
          <w:szCs w:val="22"/>
        </w:rPr>
        <w:lastRenderedPageBreak/>
        <w:t>correcto funcionamiento de toda la cadena de abastecimiento de crudo y derivados, ocasionando así un desbalance en el mercado.</w:t>
      </w:r>
    </w:p>
    <w:p w14:paraId="74E1E90D" w14:textId="77777777" w:rsidR="00914134" w:rsidRPr="00F11851" w:rsidRDefault="00914134" w:rsidP="00914134">
      <w:pPr>
        <w:autoSpaceDE w:val="0"/>
        <w:autoSpaceDN w:val="0"/>
        <w:adjustRightInd w:val="0"/>
        <w:spacing w:before="240" w:after="240" w:line="276" w:lineRule="auto"/>
        <w:jc w:val="both"/>
        <w:rPr>
          <w:rFonts w:ascii="Arial" w:hAnsi="Arial" w:cs="Arial"/>
          <w:sz w:val="22"/>
          <w:szCs w:val="22"/>
        </w:rPr>
      </w:pPr>
      <w:r w:rsidRPr="00F11851">
        <w:rPr>
          <w:rFonts w:ascii="Arial" w:hAnsi="Arial" w:cs="Arial"/>
          <w:sz w:val="22"/>
          <w:szCs w:val="22"/>
        </w:rPr>
        <w:t>Durante la última década se han presentado diversos conflictos a nivel internacional como por ejemplo los conocidos como la Primavera Árabe que tuvieron lugar entre los años 2010-2013, las sanciones a países por desacato a normas internacionales y actividades militares entre países, por mencionar algunos tenemos Irán, Irak, Rusia, entre otros. Si bien algunos de estos países no se involucran directamente en el conflicto, sí toman acciones pasivas que influyen directamente en la estabilidad geopolítica de los países afectando el mercado mundial de crudo con un impacto directo en el precio. Para ilustrar lo aquí expuesto, podemos analizar el conflicto interno en Siria entre el gobierno y las organizaciones terroristas el cual generó un ataque con arma química el cual generó tensión en las relaciones entre Estados Unidos, Siria y Rusia provocando el incremento del precio del petróleo, en tan solo dos días del 5.0%, pasando de $68.7 dólares por barril el martes 10 de abril de 2018 a $72.0 dólares por barril el jueves 12 de abril de 2018.</w:t>
      </w:r>
    </w:p>
    <w:p w14:paraId="19B69E99" w14:textId="77777777" w:rsidR="00914134" w:rsidRPr="00F11851" w:rsidRDefault="00914134" w:rsidP="00914134">
      <w:pPr>
        <w:autoSpaceDE w:val="0"/>
        <w:autoSpaceDN w:val="0"/>
        <w:adjustRightInd w:val="0"/>
        <w:spacing w:before="240" w:after="240" w:line="276" w:lineRule="auto"/>
        <w:jc w:val="both"/>
        <w:rPr>
          <w:rFonts w:ascii="Arial" w:hAnsi="Arial" w:cs="Arial"/>
          <w:sz w:val="22"/>
          <w:szCs w:val="22"/>
        </w:rPr>
      </w:pPr>
      <w:r w:rsidRPr="00F11851">
        <w:rPr>
          <w:rFonts w:ascii="Arial" w:hAnsi="Arial" w:cs="Arial"/>
          <w:sz w:val="22"/>
          <w:szCs w:val="22"/>
        </w:rPr>
        <w:t xml:space="preserve">En el año 2005 se descubre un programa de creación de armas nucleares en Irán al cual se oponen países como Alemania, Reino Unido y Estados Unidos, los cuales se denominaron los E3. La Organización de Naciones Unidas, Estados Unidos y la Unión Europea comenzaron a imponer sanciones a Iran a partir de septiembre de 2005 cuando el Organismo Internacional de Energía Atómica (OIEA) constató que el país no cumplía con los acuerdos que había asumido en el tratado de no proliferación nuclear. Las sanciones fueron levantadas en enero de 2016, luego de constatar que el país cumplió con lo necesario para poner en marcha el acuerdo nuclear suscrito con las grandes potencias en julio de 2015. </w:t>
      </w:r>
    </w:p>
    <w:p w14:paraId="0DEF0543" w14:textId="282E8120" w:rsidR="00914134" w:rsidRPr="0082043E" w:rsidRDefault="00914134" w:rsidP="00914134">
      <w:pPr>
        <w:pStyle w:val="Descripcin"/>
        <w:keepNext/>
        <w:spacing w:before="0" w:after="0"/>
        <w:jc w:val="center"/>
        <w:rPr>
          <w:b/>
          <w:i w:val="0"/>
          <w:color w:val="auto"/>
          <w:sz w:val="20"/>
          <w:highlight w:val="yellow"/>
        </w:rPr>
      </w:pPr>
      <w:bookmarkStart w:id="17" w:name="_Ref513190718"/>
      <w:bookmarkStart w:id="18" w:name="_Toc530033395"/>
      <w:r w:rsidRPr="0082043E">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5</w:t>
      </w:r>
      <w:r w:rsidR="00DA50A5">
        <w:rPr>
          <w:b/>
          <w:i w:val="0"/>
          <w:color w:val="auto"/>
          <w:sz w:val="20"/>
          <w:highlight w:val="yellow"/>
        </w:rPr>
        <w:fldChar w:fldCharType="end"/>
      </w:r>
      <w:bookmarkEnd w:id="17"/>
      <w:r>
        <w:rPr>
          <w:b/>
          <w:i w:val="0"/>
          <w:color w:val="auto"/>
          <w:sz w:val="20"/>
          <w:highlight w:val="yellow"/>
        </w:rPr>
        <w:t>.</w:t>
      </w:r>
      <w:r w:rsidRPr="0082043E">
        <w:rPr>
          <w:b/>
          <w:i w:val="0"/>
          <w:color w:val="auto"/>
          <w:sz w:val="20"/>
          <w:highlight w:val="yellow"/>
        </w:rPr>
        <w:t xml:space="preserve"> </w:t>
      </w:r>
      <w:r>
        <w:rPr>
          <w:i w:val="0"/>
          <w:color w:val="auto"/>
          <w:sz w:val="20"/>
        </w:rPr>
        <w:t>Oferta y exportaciones de c</w:t>
      </w:r>
      <w:r w:rsidRPr="0082043E">
        <w:rPr>
          <w:i w:val="0"/>
          <w:color w:val="auto"/>
          <w:sz w:val="20"/>
        </w:rPr>
        <w:t>rudo en Irán 2005</w:t>
      </w:r>
      <w:r>
        <w:rPr>
          <w:i w:val="0"/>
          <w:color w:val="auto"/>
          <w:sz w:val="20"/>
        </w:rPr>
        <w:t xml:space="preserve"> </w:t>
      </w:r>
      <w:r w:rsidRPr="0082043E">
        <w:rPr>
          <w:i w:val="0"/>
          <w:color w:val="auto"/>
          <w:sz w:val="20"/>
        </w:rPr>
        <w:t>-</w:t>
      </w:r>
      <w:r>
        <w:rPr>
          <w:i w:val="0"/>
          <w:color w:val="auto"/>
          <w:sz w:val="20"/>
        </w:rPr>
        <w:t xml:space="preserve"> </w:t>
      </w:r>
      <w:r w:rsidRPr="0082043E">
        <w:rPr>
          <w:i w:val="0"/>
          <w:color w:val="auto"/>
          <w:sz w:val="20"/>
        </w:rPr>
        <w:t>2017</w:t>
      </w:r>
      <w:bookmarkEnd w:id="18"/>
    </w:p>
    <w:p w14:paraId="25A99F3A" w14:textId="77777777" w:rsidR="00914134" w:rsidRDefault="00914134" w:rsidP="00914134">
      <w:pPr>
        <w:jc w:val="center"/>
      </w:pPr>
      <w:r w:rsidRPr="00127C85">
        <w:rPr>
          <w:noProof/>
          <w:lang w:val="es-ES" w:eastAsia="es-ES"/>
        </w:rPr>
        <w:drawing>
          <wp:inline distT="0" distB="0" distL="0" distR="0" wp14:anchorId="164087FB" wp14:editId="44AD6D7E">
            <wp:extent cx="5400675" cy="32385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774E3D46" w14:textId="2CF2FD53" w:rsidR="00914134" w:rsidRPr="00A51B7C" w:rsidRDefault="00914134" w:rsidP="00914134">
      <w:pPr>
        <w:jc w:val="center"/>
        <w:rPr>
          <w:rFonts w:ascii="Arial" w:hAnsi="Arial" w:cs="Arial"/>
          <w:sz w:val="16"/>
          <w:szCs w:val="16"/>
        </w:rPr>
      </w:pPr>
      <w:r w:rsidRPr="001B6C48">
        <w:rPr>
          <w:rFonts w:ascii="Arial" w:hAnsi="Arial" w:cs="Arial"/>
          <w:b/>
          <w:sz w:val="16"/>
          <w:szCs w:val="16"/>
        </w:rPr>
        <w:t>Fuente:</w:t>
      </w:r>
      <w:r w:rsidRPr="001B6C48">
        <w:rPr>
          <w:rFonts w:ascii="Arial" w:hAnsi="Arial" w:cs="Arial"/>
          <w:sz w:val="16"/>
          <w:szCs w:val="16"/>
        </w:rPr>
        <w:t xml:space="preserve"> EIA </w:t>
      </w:r>
      <w:r w:rsidR="001B6C48" w:rsidRPr="001B6C48">
        <w:rPr>
          <w:rFonts w:ascii="Arial" w:hAnsi="Arial" w:cs="Arial"/>
          <w:sz w:val="16"/>
          <w:szCs w:val="16"/>
        </w:rPr>
        <w:fldChar w:fldCharType="begin"/>
      </w:r>
      <w:r w:rsidR="001B6C48" w:rsidRPr="001B6C48">
        <w:rPr>
          <w:rFonts w:ascii="Arial" w:hAnsi="Arial" w:cs="Arial"/>
          <w:sz w:val="16"/>
          <w:szCs w:val="16"/>
        </w:rPr>
        <w:instrText xml:space="preserve"> REF _Ref529881100 \r \h </w:instrText>
      </w:r>
      <w:r w:rsidR="001B6C48">
        <w:rPr>
          <w:rFonts w:ascii="Arial" w:hAnsi="Arial" w:cs="Arial"/>
          <w:sz w:val="16"/>
          <w:szCs w:val="16"/>
        </w:rPr>
        <w:instrText xml:space="preserve"> \* MERGEFORMAT </w:instrText>
      </w:r>
      <w:r w:rsidR="001B6C48" w:rsidRPr="001B6C48">
        <w:rPr>
          <w:rFonts w:ascii="Arial" w:hAnsi="Arial" w:cs="Arial"/>
          <w:sz w:val="16"/>
          <w:szCs w:val="16"/>
        </w:rPr>
      </w:r>
      <w:r w:rsidR="001B6C48" w:rsidRPr="001B6C48">
        <w:rPr>
          <w:rFonts w:ascii="Arial" w:hAnsi="Arial" w:cs="Arial"/>
          <w:sz w:val="16"/>
          <w:szCs w:val="16"/>
        </w:rPr>
        <w:fldChar w:fldCharType="separate"/>
      </w:r>
      <w:r w:rsidR="00915705">
        <w:rPr>
          <w:rFonts w:ascii="Arial" w:hAnsi="Arial" w:cs="Arial"/>
          <w:sz w:val="16"/>
          <w:szCs w:val="16"/>
        </w:rPr>
        <w:t>[3]</w:t>
      </w:r>
      <w:r w:rsidR="001B6C48" w:rsidRPr="001B6C48">
        <w:rPr>
          <w:rFonts w:ascii="Arial" w:hAnsi="Arial" w:cs="Arial"/>
          <w:sz w:val="16"/>
          <w:szCs w:val="16"/>
        </w:rPr>
        <w:fldChar w:fldCharType="end"/>
      </w:r>
      <w:r w:rsidRPr="001B6C48">
        <w:rPr>
          <w:rFonts w:ascii="Arial" w:hAnsi="Arial" w:cs="Arial"/>
          <w:sz w:val="16"/>
          <w:szCs w:val="16"/>
        </w:rPr>
        <w:t xml:space="preserve">, OPEP </w:t>
      </w:r>
      <w:r w:rsidR="001B6C48" w:rsidRPr="001B6C48">
        <w:rPr>
          <w:rFonts w:ascii="Arial" w:hAnsi="Arial" w:cs="Arial"/>
          <w:sz w:val="16"/>
          <w:szCs w:val="16"/>
        </w:rPr>
        <w:fldChar w:fldCharType="begin"/>
      </w:r>
      <w:r w:rsidR="001B6C48" w:rsidRPr="001B6C48">
        <w:rPr>
          <w:rFonts w:ascii="Arial" w:hAnsi="Arial" w:cs="Arial"/>
          <w:sz w:val="16"/>
          <w:szCs w:val="16"/>
        </w:rPr>
        <w:instrText xml:space="preserve"> REF _Ref529881374 \r \h </w:instrText>
      </w:r>
      <w:r w:rsidR="001B6C48">
        <w:rPr>
          <w:rFonts w:ascii="Arial" w:hAnsi="Arial" w:cs="Arial"/>
          <w:sz w:val="16"/>
          <w:szCs w:val="16"/>
        </w:rPr>
        <w:instrText xml:space="preserve"> \* MERGEFORMAT </w:instrText>
      </w:r>
      <w:r w:rsidR="001B6C48" w:rsidRPr="001B6C48">
        <w:rPr>
          <w:rFonts w:ascii="Arial" w:hAnsi="Arial" w:cs="Arial"/>
          <w:sz w:val="16"/>
          <w:szCs w:val="16"/>
        </w:rPr>
      </w:r>
      <w:r w:rsidR="001B6C48" w:rsidRPr="001B6C48">
        <w:rPr>
          <w:rFonts w:ascii="Arial" w:hAnsi="Arial" w:cs="Arial"/>
          <w:sz w:val="16"/>
          <w:szCs w:val="16"/>
        </w:rPr>
        <w:fldChar w:fldCharType="separate"/>
      </w:r>
      <w:r w:rsidR="00915705">
        <w:rPr>
          <w:rFonts w:ascii="Arial" w:hAnsi="Arial" w:cs="Arial"/>
          <w:sz w:val="16"/>
          <w:szCs w:val="16"/>
        </w:rPr>
        <w:t>[7]</w:t>
      </w:r>
      <w:r w:rsidR="001B6C48" w:rsidRPr="001B6C48">
        <w:rPr>
          <w:rFonts w:ascii="Arial" w:hAnsi="Arial" w:cs="Arial"/>
          <w:sz w:val="16"/>
          <w:szCs w:val="16"/>
        </w:rPr>
        <w:fldChar w:fldCharType="end"/>
      </w:r>
      <w:r w:rsidR="001B6C48" w:rsidRPr="001B6C48">
        <w:rPr>
          <w:rFonts w:ascii="Arial" w:hAnsi="Arial" w:cs="Arial"/>
          <w:sz w:val="16"/>
          <w:szCs w:val="16"/>
        </w:rPr>
        <w:t xml:space="preserve">, </w:t>
      </w:r>
      <w:r w:rsidRPr="001B6C48">
        <w:rPr>
          <w:rFonts w:ascii="Arial" w:hAnsi="Arial" w:cs="Arial"/>
          <w:sz w:val="16"/>
          <w:szCs w:val="16"/>
        </w:rPr>
        <w:t xml:space="preserve"> UPME </w:t>
      </w:r>
    </w:p>
    <w:p w14:paraId="0F919208" w14:textId="77777777" w:rsidR="00914134" w:rsidRPr="002D2CD9" w:rsidRDefault="00914134" w:rsidP="00914134">
      <w:pPr>
        <w:autoSpaceDE w:val="0"/>
        <w:autoSpaceDN w:val="0"/>
        <w:adjustRightInd w:val="0"/>
        <w:spacing w:before="240" w:after="240" w:line="276" w:lineRule="auto"/>
        <w:jc w:val="both"/>
        <w:rPr>
          <w:rFonts w:ascii="Arial" w:hAnsi="Arial" w:cs="Arial"/>
          <w:sz w:val="22"/>
          <w:szCs w:val="22"/>
        </w:rPr>
      </w:pPr>
      <w:r w:rsidRPr="002D2CD9">
        <w:rPr>
          <w:rFonts w:ascii="Arial" w:hAnsi="Arial" w:cs="Arial"/>
          <w:sz w:val="22"/>
          <w:szCs w:val="22"/>
        </w:rPr>
        <w:lastRenderedPageBreak/>
        <w:t xml:space="preserve">Tal como se puede observar en la </w:t>
      </w:r>
      <w:r w:rsidRPr="002D2CD9">
        <w:rPr>
          <w:rFonts w:ascii="Arial" w:hAnsi="Arial" w:cs="Arial"/>
          <w:sz w:val="22"/>
          <w:szCs w:val="22"/>
        </w:rPr>
        <w:fldChar w:fldCharType="begin"/>
      </w:r>
      <w:r w:rsidRPr="002D2CD9">
        <w:rPr>
          <w:rFonts w:ascii="Arial" w:hAnsi="Arial" w:cs="Arial"/>
          <w:sz w:val="22"/>
          <w:szCs w:val="22"/>
        </w:rPr>
        <w:instrText xml:space="preserve"> REF _Ref513190718 \h  \* MERGEFORMAT </w:instrText>
      </w:r>
      <w:r w:rsidRPr="002D2CD9">
        <w:rPr>
          <w:rFonts w:ascii="Arial" w:hAnsi="Arial" w:cs="Arial"/>
          <w:sz w:val="22"/>
          <w:szCs w:val="22"/>
        </w:rPr>
      </w:r>
      <w:r w:rsidRPr="002D2CD9">
        <w:rPr>
          <w:rFonts w:ascii="Arial" w:hAnsi="Arial" w:cs="Arial"/>
          <w:sz w:val="22"/>
          <w:szCs w:val="22"/>
        </w:rPr>
        <w:fldChar w:fldCharType="separate"/>
      </w:r>
      <w:r w:rsidR="00915705" w:rsidRPr="00915705">
        <w:rPr>
          <w:rFonts w:ascii="Arial" w:hAnsi="Arial" w:cs="Arial"/>
          <w:sz w:val="22"/>
          <w:szCs w:val="22"/>
          <w:highlight w:val="yellow"/>
        </w:rPr>
        <w:t>Gráfica 1</w:t>
      </w:r>
      <w:r w:rsidR="00915705" w:rsidRPr="00915705">
        <w:rPr>
          <w:rFonts w:ascii="Arial" w:hAnsi="Arial" w:cs="Arial"/>
          <w:sz w:val="22"/>
          <w:szCs w:val="22"/>
          <w:highlight w:val="yellow"/>
        </w:rPr>
        <w:noBreakHyphen/>
        <w:t>5</w:t>
      </w:r>
      <w:r w:rsidRPr="002D2CD9">
        <w:rPr>
          <w:rFonts w:ascii="Arial" w:hAnsi="Arial" w:cs="Arial"/>
          <w:sz w:val="22"/>
          <w:szCs w:val="22"/>
        </w:rPr>
        <w:fldChar w:fldCharType="end"/>
      </w:r>
      <w:r w:rsidRPr="002D2CD9">
        <w:rPr>
          <w:rFonts w:ascii="Arial" w:hAnsi="Arial" w:cs="Arial"/>
          <w:sz w:val="22"/>
          <w:szCs w:val="22"/>
        </w:rPr>
        <w:t xml:space="preserve"> la sanción impuesta afectó tanto la oferta de crudo como los volúmenes exportados, los cuales se reflejaron a partir del año 2012 donde la oferta de crudo que se mantenía en un promedio de 4.2 millones de barriles por día disminuyo en alrededor de 1 millones de barriles por día. Así mismo, las exportaciones de crudo que representaban el 60.0% de la oferta nacional disminuyeron en un 50.0% pasando de en año 2012 de 2.1 millones de barriles por día a 1 millón de barriles por día en el año 2015. Luego del levantamiento de la sanción de compra del crudo a Irán en el año 2016, se presentó una  recuperación de oferta superando los niveles de volúmenes producidos en 2005, alcanzando los 4.7 millones de barriles por día en 2017.</w:t>
      </w:r>
    </w:p>
    <w:p w14:paraId="5E9BEA16" w14:textId="77777777" w:rsidR="00914134" w:rsidRPr="002D2CD9" w:rsidRDefault="00914134" w:rsidP="00914134">
      <w:pPr>
        <w:autoSpaceDE w:val="0"/>
        <w:autoSpaceDN w:val="0"/>
        <w:adjustRightInd w:val="0"/>
        <w:spacing w:before="240" w:after="240" w:line="276" w:lineRule="auto"/>
        <w:jc w:val="both"/>
        <w:rPr>
          <w:rFonts w:ascii="Arial" w:hAnsi="Arial" w:cs="Arial"/>
          <w:sz w:val="22"/>
          <w:szCs w:val="22"/>
          <w:lang w:val="es-ES"/>
        </w:rPr>
      </w:pPr>
      <w:r w:rsidRPr="002D2CD9">
        <w:rPr>
          <w:rFonts w:ascii="Arial" w:hAnsi="Arial" w:cs="Arial"/>
          <w:sz w:val="22"/>
          <w:szCs w:val="22"/>
        </w:rPr>
        <w:t>De igual forma, para mencionar algunos de los conflictos geopolíticos presentados en la última década a nivel mundial, podemos mencionar el conflicto presentado en el año 2011 en Libia entre el gobierno de Gadafi y los rebeldes, donde la producción disminuyó progresivamente desde el inicio de las revueltas en febrero de 2011. Las razones principales de la disminución de la producción se deben básicamente a la salida de funcionamiento de los terminales de exportación, de refinerías y campos de producción debido a las revueltas de los trabajadores de la región. Según Wood Mackenzie, desde 2011 las interrupciones en la producción de crudo fueron más recurrentes donde las instalaciones petroleras y puertos de exportación fueron objeto de ataque por parte de los activistas con el fin de ejercer presión policial, social y económica en el país. Al mismo tiempo la incertidumbre en la oferta mundial del crudo, por la situación geopolítica del país y otros conflictos, aumentó los precios del BRENT en $0.85 dólares por barril llegando a valores de $109.9 dólares por barril en agosto de 2013. Adicionalmente, analizando la información publicada por el BP Statistical Review 2017 vemos que, debido a todo lo expuesto anteriormente, la producción de Libia, entre los años 2000 y 2010, tuvo una tasa de crecimiento promedio de 1.5% manteniendo una producción alrededor de 1,627,000 barriles por día, sin embargo, a partir del año 2011, sin tener en cuenta una recuperación en su producción en el año 2012, su producción se mantuvo alrededor de los 639,000 barriles por día manteniendo una tasa decreciente del 25.8% entre 2014 y 2016.</w:t>
      </w:r>
    </w:p>
    <w:p w14:paraId="1E703C24" w14:textId="77777777" w:rsidR="00914134" w:rsidRPr="002D2CD9" w:rsidRDefault="00914134" w:rsidP="00914134">
      <w:pPr>
        <w:autoSpaceDE w:val="0"/>
        <w:autoSpaceDN w:val="0"/>
        <w:adjustRightInd w:val="0"/>
        <w:spacing w:before="240" w:after="240" w:line="276" w:lineRule="auto"/>
        <w:jc w:val="both"/>
        <w:rPr>
          <w:rFonts w:ascii="Arial" w:hAnsi="Arial" w:cs="Arial"/>
          <w:sz w:val="22"/>
          <w:szCs w:val="22"/>
        </w:rPr>
      </w:pPr>
      <w:r w:rsidRPr="002D2CD9">
        <w:rPr>
          <w:rFonts w:ascii="Arial" w:hAnsi="Arial" w:cs="Arial"/>
          <w:sz w:val="22"/>
          <w:szCs w:val="22"/>
        </w:rPr>
        <w:t>Según la Agencia Internacional de Energía (EIA, por sus siglas en inglés), la producción de Yemen y Siria se vio afectada a partir del año 2010 por la inestabilidad geopolítica y no se ve una mejora en su producción en el mediano plazo. Para el caso particular de Yemen su producción bajo en un 95.5%, entre 2010 y 2017, pasando de 281,000 barriles por día a 13,000 barriles por día, esto debido al conflicto interno que se libera entre los rebeldes huthies de origen chiitas y las fuerzas oficiales con respaldo internacional, mayoritariamente sunita. A pesar, que Yemen no es un gran productor de crudo, su ubicación geográfica es estratégica para la distribución mundial de crudo proveniente del mar rojo.</w:t>
      </w:r>
    </w:p>
    <w:p w14:paraId="52BFE501" w14:textId="77777777" w:rsidR="00914134" w:rsidRPr="002D2CD9" w:rsidRDefault="00914134" w:rsidP="00914134">
      <w:pPr>
        <w:autoSpaceDE w:val="0"/>
        <w:autoSpaceDN w:val="0"/>
        <w:adjustRightInd w:val="0"/>
        <w:spacing w:before="240" w:after="240" w:line="276" w:lineRule="auto"/>
        <w:jc w:val="both"/>
        <w:rPr>
          <w:rFonts w:ascii="Arial" w:hAnsi="Arial" w:cs="Arial"/>
          <w:sz w:val="22"/>
          <w:szCs w:val="22"/>
        </w:rPr>
      </w:pPr>
      <w:r w:rsidRPr="002D2CD9">
        <w:rPr>
          <w:rFonts w:ascii="Arial" w:hAnsi="Arial" w:cs="Arial"/>
          <w:sz w:val="22"/>
          <w:szCs w:val="22"/>
        </w:rPr>
        <w:t xml:space="preserve">De manera similar Siria tuvo una abrupta caída en su producción de crudo de alrededor del 95.8% pasando de 416,000 barriles por día a 18,000 barriles por día entre el 2010 y 2017. Al igual que los países aledaños, la lucha armada interna se presentó alrededor del año 2011 cuando la población social Suní desafío al régimen de Bachar El Asad con manifestaciones pacíficas. La represión ejercida por las fuerzas gubernamentales sobre dicha protesta desató una respuesta armada por parte de los manifestantes, desencadenando, con el tiempo, una confrontación civil  </w:t>
      </w:r>
      <w:r w:rsidRPr="002D2CD9">
        <w:rPr>
          <w:rFonts w:ascii="Arial" w:hAnsi="Arial" w:cs="Arial"/>
          <w:sz w:val="22"/>
          <w:szCs w:val="22"/>
        </w:rPr>
        <w:lastRenderedPageBreak/>
        <w:t>que acabó atrayendo a fuerzas rusas y estadounidenses, milicianos Chiíes, tropas turcas, extremistas islámicos y brigadistas de la Yihad internacional. El conflicto interno presentado en Siria se debe más que todo al interés internacional en su localización estratégica ya que por sus terrenos pasan las exportaciones de crudo y gas hacia Europa, desde Medio Oriente, buscando dominar el trazado de gasoductos hacia el antiguo continente.</w:t>
      </w:r>
    </w:p>
    <w:p w14:paraId="26C12C7C" w14:textId="77777777" w:rsidR="00914134" w:rsidRPr="004327CD" w:rsidRDefault="00914134" w:rsidP="00914134">
      <w:pPr>
        <w:pStyle w:val="Ttulo2"/>
      </w:pPr>
      <w:bookmarkStart w:id="19" w:name="_Toc530045821"/>
      <w:r w:rsidRPr="008B69C3">
        <w:t>Cambio en la Matriz Energética Mundial</w:t>
      </w:r>
      <w:bookmarkEnd w:id="19"/>
    </w:p>
    <w:p w14:paraId="5BD451B5" w14:textId="77777777" w:rsidR="00914134" w:rsidRDefault="00914134" w:rsidP="00914134">
      <w:pPr>
        <w:spacing w:before="240" w:after="240" w:line="276" w:lineRule="auto"/>
        <w:jc w:val="both"/>
        <w:rPr>
          <w:rFonts w:cs="Arial"/>
          <w:lang w:val="es-ES"/>
        </w:rPr>
      </w:pPr>
      <w:r w:rsidRPr="002D2CD9">
        <w:rPr>
          <w:rFonts w:ascii="Arial" w:hAnsi="Arial" w:cs="Arial"/>
          <w:sz w:val="22"/>
          <w:lang w:val="es-ES"/>
        </w:rPr>
        <w:t xml:space="preserve">El sector petrolero presenta afectación por las políticas internaciones de mitigación de cambio climático puesto que los esfuerzos para limitar las emisiones de Gases de Efecto invernadero – GEI asociadas a esta actividad, tienen consecuencias en el mercado enfocado hacia una economía baja en carbono. Lo anterior afecta la distribución de la matriz energética mundial, tal como lo muestra BP en su reporte anual de energía de 2018, en los diferentes escenarios (ver </w:t>
      </w:r>
      <w:r w:rsidRPr="002D2CD9">
        <w:rPr>
          <w:rFonts w:ascii="Arial" w:hAnsi="Arial" w:cs="Arial"/>
          <w:sz w:val="22"/>
          <w:szCs w:val="22"/>
          <w:lang w:val="es-ES"/>
        </w:rPr>
        <w:fldChar w:fldCharType="begin"/>
      </w:r>
      <w:r w:rsidRPr="002D2CD9">
        <w:rPr>
          <w:rFonts w:ascii="Arial" w:hAnsi="Arial" w:cs="Arial"/>
          <w:sz w:val="22"/>
          <w:szCs w:val="22"/>
          <w:lang w:val="es-ES"/>
        </w:rPr>
        <w:instrText xml:space="preserve"> REF _Ref513453827 \h  \* MERGEFORMAT </w:instrText>
      </w:r>
      <w:r w:rsidRPr="002D2CD9">
        <w:rPr>
          <w:rFonts w:ascii="Arial" w:hAnsi="Arial" w:cs="Arial"/>
          <w:sz w:val="22"/>
          <w:szCs w:val="22"/>
          <w:lang w:val="es-ES"/>
        </w:rPr>
      </w:r>
      <w:r w:rsidRPr="002D2CD9">
        <w:rPr>
          <w:rFonts w:ascii="Arial" w:hAnsi="Arial" w:cs="Arial"/>
          <w:sz w:val="22"/>
          <w:szCs w:val="22"/>
          <w:lang w:val="es-ES"/>
        </w:rPr>
        <w:fldChar w:fldCharType="separate"/>
      </w:r>
      <w:r w:rsidR="00915705" w:rsidRPr="00915705">
        <w:rPr>
          <w:rFonts w:ascii="Arial" w:hAnsi="Arial" w:cs="Arial"/>
          <w:sz w:val="22"/>
          <w:szCs w:val="22"/>
          <w:highlight w:val="yellow"/>
        </w:rPr>
        <w:t>Gráfica 1</w:t>
      </w:r>
      <w:r w:rsidR="00915705" w:rsidRPr="00915705">
        <w:rPr>
          <w:rFonts w:ascii="Arial" w:hAnsi="Arial" w:cs="Arial"/>
          <w:sz w:val="22"/>
          <w:szCs w:val="22"/>
          <w:highlight w:val="yellow"/>
        </w:rPr>
        <w:noBreakHyphen/>
        <w:t>6</w:t>
      </w:r>
      <w:r w:rsidRPr="002D2CD9">
        <w:rPr>
          <w:rFonts w:ascii="Arial" w:hAnsi="Arial" w:cs="Arial"/>
          <w:sz w:val="22"/>
          <w:szCs w:val="22"/>
          <w:lang w:val="es-ES"/>
        </w:rPr>
        <w:fldChar w:fldCharType="end"/>
      </w:r>
      <w:r w:rsidRPr="002D2CD9">
        <w:rPr>
          <w:rFonts w:ascii="Arial" w:hAnsi="Arial" w:cs="Arial"/>
          <w:sz w:val="22"/>
          <w:lang w:val="es-ES"/>
        </w:rPr>
        <w:t xml:space="preserve">). En el reporte se proyecta, hacia el año 2040, un crecimiento significativo en la penetración de las energías renovables, adicionalmente visualiza en algunos escenarios que el carbón tendría una disminución de demanda energética con respecto al año 2016. Sin embargo, para el caso del crudo el crecimiento es marginal en cada uno de los escenarios a largo plazo. Estos cambios en la matriz energética requieren inversiones de gran envergadura dada la aparición de nuevas oportunidades de negocio, las cuales deben ir apalancadas por políticas de estado que incentiven el uso de fuentes </w:t>
      </w:r>
      <w:r w:rsidRPr="002D2CD9">
        <w:rPr>
          <w:rFonts w:ascii="Arial" w:hAnsi="Arial" w:cs="Arial"/>
          <w:sz w:val="22"/>
          <w:szCs w:val="22"/>
          <w:lang w:val="es-ES"/>
        </w:rPr>
        <w:t>de energías renovables ya sea en subsidios, deducción de renta, exención de aranceles, entre otros.</w:t>
      </w:r>
    </w:p>
    <w:p w14:paraId="7B4F8396" w14:textId="1FDE8598" w:rsidR="00914134" w:rsidRPr="00E51CEA" w:rsidRDefault="00914134" w:rsidP="00914134">
      <w:pPr>
        <w:pStyle w:val="Descripcin"/>
        <w:keepNext/>
        <w:spacing w:after="0"/>
        <w:jc w:val="center"/>
        <w:rPr>
          <w:i w:val="0"/>
          <w:color w:val="auto"/>
          <w:sz w:val="20"/>
        </w:rPr>
      </w:pPr>
      <w:bookmarkStart w:id="20" w:name="_Ref513453827"/>
      <w:bookmarkStart w:id="21" w:name="_Toc530033396"/>
      <w:r w:rsidRPr="00E34769">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6</w:t>
      </w:r>
      <w:r w:rsidR="00DA50A5">
        <w:rPr>
          <w:b/>
          <w:i w:val="0"/>
          <w:color w:val="auto"/>
          <w:sz w:val="20"/>
          <w:highlight w:val="yellow"/>
        </w:rPr>
        <w:fldChar w:fldCharType="end"/>
      </w:r>
      <w:bookmarkEnd w:id="20"/>
      <w:r>
        <w:rPr>
          <w:b/>
          <w:i w:val="0"/>
          <w:color w:val="auto"/>
          <w:sz w:val="20"/>
          <w:highlight w:val="yellow"/>
        </w:rPr>
        <w:t>.</w:t>
      </w:r>
      <w:r w:rsidRPr="00E34769">
        <w:rPr>
          <w:b/>
          <w:i w:val="0"/>
          <w:color w:val="auto"/>
          <w:sz w:val="20"/>
          <w:highlight w:val="yellow"/>
        </w:rPr>
        <w:t xml:space="preserve"> </w:t>
      </w:r>
      <w:r w:rsidRPr="00E51CEA">
        <w:rPr>
          <w:i w:val="0"/>
          <w:color w:val="auto"/>
          <w:sz w:val="20"/>
        </w:rPr>
        <w:t>Proyección consumo mundial primario de energía por fuente año 2040</w:t>
      </w:r>
      <w:r>
        <w:rPr>
          <w:i w:val="0"/>
          <w:color w:val="auto"/>
          <w:sz w:val="20"/>
        </w:rPr>
        <w:t>*</w:t>
      </w:r>
      <w:bookmarkEnd w:id="21"/>
    </w:p>
    <w:p w14:paraId="347814D8" w14:textId="77777777" w:rsidR="00914134" w:rsidRPr="00E51CEA" w:rsidRDefault="00914134" w:rsidP="00914134">
      <w:pPr>
        <w:jc w:val="center"/>
        <w:rPr>
          <w:lang w:val="es-CO" w:eastAsia="es-ES"/>
        </w:rPr>
      </w:pPr>
      <w:r w:rsidRPr="00E51CEA">
        <w:rPr>
          <w:noProof/>
          <w:lang w:val="es-ES" w:eastAsia="es-ES"/>
        </w:rPr>
        <w:drawing>
          <wp:inline distT="0" distB="0" distL="0" distR="0" wp14:anchorId="4C4E5549" wp14:editId="742ABB8A">
            <wp:extent cx="5400675" cy="32385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7DC465FA" w14:textId="5E61267C" w:rsidR="00914134" w:rsidRPr="00A51B7C" w:rsidRDefault="00914134" w:rsidP="00914134">
      <w:pPr>
        <w:spacing w:after="240" w:line="276" w:lineRule="auto"/>
        <w:jc w:val="center"/>
        <w:rPr>
          <w:rFonts w:ascii="Arial" w:hAnsi="Arial" w:cs="Arial"/>
          <w:lang w:val="es-ES"/>
        </w:rPr>
      </w:pPr>
      <w:r w:rsidRPr="00E51CEA">
        <w:rPr>
          <w:rFonts w:ascii="Arial" w:hAnsi="Arial" w:cs="Arial"/>
          <w:b/>
          <w:sz w:val="16"/>
          <w:szCs w:val="16"/>
        </w:rPr>
        <w:t>Fuente:</w:t>
      </w:r>
      <w:r w:rsidRPr="00E51CEA">
        <w:rPr>
          <w:rFonts w:ascii="Arial" w:hAnsi="Arial" w:cs="Arial"/>
          <w:sz w:val="16"/>
          <w:szCs w:val="16"/>
        </w:rPr>
        <w:t xml:space="preserve"> BP </w:t>
      </w:r>
      <w:r w:rsidR="001B6C48">
        <w:rPr>
          <w:rFonts w:ascii="Arial" w:hAnsi="Arial" w:cs="Arial"/>
          <w:sz w:val="16"/>
          <w:szCs w:val="16"/>
        </w:rPr>
        <w:fldChar w:fldCharType="begin"/>
      </w:r>
      <w:r w:rsidR="001B6C48">
        <w:rPr>
          <w:rFonts w:ascii="Arial" w:hAnsi="Arial" w:cs="Arial"/>
          <w:sz w:val="16"/>
          <w:szCs w:val="16"/>
        </w:rPr>
        <w:instrText xml:space="preserve"> REF _Ref529881183 \r \h </w:instrText>
      </w:r>
      <w:r w:rsidR="001B6C48">
        <w:rPr>
          <w:rFonts w:ascii="Arial" w:hAnsi="Arial" w:cs="Arial"/>
          <w:sz w:val="16"/>
          <w:szCs w:val="16"/>
        </w:rPr>
      </w:r>
      <w:r w:rsidR="001B6C48">
        <w:rPr>
          <w:rFonts w:ascii="Arial" w:hAnsi="Arial" w:cs="Arial"/>
          <w:sz w:val="16"/>
          <w:szCs w:val="16"/>
        </w:rPr>
        <w:fldChar w:fldCharType="separate"/>
      </w:r>
      <w:r w:rsidR="00915705">
        <w:rPr>
          <w:rFonts w:ascii="Arial" w:hAnsi="Arial" w:cs="Arial"/>
          <w:sz w:val="16"/>
          <w:szCs w:val="16"/>
        </w:rPr>
        <w:t>[5]</w:t>
      </w:r>
      <w:r w:rsidR="001B6C48">
        <w:rPr>
          <w:rFonts w:ascii="Arial" w:hAnsi="Arial" w:cs="Arial"/>
          <w:sz w:val="16"/>
          <w:szCs w:val="16"/>
        </w:rPr>
        <w:fldChar w:fldCharType="end"/>
      </w:r>
      <w:r w:rsidRPr="00E51CEA">
        <w:rPr>
          <w:rFonts w:ascii="Arial" w:hAnsi="Arial" w:cs="Arial"/>
          <w:sz w:val="16"/>
          <w:szCs w:val="16"/>
        </w:rPr>
        <w:t>, UPME</w:t>
      </w:r>
    </w:p>
    <w:p w14:paraId="72891AE8" w14:textId="77777777" w:rsidR="00914134" w:rsidRPr="002D2CD9" w:rsidRDefault="00914134" w:rsidP="00914134">
      <w:pPr>
        <w:spacing w:before="240" w:after="240" w:line="276" w:lineRule="auto"/>
        <w:jc w:val="both"/>
        <w:rPr>
          <w:rFonts w:ascii="Arial" w:hAnsi="Arial" w:cs="Arial"/>
          <w:sz w:val="22"/>
          <w:lang w:val="es-ES"/>
        </w:rPr>
      </w:pPr>
      <w:r w:rsidRPr="002D2CD9">
        <w:rPr>
          <w:rFonts w:ascii="Arial" w:hAnsi="Arial" w:cs="Arial"/>
          <w:sz w:val="22"/>
          <w:lang w:val="es-ES"/>
        </w:rPr>
        <w:t xml:space="preserve">Las proyecciones de demanda de crudo se han mantenido relativamente constantes por las políticas para reducir las emisiones y erradicar la ineficiencia en el uso del crudo, estos fenómenos se ven con mayor fuerza principalmente en economías No OCDE, en las que la Agencia </w:t>
      </w:r>
      <w:r w:rsidRPr="002D2CD9">
        <w:rPr>
          <w:rFonts w:ascii="Arial" w:hAnsi="Arial" w:cs="Arial"/>
          <w:sz w:val="22"/>
          <w:lang w:val="es-ES"/>
        </w:rPr>
        <w:lastRenderedPageBreak/>
        <w:t xml:space="preserve">Internacional de Energía pronostica que contribuyan con un creciente de la demanda neto de 8.5 millones barriles por día entre los años 2016 y 2022, mientras que los países pertenecientes a la OCDE se espera una disminución del 1.2 millones barriles por día en el mismo periodo.(Ver </w:t>
      </w:r>
      <w:r w:rsidRPr="002D2CD9">
        <w:rPr>
          <w:rFonts w:ascii="Arial" w:hAnsi="Arial" w:cs="Arial"/>
          <w:sz w:val="22"/>
          <w:szCs w:val="22"/>
          <w:highlight w:val="yellow"/>
          <w:lang w:val="es-ES"/>
        </w:rPr>
        <w:fldChar w:fldCharType="begin"/>
      </w:r>
      <w:r w:rsidRPr="002D2CD9">
        <w:rPr>
          <w:rFonts w:ascii="Arial" w:hAnsi="Arial" w:cs="Arial"/>
          <w:sz w:val="22"/>
          <w:szCs w:val="22"/>
          <w:lang w:val="es-ES"/>
        </w:rPr>
        <w:instrText xml:space="preserve"> REF _Ref514330730 \h </w:instrText>
      </w:r>
      <w:r w:rsidRPr="002D2CD9">
        <w:rPr>
          <w:rFonts w:ascii="Arial" w:hAnsi="Arial" w:cs="Arial"/>
          <w:sz w:val="22"/>
          <w:szCs w:val="22"/>
          <w:highlight w:val="yellow"/>
          <w:lang w:val="es-ES"/>
        </w:rPr>
        <w:instrText xml:space="preserve"> \* MERGEFORMAT </w:instrText>
      </w:r>
      <w:r w:rsidRPr="002D2CD9">
        <w:rPr>
          <w:rFonts w:ascii="Arial" w:hAnsi="Arial" w:cs="Arial"/>
          <w:sz w:val="22"/>
          <w:szCs w:val="22"/>
          <w:highlight w:val="yellow"/>
          <w:lang w:val="es-ES"/>
        </w:rPr>
      </w:r>
      <w:r w:rsidRPr="002D2CD9">
        <w:rPr>
          <w:rFonts w:ascii="Arial" w:hAnsi="Arial" w:cs="Arial"/>
          <w:sz w:val="22"/>
          <w:szCs w:val="22"/>
          <w:highlight w:val="yellow"/>
          <w:lang w:val="es-ES"/>
        </w:rPr>
        <w:fldChar w:fldCharType="separate"/>
      </w:r>
      <w:r w:rsidR="00915705" w:rsidRPr="00915705">
        <w:rPr>
          <w:rFonts w:ascii="Arial" w:hAnsi="Arial" w:cs="Arial"/>
          <w:sz w:val="22"/>
          <w:szCs w:val="22"/>
          <w:highlight w:val="yellow"/>
        </w:rPr>
        <w:t>Gráfica 1</w:t>
      </w:r>
      <w:r w:rsidR="00915705" w:rsidRPr="00915705">
        <w:rPr>
          <w:rFonts w:ascii="Arial" w:hAnsi="Arial" w:cs="Arial"/>
          <w:sz w:val="22"/>
          <w:szCs w:val="22"/>
          <w:highlight w:val="yellow"/>
        </w:rPr>
        <w:noBreakHyphen/>
        <w:t>7</w:t>
      </w:r>
      <w:r w:rsidRPr="002D2CD9">
        <w:rPr>
          <w:rFonts w:ascii="Arial" w:hAnsi="Arial" w:cs="Arial"/>
          <w:sz w:val="22"/>
          <w:szCs w:val="22"/>
          <w:highlight w:val="yellow"/>
          <w:lang w:val="es-ES"/>
        </w:rPr>
        <w:fldChar w:fldCharType="end"/>
      </w:r>
      <w:r w:rsidRPr="002D2CD9">
        <w:rPr>
          <w:rFonts w:ascii="Arial" w:hAnsi="Arial" w:cs="Arial"/>
          <w:sz w:val="22"/>
          <w:szCs w:val="22"/>
          <w:lang w:val="es-ES"/>
        </w:rPr>
        <w:t>)</w:t>
      </w:r>
      <w:r w:rsidRPr="002D2CD9">
        <w:rPr>
          <w:rFonts w:ascii="Arial" w:hAnsi="Arial" w:cs="Arial"/>
          <w:sz w:val="22"/>
          <w:lang w:val="es-ES"/>
        </w:rPr>
        <w:t>.</w:t>
      </w:r>
    </w:p>
    <w:p w14:paraId="10DA367D" w14:textId="77777777" w:rsidR="00914134" w:rsidRPr="002D2CD9" w:rsidRDefault="00914134" w:rsidP="00914134">
      <w:pPr>
        <w:spacing w:before="240" w:after="240" w:line="276" w:lineRule="auto"/>
        <w:jc w:val="both"/>
        <w:rPr>
          <w:rFonts w:ascii="Arial" w:hAnsi="Arial" w:cs="Arial"/>
          <w:sz w:val="22"/>
          <w:lang w:val="es-ES"/>
        </w:rPr>
      </w:pPr>
      <w:r w:rsidRPr="002D2CD9">
        <w:rPr>
          <w:rFonts w:ascii="Arial" w:hAnsi="Arial" w:cs="Arial"/>
          <w:sz w:val="22"/>
          <w:lang w:val="es-ES"/>
        </w:rPr>
        <w:t>Adicional a las políticas mencionadas anteriormente, se presentan cambios en economías No OCDE, respecto a la adopción de medidas relativamente extremas y ambiciosas que han tenido un crecimiento fuerte en la demanda como es el caso de China y Arabia Saudita. Así mismo, y en concordancia con las tendencias al uso más eficiente del petróleo, hay otros factores que influyen en la demanda, como por ejemplo un cambio estructural en la economía China y el desplazamiento del consumo de crudo por gas natural y electricidad. En consecuencia la demanda de crudo a nivel mundial presentara un crecimiento marginal no significativo a medida que China está disminuyendo su dependencia a las exportaciones e industria, lo cual influye en la intensidad global de crudo.</w:t>
      </w:r>
    </w:p>
    <w:p w14:paraId="1E6904CC" w14:textId="07EAED2E" w:rsidR="00914134" w:rsidRPr="00B14EF4" w:rsidRDefault="00914134" w:rsidP="00914134">
      <w:pPr>
        <w:pStyle w:val="Descripcin"/>
        <w:keepNext/>
        <w:spacing w:after="0"/>
        <w:jc w:val="center"/>
        <w:rPr>
          <w:b/>
          <w:i w:val="0"/>
          <w:color w:val="auto"/>
          <w:sz w:val="20"/>
          <w:highlight w:val="yellow"/>
        </w:rPr>
      </w:pPr>
      <w:bookmarkStart w:id="22" w:name="_Ref514330730"/>
      <w:bookmarkStart w:id="23" w:name="_Toc530033397"/>
      <w:r w:rsidRPr="00B14EF4">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7</w:t>
      </w:r>
      <w:r w:rsidR="00DA50A5">
        <w:rPr>
          <w:b/>
          <w:i w:val="0"/>
          <w:color w:val="auto"/>
          <w:sz w:val="20"/>
          <w:highlight w:val="yellow"/>
        </w:rPr>
        <w:fldChar w:fldCharType="end"/>
      </w:r>
      <w:bookmarkEnd w:id="22"/>
      <w:r w:rsidRPr="00B14EF4">
        <w:rPr>
          <w:b/>
          <w:i w:val="0"/>
          <w:color w:val="auto"/>
          <w:sz w:val="20"/>
          <w:highlight w:val="yellow"/>
        </w:rPr>
        <w:t xml:space="preserve"> </w:t>
      </w:r>
      <w:r w:rsidRPr="00CD316C">
        <w:rPr>
          <w:i w:val="0"/>
          <w:color w:val="auto"/>
          <w:sz w:val="20"/>
        </w:rPr>
        <w:t>Composición global de la demanda total de crudo 2014-2022.</w:t>
      </w:r>
      <w:bookmarkEnd w:id="23"/>
    </w:p>
    <w:p w14:paraId="3DE9C01B" w14:textId="609FCBE4" w:rsidR="00914134" w:rsidRDefault="00914134" w:rsidP="00914134">
      <w:pPr>
        <w:spacing w:line="276" w:lineRule="auto"/>
        <w:jc w:val="center"/>
        <w:rPr>
          <w:rFonts w:cs="Arial"/>
          <w:lang w:val="es-ES"/>
        </w:rPr>
      </w:pPr>
      <w:r w:rsidRPr="00391904">
        <w:rPr>
          <w:noProof/>
          <w:lang w:val="es-ES" w:eastAsia="es-ES"/>
        </w:rPr>
        <w:drawing>
          <wp:inline distT="0" distB="0" distL="0" distR="0" wp14:anchorId="26699E29" wp14:editId="194FF202">
            <wp:extent cx="5939155" cy="3168000"/>
            <wp:effectExtent l="0" t="0" r="4445" b="0"/>
            <wp:docPr id="283" name="Imagen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1760"/>
                    <a:stretch/>
                  </pic:blipFill>
                  <pic:spPr bwMode="auto">
                    <a:xfrm>
                      <a:off x="0" y="0"/>
                      <a:ext cx="5939155" cy="3168000"/>
                    </a:xfrm>
                    <a:prstGeom prst="rect">
                      <a:avLst/>
                    </a:prstGeom>
                    <a:ln>
                      <a:noFill/>
                    </a:ln>
                    <a:extLst>
                      <a:ext uri="{53640926-AAD7-44D8-BBD7-CCE9431645EC}">
                        <a14:shadowObscured xmlns:a14="http://schemas.microsoft.com/office/drawing/2010/main"/>
                      </a:ext>
                    </a:extLst>
                  </pic:spPr>
                </pic:pic>
              </a:graphicData>
            </a:graphic>
          </wp:inline>
        </w:drawing>
      </w:r>
      <w:r w:rsidRPr="00A51B7C">
        <w:rPr>
          <w:rFonts w:ascii="Arial" w:hAnsi="Arial" w:cs="Arial"/>
          <w:b/>
          <w:sz w:val="16"/>
          <w:szCs w:val="16"/>
          <w:highlight w:val="yellow"/>
        </w:rPr>
        <w:t>Fuente:</w:t>
      </w:r>
      <w:r w:rsidRPr="00A51B7C">
        <w:rPr>
          <w:rFonts w:ascii="Arial" w:hAnsi="Arial" w:cs="Arial"/>
          <w:sz w:val="16"/>
          <w:szCs w:val="16"/>
          <w:highlight w:val="yellow"/>
        </w:rPr>
        <w:t xml:space="preserve"> IEA </w:t>
      </w:r>
      <w:r w:rsidR="001B6C48">
        <w:rPr>
          <w:rFonts w:ascii="Arial" w:hAnsi="Arial" w:cs="Arial"/>
          <w:sz w:val="16"/>
          <w:szCs w:val="16"/>
          <w:highlight w:val="yellow"/>
        </w:rPr>
        <w:fldChar w:fldCharType="begin"/>
      </w:r>
      <w:r w:rsidR="001B6C48">
        <w:rPr>
          <w:rFonts w:ascii="Arial" w:hAnsi="Arial" w:cs="Arial"/>
          <w:sz w:val="16"/>
          <w:szCs w:val="16"/>
          <w:highlight w:val="yellow"/>
        </w:rPr>
        <w:instrText xml:space="preserve"> REF _Ref529881443 \r \h </w:instrText>
      </w:r>
      <w:r w:rsidR="001B6C48">
        <w:rPr>
          <w:rFonts w:ascii="Arial" w:hAnsi="Arial" w:cs="Arial"/>
          <w:sz w:val="16"/>
          <w:szCs w:val="16"/>
          <w:highlight w:val="yellow"/>
        </w:rPr>
      </w:r>
      <w:r w:rsidR="001B6C48">
        <w:rPr>
          <w:rFonts w:ascii="Arial" w:hAnsi="Arial" w:cs="Arial"/>
          <w:sz w:val="16"/>
          <w:szCs w:val="16"/>
          <w:highlight w:val="yellow"/>
        </w:rPr>
        <w:fldChar w:fldCharType="separate"/>
      </w:r>
      <w:r w:rsidR="00915705">
        <w:rPr>
          <w:rFonts w:ascii="Arial" w:hAnsi="Arial" w:cs="Arial"/>
          <w:sz w:val="16"/>
          <w:szCs w:val="16"/>
          <w:highlight w:val="yellow"/>
        </w:rPr>
        <w:t>[8]</w:t>
      </w:r>
      <w:r w:rsidR="001B6C48">
        <w:rPr>
          <w:rFonts w:ascii="Arial" w:hAnsi="Arial" w:cs="Arial"/>
          <w:sz w:val="16"/>
          <w:szCs w:val="16"/>
          <w:highlight w:val="yellow"/>
        </w:rPr>
        <w:fldChar w:fldCharType="end"/>
      </w:r>
    </w:p>
    <w:p w14:paraId="4B7B95EA" w14:textId="77777777" w:rsidR="00914134" w:rsidRPr="002D2CD9" w:rsidRDefault="00914134" w:rsidP="00914134">
      <w:pPr>
        <w:spacing w:before="240" w:after="240" w:line="276" w:lineRule="auto"/>
        <w:jc w:val="both"/>
        <w:rPr>
          <w:rFonts w:ascii="Arial" w:hAnsi="Arial" w:cs="Arial"/>
          <w:sz w:val="22"/>
          <w:lang w:val="es-ES"/>
        </w:rPr>
      </w:pPr>
      <w:r w:rsidRPr="002D2CD9">
        <w:rPr>
          <w:rFonts w:ascii="Arial" w:hAnsi="Arial" w:cs="Arial"/>
          <w:sz w:val="22"/>
          <w:lang w:val="es-ES"/>
        </w:rPr>
        <w:t xml:space="preserve">Otro de los factores que influye en la demanda de crudo a largo plazo son las mejoras en la intensidad del uso del crudo. Según la Agencia Internacional de Energía, la historia ha demostrado que a medida que pasa el tiempo menos crudo es necesario para producir, como mínimo, el mismo servicio o producto, o desde una perspectiva más amplia, el mismo nivel de actividad económica. Las mejoras en eficiencia son la que jalonan este cambio, ya que históricamente los vehículos y maquinas han mejorado su eficiencia  a lo largo del tiempo. Una de los métodos utilizados por la Agencia para medir la intensidad de uso del crudo se realiza calculando la cantidad de crudo necesaria para producir cierta cantidad de nivel económico. Por ejemplo, para </w:t>
      </w:r>
      <w:r w:rsidRPr="002D2CD9">
        <w:rPr>
          <w:rFonts w:ascii="Arial" w:hAnsi="Arial" w:cs="Arial"/>
          <w:sz w:val="22"/>
          <w:lang w:val="es-ES"/>
        </w:rPr>
        <w:lastRenderedPageBreak/>
        <w:t>calcular  la intensidad global de crudo del año 2014 la cual fue estimada en 1.19</w:t>
      </w:r>
      <w:r w:rsidRPr="002D2CD9">
        <w:rPr>
          <w:rStyle w:val="Refdenotaalpie"/>
          <w:rFonts w:ascii="Arial" w:hAnsi="Arial" w:cs="Arial"/>
          <w:sz w:val="22"/>
          <w:lang w:val="es-ES"/>
        </w:rPr>
        <w:footnoteReference w:id="2"/>
      </w:r>
      <w:r w:rsidRPr="002D2CD9">
        <w:rPr>
          <w:rFonts w:ascii="Arial" w:hAnsi="Arial" w:cs="Arial"/>
          <w:sz w:val="22"/>
          <w:lang w:val="es-ES"/>
        </w:rPr>
        <w:t>, se toma el cociente entre la demanda global de crudo y el producto interno bruto mundial ambos datos del año que se está analizando. El valor obtenido es un 3.0% inferior al valor obtenido en el año 2013, lo cual se puede interpretar como una ganancia del 3.0% en eficiencia del uso del crudo.</w:t>
      </w:r>
    </w:p>
    <w:p w14:paraId="5F32FE22" w14:textId="77777777" w:rsidR="00914134" w:rsidRPr="002D2CD9" w:rsidRDefault="00914134" w:rsidP="00914134">
      <w:pPr>
        <w:spacing w:before="240" w:after="240" w:line="276" w:lineRule="auto"/>
        <w:jc w:val="both"/>
        <w:rPr>
          <w:rFonts w:ascii="Arial" w:hAnsi="Arial" w:cs="Arial"/>
          <w:sz w:val="22"/>
          <w:szCs w:val="22"/>
        </w:rPr>
      </w:pPr>
      <w:r w:rsidRPr="002D2CD9">
        <w:rPr>
          <w:rFonts w:ascii="Arial" w:hAnsi="Arial" w:cs="Arial"/>
          <w:sz w:val="22"/>
          <w:szCs w:val="22"/>
        </w:rPr>
        <w:t xml:space="preserve">Según la </w:t>
      </w:r>
      <w:r w:rsidRPr="002D2CD9">
        <w:rPr>
          <w:rFonts w:ascii="Arial" w:hAnsi="Arial" w:cs="Arial"/>
          <w:sz w:val="22"/>
          <w:szCs w:val="22"/>
          <w:highlight w:val="yellow"/>
        </w:rPr>
        <w:fldChar w:fldCharType="begin"/>
      </w:r>
      <w:r w:rsidRPr="002D2CD9">
        <w:rPr>
          <w:rFonts w:ascii="Arial" w:hAnsi="Arial" w:cs="Arial"/>
          <w:sz w:val="22"/>
          <w:szCs w:val="22"/>
          <w:highlight w:val="yellow"/>
        </w:rPr>
        <w:instrText xml:space="preserve"> REF _Ref499801097 \h  \* MERGEFORMAT </w:instrText>
      </w:r>
      <w:r w:rsidRPr="002D2CD9">
        <w:rPr>
          <w:rFonts w:ascii="Arial" w:hAnsi="Arial" w:cs="Arial"/>
          <w:sz w:val="22"/>
          <w:szCs w:val="22"/>
          <w:highlight w:val="yellow"/>
        </w:rPr>
      </w:r>
      <w:r w:rsidRPr="002D2CD9">
        <w:rPr>
          <w:rFonts w:ascii="Arial" w:hAnsi="Arial" w:cs="Arial"/>
          <w:sz w:val="22"/>
          <w:szCs w:val="22"/>
          <w:highlight w:val="yellow"/>
        </w:rPr>
        <w:fldChar w:fldCharType="separate"/>
      </w:r>
      <w:r w:rsidR="00915705" w:rsidRPr="00915705">
        <w:rPr>
          <w:rFonts w:ascii="Arial" w:hAnsi="Arial" w:cs="Arial"/>
          <w:sz w:val="22"/>
          <w:szCs w:val="22"/>
          <w:highlight w:val="yellow"/>
        </w:rPr>
        <w:t>Gráfica 1</w:t>
      </w:r>
      <w:r w:rsidR="00915705" w:rsidRPr="00915705">
        <w:rPr>
          <w:rFonts w:ascii="Arial" w:hAnsi="Arial" w:cs="Arial"/>
          <w:sz w:val="22"/>
          <w:szCs w:val="22"/>
          <w:highlight w:val="yellow"/>
        </w:rPr>
        <w:noBreakHyphen/>
        <w:t>8</w:t>
      </w:r>
      <w:r w:rsidRPr="002D2CD9">
        <w:rPr>
          <w:rFonts w:ascii="Arial" w:hAnsi="Arial" w:cs="Arial"/>
          <w:sz w:val="22"/>
          <w:szCs w:val="22"/>
          <w:highlight w:val="yellow"/>
        </w:rPr>
        <w:fldChar w:fldCharType="end"/>
      </w:r>
      <w:r w:rsidRPr="002D2CD9">
        <w:rPr>
          <w:rFonts w:ascii="Arial" w:hAnsi="Arial" w:cs="Arial"/>
          <w:sz w:val="22"/>
          <w:szCs w:val="22"/>
        </w:rPr>
        <w:t>, desde el año 2009 se aprecia un incremento permanente de los precios hasta principios del año 2011, valor que se ha estabilizado hasta el primer semestre del año 2014 en torno a los $110.0 dólares por barril en el caso del Brent, y de $97.0 dólares por barril en lo respecta al WTI. Durante el segundo semestre del año 2014 los precios del WTI se han disminuido hasta en un 73.0% y los del BRENT hasta un 76.4%, alcanzando los $55.3 dólares por barril para BRENT y los $53.4 dólares por barril para WTI. Durante el año 2015 el precio del WTI estuvo en un promedio de $47.5 dólares por barril presentando una caída del 29.6%, mientras que el precio del BRENT estuvo en un promedio de $50.9 dólares por barril presentando una caída del 33.9%.</w:t>
      </w:r>
    </w:p>
    <w:p w14:paraId="424C4D2C" w14:textId="3E29A038" w:rsidR="00914134" w:rsidRPr="00CD316C" w:rsidRDefault="00914134" w:rsidP="00914134">
      <w:pPr>
        <w:pStyle w:val="Descripcin"/>
        <w:spacing w:before="0" w:after="0"/>
        <w:jc w:val="center"/>
        <w:rPr>
          <w:b/>
          <w:i w:val="0"/>
          <w:color w:val="auto"/>
          <w:sz w:val="20"/>
          <w:highlight w:val="yellow"/>
        </w:rPr>
      </w:pPr>
      <w:bookmarkStart w:id="24" w:name="_Ref499801097"/>
      <w:bookmarkStart w:id="25" w:name="_Toc447097976"/>
      <w:bookmarkStart w:id="26" w:name="_Toc499799348"/>
      <w:bookmarkStart w:id="27" w:name="_Toc530033398"/>
      <w:r w:rsidRPr="004B0F0F">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8</w:t>
      </w:r>
      <w:r w:rsidR="00DA50A5">
        <w:rPr>
          <w:b/>
          <w:i w:val="0"/>
          <w:color w:val="auto"/>
          <w:sz w:val="20"/>
          <w:highlight w:val="yellow"/>
        </w:rPr>
        <w:fldChar w:fldCharType="end"/>
      </w:r>
      <w:bookmarkEnd w:id="24"/>
      <w:r w:rsidRPr="004B0F0F">
        <w:rPr>
          <w:b/>
          <w:i w:val="0"/>
          <w:color w:val="auto"/>
          <w:sz w:val="20"/>
          <w:highlight w:val="yellow"/>
        </w:rPr>
        <w:t xml:space="preserve">. </w:t>
      </w:r>
      <w:r w:rsidRPr="00CD316C">
        <w:rPr>
          <w:i w:val="0"/>
          <w:color w:val="auto"/>
          <w:sz w:val="20"/>
        </w:rPr>
        <w:t>Comportamiento de los precios de crudo WTI y BRENT</w:t>
      </w:r>
      <w:bookmarkEnd w:id="25"/>
      <w:bookmarkEnd w:id="26"/>
      <w:bookmarkEnd w:id="27"/>
    </w:p>
    <w:p w14:paraId="04395D44" w14:textId="77777777" w:rsidR="00914134" w:rsidRDefault="00914134" w:rsidP="00914134">
      <w:pPr>
        <w:jc w:val="center"/>
      </w:pPr>
      <w:r w:rsidRPr="00C94B89">
        <w:rPr>
          <w:noProof/>
          <w:lang w:val="es-ES" w:eastAsia="es-ES"/>
        </w:rPr>
        <w:drawing>
          <wp:inline distT="0" distB="0" distL="0" distR="0" wp14:anchorId="461FDFF0" wp14:editId="4FDEC44A">
            <wp:extent cx="5400675" cy="323850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27BBA9BC" w14:textId="5B005BF2" w:rsidR="00914134" w:rsidRPr="00A51B7C" w:rsidRDefault="00914134" w:rsidP="00914134">
      <w:pPr>
        <w:jc w:val="center"/>
        <w:rPr>
          <w:rFonts w:ascii="Arial" w:hAnsi="Arial" w:cs="Arial"/>
          <w:color w:val="000000" w:themeColor="text1"/>
          <w:sz w:val="16"/>
        </w:rPr>
      </w:pPr>
      <w:r w:rsidRPr="00A51B7C">
        <w:rPr>
          <w:rFonts w:cs="Arial"/>
          <w:b/>
          <w:color w:val="000000" w:themeColor="text1"/>
          <w:sz w:val="16"/>
        </w:rPr>
        <w:t xml:space="preserve"> </w:t>
      </w:r>
      <w:r w:rsidRPr="005D45DF">
        <w:rPr>
          <w:rFonts w:ascii="Arial" w:hAnsi="Arial" w:cs="Arial"/>
          <w:b/>
          <w:color w:val="000000" w:themeColor="text1"/>
          <w:sz w:val="16"/>
        </w:rPr>
        <w:t>Fuente</w:t>
      </w:r>
      <w:r w:rsidRPr="005D45DF">
        <w:rPr>
          <w:rFonts w:ascii="Arial" w:hAnsi="Arial" w:cs="Arial"/>
          <w:color w:val="000000" w:themeColor="text1"/>
          <w:sz w:val="16"/>
        </w:rPr>
        <w:t>: EIA</w:t>
      </w:r>
      <w:r w:rsidR="005D45DF" w:rsidRPr="005D45DF">
        <w:rPr>
          <w:rFonts w:ascii="Arial" w:hAnsi="Arial" w:cs="Arial"/>
          <w:color w:val="000000" w:themeColor="text1"/>
          <w:sz w:val="16"/>
        </w:rPr>
        <w:t xml:space="preserve"> </w:t>
      </w:r>
      <w:r w:rsidR="005D45DF" w:rsidRPr="005D45DF">
        <w:rPr>
          <w:rFonts w:ascii="Arial" w:hAnsi="Arial" w:cs="Arial"/>
          <w:color w:val="000000" w:themeColor="text1"/>
          <w:sz w:val="16"/>
        </w:rPr>
        <w:fldChar w:fldCharType="begin"/>
      </w:r>
      <w:r w:rsidR="005D45DF" w:rsidRPr="005D45DF">
        <w:rPr>
          <w:rFonts w:ascii="Arial" w:hAnsi="Arial" w:cs="Arial"/>
          <w:color w:val="000000" w:themeColor="text1"/>
          <w:sz w:val="16"/>
        </w:rPr>
        <w:instrText xml:space="preserve"> REF _Ref529881476 \r \h  \* MERGEFORMAT </w:instrText>
      </w:r>
      <w:r w:rsidR="005D45DF" w:rsidRPr="005D45DF">
        <w:rPr>
          <w:rFonts w:ascii="Arial" w:hAnsi="Arial" w:cs="Arial"/>
          <w:color w:val="000000" w:themeColor="text1"/>
          <w:sz w:val="16"/>
        </w:rPr>
      </w:r>
      <w:r w:rsidR="005D45DF" w:rsidRPr="005D45DF">
        <w:rPr>
          <w:rFonts w:ascii="Arial" w:hAnsi="Arial" w:cs="Arial"/>
          <w:color w:val="000000" w:themeColor="text1"/>
          <w:sz w:val="16"/>
        </w:rPr>
        <w:fldChar w:fldCharType="separate"/>
      </w:r>
      <w:r w:rsidR="00915705">
        <w:rPr>
          <w:rFonts w:ascii="Arial" w:hAnsi="Arial" w:cs="Arial"/>
          <w:color w:val="000000" w:themeColor="text1"/>
          <w:sz w:val="16"/>
        </w:rPr>
        <w:t>[9]</w:t>
      </w:r>
      <w:r w:rsidR="005D45DF" w:rsidRPr="005D45DF">
        <w:rPr>
          <w:rFonts w:ascii="Arial" w:hAnsi="Arial" w:cs="Arial"/>
          <w:color w:val="000000" w:themeColor="text1"/>
          <w:sz w:val="16"/>
        </w:rPr>
        <w:fldChar w:fldCharType="end"/>
      </w:r>
    </w:p>
    <w:p w14:paraId="656B5554" w14:textId="77777777" w:rsidR="00914134" w:rsidRPr="002D2CD9" w:rsidRDefault="00914134" w:rsidP="00914134">
      <w:pPr>
        <w:spacing w:before="240" w:after="240" w:line="276" w:lineRule="auto"/>
        <w:jc w:val="both"/>
        <w:rPr>
          <w:rFonts w:ascii="Arial" w:hAnsi="Arial" w:cs="Arial"/>
          <w:sz w:val="22"/>
        </w:rPr>
      </w:pPr>
      <w:r w:rsidRPr="002D2CD9">
        <w:rPr>
          <w:rFonts w:ascii="Arial" w:hAnsi="Arial" w:cs="Arial"/>
          <w:sz w:val="22"/>
          <w:szCs w:val="22"/>
        </w:rPr>
        <w:t>En el año 2016 se aprecia una recuperación sostenida del precio de ambas referencias del crudo, la cual no se veía desde julio de 2014. Durante esta recuperación el precio del WTI estuvo en un promedio de $43.3 dólares por barril presentando un incremento del 46.0% y en cuanto al BRENT estuvo en un promedio de $ 43.7 dólares por barril presentando un incremento del 51.5%. Respecto al año 2017, el precio del WTI presentó un precio promedio de $50.79 dólares por barril alcanzando un incremento del 15.5% y en cuanto al BRENT el precio promedio fue de $54.2 dólares por barril presentando un incremento del 21.2%.</w:t>
      </w:r>
    </w:p>
    <w:p w14:paraId="61B57505" w14:textId="77777777" w:rsidR="00914134" w:rsidRPr="00A6575F" w:rsidRDefault="00914134" w:rsidP="00914134">
      <w:pPr>
        <w:spacing w:before="240" w:after="240" w:line="276" w:lineRule="auto"/>
        <w:jc w:val="both"/>
        <w:rPr>
          <w:rFonts w:ascii="Arial" w:hAnsi="Arial" w:cs="Arial"/>
          <w:sz w:val="22"/>
          <w:szCs w:val="22"/>
        </w:rPr>
      </w:pPr>
      <w:r w:rsidRPr="002D2CD9">
        <w:rPr>
          <w:rFonts w:ascii="Arial" w:hAnsi="Arial" w:cs="Arial"/>
          <w:sz w:val="22"/>
          <w:szCs w:val="22"/>
        </w:rPr>
        <w:lastRenderedPageBreak/>
        <w:t xml:space="preserve">De igual forma, el diferencial de precios entre el crudo Brent y el WTI se viene estrechando de forma importante y durante el año 2016 se ha mantenido en promedio en $0.39 dólares por barril, mientras que en el año 2017 la diferencia promedio ha sido de $3.4 dólares por barril originado básicamente por los excedentes de crudo en Estados Unidos debido al aumento de la producción de los hidrocarburos no convencionales, entre otros factores, tal como se mencionó en </w:t>
      </w:r>
      <w:r w:rsidRPr="00A6575F">
        <w:rPr>
          <w:rFonts w:ascii="Arial" w:hAnsi="Arial" w:cs="Arial"/>
          <w:sz w:val="22"/>
          <w:szCs w:val="22"/>
        </w:rPr>
        <w:t>la sección anterior.</w:t>
      </w:r>
    </w:p>
    <w:p w14:paraId="0957242D" w14:textId="77777777" w:rsidR="00914134" w:rsidRPr="002D2CD9" w:rsidRDefault="00914134" w:rsidP="00914134">
      <w:pPr>
        <w:spacing w:before="240" w:after="240" w:line="276" w:lineRule="auto"/>
        <w:jc w:val="both"/>
        <w:rPr>
          <w:rFonts w:ascii="Arial" w:hAnsi="Arial" w:cs="Arial"/>
          <w:sz w:val="22"/>
          <w:szCs w:val="22"/>
        </w:rPr>
      </w:pPr>
      <w:r w:rsidRPr="002D2CD9">
        <w:rPr>
          <w:rFonts w:ascii="Arial" w:hAnsi="Arial" w:cs="Arial"/>
          <w:sz w:val="22"/>
          <w:szCs w:val="22"/>
        </w:rPr>
        <w:t>Según Wood Mackenzie, en su actualización de la proyección del corto plazo del mes de mayo, proyecta un escenario alternativo en el cual tiene en cuenta las sanciones impuestas en 12 de mayo por el presidente de Estados Unidos a Irán debido a diferencias encontradas en el alcance del acuerdo nuclear pactado. Con esta sanción se espera que la producción de Irán disminuya en 300 mil barriles por día llegando a una producción de 500 mil barriles por día en 2018 y 2019, por lo que la proyección del precio del crudo de referencia Brent se calcula en un promedio de $74 dólares por barril para el año 2018 mientras que en el año 2019 alcanzaría un promedio de $70 dólares por barril.</w:t>
      </w:r>
    </w:p>
    <w:p w14:paraId="6F138047" w14:textId="77777777" w:rsidR="00914134" w:rsidRPr="00565C76" w:rsidRDefault="00914134" w:rsidP="00914134">
      <w:pPr>
        <w:pStyle w:val="Ttulo2"/>
      </w:pPr>
      <w:bookmarkStart w:id="28" w:name="_Toc403642965"/>
      <w:bookmarkStart w:id="29" w:name="_Toc499539616"/>
      <w:bookmarkStart w:id="30" w:name="_Toc530045822"/>
      <w:r w:rsidRPr="00565C76">
        <w:t>Escenarios de precios del crudo</w:t>
      </w:r>
      <w:bookmarkEnd w:id="28"/>
      <w:bookmarkEnd w:id="29"/>
      <w:bookmarkEnd w:id="30"/>
    </w:p>
    <w:p w14:paraId="5A2D0AE5" w14:textId="77777777" w:rsidR="00914134" w:rsidRPr="002D2CD9" w:rsidRDefault="00914134" w:rsidP="00914134">
      <w:pPr>
        <w:spacing w:before="240" w:after="240" w:line="276" w:lineRule="auto"/>
        <w:jc w:val="both"/>
        <w:rPr>
          <w:rFonts w:ascii="Arial" w:hAnsi="Arial" w:cs="Arial"/>
          <w:sz w:val="22"/>
          <w:szCs w:val="22"/>
        </w:rPr>
      </w:pPr>
      <w:r w:rsidRPr="002D2CD9">
        <w:rPr>
          <w:rFonts w:ascii="Arial" w:hAnsi="Arial" w:cs="Arial"/>
          <w:sz w:val="22"/>
          <w:szCs w:val="22"/>
        </w:rPr>
        <w:t>Este numeral hace referencia a las estimaciones de largo plazo del precio del petróleo, las cuales están apoyadas en la dinámica económica mundial, la situación de las tasas de interés de las principales economías, la evolución de las tensiones geopolíticas en Oriente Medio y en el Este de Europa, del crecimiento poblacional y del grado de abastecimiento de la demanda.</w:t>
      </w:r>
    </w:p>
    <w:p w14:paraId="0D07CAA3" w14:textId="77777777" w:rsidR="00914134" w:rsidRPr="002D2CD9" w:rsidRDefault="00914134" w:rsidP="00914134">
      <w:pPr>
        <w:spacing w:before="240" w:after="240" w:line="276" w:lineRule="auto"/>
        <w:jc w:val="both"/>
        <w:rPr>
          <w:rFonts w:ascii="Arial" w:hAnsi="Arial" w:cs="Arial"/>
          <w:sz w:val="22"/>
          <w:szCs w:val="22"/>
        </w:rPr>
      </w:pPr>
      <w:r w:rsidRPr="002D2CD9">
        <w:rPr>
          <w:rFonts w:ascii="Arial" w:hAnsi="Arial" w:cs="Arial"/>
          <w:sz w:val="22"/>
          <w:szCs w:val="22"/>
        </w:rPr>
        <w:t>Para construir los escenarios se tuvo en cuenta toda la información disponible por la UPME como lo es la información del Departamento de Energía de los Estados Unidos, Fondo Monetario Internacional (FMI), Agencia Internacional de Energía (IEA, por sus siglas en inglés), Wood Mackenzie, Banco Mundial, y, luego de un estricto análisis a la misma, se ha decidido la construcción de los diferentes escenarios.</w:t>
      </w:r>
    </w:p>
    <w:p w14:paraId="7EF581B7" w14:textId="77777777" w:rsidR="00914134" w:rsidRPr="002D2CD9" w:rsidRDefault="00914134" w:rsidP="00914134">
      <w:pPr>
        <w:spacing w:before="240" w:after="240" w:line="276" w:lineRule="auto"/>
        <w:jc w:val="both"/>
        <w:rPr>
          <w:rFonts w:ascii="Arial" w:hAnsi="Arial" w:cs="Arial"/>
          <w:sz w:val="22"/>
          <w:szCs w:val="22"/>
        </w:rPr>
      </w:pPr>
      <w:r w:rsidRPr="002D2CD9">
        <w:rPr>
          <w:rFonts w:ascii="Arial" w:hAnsi="Arial" w:cs="Arial"/>
          <w:sz w:val="22"/>
          <w:szCs w:val="22"/>
        </w:rPr>
        <w:t>El escenario de referencia fue construido teniendo en cuenta el pronóstico realizado por Wood Mackenzie en su documento “Global Macro Oils h2 2017” de largo y, en el corto plazo, se tomó el informe de febrero de 2018. Para la construcción de los escenarios alto y bajo se consideraron las “aperturas” estimadas por el U.S Energy Information Administration (EIA) en su documento Anual Energy Outlook 2017, las cuales implican una variada gama de tendencias con respecto al crecimiento económico mundial, al crecimiento de la población y supuestos sobre diversas trayectorias del mismo precio del petróleo con fundamento en cambios de demanda.</w:t>
      </w:r>
    </w:p>
    <w:p w14:paraId="2B7E33A8" w14:textId="77777777" w:rsidR="00914134" w:rsidRPr="002D2CD9" w:rsidRDefault="00914134" w:rsidP="00914134">
      <w:pPr>
        <w:spacing w:before="240" w:after="240" w:line="276" w:lineRule="auto"/>
        <w:jc w:val="both"/>
        <w:rPr>
          <w:rFonts w:ascii="Arial" w:hAnsi="Arial" w:cs="Arial"/>
          <w:sz w:val="22"/>
          <w:szCs w:val="22"/>
        </w:rPr>
      </w:pPr>
      <w:r w:rsidRPr="002D2CD9">
        <w:rPr>
          <w:rFonts w:ascii="Arial" w:hAnsi="Arial" w:cs="Arial"/>
          <w:sz w:val="22"/>
          <w:szCs w:val="22"/>
        </w:rPr>
        <w:t>Los análisis realizados, tanto para el corto como el largo plazo, están basados en el supuesto que los países que conforman la OPEP no activarán restricciones significativas en su producción durante el tiempo de análisis.</w:t>
      </w:r>
    </w:p>
    <w:p w14:paraId="23907658" w14:textId="77777777" w:rsidR="00914134" w:rsidRPr="002D2CD9" w:rsidRDefault="00914134" w:rsidP="00914134">
      <w:pPr>
        <w:spacing w:before="240" w:after="240" w:line="276" w:lineRule="auto"/>
        <w:jc w:val="both"/>
        <w:rPr>
          <w:rFonts w:ascii="Arial" w:hAnsi="Arial" w:cs="Arial"/>
          <w:sz w:val="22"/>
          <w:szCs w:val="22"/>
        </w:rPr>
      </w:pPr>
      <w:r w:rsidRPr="002D2CD9">
        <w:rPr>
          <w:rFonts w:ascii="Arial" w:hAnsi="Arial" w:cs="Arial"/>
          <w:sz w:val="22"/>
          <w:szCs w:val="22"/>
        </w:rPr>
        <w:t>A continuación se presenta una breve descripción de los supuestos utilizados para la conformación de los tres escenarios de largo plazo:</w:t>
      </w:r>
    </w:p>
    <w:p w14:paraId="7818DE4A" w14:textId="77777777" w:rsidR="00914134" w:rsidRDefault="00914134" w:rsidP="00914134">
      <w:pPr>
        <w:pStyle w:val="Prrafodelista"/>
        <w:numPr>
          <w:ilvl w:val="0"/>
          <w:numId w:val="7"/>
        </w:numPr>
        <w:spacing w:before="240" w:after="240" w:line="276" w:lineRule="auto"/>
        <w:ind w:right="567"/>
        <w:contextualSpacing w:val="0"/>
        <w:rPr>
          <w:b w:val="0"/>
          <w:sz w:val="22"/>
          <w:lang w:val="es-ES"/>
        </w:rPr>
      </w:pPr>
      <w:r w:rsidRPr="00A71723">
        <w:rPr>
          <w:sz w:val="22"/>
          <w:lang w:val="es-ES"/>
        </w:rPr>
        <w:lastRenderedPageBreak/>
        <w:t>Escenario de Referencia:</w:t>
      </w:r>
      <w:r w:rsidRPr="00A71723">
        <w:rPr>
          <w:b w:val="0"/>
          <w:sz w:val="22"/>
          <w:lang w:val="es-ES"/>
        </w:rPr>
        <w:t xml:space="preserve"> En este escenario se espera que el crudo de referencia BRENT </w:t>
      </w:r>
      <w:r w:rsidRPr="0011798A">
        <w:rPr>
          <w:b w:val="0"/>
          <w:sz w:val="22"/>
          <w:lang w:val="es-ES"/>
        </w:rPr>
        <w:t>alcance los $60</w:t>
      </w:r>
      <w:r>
        <w:rPr>
          <w:b w:val="0"/>
          <w:sz w:val="22"/>
          <w:lang w:val="es-ES"/>
        </w:rPr>
        <w:t xml:space="preserve"> dólares por b</w:t>
      </w:r>
      <w:r w:rsidRPr="0011798A">
        <w:rPr>
          <w:b w:val="0"/>
          <w:sz w:val="22"/>
          <w:lang w:val="es-ES"/>
        </w:rPr>
        <w:t>arril en términos reales para 2020 y los $106</w:t>
      </w:r>
      <w:r>
        <w:rPr>
          <w:b w:val="0"/>
          <w:sz w:val="22"/>
          <w:lang w:val="es-ES"/>
        </w:rPr>
        <w:t xml:space="preserve"> dólares por b</w:t>
      </w:r>
      <w:r w:rsidRPr="0011798A">
        <w:rPr>
          <w:b w:val="0"/>
          <w:sz w:val="22"/>
          <w:lang w:val="es-ES"/>
        </w:rPr>
        <w:t>arril en 2040. Se espera que los costos de producción de crudo no convencional en estados Unidos sigan disminuyendo lo cual afectaría la oferta en el corto plazo, a partir del año 2020 el precio del crudo empieza aumentara principalmente por mejoras en los rendimiento</w:t>
      </w:r>
      <w:r>
        <w:rPr>
          <w:b w:val="0"/>
          <w:sz w:val="22"/>
          <w:lang w:val="es-ES"/>
        </w:rPr>
        <w:t xml:space="preserve"> económicos de los proyectos de yacimientos no convencionales, aumento en la demanda y riesgos geopolíticos asociados principalmente al aumento de deuda por el punto de equilibrio fiscal de los países, en donde en promedio esta alrededor de los </w:t>
      </w:r>
      <w:r w:rsidRPr="00A71723">
        <w:rPr>
          <w:b w:val="0"/>
          <w:sz w:val="22"/>
          <w:lang w:val="es-ES"/>
        </w:rPr>
        <w:t>$</w:t>
      </w:r>
      <w:r>
        <w:rPr>
          <w:b w:val="0"/>
          <w:sz w:val="22"/>
          <w:lang w:val="es-ES"/>
        </w:rPr>
        <w:t>70 dólares por barril.</w:t>
      </w:r>
    </w:p>
    <w:p w14:paraId="6D14B24B" w14:textId="77777777" w:rsidR="00914134" w:rsidRPr="003425E3" w:rsidRDefault="00914134" w:rsidP="00914134">
      <w:pPr>
        <w:pStyle w:val="Prrafodelista"/>
        <w:numPr>
          <w:ilvl w:val="0"/>
          <w:numId w:val="0"/>
        </w:numPr>
        <w:spacing w:before="240" w:after="240" w:line="276" w:lineRule="auto"/>
        <w:ind w:left="720" w:right="567"/>
        <w:contextualSpacing w:val="0"/>
        <w:rPr>
          <w:b w:val="0"/>
          <w:sz w:val="22"/>
          <w:lang w:val="es-ES"/>
        </w:rPr>
      </w:pPr>
      <w:r>
        <w:rPr>
          <w:b w:val="0"/>
          <w:sz w:val="22"/>
          <w:lang w:val="es-ES"/>
        </w:rPr>
        <w:t xml:space="preserve">Adicionalmente, se espera que para el año 2023 el precio del crudo tenga un pico de </w:t>
      </w:r>
      <w:r w:rsidRPr="00A71723">
        <w:rPr>
          <w:b w:val="0"/>
          <w:sz w:val="22"/>
          <w:lang w:val="es-ES"/>
        </w:rPr>
        <w:t>$</w:t>
      </w:r>
      <w:r>
        <w:rPr>
          <w:b w:val="0"/>
          <w:sz w:val="22"/>
          <w:lang w:val="es-ES"/>
        </w:rPr>
        <w:t xml:space="preserve">75 dólares por barril debido por una parte a la alta producción de los 48 campos de Estados Unidos, sumado con los altos costos de producción del crudo convencional para suplir el mercado. Sin embargo para el año 2026 el precio del crudo estaría alrededor de los </w:t>
      </w:r>
      <w:r w:rsidRPr="00A71723">
        <w:rPr>
          <w:b w:val="0"/>
          <w:sz w:val="22"/>
          <w:lang w:val="es-ES"/>
        </w:rPr>
        <w:t>$</w:t>
      </w:r>
      <w:r>
        <w:rPr>
          <w:b w:val="0"/>
          <w:sz w:val="22"/>
          <w:lang w:val="es-ES"/>
        </w:rPr>
        <w:t xml:space="preserve">66 dólares por barril dada la alta capacidad de almacenamiento de los países OPEP y un crecimiento leve en la demanda mundial de crudo. Finalmente para el año 2035, el precio del Brent estaría alrededor de los </w:t>
      </w:r>
      <w:r w:rsidRPr="00A71723">
        <w:rPr>
          <w:b w:val="0"/>
          <w:sz w:val="22"/>
          <w:lang w:val="es-ES"/>
        </w:rPr>
        <w:t>$</w:t>
      </w:r>
      <w:r>
        <w:rPr>
          <w:b w:val="0"/>
          <w:sz w:val="22"/>
          <w:lang w:val="es-ES"/>
        </w:rPr>
        <w:t>95 dólares por barril, ya que se prevé que la producción de crudo no convencional en Estados Unidos alcanzaría su pico más alto en el año 2025, y los esfuerzos por disminuir la declinación en estos campos en los años siguientes no son suficientes para atender la demanda esperada.</w:t>
      </w:r>
    </w:p>
    <w:p w14:paraId="4E08D95D" w14:textId="77777777" w:rsidR="00914134" w:rsidRPr="00C94B89" w:rsidRDefault="00914134" w:rsidP="00914134">
      <w:pPr>
        <w:pStyle w:val="Prrafodelista"/>
        <w:numPr>
          <w:ilvl w:val="0"/>
          <w:numId w:val="7"/>
        </w:numPr>
        <w:spacing w:before="240" w:after="240" w:line="276" w:lineRule="auto"/>
        <w:ind w:right="567"/>
        <w:contextualSpacing w:val="0"/>
        <w:rPr>
          <w:b w:val="0"/>
          <w:sz w:val="22"/>
          <w:lang w:val="es-ES"/>
        </w:rPr>
      </w:pPr>
      <w:r w:rsidRPr="00C94B89">
        <w:rPr>
          <w:sz w:val="22"/>
          <w:lang w:val="es-ES"/>
        </w:rPr>
        <w:t>Escenario de Precios Alto</w:t>
      </w:r>
      <w:r w:rsidRPr="00C94B89">
        <w:rPr>
          <w:b w:val="0"/>
          <w:sz w:val="22"/>
          <w:lang w:val="es-ES"/>
        </w:rPr>
        <w:t>: En este escenario se espera que el crudo de referen</w:t>
      </w:r>
      <w:r>
        <w:rPr>
          <w:b w:val="0"/>
          <w:sz w:val="22"/>
          <w:lang w:val="es-ES"/>
        </w:rPr>
        <w:t xml:space="preserve">cia BRENT alcance los </w:t>
      </w:r>
      <w:r w:rsidRPr="00C94B89">
        <w:rPr>
          <w:b w:val="0"/>
          <w:sz w:val="22"/>
          <w:lang w:val="es-ES"/>
        </w:rPr>
        <w:t>$</w:t>
      </w:r>
      <w:r>
        <w:rPr>
          <w:b w:val="0"/>
          <w:sz w:val="22"/>
          <w:lang w:val="es-ES"/>
        </w:rPr>
        <w:t xml:space="preserve">105,7 dólares por </w:t>
      </w:r>
      <w:r w:rsidRPr="00C94B89">
        <w:rPr>
          <w:b w:val="0"/>
          <w:sz w:val="22"/>
          <w:lang w:val="es-ES"/>
        </w:rPr>
        <w:t xml:space="preserve">Barril en términos reales para 2020 y </w:t>
      </w:r>
      <w:r>
        <w:rPr>
          <w:b w:val="0"/>
          <w:sz w:val="22"/>
          <w:lang w:val="es-ES"/>
        </w:rPr>
        <w:t xml:space="preserve">los </w:t>
      </w:r>
      <w:r w:rsidRPr="00C94B89">
        <w:rPr>
          <w:b w:val="0"/>
          <w:sz w:val="22"/>
          <w:lang w:val="es-ES"/>
        </w:rPr>
        <w:t>$</w:t>
      </w:r>
      <w:r>
        <w:rPr>
          <w:b w:val="0"/>
          <w:sz w:val="22"/>
          <w:lang w:val="es-ES"/>
        </w:rPr>
        <w:t>213 dólares por b</w:t>
      </w:r>
      <w:r w:rsidRPr="00C94B89">
        <w:rPr>
          <w:b w:val="0"/>
          <w:sz w:val="22"/>
          <w:lang w:val="es-ES"/>
        </w:rPr>
        <w:t>arril en 2040. Según el Departamento de Energía de Estados Unidos, se espera que este escenario refleje mayor demanda  a nivel mundial de derivados del petróleo y menor inversión en exploración y producción de los países miembros de la OPEP, mientras que los países no miembros de la OPEP invertirán recursos en estas áreas.</w:t>
      </w:r>
    </w:p>
    <w:p w14:paraId="448790D6" w14:textId="77777777" w:rsidR="00914134" w:rsidRPr="00C94B89" w:rsidRDefault="00914134" w:rsidP="00914134">
      <w:pPr>
        <w:pStyle w:val="Prrafodelista"/>
        <w:numPr>
          <w:ilvl w:val="0"/>
          <w:numId w:val="0"/>
        </w:numPr>
        <w:spacing w:before="240" w:after="240" w:line="276" w:lineRule="auto"/>
        <w:ind w:left="720" w:right="567"/>
        <w:contextualSpacing w:val="0"/>
        <w:rPr>
          <w:b w:val="0"/>
          <w:sz w:val="22"/>
          <w:lang w:val="es-ES"/>
        </w:rPr>
      </w:pPr>
      <w:r w:rsidRPr="00C94B89">
        <w:rPr>
          <w:b w:val="0"/>
          <w:sz w:val="22"/>
          <w:lang w:val="es-ES"/>
        </w:rPr>
        <w:t>Para este escenario, en los primero años de la proyección presentada la elevada demanda internacional de crudo conlleva a una mayor exportación de derivados del crudo por parte de Estados Unidos e inicialmente, una mayor utilización de las refinerías domésticas. En contraste la utilización de estas refinerías baja gradualmente en respuesta a la disminución del consumo doméstico debido a los altos precios del crudo.</w:t>
      </w:r>
    </w:p>
    <w:p w14:paraId="1FCC4998" w14:textId="77777777" w:rsidR="00914134" w:rsidRPr="00C94B89" w:rsidRDefault="00914134" w:rsidP="00914134">
      <w:pPr>
        <w:pStyle w:val="Prrafodelista"/>
        <w:numPr>
          <w:ilvl w:val="0"/>
          <w:numId w:val="0"/>
        </w:numPr>
        <w:spacing w:before="240" w:after="240" w:line="276" w:lineRule="auto"/>
        <w:ind w:left="720" w:right="567"/>
        <w:contextualSpacing w:val="0"/>
        <w:rPr>
          <w:b w:val="0"/>
          <w:sz w:val="22"/>
          <w:lang w:val="es-ES"/>
        </w:rPr>
      </w:pPr>
      <w:r w:rsidRPr="00C94B89">
        <w:rPr>
          <w:b w:val="0"/>
          <w:sz w:val="22"/>
          <w:lang w:val="es-ES"/>
        </w:rPr>
        <w:t xml:space="preserve">De igual forma, se generan mayores cambios netos en las importaciones de crudo en la medida de la variación de la producción, lo que conlleva a que las exportaciones tengan una participación máxima del 30% del total de </w:t>
      </w:r>
      <w:r>
        <w:rPr>
          <w:b w:val="0"/>
          <w:sz w:val="22"/>
          <w:lang w:val="es-ES"/>
        </w:rPr>
        <w:t>la oferta.</w:t>
      </w:r>
    </w:p>
    <w:p w14:paraId="7B301C9D" w14:textId="77777777" w:rsidR="00914134" w:rsidRPr="00C94B89" w:rsidRDefault="00914134" w:rsidP="00914134">
      <w:pPr>
        <w:pStyle w:val="Prrafodelista"/>
        <w:numPr>
          <w:ilvl w:val="0"/>
          <w:numId w:val="0"/>
        </w:numPr>
        <w:spacing w:before="240" w:after="240" w:line="276" w:lineRule="auto"/>
        <w:ind w:left="720" w:right="567"/>
        <w:contextualSpacing w:val="0"/>
        <w:rPr>
          <w:b w:val="0"/>
          <w:sz w:val="22"/>
          <w:lang w:val="es-ES"/>
        </w:rPr>
      </w:pPr>
      <w:r w:rsidRPr="00C94B89">
        <w:rPr>
          <w:b w:val="0"/>
          <w:sz w:val="22"/>
          <w:lang w:val="es-ES"/>
        </w:rPr>
        <w:t xml:space="preserve">Adicionalmente, se espera la diferencia entre el precio del crudo y gas natural genere un incentivo en industrias de alto consumo energético, transporte y la exportación de Gas Natural Licuado (GNL), lo cual lleva a un aumento en la producción de Estados Unidos. Así mismo, sin los recursos favorables y el desarrollo tecnológicos </w:t>
      </w:r>
      <w:r w:rsidRPr="00C94B89">
        <w:rPr>
          <w:b w:val="0"/>
          <w:sz w:val="22"/>
          <w:lang w:val="es-ES"/>
        </w:rPr>
        <w:lastRenderedPageBreak/>
        <w:t>presentados por la Agencia, la producción de crudo empieza a declinar cerca al año 2030 y, en ese caso, para el año 2050 la producción estaría al mismo nivel del escenario de referencia.</w:t>
      </w:r>
    </w:p>
    <w:p w14:paraId="7FC6AF6A" w14:textId="77777777" w:rsidR="00914134" w:rsidRPr="00C94B89" w:rsidRDefault="00914134" w:rsidP="00914134">
      <w:pPr>
        <w:pStyle w:val="Prrafodelista"/>
        <w:numPr>
          <w:ilvl w:val="0"/>
          <w:numId w:val="0"/>
        </w:numPr>
        <w:spacing w:before="240" w:after="240" w:line="276" w:lineRule="auto"/>
        <w:ind w:left="720" w:right="567"/>
        <w:contextualSpacing w:val="0"/>
        <w:rPr>
          <w:b w:val="0"/>
          <w:sz w:val="22"/>
          <w:lang w:val="es-ES"/>
        </w:rPr>
      </w:pPr>
      <w:r w:rsidRPr="00127C85">
        <w:rPr>
          <w:sz w:val="22"/>
          <w:lang w:val="es-ES"/>
        </w:rPr>
        <w:t>Escenario de Precios Bajo:</w:t>
      </w:r>
      <w:r w:rsidRPr="00C94B89">
        <w:rPr>
          <w:b w:val="0"/>
          <w:sz w:val="22"/>
          <w:lang w:val="es-ES"/>
        </w:rPr>
        <w:t xml:space="preserve"> En este escenario se espera que el crudo d</w:t>
      </w:r>
      <w:r>
        <w:rPr>
          <w:b w:val="0"/>
          <w:sz w:val="22"/>
          <w:lang w:val="es-ES"/>
        </w:rPr>
        <w:t xml:space="preserve">e referencia BRENT alcance los </w:t>
      </w:r>
      <w:r w:rsidRPr="00C94B89">
        <w:rPr>
          <w:b w:val="0"/>
          <w:sz w:val="22"/>
          <w:lang w:val="es-ES"/>
        </w:rPr>
        <w:t>$</w:t>
      </w:r>
      <w:r>
        <w:rPr>
          <w:b w:val="0"/>
          <w:sz w:val="22"/>
          <w:lang w:val="es-ES"/>
        </w:rPr>
        <w:t xml:space="preserve">26,9 dólares por </w:t>
      </w:r>
      <w:r w:rsidRPr="00C94B89">
        <w:rPr>
          <w:b w:val="0"/>
          <w:sz w:val="22"/>
          <w:lang w:val="es-ES"/>
        </w:rPr>
        <w:t>Barril en tér</w:t>
      </w:r>
      <w:r>
        <w:rPr>
          <w:b w:val="0"/>
          <w:sz w:val="22"/>
          <w:lang w:val="es-ES"/>
        </w:rPr>
        <w:t xml:space="preserve">minos reales para 2020 y los </w:t>
      </w:r>
      <w:r w:rsidRPr="00C94B89">
        <w:rPr>
          <w:b w:val="0"/>
          <w:sz w:val="22"/>
          <w:lang w:val="es-ES"/>
        </w:rPr>
        <w:t>$</w:t>
      </w:r>
      <w:r>
        <w:rPr>
          <w:b w:val="0"/>
          <w:sz w:val="22"/>
          <w:lang w:val="es-ES"/>
        </w:rPr>
        <w:t>45,2 dólares por b</w:t>
      </w:r>
      <w:r w:rsidRPr="00C94B89">
        <w:rPr>
          <w:b w:val="0"/>
          <w:sz w:val="22"/>
          <w:lang w:val="es-ES"/>
        </w:rPr>
        <w:t>arril en 2040. Según el Departamento de Energía de Estados Unidos, se espera que este escenario refleje menor demanda  a nivel mundial hasta el 2035 de derivados del petróleo manteniendo un crecimiento constante, sin embargo hacia el 2050 se espera un incremento en la demanda  dado un supuesto de altos niveles de actividad económica. Así mismo, habría una mayor inversión en exploración y producción de los países miembros de la OPEP, mientras que los países no miembros de la OPEP no invertirán recursos en estas áreas.</w:t>
      </w:r>
    </w:p>
    <w:p w14:paraId="0444636E" w14:textId="77777777" w:rsidR="00914134" w:rsidRPr="00C94B89" w:rsidRDefault="00914134" w:rsidP="00914134">
      <w:pPr>
        <w:pStyle w:val="Prrafodelista"/>
        <w:numPr>
          <w:ilvl w:val="0"/>
          <w:numId w:val="0"/>
        </w:numPr>
        <w:spacing w:before="240" w:after="240" w:line="276" w:lineRule="auto"/>
        <w:ind w:left="720" w:right="567"/>
        <w:contextualSpacing w:val="0"/>
        <w:rPr>
          <w:b w:val="0"/>
          <w:sz w:val="22"/>
          <w:lang w:val="es-ES"/>
        </w:rPr>
      </w:pPr>
      <w:r w:rsidRPr="00C94B89">
        <w:rPr>
          <w:b w:val="0"/>
          <w:sz w:val="22"/>
          <w:lang w:val="es-ES"/>
        </w:rPr>
        <w:t>La agencia proyecta en este escenario una disminución de las exportaciones de derivados de crudo en Estados Unidos y una mayor participación de las importaciones en la oferta alcanzando un valor del 32% del 2050. Por otra parte se espera una baja utilización de las refinerías domésticas, alcanzando un factor de servicio del 80%.</w:t>
      </w:r>
    </w:p>
    <w:p w14:paraId="4EA7386B" w14:textId="50E4AF72" w:rsidR="00914134" w:rsidRPr="002D2CD9" w:rsidRDefault="00914134" w:rsidP="00914134">
      <w:pPr>
        <w:spacing w:before="240" w:after="240" w:line="276" w:lineRule="auto"/>
        <w:jc w:val="both"/>
        <w:rPr>
          <w:rFonts w:ascii="Arial" w:hAnsi="Arial" w:cs="Arial"/>
          <w:sz w:val="22"/>
          <w:szCs w:val="22"/>
          <w:highlight w:val="yellow"/>
        </w:rPr>
      </w:pPr>
      <w:r w:rsidRPr="00A27405">
        <w:rPr>
          <w:rFonts w:ascii="Arial" w:hAnsi="Arial" w:cs="Arial"/>
          <w:sz w:val="22"/>
          <w:szCs w:val="22"/>
        </w:rPr>
        <w:t xml:space="preserve">La </w:t>
      </w:r>
      <w:r w:rsidR="00A6575F" w:rsidRPr="00A6575F">
        <w:rPr>
          <w:rFonts w:ascii="Arial" w:hAnsi="Arial" w:cs="Arial"/>
          <w:sz w:val="22"/>
          <w:szCs w:val="22"/>
        </w:rPr>
        <w:fldChar w:fldCharType="begin"/>
      </w:r>
      <w:r w:rsidR="00A6575F" w:rsidRPr="00A6575F">
        <w:rPr>
          <w:rFonts w:ascii="Arial" w:hAnsi="Arial" w:cs="Arial"/>
          <w:sz w:val="22"/>
          <w:szCs w:val="22"/>
        </w:rPr>
        <w:instrText xml:space="preserve"> REF _Ref528851132 \h  \* MERGEFORMAT </w:instrText>
      </w:r>
      <w:r w:rsidR="00A6575F" w:rsidRPr="00A6575F">
        <w:rPr>
          <w:rFonts w:ascii="Arial" w:hAnsi="Arial" w:cs="Arial"/>
          <w:sz w:val="22"/>
          <w:szCs w:val="22"/>
        </w:rPr>
      </w:r>
      <w:r w:rsidR="00A6575F" w:rsidRPr="00A6575F">
        <w:rPr>
          <w:rFonts w:ascii="Arial" w:hAnsi="Arial" w:cs="Arial"/>
          <w:sz w:val="22"/>
          <w:szCs w:val="22"/>
        </w:rPr>
        <w:fldChar w:fldCharType="separate"/>
      </w:r>
      <w:r w:rsidR="00A6575F" w:rsidRPr="00A6575F">
        <w:rPr>
          <w:rFonts w:ascii="Arial" w:hAnsi="Arial" w:cs="Arial"/>
          <w:sz w:val="22"/>
          <w:szCs w:val="22"/>
          <w:highlight w:val="yellow"/>
        </w:rPr>
        <w:t xml:space="preserve">Gráfica </w:t>
      </w:r>
      <w:r w:rsidR="00A6575F" w:rsidRPr="00A6575F">
        <w:rPr>
          <w:rFonts w:ascii="Arial" w:hAnsi="Arial" w:cs="Arial"/>
          <w:noProof/>
          <w:sz w:val="22"/>
          <w:szCs w:val="22"/>
          <w:highlight w:val="yellow"/>
        </w:rPr>
        <w:t>1</w:t>
      </w:r>
      <w:r w:rsidR="00A6575F" w:rsidRPr="00A6575F">
        <w:rPr>
          <w:rFonts w:ascii="Arial" w:hAnsi="Arial" w:cs="Arial"/>
          <w:sz w:val="22"/>
          <w:szCs w:val="22"/>
          <w:highlight w:val="yellow"/>
        </w:rPr>
        <w:noBreakHyphen/>
      </w:r>
      <w:r w:rsidR="00A6575F" w:rsidRPr="00A6575F">
        <w:rPr>
          <w:rFonts w:ascii="Arial" w:hAnsi="Arial" w:cs="Arial"/>
          <w:noProof/>
          <w:sz w:val="22"/>
          <w:szCs w:val="22"/>
          <w:highlight w:val="yellow"/>
        </w:rPr>
        <w:t>9</w:t>
      </w:r>
      <w:r w:rsidR="00A6575F" w:rsidRPr="00A6575F">
        <w:rPr>
          <w:rFonts w:ascii="Arial" w:hAnsi="Arial" w:cs="Arial"/>
          <w:sz w:val="22"/>
          <w:szCs w:val="22"/>
        </w:rPr>
        <w:fldChar w:fldCharType="end"/>
      </w:r>
      <w:r w:rsidRPr="00A27405">
        <w:rPr>
          <w:rFonts w:ascii="Arial" w:hAnsi="Arial" w:cs="Arial"/>
          <w:szCs w:val="22"/>
        </w:rPr>
        <w:t xml:space="preserve"> </w:t>
      </w:r>
      <w:r w:rsidRPr="00A27405">
        <w:rPr>
          <w:rFonts w:ascii="Arial" w:hAnsi="Arial" w:cs="Arial"/>
          <w:sz w:val="22"/>
          <w:szCs w:val="22"/>
        </w:rPr>
        <w:t>Presenta la estimación de largo plazo de los tres escenarios considerados (referencia, alto y bajo), tanto para el crudo WTI como el Brent. En el escenario de referencia se considera equilibrio entre la oferta y demanda en el mercado mundial del petróleo, gracias a continuos cambios en la producción de crudo en Estados Unidos, que afectarían directamente los precios del crudo por la sobreoferta generad</w:t>
      </w:r>
      <w:r w:rsidRPr="00A6575F">
        <w:rPr>
          <w:rFonts w:ascii="Arial" w:hAnsi="Arial" w:cs="Arial"/>
          <w:sz w:val="22"/>
          <w:szCs w:val="22"/>
        </w:rPr>
        <w:t>a.</w:t>
      </w:r>
    </w:p>
    <w:p w14:paraId="002C4953" w14:textId="5102675F" w:rsidR="00914134" w:rsidRPr="00C94B89" w:rsidRDefault="00914134" w:rsidP="00914134">
      <w:pPr>
        <w:pStyle w:val="Descripcin"/>
        <w:keepNext/>
        <w:spacing w:after="0"/>
        <w:jc w:val="center"/>
        <w:rPr>
          <w:b/>
          <w:i w:val="0"/>
          <w:color w:val="auto"/>
          <w:sz w:val="20"/>
          <w:highlight w:val="yellow"/>
        </w:rPr>
      </w:pPr>
      <w:bookmarkStart w:id="31" w:name="_Ref528851132"/>
      <w:bookmarkStart w:id="32" w:name="_Toc530033399"/>
      <w:r w:rsidRPr="00C94B89">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9</w:t>
      </w:r>
      <w:r w:rsidR="00DA50A5">
        <w:rPr>
          <w:b/>
          <w:i w:val="0"/>
          <w:color w:val="auto"/>
          <w:sz w:val="20"/>
          <w:highlight w:val="yellow"/>
        </w:rPr>
        <w:fldChar w:fldCharType="end"/>
      </w:r>
      <w:bookmarkEnd w:id="31"/>
      <w:r w:rsidRPr="00C94B89">
        <w:rPr>
          <w:b/>
          <w:i w:val="0"/>
          <w:color w:val="auto"/>
          <w:sz w:val="20"/>
          <w:highlight w:val="yellow"/>
        </w:rPr>
        <w:t xml:space="preserve">. </w:t>
      </w:r>
      <w:r w:rsidRPr="00C94B89">
        <w:rPr>
          <w:i w:val="0"/>
          <w:color w:val="auto"/>
          <w:sz w:val="20"/>
        </w:rPr>
        <w:t>Escenario de</w:t>
      </w:r>
      <w:r>
        <w:rPr>
          <w:i w:val="0"/>
          <w:color w:val="auto"/>
          <w:sz w:val="20"/>
        </w:rPr>
        <w:t xml:space="preserve"> </w:t>
      </w:r>
      <w:r w:rsidRPr="00C94B89">
        <w:rPr>
          <w:i w:val="0"/>
          <w:color w:val="auto"/>
          <w:sz w:val="20"/>
        </w:rPr>
        <w:t>los precios del crudo - Brent</w:t>
      </w:r>
      <w:bookmarkEnd w:id="32"/>
    </w:p>
    <w:p w14:paraId="3E05B092" w14:textId="77777777" w:rsidR="00914134" w:rsidRPr="00C94B89" w:rsidRDefault="00914134" w:rsidP="00914134">
      <w:pPr>
        <w:jc w:val="center"/>
        <w:rPr>
          <w:highlight w:val="yellow"/>
        </w:rPr>
      </w:pPr>
      <w:r w:rsidRPr="00391904">
        <w:rPr>
          <w:noProof/>
          <w:lang w:val="es-ES" w:eastAsia="es-ES"/>
        </w:rPr>
        <w:drawing>
          <wp:inline distT="0" distB="0" distL="0" distR="0" wp14:anchorId="301D3D60" wp14:editId="2BD0B5EB">
            <wp:extent cx="4752000" cy="3168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2000" cy="3168000"/>
                    </a:xfrm>
                    <a:prstGeom prst="rect">
                      <a:avLst/>
                    </a:prstGeom>
                    <a:noFill/>
                    <a:ln>
                      <a:noFill/>
                    </a:ln>
                  </pic:spPr>
                </pic:pic>
              </a:graphicData>
            </a:graphic>
          </wp:inline>
        </w:drawing>
      </w:r>
    </w:p>
    <w:p w14:paraId="7B53AC73" w14:textId="3BA19FB0" w:rsidR="00914134" w:rsidRPr="0053107F" w:rsidRDefault="00914134" w:rsidP="00914134">
      <w:pPr>
        <w:jc w:val="center"/>
        <w:rPr>
          <w:rFonts w:ascii="Arial" w:hAnsi="Arial" w:cs="Arial"/>
          <w:color w:val="000000" w:themeColor="text1"/>
          <w:sz w:val="16"/>
          <w:lang w:val="es-ES"/>
        </w:rPr>
      </w:pPr>
      <w:r w:rsidRPr="0053107F">
        <w:rPr>
          <w:rFonts w:ascii="Arial" w:hAnsi="Arial" w:cs="Arial"/>
          <w:b/>
          <w:color w:val="000000" w:themeColor="text1"/>
          <w:sz w:val="16"/>
          <w:lang w:val="es-ES"/>
        </w:rPr>
        <w:t>Fuente:</w:t>
      </w:r>
      <w:r w:rsidR="005D45DF" w:rsidRPr="0053107F">
        <w:rPr>
          <w:rFonts w:ascii="Arial" w:hAnsi="Arial" w:cs="Arial"/>
          <w:color w:val="000000" w:themeColor="text1"/>
          <w:sz w:val="16"/>
          <w:lang w:val="es-ES"/>
        </w:rPr>
        <w:t xml:space="preserve"> WM </w:t>
      </w:r>
      <w:r w:rsidR="005D45DF" w:rsidRPr="005D45DF">
        <w:rPr>
          <w:rFonts w:ascii="Arial" w:hAnsi="Arial" w:cs="Arial"/>
          <w:color w:val="000000" w:themeColor="text1"/>
          <w:sz w:val="16"/>
          <w:lang w:val="en-US"/>
        </w:rPr>
        <w:fldChar w:fldCharType="begin"/>
      </w:r>
      <w:r w:rsidR="005D45DF" w:rsidRPr="0053107F">
        <w:rPr>
          <w:rFonts w:ascii="Arial" w:hAnsi="Arial" w:cs="Arial"/>
          <w:color w:val="000000" w:themeColor="text1"/>
          <w:sz w:val="16"/>
          <w:lang w:val="es-ES"/>
        </w:rPr>
        <w:instrText xml:space="preserve"> REF _Ref529881535 \r \h  \* MERGEFORMAT </w:instrText>
      </w:r>
      <w:r w:rsidR="005D45DF" w:rsidRPr="005D45DF">
        <w:rPr>
          <w:rFonts w:ascii="Arial" w:hAnsi="Arial" w:cs="Arial"/>
          <w:color w:val="000000" w:themeColor="text1"/>
          <w:sz w:val="16"/>
          <w:lang w:val="en-US"/>
        </w:rPr>
      </w:r>
      <w:r w:rsidR="005D45DF" w:rsidRPr="005D45DF">
        <w:rPr>
          <w:rFonts w:ascii="Arial" w:hAnsi="Arial" w:cs="Arial"/>
          <w:color w:val="000000" w:themeColor="text1"/>
          <w:sz w:val="16"/>
          <w:lang w:val="en-US"/>
        </w:rPr>
        <w:fldChar w:fldCharType="separate"/>
      </w:r>
      <w:r w:rsidR="00915705">
        <w:rPr>
          <w:rFonts w:ascii="Arial" w:hAnsi="Arial" w:cs="Arial"/>
          <w:color w:val="000000" w:themeColor="text1"/>
          <w:sz w:val="16"/>
          <w:lang w:val="es-ES"/>
        </w:rPr>
        <w:t>[10]</w:t>
      </w:r>
      <w:r w:rsidR="005D45DF" w:rsidRPr="005D45DF">
        <w:rPr>
          <w:rFonts w:ascii="Arial" w:hAnsi="Arial" w:cs="Arial"/>
          <w:color w:val="000000" w:themeColor="text1"/>
          <w:sz w:val="16"/>
          <w:lang w:val="en-US"/>
        </w:rPr>
        <w:fldChar w:fldCharType="end"/>
      </w:r>
      <w:r w:rsidR="005D45DF" w:rsidRPr="0053107F">
        <w:rPr>
          <w:rFonts w:ascii="Arial" w:hAnsi="Arial" w:cs="Arial"/>
          <w:color w:val="000000" w:themeColor="text1"/>
          <w:sz w:val="16"/>
          <w:lang w:val="es-ES"/>
        </w:rPr>
        <w:t xml:space="preserve">, </w:t>
      </w:r>
      <w:r w:rsidRPr="0053107F">
        <w:rPr>
          <w:rFonts w:ascii="Arial" w:hAnsi="Arial" w:cs="Arial"/>
          <w:color w:val="000000" w:themeColor="text1"/>
          <w:sz w:val="16"/>
          <w:lang w:val="es-ES"/>
        </w:rPr>
        <w:t>EIA</w:t>
      </w:r>
      <w:r w:rsidR="005D45DF" w:rsidRPr="0053107F">
        <w:rPr>
          <w:rFonts w:ascii="Arial" w:hAnsi="Arial" w:cs="Arial"/>
          <w:color w:val="000000" w:themeColor="text1"/>
          <w:sz w:val="16"/>
          <w:lang w:val="es-ES"/>
        </w:rPr>
        <w:t xml:space="preserve"> </w:t>
      </w:r>
      <w:r w:rsidR="005D45DF" w:rsidRPr="005D45DF">
        <w:rPr>
          <w:rFonts w:ascii="Arial" w:hAnsi="Arial" w:cs="Arial"/>
          <w:color w:val="000000" w:themeColor="text1"/>
          <w:sz w:val="16"/>
          <w:lang w:val="en-US"/>
        </w:rPr>
        <w:fldChar w:fldCharType="begin"/>
      </w:r>
      <w:r w:rsidR="005D45DF" w:rsidRPr="0053107F">
        <w:rPr>
          <w:rFonts w:ascii="Arial" w:hAnsi="Arial" w:cs="Arial"/>
          <w:color w:val="000000" w:themeColor="text1"/>
          <w:sz w:val="16"/>
          <w:lang w:val="es-ES"/>
        </w:rPr>
        <w:instrText xml:space="preserve"> REF _Ref529881539 \r \h  \* MERGEFORMAT </w:instrText>
      </w:r>
      <w:r w:rsidR="005D45DF" w:rsidRPr="005D45DF">
        <w:rPr>
          <w:rFonts w:ascii="Arial" w:hAnsi="Arial" w:cs="Arial"/>
          <w:color w:val="000000" w:themeColor="text1"/>
          <w:sz w:val="16"/>
          <w:lang w:val="en-US"/>
        </w:rPr>
      </w:r>
      <w:r w:rsidR="005D45DF" w:rsidRPr="005D45DF">
        <w:rPr>
          <w:rFonts w:ascii="Arial" w:hAnsi="Arial" w:cs="Arial"/>
          <w:color w:val="000000" w:themeColor="text1"/>
          <w:sz w:val="16"/>
          <w:lang w:val="en-US"/>
        </w:rPr>
        <w:fldChar w:fldCharType="separate"/>
      </w:r>
      <w:r w:rsidR="00915705">
        <w:rPr>
          <w:rFonts w:ascii="Arial" w:hAnsi="Arial" w:cs="Arial"/>
          <w:color w:val="000000" w:themeColor="text1"/>
          <w:sz w:val="16"/>
          <w:lang w:val="es-ES"/>
        </w:rPr>
        <w:t>[11]</w:t>
      </w:r>
      <w:r w:rsidR="005D45DF" w:rsidRPr="005D45DF">
        <w:rPr>
          <w:rFonts w:ascii="Arial" w:hAnsi="Arial" w:cs="Arial"/>
          <w:color w:val="000000" w:themeColor="text1"/>
          <w:sz w:val="16"/>
          <w:lang w:val="en-US"/>
        </w:rPr>
        <w:fldChar w:fldCharType="end"/>
      </w:r>
      <w:r w:rsidRPr="0053107F">
        <w:rPr>
          <w:rFonts w:ascii="Arial" w:hAnsi="Arial" w:cs="Arial"/>
          <w:color w:val="000000" w:themeColor="text1"/>
          <w:sz w:val="16"/>
          <w:lang w:val="es-ES"/>
        </w:rPr>
        <w:t>, UPME</w:t>
      </w:r>
    </w:p>
    <w:p w14:paraId="540BB714" w14:textId="77777777" w:rsidR="00914134" w:rsidRPr="002D2CD9" w:rsidRDefault="00914134" w:rsidP="00914134">
      <w:pPr>
        <w:spacing w:before="240" w:after="240" w:line="276" w:lineRule="auto"/>
        <w:jc w:val="both"/>
        <w:rPr>
          <w:rFonts w:ascii="Arial" w:hAnsi="Arial" w:cs="Arial"/>
          <w:sz w:val="22"/>
          <w:szCs w:val="22"/>
          <w:highlight w:val="yellow"/>
        </w:rPr>
      </w:pPr>
      <w:r w:rsidRPr="005D45DF">
        <w:rPr>
          <w:rFonts w:ascii="Arial" w:hAnsi="Arial" w:cs="Arial"/>
          <w:sz w:val="22"/>
          <w:szCs w:val="22"/>
        </w:rPr>
        <w:lastRenderedPageBreak/>
        <w:t xml:space="preserve">Después de un análisis del comportamiento </w:t>
      </w:r>
      <w:r w:rsidRPr="00A27405">
        <w:rPr>
          <w:rFonts w:ascii="Arial" w:hAnsi="Arial" w:cs="Arial"/>
          <w:sz w:val="22"/>
          <w:szCs w:val="22"/>
        </w:rPr>
        <w:t xml:space="preserve">de los precios de los energéticos comparados con el comportamiento del precio del crudo referencia WTI y BRENT, se concluye que los precios de los energéticos tenían un comportamiento similar y más acorde al crudo de referencia BRENT. Por lo anterior, los análisis plasmados en este documento se realizaron utilizando el crudo de referencia BRENT como indexador de precios de los distintos energéticos. </w:t>
      </w:r>
    </w:p>
    <w:p w14:paraId="09A967CB" w14:textId="77777777" w:rsidR="00A27405" w:rsidRDefault="00A27405" w:rsidP="00914134">
      <w:pPr>
        <w:spacing w:before="240" w:after="240" w:line="276" w:lineRule="auto"/>
        <w:jc w:val="both"/>
      </w:pPr>
    </w:p>
    <w:p w14:paraId="79D73921" w14:textId="77777777" w:rsidR="00914134" w:rsidRDefault="00914134" w:rsidP="00914134">
      <w:pPr>
        <w:tabs>
          <w:tab w:val="left" w:pos="966"/>
        </w:tabs>
        <w:spacing w:before="240" w:after="240" w:line="276" w:lineRule="auto"/>
        <w:sectPr w:rsidR="00914134" w:rsidSect="0024531A">
          <w:pgSz w:w="12240" w:h="15840" w:code="1"/>
          <w:pgMar w:top="1843" w:right="1183" w:bottom="1134" w:left="1418" w:header="284" w:footer="851" w:gutter="0"/>
          <w:pgBorders w:offsetFrom="page">
            <w:bottom w:val="single" w:sz="4" w:space="24" w:color="FFFFFF" w:themeColor="background1"/>
          </w:pgBorders>
          <w:cols w:space="720"/>
          <w:formProt w:val="0"/>
          <w:docGrid w:linePitch="360" w:charSpace="-6145"/>
        </w:sectPr>
      </w:pPr>
    </w:p>
    <w:p w14:paraId="50B792F6" w14:textId="77777777" w:rsidR="00914134" w:rsidRPr="000B20EC" w:rsidRDefault="00914134" w:rsidP="00914134">
      <w:pPr>
        <w:pStyle w:val="Ttulo1"/>
      </w:pPr>
      <w:bookmarkStart w:id="33" w:name="_Toc403636374"/>
      <w:bookmarkStart w:id="34" w:name="_Toc403637340"/>
      <w:bookmarkStart w:id="35" w:name="_Toc403637935"/>
      <w:bookmarkStart w:id="36" w:name="_Toc403638040"/>
      <w:bookmarkStart w:id="37" w:name="_Toc403638284"/>
      <w:bookmarkStart w:id="38" w:name="_Toc499539618"/>
      <w:r w:rsidRPr="000B20EC">
        <w:lastRenderedPageBreak/>
        <w:t xml:space="preserve"> </w:t>
      </w:r>
      <w:bookmarkStart w:id="39" w:name="_Toc530045823"/>
      <w:r w:rsidRPr="000B20EC">
        <w:t>EL SECTOR ELÉCTRICO COLOMBIANO</w:t>
      </w:r>
      <w:bookmarkEnd w:id="33"/>
      <w:bookmarkEnd w:id="34"/>
      <w:bookmarkEnd w:id="35"/>
      <w:bookmarkEnd w:id="36"/>
      <w:bookmarkEnd w:id="37"/>
      <w:bookmarkEnd w:id="38"/>
      <w:bookmarkEnd w:id="39"/>
      <w:r w:rsidRPr="000B20EC">
        <w:t xml:space="preserve"> </w:t>
      </w:r>
      <w:bookmarkStart w:id="40" w:name="_Toc502220935"/>
      <w:bookmarkStart w:id="41" w:name="_Toc502237464"/>
      <w:bookmarkStart w:id="42" w:name="_Toc502238698"/>
      <w:bookmarkStart w:id="43" w:name="_Toc502238964"/>
      <w:bookmarkStart w:id="44" w:name="_Toc502239897"/>
      <w:bookmarkStart w:id="45" w:name="_Toc502240156"/>
      <w:bookmarkStart w:id="46" w:name="_Toc502240419"/>
      <w:bookmarkStart w:id="47" w:name="_Toc502240676"/>
      <w:bookmarkStart w:id="48" w:name="_Toc502240933"/>
      <w:bookmarkEnd w:id="40"/>
      <w:bookmarkEnd w:id="41"/>
      <w:bookmarkEnd w:id="42"/>
      <w:bookmarkEnd w:id="43"/>
      <w:bookmarkEnd w:id="44"/>
      <w:bookmarkEnd w:id="45"/>
      <w:bookmarkEnd w:id="46"/>
      <w:bookmarkEnd w:id="47"/>
      <w:bookmarkEnd w:id="48"/>
    </w:p>
    <w:p w14:paraId="2D8DB778" w14:textId="77777777" w:rsidR="00914134" w:rsidRPr="00115BAF" w:rsidRDefault="00914134" w:rsidP="00914134">
      <w:pPr>
        <w:spacing w:before="240" w:after="240" w:line="276" w:lineRule="auto"/>
        <w:jc w:val="both"/>
        <w:rPr>
          <w:rFonts w:ascii="Arial" w:hAnsi="Arial" w:cs="Arial"/>
          <w:sz w:val="22"/>
          <w:szCs w:val="22"/>
        </w:rPr>
      </w:pPr>
      <w:r w:rsidRPr="00115BAF">
        <w:rPr>
          <w:rFonts w:ascii="Arial" w:hAnsi="Arial" w:cs="Arial"/>
          <w:sz w:val="22"/>
          <w:szCs w:val="22"/>
        </w:rPr>
        <w:t>El sistema eléctrico colombiano se ha caracterizado por contar con una amplia participación de centrales hidráulicas tanto en capacidad instalada como en generación, sin embargo el parque generador térmico ha jugado un papel importante en momentos de baja disponibilidad de recurso hídrico, como ocurre en los eventos del Fenómeno del Niño.</w:t>
      </w:r>
    </w:p>
    <w:p w14:paraId="30C430BD" w14:textId="77777777" w:rsidR="00914134" w:rsidRPr="00115BAF" w:rsidRDefault="00914134" w:rsidP="00914134">
      <w:pPr>
        <w:spacing w:before="240" w:after="240" w:line="276" w:lineRule="auto"/>
        <w:jc w:val="both"/>
        <w:rPr>
          <w:rFonts w:ascii="Arial" w:hAnsi="Arial" w:cs="Arial"/>
          <w:sz w:val="22"/>
          <w:szCs w:val="22"/>
        </w:rPr>
      </w:pPr>
      <w:r w:rsidRPr="00115BAF">
        <w:rPr>
          <w:rFonts w:ascii="Arial" w:hAnsi="Arial" w:cs="Arial"/>
          <w:sz w:val="22"/>
          <w:szCs w:val="22"/>
        </w:rPr>
        <w:t>Con la entrada en vigencia del cargo por confiabilidad, el país ha contado con energía firme respaldada tanto por unidades de generación hidráulica como de generación térmica que son puestas en funcionamiento por combustibles fósiles como el gas natural, carbón mineral y los derivados del petróleo. Teniendo en cuenta el mercado eléctrico colombiano, se encuentra que el precio de la electricidad que se ofrece en el sistema está influenciado por el precio de los combustibles debido a su relación directa en la generación.</w:t>
      </w:r>
    </w:p>
    <w:p w14:paraId="718E9AB3" w14:textId="77777777" w:rsidR="00914134" w:rsidRPr="00115BAF" w:rsidRDefault="00914134" w:rsidP="00914134">
      <w:pPr>
        <w:spacing w:before="240" w:after="240" w:line="276" w:lineRule="auto"/>
        <w:jc w:val="both"/>
        <w:rPr>
          <w:rFonts w:ascii="Arial" w:hAnsi="Arial" w:cs="Arial"/>
          <w:sz w:val="22"/>
          <w:szCs w:val="22"/>
        </w:rPr>
      </w:pPr>
      <w:r w:rsidRPr="00115BAF">
        <w:rPr>
          <w:rFonts w:ascii="Arial" w:hAnsi="Arial" w:cs="Arial"/>
          <w:sz w:val="22"/>
          <w:szCs w:val="22"/>
        </w:rPr>
        <w:t>Considerando que este sector representa un componente importante en la demanda de combustibles fósiles se presenta una breve caracterización del mismo.</w:t>
      </w:r>
    </w:p>
    <w:p w14:paraId="06D1AF48" w14:textId="77777777" w:rsidR="00914134" w:rsidRPr="000B20EC" w:rsidRDefault="00914134" w:rsidP="00914134">
      <w:pPr>
        <w:pStyle w:val="Ttulo2"/>
      </w:pPr>
      <w:bookmarkStart w:id="49" w:name="_Toc499539619"/>
      <w:bookmarkStart w:id="50" w:name="_Toc530045824"/>
      <w:r w:rsidRPr="000B20EC">
        <w:t>Descripción del parque térmico</w:t>
      </w:r>
      <w:bookmarkEnd w:id="49"/>
      <w:bookmarkEnd w:id="50"/>
    </w:p>
    <w:p w14:paraId="353E0026" w14:textId="77777777" w:rsidR="00914134" w:rsidRPr="00115BAF" w:rsidRDefault="00914134" w:rsidP="00914134">
      <w:pPr>
        <w:spacing w:before="240" w:after="240" w:line="276" w:lineRule="auto"/>
        <w:jc w:val="both"/>
        <w:rPr>
          <w:rFonts w:ascii="Arial" w:hAnsi="Arial" w:cs="Arial"/>
          <w:sz w:val="22"/>
          <w:szCs w:val="22"/>
        </w:rPr>
      </w:pPr>
      <w:r w:rsidRPr="00115BAF">
        <w:rPr>
          <w:rFonts w:ascii="Arial" w:hAnsi="Arial" w:cs="Arial"/>
          <w:sz w:val="22"/>
          <w:szCs w:val="22"/>
        </w:rPr>
        <w:t>Según el sistema de información de XM, el Sistema Interconectado Nacional – SIN cuenta con una capacidad instalada de 17</w:t>
      </w:r>
      <w:r>
        <w:rPr>
          <w:rFonts w:ascii="Arial" w:hAnsi="Arial" w:cs="Arial"/>
          <w:sz w:val="22"/>
          <w:szCs w:val="22"/>
        </w:rPr>
        <w:t>,298.</w:t>
      </w:r>
      <w:r w:rsidRPr="00115BAF">
        <w:rPr>
          <w:rFonts w:ascii="Arial" w:hAnsi="Arial" w:cs="Arial"/>
          <w:sz w:val="22"/>
          <w:szCs w:val="22"/>
        </w:rPr>
        <w:t xml:space="preserve">1MW a Junio de 2018.  En donde las centrales hidroeléctricas tienen la mayor participación porcentual (68.89%) con respecto a la capacidad total. </w:t>
      </w:r>
    </w:p>
    <w:p w14:paraId="269884FA" w14:textId="5FCE253B" w:rsidR="00914134" w:rsidRPr="00115BAF" w:rsidRDefault="00914134" w:rsidP="00914134">
      <w:pPr>
        <w:spacing w:before="240" w:after="240" w:line="276" w:lineRule="auto"/>
        <w:jc w:val="both"/>
        <w:rPr>
          <w:rFonts w:ascii="Arial" w:hAnsi="Arial" w:cs="Arial"/>
          <w:sz w:val="22"/>
          <w:szCs w:val="22"/>
        </w:rPr>
      </w:pPr>
      <w:r w:rsidRPr="00115BAF">
        <w:rPr>
          <w:rFonts w:ascii="Arial" w:hAnsi="Arial" w:cs="Arial"/>
          <w:sz w:val="22"/>
          <w:szCs w:val="22"/>
        </w:rPr>
        <w:t xml:space="preserve">El parque generador cuenta con el respaldo de centrales térmicas que le permiten disponer de una mayor confiabilidad para garantizar el suministro de electricidad. Estas plantas utilizan como fuente de energía gas natural, carbón, ACPM, combustóleo, Jet A1 o en muchos casos disponen con sistemas de generación con tres diferentes fuentes. Ahora bien, específicamente las centrales térmicas en Colombia logran alcanzar de manera agregada </w:t>
      </w:r>
      <w:r>
        <w:rPr>
          <w:rFonts w:ascii="Arial" w:hAnsi="Arial" w:cs="Arial"/>
          <w:sz w:val="22"/>
          <w:szCs w:val="22"/>
        </w:rPr>
        <w:t>5,</w:t>
      </w:r>
      <w:r w:rsidR="00A27405">
        <w:rPr>
          <w:rFonts w:ascii="Arial" w:hAnsi="Arial" w:cs="Arial"/>
          <w:sz w:val="22"/>
          <w:szCs w:val="22"/>
        </w:rPr>
        <w:t xml:space="preserve">206 MW, lo cual equivale al </w:t>
      </w:r>
      <w:r w:rsidRPr="00115BAF">
        <w:rPr>
          <w:rFonts w:ascii="Arial" w:hAnsi="Arial" w:cs="Arial"/>
          <w:sz w:val="22"/>
          <w:szCs w:val="22"/>
        </w:rPr>
        <w:t>30.01% de participación de la capacidad total instalada para la generación. (</w:t>
      </w:r>
      <w:r w:rsidRPr="00117635">
        <w:rPr>
          <w:rFonts w:ascii="Arial" w:hAnsi="Arial" w:cs="Arial"/>
          <w:sz w:val="22"/>
          <w:szCs w:val="22"/>
          <w:highlight w:val="yellow"/>
        </w:rPr>
        <w:t xml:space="preserve">Ver </w:t>
      </w:r>
      <w:r w:rsidRPr="00117635">
        <w:rPr>
          <w:rFonts w:ascii="Arial" w:hAnsi="Arial" w:cs="Arial"/>
          <w:sz w:val="22"/>
          <w:szCs w:val="22"/>
          <w:highlight w:val="yellow"/>
        </w:rPr>
        <w:fldChar w:fldCharType="begin"/>
      </w:r>
      <w:r w:rsidRPr="00117635">
        <w:rPr>
          <w:rFonts w:ascii="Arial" w:hAnsi="Arial" w:cs="Arial"/>
          <w:sz w:val="22"/>
          <w:szCs w:val="22"/>
          <w:highlight w:val="yellow"/>
        </w:rPr>
        <w:instrText xml:space="preserve"> REF _Ref528851965 \h  \* MERGEFORMAT </w:instrText>
      </w:r>
      <w:r w:rsidRPr="00117635">
        <w:rPr>
          <w:rFonts w:ascii="Arial" w:hAnsi="Arial" w:cs="Arial"/>
          <w:sz w:val="22"/>
          <w:szCs w:val="22"/>
          <w:highlight w:val="yellow"/>
        </w:rPr>
      </w:r>
      <w:r w:rsidRPr="00117635">
        <w:rPr>
          <w:rFonts w:ascii="Arial" w:hAnsi="Arial" w:cs="Arial"/>
          <w:sz w:val="22"/>
          <w:szCs w:val="22"/>
          <w:highlight w:val="yellow"/>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2</w:t>
      </w:r>
      <w:r w:rsidR="00915705" w:rsidRPr="00915705">
        <w:rPr>
          <w:rFonts w:ascii="Arial" w:hAnsi="Arial" w:cs="Arial"/>
          <w:noProof/>
          <w:sz w:val="22"/>
          <w:szCs w:val="22"/>
          <w:highlight w:val="yellow"/>
        </w:rPr>
        <w:noBreakHyphen/>
        <w:t>1</w:t>
      </w:r>
      <w:r w:rsidRPr="00117635">
        <w:rPr>
          <w:rFonts w:ascii="Arial" w:hAnsi="Arial" w:cs="Arial"/>
          <w:sz w:val="22"/>
          <w:szCs w:val="22"/>
          <w:highlight w:val="yellow"/>
        </w:rPr>
        <w:fldChar w:fldCharType="end"/>
      </w:r>
      <w:r>
        <w:rPr>
          <w:rFonts w:ascii="Arial" w:hAnsi="Arial" w:cs="Arial"/>
          <w:sz w:val="22"/>
          <w:szCs w:val="22"/>
        </w:rPr>
        <w:t>).</w:t>
      </w:r>
    </w:p>
    <w:p w14:paraId="44323620" w14:textId="58902CBE" w:rsidR="00914134" w:rsidRDefault="00914134" w:rsidP="00914134">
      <w:pPr>
        <w:pStyle w:val="Descripcin"/>
        <w:keepNext/>
        <w:spacing w:after="0"/>
        <w:jc w:val="center"/>
        <w:rPr>
          <w:i w:val="0"/>
          <w:color w:val="auto"/>
          <w:sz w:val="20"/>
        </w:rPr>
      </w:pPr>
      <w:bookmarkStart w:id="51" w:name="_Ref528851965"/>
      <w:bookmarkStart w:id="52" w:name="_Ref528851960"/>
      <w:bookmarkStart w:id="53" w:name="_Toc530033400"/>
      <w:bookmarkStart w:id="54" w:name="_Ref446082483"/>
      <w:r w:rsidRPr="009100D9">
        <w:rPr>
          <w:b/>
          <w:i w:val="0"/>
          <w:color w:val="auto"/>
          <w:sz w:val="20"/>
          <w:highlight w:val="yellow"/>
        </w:rPr>
        <w:lastRenderedPageBreak/>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2</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bookmarkEnd w:id="51"/>
      <w:r w:rsidRPr="009100D9">
        <w:rPr>
          <w:i w:val="0"/>
          <w:color w:val="auto"/>
          <w:sz w:val="20"/>
        </w:rPr>
        <w:t xml:space="preserve"> Participación de capacidad instalada térmica en el SIN</w:t>
      </w:r>
      <w:bookmarkEnd w:id="52"/>
      <w:bookmarkEnd w:id="53"/>
    </w:p>
    <w:p w14:paraId="55533228" w14:textId="77777777" w:rsidR="00914134" w:rsidRPr="00117635" w:rsidRDefault="00914134" w:rsidP="00914134">
      <w:pPr>
        <w:jc w:val="center"/>
        <w:rPr>
          <w:lang w:val="es-CO" w:eastAsia="es-ES"/>
        </w:rPr>
      </w:pPr>
      <w:r w:rsidRPr="00117635">
        <w:rPr>
          <w:noProof/>
          <w:lang w:val="es-ES" w:eastAsia="es-ES"/>
        </w:rPr>
        <w:drawing>
          <wp:inline distT="0" distB="0" distL="0" distR="0" wp14:anchorId="5C580D28" wp14:editId="6357F827">
            <wp:extent cx="3964235" cy="324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4235" cy="3240000"/>
                    </a:xfrm>
                    <a:prstGeom prst="rect">
                      <a:avLst/>
                    </a:prstGeom>
                    <a:noFill/>
                    <a:ln>
                      <a:noFill/>
                    </a:ln>
                  </pic:spPr>
                </pic:pic>
              </a:graphicData>
            </a:graphic>
          </wp:inline>
        </w:drawing>
      </w:r>
    </w:p>
    <w:bookmarkEnd w:id="54"/>
    <w:p w14:paraId="73B7FBC6" w14:textId="20531898" w:rsidR="00914134" w:rsidRPr="00115BAF" w:rsidRDefault="00914134" w:rsidP="00914134">
      <w:pPr>
        <w:spacing w:after="240" w:line="276" w:lineRule="auto"/>
        <w:jc w:val="center"/>
        <w:rPr>
          <w:rFonts w:ascii="Arial" w:hAnsi="Arial" w:cs="Arial"/>
          <w:sz w:val="16"/>
          <w:szCs w:val="16"/>
        </w:rPr>
      </w:pPr>
      <w:r w:rsidRPr="005D45DF">
        <w:rPr>
          <w:rFonts w:ascii="Arial" w:hAnsi="Arial" w:cs="Arial"/>
          <w:b/>
          <w:sz w:val="16"/>
          <w:szCs w:val="16"/>
        </w:rPr>
        <w:t>Fuente:</w:t>
      </w:r>
      <w:r w:rsidRPr="005D45DF">
        <w:rPr>
          <w:rFonts w:ascii="Arial" w:hAnsi="Arial" w:cs="Arial"/>
          <w:sz w:val="16"/>
          <w:szCs w:val="16"/>
        </w:rPr>
        <w:t xml:space="preserve"> XM</w:t>
      </w:r>
      <w:r w:rsidR="005D45DF" w:rsidRPr="005D45DF">
        <w:rPr>
          <w:rFonts w:ascii="Arial" w:hAnsi="Arial" w:cs="Arial"/>
          <w:sz w:val="16"/>
          <w:szCs w:val="16"/>
        </w:rPr>
        <w:t xml:space="preserve"> </w:t>
      </w:r>
      <w:r w:rsidR="005D45DF" w:rsidRPr="005D45DF">
        <w:rPr>
          <w:rFonts w:ascii="Arial" w:hAnsi="Arial" w:cs="Arial"/>
          <w:sz w:val="16"/>
          <w:szCs w:val="16"/>
        </w:rPr>
        <w:fldChar w:fldCharType="begin"/>
      </w:r>
      <w:r w:rsidR="005D45DF" w:rsidRPr="005D45DF">
        <w:rPr>
          <w:rFonts w:ascii="Arial" w:hAnsi="Arial" w:cs="Arial"/>
          <w:sz w:val="16"/>
          <w:szCs w:val="16"/>
        </w:rPr>
        <w:instrText xml:space="preserve"> REF _Ref529881575 \r \h </w:instrText>
      </w:r>
      <w:r w:rsidR="005D45DF">
        <w:rPr>
          <w:rFonts w:ascii="Arial" w:hAnsi="Arial" w:cs="Arial"/>
          <w:sz w:val="16"/>
          <w:szCs w:val="16"/>
        </w:rPr>
        <w:instrText xml:space="preserve"> \* MERGEFORMAT </w:instrText>
      </w:r>
      <w:r w:rsidR="005D45DF" w:rsidRPr="005D45DF">
        <w:rPr>
          <w:rFonts w:ascii="Arial" w:hAnsi="Arial" w:cs="Arial"/>
          <w:sz w:val="16"/>
          <w:szCs w:val="16"/>
        </w:rPr>
      </w:r>
      <w:r w:rsidR="005D45DF" w:rsidRPr="005D45DF">
        <w:rPr>
          <w:rFonts w:ascii="Arial" w:hAnsi="Arial" w:cs="Arial"/>
          <w:sz w:val="16"/>
          <w:szCs w:val="16"/>
        </w:rPr>
        <w:fldChar w:fldCharType="separate"/>
      </w:r>
      <w:r w:rsidR="00915705">
        <w:rPr>
          <w:rFonts w:ascii="Arial" w:hAnsi="Arial" w:cs="Arial"/>
          <w:sz w:val="16"/>
          <w:szCs w:val="16"/>
        </w:rPr>
        <w:t>[12]</w:t>
      </w:r>
      <w:r w:rsidR="005D45DF" w:rsidRPr="005D45DF">
        <w:rPr>
          <w:rFonts w:ascii="Arial" w:hAnsi="Arial" w:cs="Arial"/>
          <w:sz w:val="16"/>
          <w:szCs w:val="16"/>
        </w:rPr>
        <w:fldChar w:fldCharType="end"/>
      </w:r>
      <w:r w:rsidRPr="00115BAF">
        <w:rPr>
          <w:rFonts w:ascii="Arial" w:hAnsi="Arial" w:cs="Arial"/>
          <w:sz w:val="16"/>
          <w:szCs w:val="16"/>
        </w:rPr>
        <w:t xml:space="preserve"> </w:t>
      </w:r>
    </w:p>
    <w:p w14:paraId="7442D390" w14:textId="77777777" w:rsidR="00914134" w:rsidRPr="00BA1B41" w:rsidRDefault="00914134" w:rsidP="00006B6F">
      <w:pPr>
        <w:pStyle w:val="Ttulo3"/>
      </w:pPr>
      <w:bookmarkStart w:id="55" w:name="_Toc530045825"/>
      <w:r w:rsidRPr="00BA1B41">
        <w:t>Plantas a gas natural</w:t>
      </w:r>
      <w:bookmarkEnd w:id="55"/>
    </w:p>
    <w:p w14:paraId="42BB263C" w14:textId="77777777" w:rsidR="00914134" w:rsidRPr="00115BAF" w:rsidRDefault="00914134" w:rsidP="00914134">
      <w:pPr>
        <w:spacing w:before="240" w:after="240" w:line="276" w:lineRule="auto"/>
        <w:jc w:val="both"/>
        <w:rPr>
          <w:rFonts w:ascii="Arial" w:hAnsi="Arial" w:cs="Arial"/>
          <w:sz w:val="22"/>
          <w:szCs w:val="22"/>
        </w:rPr>
      </w:pPr>
      <w:r w:rsidRPr="00115BAF">
        <w:rPr>
          <w:rFonts w:ascii="Arial" w:hAnsi="Arial" w:cs="Arial"/>
          <w:sz w:val="22"/>
          <w:szCs w:val="22"/>
        </w:rPr>
        <w:t xml:space="preserve">En la </w:t>
      </w:r>
      <w:r w:rsidRPr="00115BAF">
        <w:rPr>
          <w:rFonts w:ascii="Arial" w:hAnsi="Arial" w:cs="Arial"/>
          <w:sz w:val="22"/>
          <w:szCs w:val="22"/>
          <w:highlight w:val="yellow"/>
        </w:rPr>
        <w:fldChar w:fldCharType="begin"/>
      </w:r>
      <w:r w:rsidRPr="00115BAF">
        <w:rPr>
          <w:rFonts w:ascii="Arial" w:hAnsi="Arial" w:cs="Arial"/>
          <w:sz w:val="22"/>
          <w:szCs w:val="22"/>
          <w:highlight w:val="yellow"/>
        </w:rPr>
        <w:instrText xml:space="preserve"> REF _Ref528851525 \h  \* MERGEFORMAT </w:instrText>
      </w:r>
      <w:r w:rsidRPr="00115BAF">
        <w:rPr>
          <w:rFonts w:ascii="Arial" w:hAnsi="Arial" w:cs="Arial"/>
          <w:sz w:val="22"/>
          <w:szCs w:val="22"/>
          <w:highlight w:val="yellow"/>
        </w:rPr>
      </w:r>
      <w:r w:rsidRPr="00115BAF">
        <w:rPr>
          <w:rFonts w:ascii="Arial" w:hAnsi="Arial" w:cs="Arial"/>
          <w:sz w:val="22"/>
          <w:szCs w:val="22"/>
          <w:highlight w:val="yellow"/>
        </w:rPr>
        <w:fldChar w:fldCharType="separate"/>
      </w:r>
      <w:r w:rsidR="00915705" w:rsidRPr="00915705">
        <w:rPr>
          <w:rFonts w:ascii="Arial" w:hAnsi="Arial" w:cs="Arial"/>
          <w:sz w:val="22"/>
          <w:szCs w:val="22"/>
          <w:highlight w:val="yellow"/>
        </w:rPr>
        <w:t xml:space="preserve">Tabla </w:t>
      </w:r>
      <w:r w:rsidR="00915705" w:rsidRPr="00915705">
        <w:rPr>
          <w:rFonts w:ascii="Arial" w:hAnsi="Arial" w:cs="Arial"/>
          <w:noProof/>
          <w:sz w:val="22"/>
          <w:szCs w:val="22"/>
          <w:highlight w:val="yellow"/>
        </w:rPr>
        <w:t>2</w:t>
      </w:r>
      <w:r w:rsidR="00915705" w:rsidRPr="00915705">
        <w:rPr>
          <w:rFonts w:ascii="Arial" w:hAnsi="Arial" w:cs="Arial"/>
          <w:noProof/>
          <w:sz w:val="22"/>
          <w:szCs w:val="22"/>
          <w:highlight w:val="yellow"/>
        </w:rPr>
        <w:noBreakHyphen/>
        <w:t>1</w:t>
      </w:r>
      <w:r w:rsidRPr="00115BAF">
        <w:rPr>
          <w:rFonts w:ascii="Arial" w:hAnsi="Arial" w:cs="Arial"/>
          <w:sz w:val="22"/>
          <w:szCs w:val="22"/>
          <w:highlight w:val="yellow"/>
        </w:rPr>
        <w:fldChar w:fldCharType="end"/>
      </w:r>
      <w:r>
        <w:rPr>
          <w:rFonts w:ascii="Arial" w:hAnsi="Arial" w:cs="Arial"/>
          <w:sz w:val="22"/>
          <w:szCs w:val="22"/>
        </w:rPr>
        <w:t xml:space="preserve"> </w:t>
      </w:r>
      <w:r w:rsidRPr="00115BAF">
        <w:rPr>
          <w:rFonts w:ascii="Arial" w:hAnsi="Arial" w:cs="Arial"/>
          <w:sz w:val="22"/>
          <w:szCs w:val="22"/>
        </w:rPr>
        <w:t xml:space="preserve">se muestran las unidades de generación térmica que emplean gas natural como insumo para la generación. En total el sistema cuenta con </w:t>
      </w:r>
      <w:r>
        <w:rPr>
          <w:rFonts w:ascii="Arial" w:eastAsia="Times New Roman" w:hAnsi="Arial" w:cs="Arial"/>
          <w:bCs/>
          <w:color w:val="000000"/>
          <w:sz w:val="22"/>
          <w:szCs w:val="22"/>
          <w:lang w:val="es-CO" w:eastAsia="es-CO"/>
        </w:rPr>
        <w:t>2,</w:t>
      </w:r>
      <w:r w:rsidRPr="00115BAF">
        <w:rPr>
          <w:rFonts w:ascii="Arial" w:eastAsia="Times New Roman" w:hAnsi="Arial" w:cs="Arial"/>
          <w:bCs/>
          <w:color w:val="000000"/>
          <w:sz w:val="22"/>
          <w:szCs w:val="22"/>
          <w:lang w:val="es-CO" w:eastAsia="es-CO"/>
        </w:rPr>
        <w:t>574</w:t>
      </w:r>
      <w:r w:rsidRPr="00115BAF">
        <w:rPr>
          <w:rFonts w:ascii="Arial" w:eastAsia="Times New Roman" w:hAnsi="Arial" w:cs="Arial"/>
          <w:b/>
          <w:bCs/>
          <w:color w:val="000000"/>
          <w:sz w:val="22"/>
          <w:szCs w:val="22"/>
          <w:lang w:val="es-CO" w:eastAsia="es-CO"/>
        </w:rPr>
        <w:t xml:space="preserve"> </w:t>
      </w:r>
      <w:r w:rsidRPr="00115BAF">
        <w:rPr>
          <w:rFonts w:ascii="Arial" w:hAnsi="Arial" w:cs="Arial"/>
          <w:sz w:val="22"/>
          <w:szCs w:val="22"/>
        </w:rPr>
        <w:t xml:space="preserve">MW instalados distribuidos en 22 unidades. </w:t>
      </w:r>
      <w:r>
        <w:rPr>
          <w:rFonts w:ascii="Arial" w:hAnsi="Arial" w:cs="Arial"/>
          <w:sz w:val="22"/>
          <w:szCs w:val="22"/>
        </w:rPr>
        <w:t>Geográficamente</w:t>
      </w:r>
      <w:r w:rsidRPr="00115BAF">
        <w:rPr>
          <w:rFonts w:ascii="Arial" w:hAnsi="Arial" w:cs="Arial"/>
          <w:sz w:val="22"/>
          <w:szCs w:val="22"/>
        </w:rPr>
        <w:t xml:space="preserve"> la mayor contribución proviene del departamento del Atlántico el cual  concentra cerca del 59% de la capacidad de generación térmica a gas, seguido por el departamento de Santander el cual aporta cerca del 17%. El restante 24% se concentra en los departamentos de Bolívar, Casanare y Tolima.</w:t>
      </w:r>
    </w:p>
    <w:p w14:paraId="20B6AD6E" w14:textId="77777777" w:rsidR="00914134" w:rsidRPr="00EE2C47" w:rsidRDefault="00914134" w:rsidP="00914134">
      <w:pPr>
        <w:pStyle w:val="Descripcin"/>
        <w:spacing w:after="0"/>
        <w:jc w:val="center"/>
        <w:rPr>
          <w:i w:val="0"/>
          <w:color w:val="auto"/>
          <w:sz w:val="20"/>
        </w:rPr>
      </w:pPr>
      <w:bookmarkStart w:id="56" w:name="_Ref528851525"/>
      <w:bookmarkStart w:id="57" w:name="_Toc499794489"/>
      <w:bookmarkStart w:id="58" w:name="_Toc529889742"/>
      <w:r w:rsidRPr="00115BAF">
        <w:rPr>
          <w:b/>
          <w:i w:val="0"/>
          <w:color w:val="auto"/>
          <w:sz w:val="20"/>
          <w:highlight w:val="yellow"/>
        </w:rPr>
        <w:t xml:space="preserve">Tabla </w:t>
      </w:r>
      <w:r>
        <w:rPr>
          <w:b/>
          <w:i w:val="0"/>
          <w:color w:val="auto"/>
          <w:sz w:val="20"/>
          <w:highlight w:val="yellow"/>
        </w:rPr>
        <w:fldChar w:fldCharType="begin"/>
      </w:r>
      <w:r>
        <w:rPr>
          <w:b/>
          <w:i w:val="0"/>
          <w:color w:val="auto"/>
          <w:sz w:val="20"/>
          <w:highlight w:val="yellow"/>
        </w:rPr>
        <w:instrText xml:space="preserve"> STYLEREF 1 \s </w:instrText>
      </w:r>
      <w:r>
        <w:rPr>
          <w:b/>
          <w:i w:val="0"/>
          <w:color w:val="auto"/>
          <w:sz w:val="20"/>
          <w:highlight w:val="yellow"/>
        </w:rPr>
        <w:fldChar w:fldCharType="separate"/>
      </w:r>
      <w:r w:rsidR="00915705">
        <w:rPr>
          <w:b/>
          <w:i w:val="0"/>
          <w:noProof/>
          <w:color w:val="auto"/>
          <w:sz w:val="20"/>
          <w:highlight w:val="yellow"/>
        </w:rPr>
        <w:t>2</w:t>
      </w:r>
      <w:r>
        <w:rPr>
          <w:b/>
          <w:i w:val="0"/>
          <w:color w:val="auto"/>
          <w:sz w:val="20"/>
          <w:highlight w:val="yellow"/>
        </w:rPr>
        <w:fldChar w:fldCharType="end"/>
      </w:r>
      <w:r>
        <w:rPr>
          <w:b/>
          <w:i w:val="0"/>
          <w:color w:val="auto"/>
          <w:sz w:val="20"/>
          <w:highlight w:val="yellow"/>
        </w:rPr>
        <w:noBreakHyphen/>
      </w:r>
      <w:r>
        <w:rPr>
          <w:b/>
          <w:i w:val="0"/>
          <w:color w:val="auto"/>
          <w:sz w:val="20"/>
          <w:highlight w:val="yellow"/>
        </w:rPr>
        <w:fldChar w:fldCharType="begin"/>
      </w:r>
      <w:r>
        <w:rPr>
          <w:b/>
          <w:i w:val="0"/>
          <w:color w:val="auto"/>
          <w:sz w:val="20"/>
          <w:highlight w:val="yellow"/>
        </w:rPr>
        <w:instrText xml:space="preserve"> SEQ Tabla \* ARABIC \s 1 </w:instrText>
      </w:r>
      <w:r>
        <w:rPr>
          <w:b/>
          <w:i w:val="0"/>
          <w:color w:val="auto"/>
          <w:sz w:val="20"/>
          <w:highlight w:val="yellow"/>
        </w:rPr>
        <w:fldChar w:fldCharType="separate"/>
      </w:r>
      <w:r w:rsidR="00915705">
        <w:rPr>
          <w:b/>
          <w:i w:val="0"/>
          <w:noProof/>
          <w:color w:val="auto"/>
          <w:sz w:val="20"/>
          <w:highlight w:val="yellow"/>
        </w:rPr>
        <w:t>1</w:t>
      </w:r>
      <w:r>
        <w:rPr>
          <w:b/>
          <w:i w:val="0"/>
          <w:color w:val="auto"/>
          <w:sz w:val="20"/>
          <w:highlight w:val="yellow"/>
        </w:rPr>
        <w:fldChar w:fldCharType="end"/>
      </w:r>
      <w:bookmarkEnd w:id="56"/>
      <w:r w:rsidRPr="00F11AC5">
        <w:rPr>
          <w:b/>
          <w:i w:val="0"/>
          <w:color w:val="auto"/>
          <w:sz w:val="20"/>
        </w:rPr>
        <w:t xml:space="preserve"> </w:t>
      </w:r>
      <w:r w:rsidRPr="00F11AC5">
        <w:rPr>
          <w:i w:val="0"/>
          <w:color w:val="auto"/>
          <w:sz w:val="20"/>
        </w:rPr>
        <w:t>Unidades</w:t>
      </w:r>
      <w:r w:rsidRPr="00EE2C47">
        <w:rPr>
          <w:i w:val="0"/>
          <w:color w:val="auto"/>
          <w:sz w:val="20"/>
        </w:rPr>
        <w:t xml:space="preserve"> de generación térmica del SIN operadas con gas natural</w:t>
      </w:r>
      <w:bookmarkEnd w:id="57"/>
      <w:bookmarkEnd w:id="58"/>
    </w:p>
    <w:tbl>
      <w:tblPr>
        <w:tblW w:w="7568" w:type="dxa"/>
        <w:jc w:val="center"/>
        <w:tblCellMar>
          <w:left w:w="70" w:type="dxa"/>
          <w:right w:w="70" w:type="dxa"/>
        </w:tblCellMar>
        <w:tblLook w:val="04A0" w:firstRow="1" w:lastRow="0" w:firstColumn="1" w:lastColumn="0" w:noHBand="0" w:noVBand="1"/>
      </w:tblPr>
      <w:tblGrid>
        <w:gridCol w:w="3027"/>
        <w:gridCol w:w="1899"/>
        <w:gridCol w:w="2642"/>
      </w:tblGrid>
      <w:tr w:rsidR="00914134" w:rsidRPr="00D35A5A" w14:paraId="514D9C26" w14:textId="77777777" w:rsidTr="0024531A">
        <w:trPr>
          <w:trHeight w:val="502"/>
          <w:tblHeader/>
          <w:jc w:val="center"/>
        </w:trPr>
        <w:tc>
          <w:tcPr>
            <w:tcW w:w="3027" w:type="dxa"/>
            <w:tcBorders>
              <w:top w:val="double" w:sz="6" w:space="0" w:color="auto"/>
              <w:left w:val="nil"/>
              <w:bottom w:val="single" w:sz="8" w:space="0" w:color="auto"/>
              <w:right w:val="nil"/>
            </w:tcBorders>
            <w:shd w:val="clear" w:color="auto" w:fill="auto"/>
            <w:noWrap/>
            <w:vAlign w:val="center"/>
            <w:hideMark/>
          </w:tcPr>
          <w:p w14:paraId="1B282270" w14:textId="77777777" w:rsidR="00914134" w:rsidRPr="00115BAF" w:rsidRDefault="00914134" w:rsidP="0024531A">
            <w:pPr>
              <w:jc w:val="center"/>
              <w:rPr>
                <w:rFonts w:ascii="Arial" w:eastAsia="Times New Roman" w:hAnsi="Arial" w:cs="Arial"/>
                <w:b/>
                <w:bCs/>
                <w:color w:val="000000"/>
                <w:sz w:val="20"/>
                <w:szCs w:val="20"/>
                <w:lang w:val="es-CO" w:eastAsia="es-CO"/>
              </w:rPr>
            </w:pPr>
            <w:r w:rsidRPr="00115BAF">
              <w:rPr>
                <w:rFonts w:ascii="Arial" w:eastAsia="Times New Roman" w:hAnsi="Arial" w:cs="Arial"/>
                <w:b/>
                <w:bCs/>
                <w:color w:val="000000"/>
                <w:sz w:val="20"/>
                <w:szCs w:val="20"/>
                <w:lang w:eastAsia="es-CO"/>
              </w:rPr>
              <w:t>Unidad térmica</w:t>
            </w:r>
          </w:p>
        </w:tc>
        <w:tc>
          <w:tcPr>
            <w:tcW w:w="1899" w:type="dxa"/>
            <w:tcBorders>
              <w:top w:val="double" w:sz="6" w:space="0" w:color="auto"/>
              <w:left w:val="nil"/>
              <w:bottom w:val="single" w:sz="8" w:space="0" w:color="auto"/>
              <w:right w:val="nil"/>
            </w:tcBorders>
            <w:shd w:val="clear" w:color="auto" w:fill="auto"/>
            <w:noWrap/>
            <w:vAlign w:val="center"/>
            <w:hideMark/>
          </w:tcPr>
          <w:p w14:paraId="6DBDF57B" w14:textId="77777777" w:rsidR="00914134" w:rsidRPr="00115BAF" w:rsidRDefault="00914134" w:rsidP="0024531A">
            <w:pPr>
              <w:jc w:val="center"/>
              <w:rPr>
                <w:rFonts w:ascii="Arial" w:eastAsia="Times New Roman" w:hAnsi="Arial" w:cs="Arial"/>
                <w:b/>
                <w:bCs/>
                <w:color w:val="000000"/>
                <w:sz w:val="20"/>
                <w:szCs w:val="20"/>
                <w:lang w:val="es-CO" w:eastAsia="es-CO"/>
              </w:rPr>
            </w:pPr>
            <w:r w:rsidRPr="00115BAF">
              <w:rPr>
                <w:rFonts w:ascii="Arial" w:eastAsia="Times New Roman" w:hAnsi="Arial" w:cs="Arial"/>
                <w:b/>
                <w:bCs/>
                <w:color w:val="000000"/>
                <w:sz w:val="20"/>
                <w:szCs w:val="20"/>
                <w:lang w:eastAsia="es-CO"/>
              </w:rPr>
              <w:t>Ubicación</w:t>
            </w:r>
          </w:p>
        </w:tc>
        <w:tc>
          <w:tcPr>
            <w:tcW w:w="2642" w:type="dxa"/>
            <w:tcBorders>
              <w:top w:val="double" w:sz="6" w:space="0" w:color="auto"/>
              <w:left w:val="nil"/>
              <w:bottom w:val="single" w:sz="8" w:space="0" w:color="auto"/>
              <w:right w:val="nil"/>
            </w:tcBorders>
            <w:shd w:val="clear" w:color="auto" w:fill="auto"/>
            <w:noWrap/>
            <w:vAlign w:val="center"/>
            <w:hideMark/>
          </w:tcPr>
          <w:p w14:paraId="2B7F64DF" w14:textId="77777777" w:rsidR="00914134" w:rsidRPr="00115BAF" w:rsidRDefault="00914134" w:rsidP="0024531A">
            <w:pPr>
              <w:jc w:val="center"/>
              <w:rPr>
                <w:rFonts w:ascii="Arial" w:eastAsia="Times New Roman" w:hAnsi="Arial" w:cs="Arial"/>
                <w:b/>
                <w:bCs/>
                <w:color w:val="000000"/>
                <w:sz w:val="20"/>
                <w:szCs w:val="20"/>
                <w:lang w:val="es-CO" w:eastAsia="es-CO"/>
              </w:rPr>
            </w:pPr>
            <w:r w:rsidRPr="00115BAF">
              <w:rPr>
                <w:rFonts w:ascii="Arial" w:eastAsia="Times New Roman" w:hAnsi="Arial" w:cs="Arial"/>
                <w:b/>
                <w:bCs/>
                <w:color w:val="000000"/>
                <w:sz w:val="20"/>
                <w:szCs w:val="20"/>
                <w:lang w:eastAsia="es-CO"/>
              </w:rPr>
              <w:t>Capacidad [MW]</w:t>
            </w:r>
          </w:p>
        </w:tc>
      </w:tr>
      <w:tr w:rsidR="00914134" w:rsidRPr="00D35A5A" w14:paraId="5512D2E9"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296C2F2E"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Tebsa</w:t>
            </w:r>
          </w:p>
        </w:tc>
        <w:tc>
          <w:tcPr>
            <w:tcW w:w="1899" w:type="dxa"/>
            <w:tcBorders>
              <w:top w:val="nil"/>
              <w:left w:val="nil"/>
              <w:bottom w:val="nil"/>
              <w:right w:val="nil"/>
            </w:tcBorders>
            <w:shd w:val="clear" w:color="auto" w:fill="auto"/>
            <w:noWrap/>
            <w:vAlign w:val="center"/>
            <w:hideMark/>
          </w:tcPr>
          <w:p w14:paraId="365AB53A"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Atlántico</w:t>
            </w:r>
          </w:p>
        </w:tc>
        <w:tc>
          <w:tcPr>
            <w:tcW w:w="2642" w:type="dxa"/>
            <w:tcBorders>
              <w:top w:val="nil"/>
              <w:left w:val="nil"/>
              <w:bottom w:val="nil"/>
              <w:right w:val="nil"/>
            </w:tcBorders>
            <w:shd w:val="clear" w:color="auto" w:fill="auto"/>
            <w:noWrap/>
            <w:vAlign w:val="center"/>
            <w:hideMark/>
          </w:tcPr>
          <w:p w14:paraId="50E750C7"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791</w:t>
            </w:r>
          </w:p>
        </w:tc>
      </w:tr>
      <w:tr w:rsidR="00914134" w:rsidRPr="00D35A5A" w14:paraId="429154A1"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4E320EB5"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Flores 4b</w:t>
            </w:r>
          </w:p>
        </w:tc>
        <w:tc>
          <w:tcPr>
            <w:tcW w:w="1899" w:type="dxa"/>
            <w:tcBorders>
              <w:top w:val="nil"/>
              <w:left w:val="nil"/>
              <w:bottom w:val="nil"/>
              <w:right w:val="nil"/>
            </w:tcBorders>
            <w:shd w:val="clear" w:color="auto" w:fill="auto"/>
            <w:noWrap/>
            <w:vAlign w:val="center"/>
            <w:hideMark/>
          </w:tcPr>
          <w:p w14:paraId="716B1C54"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Atlántico</w:t>
            </w:r>
          </w:p>
        </w:tc>
        <w:tc>
          <w:tcPr>
            <w:tcW w:w="2642" w:type="dxa"/>
            <w:tcBorders>
              <w:top w:val="nil"/>
              <w:left w:val="nil"/>
              <w:bottom w:val="nil"/>
              <w:right w:val="nil"/>
            </w:tcBorders>
            <w:shd w:val="clear" w:color="auto" w:fill="auto"/>
            <w:noWrap/>
            <w:vAlign w:val="center"/>
            <w:hideMark/>
          </w:tcPr>
          <w:p w14:paraId="352AB5E8"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450</w:t>
            </w:r>
          </w:p>
        </w:tc>
      </w:tr>
      <w:tr w:rsidR="00914134" w:rsidRPr="00D35A5A" w14:paraId="31B2A859"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5C688C0A"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Termocentro*</w:t>
            </w:r>
          </w:p>
        </w:tc>
        <w:tc>
          <w:tcPr>
            <w:tcW w:w="1899" w:type="dxa"/>
            <w:tcBorders>
              <w:top w:val="nil"/>
              <w:left w:val="nil"/>
              <w:bottom w:val="nil"/>
              <w:right w:val="nil"/>
            </w:tcBorders>
            <w:shd w:val="clear" w:color="auto" w:fill="auto"/>
            <w:noWrap/>
            <w:vAlign w:val="center"/>
            <w:hideMark/>
          </w:tcPr>
          <w:p w14:paraId="31D13686"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Santander</w:t>
            </w:r>
          </w:p>
        </w:tc>
        <w:tc>
          <w:tcPr>
            <w:tcW w:w="2642" w:type="dxa"/>
            <w:tcBorders>
              <w:top w:val="nil"/>
              <w:left w:val="nil"/>
              <w:bottom w:val="nil"/>
              <w:right w:val="nil"/>
            </w:tcBorders>
            <w:shd w:val="clear" w:color="auto" w:fill="auto"/>
            <w:noWrap/>
            <w:vAlign w:val="center"/>
            <w:hideMark/>
          </w:tcPr>
          <w:p w14:paraId="422572D2"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264</w:t>
            </w:r>
          </w:p>
        </w:tc>
      </w:tr>
      <w:tr w:rsidR="00914134" w:rsidRPr="00D35A5A" w14:paraId="73B31339"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2DF131CE"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Merilectrica 1</w:t>
            </w:r>
          </w:p>
        </w:tc>
        <w:tc>
          <w:tcPr>
            <w:tcW w:w="1899" w:type="dxa"/>
            <w:tcBorders>
              <w:top w:val="nil"/>
              <w:left w:val="nil"/>
              <w:bottom w:val="nil"/>
              <w:right w:val="nil"/>
            </w:tcBorders>
            <w:shd w:val="clear" w:color="auto" w:fill="auto"/>
            <w:noWrap/>
            <w:vAlign w:val="center"/>
            <w:hideMark/>
          </w:tcPr>
          <w:p w14:paraId="19106CA7"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Santander</w:t>
            </w:r>
          </w:p>
        </w:tc>
        <w:tc>
          <w:tcPr>
            <w:tcW w:w="2642" w:type="dxa"/>
            <w:tcBorders>
              <w:top w:val="nil"/>
              <w:left w:val="nil"/>
              <w:bottom w:val="nil"/>
              <w:right w:val="nil"/>
            </w:tcBorders>
            <w:shd w:val="clear" w:color="auto" w:fill="auto"/>
            <w:noWrap/>
            <w:vAlign w:val="center"/>
            <w:hideMark/>
          </w:tcPr>
          <w:p w14:paraId="2624FAB7"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167</w:t>
            </w:r>
          </w:p>
        </w:tc>
      </w:tr>
      <w:tr w:rsidR="00914134" w:rsidRPr="00D35A5A" w14:paraId="2167C656"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37F55C42"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Flores 1</w:t>
            </w:r>
          </w:p>
        </w:tc>
        <w:tc>
          <w:tcPr>
            <w:tcW w:w="1899" w:type="dxa"/>
            <w:tcBorders>
              <w:top w:val="nil"/>
              <w:left w:val="nil"/>
              <w:bottom w:val="nil"/>
              <w:right w:val="nil"/>
            </w:tcBorders>
            <w:shd w:val="clear" w:color="auto" w:fill="auto"/>
            <w:noWrap/>
            <w:vAlign w:val="center"/>
            <w:hideMark/>
          </w:tcPr>
          <w:p w14:paraId="5AE10ED7"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Atlántico</w:t>
            </w:r>
          </w:p>
        </w:tc>
        <w:tc>
          <w:tcPr>
            <w:tcW w:w="2642" w:type="dxa"/>
            <w:tcBorders>
              <w:top w:val="nil"/>
              <w:left w:val="nil"/>
              <w:bottom w:val="nil"/>
              <w:right w:val="nil"/>
            </w:tcBorders>
            <w:shd w:val="clear" w:color="auto" w:fill="auto"/>
            <w:noWrap/>
            <w:vAlign w:val="center"/>
            <w:hideMark/>
          </w:tcPr>
          <w:p w14:paraId="07033729"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160</w:t>
            </w:r>
          </w:p>
        </w:tc>
      </w:tr>
      <w:tr w:rsidR="00914134" w:rsidRPr="00D35A5A" w14:paraId="2E30B60D"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25308BB0"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Termocandelaria 1</w:t>
            </w:r>
          </w:p>
        </w:tc>
        <w:tc>
          <w:tcPr>
            <w:tcW w:w="1899" w:type="dxa"/>
            <w:tcBorders>
              <w:top w:val="nil"/>
              <w:left w:val="nil"/>
              <w:bottom w:val="nil"/>
              <w:right w:val="nil"/>
            </w:tcBorders>
            <w:shd w:val="clear" w:color="auto" w:fill="auto"/>
            <w:noWrap/>
            <w:vAlign w:val="center"/>
            <w:hideMark/>
          </w:tcPr>
          <w:p w14:paraId="526BAC7D"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Bolívar</w:t>
            </w:r>
          </w:p>
        </w:tc>
        <w:tc>
          <w:tcPr>
            <w:tcW w:w="2642" w:type="dxa"/>
            <w:tcBorders>
              <w:top w:val="nil"/>
              <w:left w:val="nil"/>
              <w:bottom w:val="nil"/>
              <w:right w:val="nil"/>
            </w:tcBorders>
            <w:shd w:val="clear" w:color="auto" w:fill="auto"/>
            <w:noWrap/>
            <w:vAlign w:val="center"/>
            <w:hideMark/>
          </w:tcPr>
          <w:p w14:paraId="07C5112E"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157</w:t>
            </w:r>
          </w:p>
        </w:tc>
      </w:tr>
      <w:tr w:rsidR="00914134" w:rsidRPr="00D35A5A" w14:paraId="7891AA58"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1DC4EE3C"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Termocandelaria 2</w:t>
            </w:r>
          </w:p>
        </w:tc>
        <w:tc>
          <w:tcPr>
            <w:tcW w:w="1899" w:type="dxa"/>
            <w:tcBorders>
              <w:top w:val="nil"/>
              <w:left w:val="nil"/>
              <w:bottom w:val="nil"/>
              <w:right w:val="nil"/>
            </w:tcBorders>
            <w:shd w:val="clear" w:color="auto" w:fill="auto"/>
            <w:noWrap/>
            <w:vAlign w:val="center"/>
            <w:hideMark/>
          </w:tcPr>
          <w:p w14:paraId="26F441A6"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Bolívar</w:t>
            </w:r>
          </w:p>
        </w:tc>
        <w:tc>
          <w:tcPr>
            <w:tcW w:w="2642" w:type="dxa"/>
            <w:tcBorders>
              <w:top w:val="nil"/>
              <w:left w:val="nil"/>
              <w:bottom w:val="nil"/>
              <w:right w:val="nil"/>
            </w:tcBorders>
            <w:shd w:val="clear" w:color="auto" w:fill="auto"/>
            <w:noWrap/>
            <w:vAlign w:val="center"/>
            <w:hideMark/>
          </w:tcPr>
          <w:p w14:paraId="03874C95"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157</w:t>
            </w:r>
          </w:p>
        </w:tc>
      </w:tr>
      <w:tr w:rsidR="00914134" w:rsidRPr="00D35A5A" w14:paraId="4579F473"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0740F758"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Barranquilla 3</w:t>
            </w:r>
          </w:p>
        </w:tc>
        <w:tc>
          <w:tcPr>
            <w:tcW w:w="1899" w:type="dxa"/>
            <w:tcBorders>
              <w:top w:val="nil"/>
              <w:left w:val="nil"/>
              <w:bottom w:val="nil"/>
              <w:right w:val="nil"/>
            </w:tcBorders>
            <w:shd w:val="clear" w:color="auto" w:fill="auto"/>
            <w:noWrap/>
            <w:vAlign w:val="center"/>
            <w:hideMark/>
          </w:tcPr>
          <w:p w14:paraId="625DAABB"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Atlántico</w:t>
            </w:r>
          </w:p>
        </w:tc>
        <w:tc>
          <w:tcPr>
            <w:tcW w:w="2642" w:type="dxa"/>
            <w:tcBorders>
              <w:top w:val="nil"/>
              <w:left w:val="nil"/>
              <w:bottom w:val="nil"/>
              <w:right w:val="nil"/>
            </w:tcBorders>
            <w:shd w:val="clear" w:color="auto" w:fill="auto"/>
            <w:noWrap/>
            <w:vAlign w:val="center"/>
            <w:hideMark/>
          </w:tcPr>
          <w:p w14:paraId="3E6BB7E0"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64</w:t>
            </w:r>
          </w:p>
        </w:tc>
      </w:tr>
      <w:tr w:rsidR="00914134" w:rsidRPr="00D35A5A" w14:paraId="5A3C1A94"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72A3C514"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lastRenderedPageBreak/>
              <w:t>Barranquilla 4</w:t>
            </w:r>
          </w:p>
        </w:tc>
        <w:tc>
          <w:tcPr>
            <w:tcW w:w="1899" w:type="dxa"/>
            <w:tcBorders>
              <w:top w:val="nil"/>
              <w:left w:val="nil"/>
              <w:bottom w:val="nil"/>
              <w:right w:val="nil"/>
            </w:tcBorders>
            <w:shd w:val="clear" w:color="auto" w:fill="auto"/>
            <w:noWrap/>
            <w:vAlign w:val="center"/>
            <w:hideMark/>
          </w:tcPr>
          <w:p w14:paraId="0FCC8049"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Atlántico</w:t>
            </w:r>
          </w:p>
        </w:tc>
        <w:tc>
          <w:tcPr>
            <w:tcW w:w="2642" w:type="dxa"/>
            <w:tcBorders>
              <w:top w:val="nil"/>
              <w:left w:val="nil"/>
              <w:bottom w:val="nil"/>
              <w:right w:val="nil"/>
            </w:tcBorders>
            <w:shd w:val="clear" w:color="auto" w:fill="auto"/>
            <w:noWrap/>
            <w:vAlign w:val="center"/>
            <w:hideMark/>
          </w:tcPr>
          <w:p w14:paraId="33623947"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63</w:t>
            </w:r>
          </w:p>
        </w:tc>
      </w:tr>
      <w:tr w:rsidR="00914134" w:rsidRPr="00D35A5A" w14:paraId="096AC583"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4ED48C09"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Proelectrica 1</w:t>
            </w:r>
          </w:p>
        </w:tc>
        <w:tc>
          <w:tcPr>
            <w:tcW w:w="1899" w:type="dxa"/>
            <w:tcBorders>
              <w:top w:val="nil"/>
              <w:left w:val="nil"/>
              <w:bottom w:val="nil"/>
              <w:right w:val="nil"/>
            </w:tcBorders>
            <w:shd w:val="clear" w:color="auto" w:fill="auto"/>
            <w:noWrap/>
            <w:vAlign w:val="center"/>
            <w:hideMark/>
          </w:tcPr>
          <w:p w14:paraId="4B0D212A"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Bolívar</w:t>
            </w:r>
          </w:p>
        </w:tc>
        <w:tc>
          <w:tcPr>
            <w:tcW w:w="2642" w:type="dxa"/>
            <w:tcBorders>
              <w:top w:val="nil"/>
              <w:left w:val="nil"/>
              <w:bottom w:val="nil"/>
              <w:right w:val="nil"/>
            </w:tcBorders>
            <w:shd w:val="clear" w:color="auto" w:fill="auto"/>
            <w:noWrap/>
            <w:vAlign w:val="center"/>
            <w:hideMark/>
          </w:tcPr>
          <w:p w14:paraId="51BE37AD"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45</w:t>
            </w:r>
          </w:p>
        </w:tc>
      </w:tr>
      <w:tr w:rsidR="00914134" w:rsidRPr="00D35A5A" w14:paraId="24752748"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6027E803"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Proelectrica 2</w:t>
            </w:r>
          </w:p>
        </w:tc>
        <w:tc>
          <w:tcPr>
            <w:tcW w:w="1899" w:type="dxa"/>
            <w:tcBorders>
              <w:top w:val="nil"/>
              <w:left w:val="nil"/>
              <w:bottom w:val="nil"/>
              <w:right w:val="nil"/>
            </w:tcBorders>
            <w:shd w:val="clear" w:color="auto" w:fill="auto"/>
            <w:noWrap/>
            <w:vAlign w:val="center"/>
            <w:hideMark/>
          </w:tcPr>
          <w:p w14:paraId="75FCA87B"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Bolívar</w:t>
            </w:r>
          </w:p>
        </w:tc>
        <w:tc>
          <w:tcPr>
            <w:tcW w:w="2642" w:type="dxa"/>
            <w:tcBorders>
              <w:top w:val="nil"/>
              <w:left w:val="nil"/>
              <w:bottom w:val="nil"/>
              <w:right w:val="nil"/>
            </w:tcBorders>
            <w:shd w:val="clear" w:color="auto" w:fill="auto"/>
            <w:noWrap/>
            <w:vAlign w:val="center"/>
            <w:hideMark/>
          </w:tcPr>
          <w:p w14:paraId="78D87E60"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45</w:t>
            </w:r>
          </w:p>
        </w:tc>
      </w:tr>
      <w:tr w:rsidR="00914134" w:rsidRPr="00D35A5A" w14:paraId="783A035F"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3D70B91E"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Termoyopal 2</w:t>
            </w:r>
          </w:p>
        </w:tc>
        <w:tc>
          <w:tcPr>
            <w:tcW w:w="1899" w:type="dxa"/>
            <w:tcBorders>
              <w:top w:val="nil"/>
              <w:left w:val="nil"/>
              <w:bottom w:val="nil"/>
              <w:right w:val="nil"/>
            </w:tcBorders>
            <w:shd w:val="clear" w:color="auto" w:fill="auto"/>
            <w:noWrap/>
            <w:vAlign w:val="center"/>
            <w:hideMark/>
          </w:tcPr>
          <w:p w14:paraId="287A8413"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Casanare</w:t>
            </w:r>
          </w:p>
        </w:tc>
        <w:tc>
          <w:tcPr>
            <w:tcW w:w="2642" w:type="dxa"/>
            <w:tcBorders>
              <w:top w:val="nil"/>
              <w:left w:val="nil"/>
              <w:bottom w:val="nil"/>
              <w:right w:val="nil"/>
            </w:tcBorders>
            <w:shd w:val="clear" w:color="auto" w:fill="auto"/>
            <w:noWrap/>
            <w:vAlign w:val="center"/>
            <w:hideMark/>
          </w:tcPr>
          <w:p w14:paraId="7F298E03"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30</w:t>
            </w:r>
          </w:p>
        </w:tc>
      </w:tr>
      <w:tr w:rsidR="00914134" w:rsidRPr="00D35A5A" w14:paraId="5AF705D1"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64A03E22"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Termoyopal 2</w:t>
            </w:r>
          </w:p>
        </w:tc>
        <w:tc>
          <w:tcPr>
            <w:tcW w:w="1899" w:type="dxa"/>
            <w:tcBorders>
              <w:top w:val="nil"/>
              <w:left w:val="nil"/>
              <w:bottom w:val="nil"/>
              <w:right w:val="nil"/>
            </w:tcBorders>
            <w:shd w:val="clear" w:color="auto" w:fill="auto"/>
            <w:noWrap/>
            <w:vAlign w:val="center"/>
            <w:hideMark/>
          </w:tcPr>
          <w:p w14:paraId="727C8A78"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Casanare</w:t>
            </w:r>
          </w:p>
        </w:tc>
        <w:tc>
          <w:tcPr>
            <w:tcW w:w="2642" w:type="dxa"/>
            <w:tcBorders>
              <w:top w:val="nil"/>
              <w:left w:val="nil"/>
              <w:bottom w:val="nil"/>
              <w:right w:val="nil"/>
            </w:tcBorders>
            <w:shd w:val="clear" w:color="auto" w:fill="auto"/>
            <w:noWrap/>
            <w:vAlign w:val="center"/>
            <w:hideMark/>
          </w:tcPr>
          <w:p w14:paraId="2ED921EB"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30</w:t>
            </w:r>
          </w:p>
        </w:tc>
      </w:tr>
      <w:tr w:rsidR="00914134" w:rsidRPr="00D35A5A" w14:paraId="56206975"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51A70DC6"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Cimarrón</w:t>
            </w:r>
          </w:p>
        </w:tc>
        <w:tc>
          <w:tcPr>
            <w:tcW w:w="1899" w:type="dxa"/>
            <w:tcBorders>
              <w:top w:val="nil"/>
              <w:left w:val="nil"/>
              <w:bottom w:val="nil"/>
              <w:right w:val="nil"/>
            </w:tcBorders>
            <w:shd w:val="clear" w:color="auto" w:fill="auto"/>
            <w:noWrap/>
            <w:vAlign w:val="center"/>
            <w:hideMark/>
          </w:tcPr>
          <w:p w14:paraId="10C83F85"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Casanare</w:t>
            </w:r>
          </w:p>
        </w:tc>
        <w:tc>
          <w:tcPr>
            <w:tcW w:w="2642" w:type="dxa"/>
            <w:tcBorders>
              <w:top w:val="nil"/>
              <w:left w:val="nil"/>
              <w:bottom w:val="nil"/>
              <w:right w:val="nil"/>
            </w:tcBorders>
            <w:shd w:val="clear" w:color="auto" w:fill="auto"/>
            <w:noWrap/>
            <w:vAlign w:val="center"/>
            <w:hideMark/>
          </w:tcPr>
          <w:p w14:paraId="6D399BF1" w14:textId="77777777" w:rsidR="00914134" w:rsidRPr="00115BAF" w:rsidRDefault="00914134" w:rsidP="0024531A">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eastAsia="es-CO"/>
              </w:rPr>
              <w:t>19.</w:t>
            </w:r>
            <w:r w:rsidRPr="00115BAF">
              <w:rPr>
                <w:rFonts w:ascii="Arial" w:eastAsia="Times New Roman" w:hAnsi="Arial" w:cs="Arial"/>
                <w:color w:val="000000"/>
                <w:sz w:val="20"/>
                <w:szCs w:val="20"/>
                <w:lang w:eastAsia="es-CO"/>
              </w:rPr>
              <w:t>9</w:t>
            </w:r>
          </w:p>
        </w:tc>
      </w:tr>
      <w:tr w:rsidR="00914134" w:rsidRPr="00D35A5A" w14:paraId="6CD60B3B"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347A7F8D"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El morro 1</w:t>
            </w:r>
          </w:p>
        </w:tc>
        <w:tc>
          <w:tcPr>
            <w:tcW w:w="1899" w:type="dxa"/>
            <w:tcBorders>
              <w:top w:val="nil"/>
              <w:left w:val="nil"/>
              <w:bottom w:val="nil"/>
              <w:right w:val="nil"/>
            </w:tcBorders>
            <w:shd w:val="clear" w:color="auto" w:fill="auto"/>
            <w:noWrap/>
            <w:vAlign w:val="center"/>
            <w:hideMark/>
          </w:tcPr>
          <w:p w14:paraId="5A7C1A17"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Casanare</w:t>
            </w:r>
          </w:p>
        </w:tc>
        <w:tc>
          <w:tcPr>
            <w:tcW w:w="2642" w:type="dxa"/>
            <w:tcBorders>
              <w:top w:val="nil"/>
              <w:left w:val="nil"/>
              <w:bottom w:val="nil"/>
              <w:right w:val="nil"/>
            </w:tcBorders>
            <w:shd w:val="clear" w:color="auto" w:fill="auto"/>
            <w:noWrap/>
            <w:vAlign w:val="center"/>
            <w:hideMark/>
          </w:tcPr>
          <w:p w14:paraId="6601C456" w14:textId="77777777" w:rsidR="00914134" w:rsidRPr="00115BAF" w:rsidRDefault="00914134" w:rsidP="0024531A">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eastAsia="es-CO"/>
              </w:rPr>
              <w:t>19.</w:t>
            </w:r>
            <w:r w:rsidRPr="00115BAF">
              <w:rPr>
                <w:rFonts w:ascii="Arial" w:eastAsia="Times New Roman" w:hAnsi="Arial" w:cs="Arial"/>
                <w:color w:val="000000"/>
                <w:sz w:val="20"/>
                <w:szCs w:val="20"/>
                <w:lang w:eastAsia="es-CO"/>
              </w:rPr>
              <w:t>9</w:t>
            </w:r>
          </w:p>
        </w:tc>
      </w:tr>
      <w:tr w:rsidR="00914134" w:rsidRPr="00D35A5A" w14:paraId="2BA99984"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6A79B72A"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El morro 2</w:t>
            </w:r>
          </w:p>
        </w:tc>
        <w:tc>
          <w:tcPr>
            <w:tcW w:w="1899" w:type="dxa"/>
            <w:tcBorders>
              <w:top w:val="nil"/>
              <w:left w:val="nil"/>
              <w:bottom w:val="nil"/>
              <w:right w:val="nil"/>
            </w:tcBorders>
            <w:shd w:val="clear" w:color="auto" w:fill="auto"/>
            <w:noWrap/>
            <w:vAlign w:val="center"/>
            <w:hideMark/>
          </w:tcPr>
          <w:p w14:paraId="5A74B347"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Casanare</w:t>
            </w:r>
          </w:p>
        </w:tc>
        <w:tc>
          <w:tcPr>
            <w:tcW w:w="2642" w:type="dxa"/>
            <w:tcBorders>
              <w:top w:val="nil"/>
              <w:left w:val="nil"/>
              <w:bottom w:val="nil"/>
              <w:right w:val="nil"/>
            </w:tcBorders>
            <w:shd w:val="clear" w:color="auto" w:fill="auto"/>
            <w:noWrap/>
            <w:vAlign w:val="center"/>
            <w:hideMark/>
          </w:tcPr>
          <w:p w14:paraId="4A0E8FA5" w14:textId="77777777" w:rsidR="00914134" w:rsidRPr="00115BAF" w:rsidRDefault="00914134" w:rsidP="0024531A">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eastAsia="es-CO"/>
              </w:rPr>
              <w:t>19.</w:t>
            </w:r>
            <w:r w:rsidRPr="00115BAF">
              <w:rPr>
                <w:rFonts w:ascii="Arial" w:eastAsia="Times New Roman" w:hAnsi="Arial" w:cs="Arial"/>
                <w:color w:val="000000"/>
                <w:sz w:val="20"/>
                <w:szCs w:val="20"/>
                <w:lang w:eastAsia="es-CO"/>
              </w:rPr>
              <w:t>9</w:t>
            </w:r>
          </w:p>
        </w:tc>
      </w:tr>
      <w:tr w:rsidR="00914134" w:rsidRPr="00D35A5A" w14:paraId="71082260"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24731800"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Termoyopal 1</w:t>
            </w:r>
          </w:p>
        </w:tc>
        <w:tc>
          <w:tcPr>
            <w:tcW w:w="1899" w:type="dxa"/>
            <w:tcBorders>
              <w:top w:val="nil"/>
              <w:left w:val="nil"/>
              <w:bottom w:val="nil"/>
              <w:right w:val="nil"/>
            </w:tcBorders>
            <w:shd w:val="clear" w:color="auto" w:fill="auto"/>
            <w:noWrap/>
            <w:vAlign w:val="center"/>
            <w:hideMark/>
          </w:tcPr>
          <w:p w14:paraId="6E6C7091"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Casanare</w:t>
            </w:r>
          </w:p>
        </w:tc>
        <w:tc>
          <w:tcPr>
            <w:tcW w:w="2642" w:type="dxa"/>
            <w:tcBorders>
              <w:top w:val="nil"/>
              <w:left w:val="nil"/>
              <w:bottom w:val="nil"/>
              <w:right w:val="nil"/>
            </w:tcBorders>
            <w:shd w:val="clear" w:color="auto" w:fill="auto"/>
            <w:noWrap/>
            <w:vAlign w:val="center"/>
            <w:hideMark/>
          </w:tcPr>
          <w:p w14:paraId="51277033" w14:textId="77777777" w:rsidR="00914134" w:rsidRPr="00115BAF" w:rsidRDefault="00914134" w:rsidP="0024531A">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eastAsia="es-CO"/>
              </w:rPr>
              <w:t>19.</w:t>
            </w:r>
            <w:r w:rsidRPr="00115BAF">
              <w:rPr>
                <w:rFonts w:ascii="Arial" w:eastAsia="Times New Roman" w:hAnsi="Arial" w:cs="Arial"/>
                <w:color w:val="000000"/>
                <w:sz w:val="20"/>
                <w:szCs w:val="20"/>
                <w:lang w:eastAsia="es-CO"/>
              </w:rPr>
              <w:t>9</w:t>
            </w:r>
          </w:p>
        </w:tc>
      </w:tr>
      <w:tr w:rsidR="00914134" w:rsidRPr="00D35A5A" w14:paraId="3570342F"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601BB283"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Termomechero 4</w:t>
            </w:r>
          </w:p>
        </w:tc>
        <w:tc>
          <w:tcPr>
            <w:tcW w:w="1899" w:type="dxa"/>
            <w:tcBorders>
              <w:top w:val="nil"/>
              <w:left w:val="nil"/>
              <w:bottom w:val="nil"/>
              <w:right w:val="nil"/>
            </w:tcBorders>
            <w:shd w:val="clear" w:color="auto" w:fill="auto"/>
            <w:noWrap/>
            <w:vAlign w:val="center"/>
            <w:hideMark/>
          </w:tcPr>
          <w:p w14:paraId="219C2C53"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Casanare</w:t>
            </w:r>
          </w:p>
        </w:tc>
        <w:tc>
          <w:tcPr>
            <w:tcW w:w="2642" w:type="dxa"/>
            <w:tcBorders>
              <w:top w:val="nil"/>
              <w:left w:val="nil"/>
              <w:bottom w:val="nil"/>
              <w:right w:val="nil"/>
            </w:tcBorders>
            <w:shd w:val="clear" w:color="auto" w:fill="auto"/>
            <w:noWrap/>
            <w:vAlign w:val="center"/>
            <w:hideMark/>
          </w:tcPr>
          <w:p w14:paraId="7F5D32BB" w14:textId="77777777" w:rsidR="00914134" w:rsidRPr="00115BAF" w:rsidRDefault="00914134" w:rsidP="0024531A">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eastAsia="es-CO"/>
              </w:rPr>
              <w:t>19.</w:t>
            </w:r>
            <w:r w:rsidRPr="00115BAF">
              <w:rPr>
                <w:rFonts w:ascii="Arial" w:eastAsia="Times New Roman" w:hAnsi="Arial" w:cs="Arial"/>
                <w:color w:val="000000"/>
                <w:sz w:val="20"/>
                <w:szCs w:val="20"/>
                <w:lang w:eastAsia="es-CO"/>
              </w:rPr>
              <w:t>3</w:t>
            </w:r>
          </w:p>
        </w:tc>
      </w:tr>
      <w:tr w:rsidR="00914134" w:rsidRPr="00D35A5A" w14:paraId="2B636E7A"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2C8EB97B"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Termomechero 5</w:t>
            </w:r>
          </w:p>
        </w:tc>
        <w:tc>
          <w:tcPr>
            <w:tcW w:w="1899" w:type="dxa"/>
            <w:tcBorders>
              <w:top w:val="nil"/>
              <w:left w:val="nil"/>
              <w:bottom w:val="nil"/>
              <w:right w:val="nil"/>
            </w:tcBorders>
            <w:shd w:val="clear" w:color="auto" w:fill="auto"/>
            <w:noWrap/>
            <w:vAlign w:val="center"/>
            <w:hideMark/>
          </w:tcPr>
          <w:p w14:paraId="7A6E6551"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Casanare</w:t>
            </w:r>
          </w:p>
        </w:tc>
        <w:tc>
          <w:tcPr>
            <w:tcW w:w="2642" w:type="dxa"/>
            <w:tcBorders>
              <w:top w:val="nil"/>
              <w:left w:val="nil"/>
              <w:bottom w:val="nil"/>
              <w:right w:val="nil"/>
            </w:tcBorders>
            <w:shd w:val="clear" w:color="auto" w:fill="auto"/>
            <w:noWrap/>
            <w:vAlign w:val="center"/>
            <w:hideMark/>
          </w:tcPr>
          <w:p w14:paraId="7831D91F" w14:textId="77777777" w:rsidR="00914134" w:rsidRPr="00115BAF" w:rsidRDefault="00914134" w:rsidP="0024531A">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eastAsia="es-CO"/>
              </w:rPr>
              <w:t>19.</w:t>
            </w:r>
            <w:r w:rsidRPr="00115BAF">
              <w:rPr>
                <w:rFonts w:ascii="Arial" w:eastAsia="Times New Roman" w:hAnsi="Arial" w:cs="Arial"/>
                <w:color w:val="000000"/>
                <w:sz w:val="20"/>
                <w:szCs w:val="20"/>
                <w:lang w:eastAsia="es-CO"/>
              </w:rPr>
              <w:t>3</w:t>
            </w:r>
          </w:p>
        </w:tc>
      </w:tr>
      <w:tr w:rsidR="00914134" w:rsidRPr="00D35A5A" w14:paraId="23F6E004"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20920DAC"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Termomechero 6</w:t>
            </w:r>
          </w:p>
        </w:tc>
        <w:tc>
          <w:tcPr>
            <w:tcW w:w="1899" w:type="dxa"/>
            <w:tcBorders>
              <w:top w:val="nil"/>
              <w:left w:val="nil"/>
              <w:bottom w:val="nil"/>
              <w:right w:val="nil"/>
            </w:tcBorders>
            <w:shd w:val="clear" w:color="auto" w:fill="auto"/>
            <w:noWrap/>
            <w:vAlign w:val="center"/>
            <w:hideMark/>
          </w:tcPr>
          <w:p w14:paraId="1E2340AD"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Casanare</w:t>
            </w:r>
          </w:p>
        </w:tc>
        <w:tc>
          <w:tcPr>
            <w:tcW w:w="2642" w:type="dxa"/>
            <w:tcBorders>
              <w:top w:val="nil"/>
              <w:left w:val="nil"/>
              <w:bottom w:val="nil"/>
              <w:right w:val="nil"/>
            </w:tcBorders>
            <w:shd w:val="clear" w:color="auto" w:fill="auto"/>
            <w:noWrap/>
            <w:vAlign w:val="center"/>
            <w:hideMark/>
          </w:tcPr>
          <w:p w14:paraId="4974E15F" w14:textId="77777777" w:rsidR="00914134" w:rsidRPr="00115BAF" w:rsidRDefault="00914134" w:rsidP="0024531A">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eastAsia="es-CO"/>
              </w:rPr>
              <w:t>19.</w:t>
            </w:r>
            <w:r w:rsidRPr="00115BAF">
              <w:rPr>
                <w:rFonts w:ascii="Arial" w:eastAsia="Times New Roman" w:hAnsi="Arial" w:cs="Arial"/>
                <w:color w:val="000000"/>
                <w:sz w:val="20"/>
                <w:szCs w:val="20"/>
                <w:lang w:eastAsia="es-CO"/>
              </w:rPr>
              <w:t>3</w:t>
            </w:r>
          </w:p>
        </w:tc>
      </w:tr>
      <w:tr w:rsidR="00914134" w:rsidRPr="00D35A5A" w14:paraId="344E3E89" w14:textId="77777777" w:rsidTr="0024531A">
        <w:trPr>
          <w:trHeight w:val="459"/>
          <w:jc w:val="center"/>
        </w:trPr>
        <w:tc>
          <w:tcPr>
            <w:tcW w:w="3027" w:type="dxa"/>
            <w:tcBorders>
              <w:top w:val="nil"/>
              <w:left w:val="nil"/>
              <w:bottom w:val="nil"/>
              <w:right w:val="nil"/>
            </w:tcBorders>
            <w:shd w:val="clear" w:color="auto" w:fill="auto"/>
            <w:noWrap/>
            <w:vAlign w:val="center"/>
            <w:hideMark/>
          </w:tcPr>
          <w:p w14:paraId="50FCBF83"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Termobolivar</w:t>
            </w:r>
          </w:p>
        </w:tc>
        <w:tc>
          <w:tcPr>
            <w:tcW w:w="1899" w:type="dxa"/>
            <w:tcBorders>
              <w:top w:val="nil"/>
              <w:left w:val="nil"/>
              <w:bottom w:val="nil"/>
              <w:right w:val="nil"/>
            </w:tcBorders>
            <w:shd w:val="clear" w:color="auto" w:fill="auto"/>
            <w:noWrap/>
            <w:vAlign w:val="center"/>
            <w:hideMark/>
          </w:tcPr>
          <w:p w14:paraId="0B4BD810"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Bolívar</w:t>
            </w:r>
          </w:p>
        </w:tc>
        <w:tc>
          <w:tcPr>
            <w:tcW w:w="2642" w:type="dxa"/>
            <w:tcBorders>
              <w:top w:val="nil"/>
              <w:left w:val="nil"/>
              <w:bottom w:val="nil"/>
              <w:right w:val="nil"/>
            </w:tcBorders>
            <w:shd w:val="clear" w:color="auto" w:fill="auto"/>
            <w:noWrap/>
            <w:vAlign w:val="center"/>
            <w:hideMark/>
          </w:tcPr>
          <w:p w14:paraId="77AC9E9F" w14:textId="77777777" w:rsidR="00914134" w:rsidRPr="00115BAF" w:rsidRDefault="00914134" w:rsidP="0024531A">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eastAsia="es-CO"/>
              </w:rPr>
              <w:t>9.</w:t>
            </w:r>
            <w:r w:rsidRPr="00115BAF">
              <w:rPr>
                <w:rFonts w:ascii="Arial" w:eastAsia="Times New Roman" w:hAnsi="Arial" w:cs="Arial"/>
                <w:color w:val="000000"/>
                <w:sz w:val="20"/>
                <w:szCs w:val="20"/>
                <w:lang w:eastAsia="es-CO"/>
              </w:rPr>
              <w:t>7</w:t>
            </w:r>
          </w:p>
        </w:tc>
      </w:tr>
      <w:tr w:rsidR="00914134" w:rsidRPr="00D35A5A" w14:paraId="443753DC" w14:textId="77777777" w:rsidTr="0024531A">
        <w:trPr>
          <w:trHeight w:val="481"/>
          <w:jc w:val="center"/>
        </w:trPr>
        <w:tc>
          <w:tcPr>
            <w:tcW w:w="3027" w:type="dxa"/>
            <w:tcBorders>
              <w:top w:val="nil"/>
              <w:left w:val="nil"/>
              <w:bottom w:val="single" w:sz="8" w:space="0" w:color="auto"/>
              <w:right w:val="nil"/>
            </w:tcBorders>
            <w:shd w:val="clear" w:color="auto" w:fill="auto"/>
            <w:noWrap/>
            <w:vAlign w:val="center"/>
            <w:hideMark/>
          </w:tcPr>
          <w:p w14:paraId="38C1E284"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Termopiedras</w:t>
            </w:r>
          </w:p>
        </w:tc>
        <w:tc>
          <w:tcPr>
            <w:tcW w:w="1899" w:type="dxa"/>
            <w:tcBorders>
              <w:top w:val="nil"/>
              <w:left w:val="nil"/>
              <w:bottom w:val="single" w:sz="8" w:space="0" w:color="auto"/>
              <w:right w:val="nil"/>
            </w:tcBorders>
            <w:shd w:val="clear" w:color="auto" w:fill="auto"/>
            <w:noWrap/>
            <w:vAlign w:val="center"/>
            <w:hideMark/>
          </w:tcPr>
          <w:p w14:paraId="011BA624"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Tolima</w:t>
            </w:r>
          </w:p>
        </w:tc>
        <w:tc>
          <w:tcPr>
            <w:tcW w:w="2642" w:type="dxa"/>
            <w:tcBorders>
              <w:top w:val="nil"/>
              <w:left w:val="nil"/>
              <w:bottom w:val="nil"/>
              <w:right w:val="nil"/>
            </w:tcBorders>
            <w:shd w:val="clear" w:color="auto" w:fill="auto"/>
            <w:noWrap/>
            <w:vAlign w:val="center"/>
            <w:hideMark/>
          </w:tcPr>
          <w:p w14:paraId="1CC171CC" w14:textId="77777777" w:rsidR="00914134" w:rsidRPr="00115BAF" w:rsidRDefault="00914134" w:rsidP="0024531A">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eastAsia="es-CO"/>
              </w:rPr>
              <w:t>3.</w:t>
            </w:r>
            <w:r w:rsidRPr="00115BAF">
              <w:rPr>
                <w:rFonts w:ascii="Arial" w:eastAsia="Times New Roman" w:hAnsi="Arial" w:cs="Arial"/>
                <w:color w:val="000000"/>
                <w:sz w:val="20"/>
                <w:szCs w:val="20"/>
                <w:lang w:eastAsia="es-CO"/>
              </w:rPr>
              <w:t>8</w:t>
            </w:r>
          </w:p>
        </w:tc>
      </w:tr>
      <w:tr w:rsidR="00914134" w:rsidRPr="00D35A5A" w14:paraId="54B44A21" w14:textId="77777777" w:rsidTr="0024531A">
        <w:trPr>
          <w:trHeight w:val="481"/>
          <w:jc w:val="center"/>
        </w:trPr>
        <w:tc>
          <w:tcPr>
            <w:tcW w:w="4926" w:type="dxa"/>
            <w:gridSpan w:val="2"/>
            <w:tcBorders>
              <w:top w:val="single" w:sz="8" w:space="0" w:color="auto"/>
              <w:left w:val="nil"/>
              <w:bottom w:val="double" w:sz="6" w:space="0" w:color="auto"/>
              <w:right w:val="nil"/>
            </w:tcBorders>
            <w:shd w:val="clear" w:color="auto" w:fill="auto"/>
            <w:noWrap/>
            <w:vAlign w:val="center"/>
            <w:hideMark/>
          </w:tcPr>
          <w:p w14:paraId="1998FF78" w14:textId="77777777" w:rsidR="00914134" w:rsidRPr="00115BAF" w:rsidRDefault="00914134" w:rsidP="0024531A">
            <w:pPr>
              <w:jc w:val="center"/>
              <w:rPr>
                <w:rFonts w:ascii="Arial" w:eastAsia="Times New Roman" w:hAnsi="Arial" w:cs="Arial"/>
                <w:b/>
                <w:bCs/>
                <w:color w:val="000000"/>
                <w:sz w:val="20"/>
                <w:szCs w:val="20"/>
                <w:lang w:val="es-CO" w:eastAsia="es-CO"/>
              </w:rPr>
            </w:pPr>
            <w:r w:rsidRPr="00115BAF">
              <w:rPr>
                <w:rFonts w:ascii="Arial" w:eastAsia="Times New Roman" w:hAnsi="Arial" w:cs="Arial"/>
                <w:b/>
                <w:bCs/>
                <w:color w:val="000000"/>
                <w:sz w:val="20"/>
                <w:szCs w:val="20"/>
                <w:lang w:eastAsia="es-CO"/>
              </w:rPr>
              <w:t>Total</w:t>
            </w:r>
          </w:p>
        </w:tc>
        <w:tc>
          <w:tcPr>
            <w:tcW w:w="2642" w:type="dxa"/>
            <w:tcBorders>
              <w:top w:val="single" w:sz="8" w:space="0" w:color="auto"/>
              <w:left w:val="nil"/>
              <w:bottom w:val="double" w:sz="6" w:space="0" w:color="auto"/>
              <w:right w:val="nil"/>
            </w:tcBorders>
            <w:shd w:val="clear" w:color="auto" w:fill="auto"/>
            <w:noWrap/>
            <w:vAlign w:val="center"/>
            <w:hideMark/>
          </w:tcPr>
          <w:p w14:paraId="1D8D66FA" w14:textId="77777777" w:rsidR="00914134" w:rsidRPr="00115BAF" w:rsidRDefault="00914134" w:rsidP="0024531A">
            <w:pPr>
              <w:rPr>
                <w:rFonts w:ascii="Arial" w:eastAsia="Times New Roman" w:hAnsi="Arial" w:cs="Arial"/>
                <w:b/>
                <w:bCs/>
                <w:color w:val="000000"/>
                <w:sz w:val="20"/>
                <w:szCs w:val="20"/>
                <w:lang w:val="es-CO" w:eastAsia="es-CO"/>
              </w:rPr>
            </w:pPr>
            <w:r w:rsidRPr="00115BAF">
              <w:rPr>
                <w:rFonts w:ascii="Arial" w:eastAsia="Times New Roman" w:hAnsi="Arial" w:cs="Arial"/>
                <w:b/>
                <w:bCs/>
                <w:color w:val="000000"/>
                <w:sz w:val="20"/>
                <w:szCs w:val="20"/>
                <w:lang w:val="es-CO" w:eastAsia="es-CO"/>
              </w:rPr>
              <w:t xml:space="preserve">                    2</w:t>
            </w:r>
            <w:r>
              <w:rPr>
                <w:rFonts w:ascii="Arial" w:eastAsia="Times New Roman" w:hAnsi="Arial" w:cs="Arial"/>
                <w:b/>
                <w:bCs/>
                <w:color w:val="000000"/>
                <w:sz w:val="20"/>
                <w:szCs w:val="20"/>
                <w:lang w:val="es-CO" w:eastAsia="es-CO"/>
              </w:rPr>
              <w:t>,</w:t>
            </w:r>
            <w:r w:rsidRPr="00115BAF">
              <w:rPr>
                <w:rFonts w:ascii="Arial" w:eastAsia="Times New Roman" w:hAnsi="Arial" w:cs="Arial"/>
                <w:b/>
                <w:bCs/>
                <w:color w:val="000000"/>
                <w:sz w:val="20"/>
                <w:szCs w:val="20"/>
                <w:lang w:val="es-CO" w:eastAsia="es-CO"/>
              </w:rPr>
              <w:t xml:space="preserve">574 </w:t>
            </w:r>
          </w:p>
        </w:tc>
      </w:tr>
    </w:tbl>
    <w:p w14:paraId="238CAE81" w14:textId="615BE81E" w:rsidR="00914134" w:rsidRPr="005D45DF" w:rsidRDefault="00914134" w:rsidP="00914134">
      <w:pPr>
        <w:spacing w:after="240"/>
        <w:jc w:val="center"/>
        <w:rPr>
          <w:rFonts w:ascii="Arial" w:hAnsi="Arial" w:cs="Arial"/>
          <w:color w:val="000000" w:themeColor="text1"/>
          <w:sz w:val="16"/>
        </w:rPr>
      </w:pPr>
      <w:r w:rsidRPr="005D45DF">
        <w:rPr>
          <w:rFonts w:ascii="Arial" w:hAnsi="Arial" w:cs="Arial"/>
          <w:b/>
          <w:color w:val="000000" w:themeColor="text1"/>
          <w:sz w:val="16"/>
        </w:rPr>
        <w:t>Fuente:</w:t>
      </w:r>
      <w:r w:rsidRPr="005D45DF">
        <w:rPr>
          <w:rFonts w:ascii="Arial" w:hAnsi="Arial" w:cs="Arial"/>
          <w:color w:val="000000" w:themeColor="text1"/>
          <w:sz w:val="16"/>
        </w:rPr>
        <w:t xml:space="preserve"> XM</w:t>
      </w:r>
      <w:r w:rsidR="005D45DF" w:rsidRPr="005D45DF">
        <w:rPr>
          <w:rFonts w:ascii="Arial" w:hAnsi="Arial" w:cs="Arial"/>
          <w:color w:val="000000" w:themeColor="text1"/>
          <w:sz w:val="16"/>
        </w:rPr>
        <w:t xml:space="preserve"> </w:t>
      </w:r>
      <w:r w:rsidR="005D45DF" w:rsidRPr="005D45DF">
        <w:rPr>
          <w:rFonts w:ascii="Arial" w:hAnsi="Arial" w:cs="Arial"/>
          <w:color w:val="000000" w:themeColor="text1"/>
          <w:sz w:val="16"/>
        </w:rPr>
        <w:fldChar w:fldCharType="begin"/>
      </w:r>
      <w:r w:rsidR="005D45DF" w:rsidRPr="005D45DF">
        <w:rPr>
          <w:rFonts w:ascii="Arial" w:hAnsi="Arial" w:cs="Arial"/>
          <w:color w:val="000000" w:themeColor="text1"/>
          <w:sz w:val="16"/>
        </w:rPr>
        <w:instrText xml:space="preserve"> REF _Ref529881598 \r \h </w:instrText>
      </w:r>
      <w:r w:rsidR="005D45DF">
        <w:rPr>
          <w:rFonts w:ascii="Arial" w:hAnsi="Arial" w:cs="Arial"/>
          <w:color w:val="000000" w:themeColor="text1"/>
          <w:sz w:val="16"/>
        </w:rPr>
        <w:instrText xml:space="preserve"> \* MERGEFORMAT </w:instrText>
      </w:r>
      <w:r w:rsidR="005D45DF" w:rsidRPr="005D45DF">
        <w:rPr>
          <w:rFonts w:ascii="Arial" w:hAnsi="Arial" w:cs="Arial"/>
          <w:color w:val="000000" w:themeColor="text1"/>
          <w:sz w:val="16"/>
        </w:rPr>
      </w:r>
      <w:r w:rsidR="005D45DF" w:rsidRPr="005D45DF">
        <w:rPr>
          <w:rFonts w:ascii="Arial" w:hAnsi="Arial" w:cs="Arial"/>
          <w:color w:val="000000" w:themeColor="text1"/>
          <w:sz w:val="16"/>
        </w:rPr>
        <w:fldChar w:fldCharType="separate"/>
      </w:r>
      <w:r w:rsidR="00915705">
        <w:rPr>
          <w:rFonts w:ascii="Arial" w:hAnsi="Arial" w:cs="Arial"/>
          <w:color w:val="000000" w:themeColor="text1"/>
          <w:sz w:val="16"/>
        </w:rPr>
        <w:t>[13]</w:t>
      </w:r>
      <w:r w:rsidR="005D45DF" w:rsidRPr="005D45DF">
        <w:rPr>
          <w:rFonts w:ascii="Arial" w:hAnsi="Arial" w:cs="Arial"/>
          <w:color w:val="000000" w:themeColor="text1"/>
          <w:sz w:val="16"/>
        </w:rPr>
        <w:fldChar w:fldCharType="end"/>
      </w:r>
      <w:r w:rsidRPr="005D45DF">
        <w:rPr>
          <w:rFonts w:ascii="Arial" w:hAnsi="Arial" w:cs="Arial"/>
          <w:color w:val="000000" w:themeColor="text1"/>
          <w:sz w:val="16"/>
        </w:rPr>
        <w:t>, UPME. *Combustible: Mezcla Gas-Jet A1.</w:t>
      </w:r>
    </w:p>
    <w:p w14:paraId="670F4E85" w14:textId="77777777" w:rsidR="00914134" w:rsidRPr="00F11AC5" w:rsidRDefault="00914134" w:rsidP="00006B6F">
      <w:pPr>
        <w:pStyle w:val="Ttulo3"/>
      </w:pPr>
      <w:bookmarkStart w:id="59" w:name="_Toc530045826"/>
      <w:r w:rsidRPr="00F11AC5">
        <w:t>Plantas a carbón</w:t>
      </w:r>
      <w:bookmarkEnd w:id="59"/>
    </w:p>
    <w:p w14:paraId="51444558" w14:textId="77777777" w:rsidR="00914134" w:rsidRPr="00115BAF" w:rsidRDefault="00914134" w:rsidP="00914134">
      <w:pPr>
        <w:spacing w:before="240" w:after="240" w:line="276" w:lineRule="auto"/>
        <w:jc w:val="both"/>
        <w:rPr>
          <w:rFonts w:ascii="Arial" w:hAnsi="Arial" w:cs="Arial"/>
          <w:sz w:val="22"/>
          <w:szCs w:val="22"/>
        </w:rPr>
      </w:pPr>
      <w:r w:rsidRPr="00115BAF">
        <w:rPr>
          <w:rFonts w:ascii="Arial" w:hAnsi="Arial" w:cs="Arial"/>
          <w:sz w:val="22"/>
          <w:szCs w:val="22"/>
        </w:rPr>
        <w:t>El carbón mineral juega un papel importante en la generación de electricidad da</w:t>
      </w:r>
      <w:r>
        <w:rPr>
          <w:rFonts w:ascii="Arial" w:hAnsi="Arial" w:cs="Arial"/>
          <w:sz w:val="22"/>
          <w:szCs w:val="22"/>
        </w:rPr>
        <w:t>do que cuenta con un total de 1,654.</w:t>
      </w:r>
      <w:r w:rsidRPr="00115BAF">
        <w:rPr>
          <w:rFonts w:ascii="Arial" w:hAnsi="Arial" w:cs="Arial"/>
          <w:sz w:val="22"/>
          <w:szCs w:val="22"/>
        </w:rPr>
        <w:t xml:space="preserve">3 MW instalados los cuales se encuentran distribuidos en 18 unidades con capacidades instaladas que oscilan entre 5 MW y 273 MW ubicados en 6 departamentos de la siguiente manera: </w:t>
      </w:r>
    </w:p>
    <w:p w14:paraId="43251291" w14:textId="77777777" w:rsidR="00914134" w:rsidRPr="00D46676" w:rsidRDefault="00914134" w:rsidP="00914134">
      <w:pPr>
        <w:pStyle w:val="Descripcin"/>
        <w:spacing w:after="0"/>
        <w:jc w:val="center"/>
        <w:rPr>
          <w:b/>
          <w:i w:val="0"/>
          <w:color w:val="auto"/>
          <w:sz w:val="20"/>
        </w:rPr>
      </w:pPr>
      <w:bookmarkStart w:id="60" w:name="_Ref528247970"/>
      <w:bookmarkStart w:id="61" w:name="_Toc499794490"/>
      <w:bookmarkStart w:id="62" w:name="_Toc529889743"/>
      <w:r w:rsidRPr="00115BAF">
        <w:rPr>
          <w:b/>
          <w:i w:val="0"/>
          <w:color w:val="auto"/>
          <w:sz w:val="20"/>
          <w:highlight w:val="yellow"/>
        </w:rPr>
        <w:t xml:space="preserve">Tabla </w:t>
      </w:r>
      <w:r>
        <w:rPr>
          <w:b/>
          <w:i w:val="0"/>
          <w:color w:val="auto"/>
          <w:sz w:val="20"/>
          <w:highlight w:val="yellow"/>
        </w:rPr>
        <w:fldChar w:fldCharType="begin"/>
      </w:r>
      <w:r>
        <w:rPr>
          <w:b/>
          <w:i w:val="0"/>
          <w:color w:val="auto"/>
          <w:sz w:val="20"/>
          <w:highlight w:val="yellow"/>
        </w:rPr>
        <w:instrText xml:space="preserve"> STYLEREF 1 \s </w:instrText>
      </w:r>
      <w:r>
        <w:rPr>
          <w:b/>
          <w:i w:val="0"/>
          <w:color w:val="auto"/>
          <w:sz w:val="20"/>
          <w:highlight w:val="yellow"/>
        </w:rPr>
        <w:fldChar w:fldCharType="separate"/>
      </w:r>
      <w:r w:rsidR="00915705">
        <w:rPr>
          <w:b/>
          <w:i w:val="0"/>
          <w:noProof/>
          <w:color w:val="auto"/>
          <w:sz w:val="20"/>
          <w:highlight w:val="yellow"/>
        </w:rPr>
        <w:t>2</w:t>
      </w:r>
      <w:r>
        <w:rPr>
          <w:b/>
          <w:i w:val="0"/>
          <w:color w:val="auto"/>
          <w:sz w:val="20"/>
          <w:highlight w:val="yellow"/>
        </w:rPr>
        <w:fldChar w:fldCharType="end"/>
      </w:r>
      <w:r>
        <w:rPr>
          <w:b/>
          <w:i w:val="0"/>
          <w:color w:val="auto"/>
          <w:sz w:val="20"/>
          <w:highlight w:val="yellow"/>
        </w:rPr>
        <w:noBreakHyphen/>
      </w:r>
      <w:r>
        <w:rPr>
          <w:b/>
          <w:i w:val="0"/>
          <w:color w:val="auto"/>
          <w:sz w:val="20"/>
          <w:highlight w:val="yellow"/>
        </w:rPr>
        <w:fldChar w:fldCharType="begin"/>
      </w:r>
      <w:r>
        <w:rPr>
          <w:b/>
          <w:i w:val="0"/>
          <w:color w:val="auto"/>
          <w:sz w:val="20"/>
          <w:highlight w:val="yellow"/>
        </w:rPr>
        <w:instrText xml:space="preserve"> SEQ Tabla \* ARABIC \s 1 </w:instrText>
      </w:r>
      <w:r>
        <w:rPr>
          <w:b/>
          <w:i w:val="0"/>
          <w:color w:val="auto"/>
          <w:sz w:val="20"/>
          <w:highlight w:val="yellow"/>
        </w:rPr>
        <w:fldChar w:fldCharType="separate"/>
      </w:r>
      <w:r w:rsidR="00915705">
        <w:rPr>
          <w:b/>
          <w:i w:val="0"/>
          <w:noProof/>
          <w:color w:val="auto"/>
          <w:sz w:val="20"/>
          <w:highlight w:val="yellow"/>
        </w:rPr>
        <w:t>2</w:t>
      </w:r>
      <w:r>
        <w:rPr>
          <w:b/>
          <w:i w:val="0"/>
          <w:color w:val="auto"/>
          <w:sz w:val="20"/>
          <w:highlight w:val="yellow"/>
        </w:rPr>
        <w:fldChar w:fldCharType="end"/>
      </w:r>
      <w:bookmarkEnd w:id="60"/>
      <w:r w:rsidRPr="00D46676">
        <w:rPr>
          <w:b/>
          <w:i w:val="0"/>
          <w:color w:val="auto"/>
          <w:sz w:val="20"/>
        </w:rPr>
        <w:t xml:space="preserve">  </w:t>
      </w:r>
      <w:r w:rsidRPr="00D46676">
        <w:rPr>
          <w:i w:val="0"/>
          <w:color w:val="auto"/>
          <w:sz w:val="20"/>
        </w:rPr>
        <w:t>Unidades de generación térmica del SIN operadas con carbón</w:t>
      </w:r>
      <w:bookmarkEnd w:id="61"/>
      <w:bookmarkEnd w:id="62"/>
    </w:p>
    <w:tbl>
      <w:tblPr>
        <w:tblW w:w="7076" w:type="dxa"/>
        <w:jc w:val="center"/>
        <w:tblCellMar>
          <w:left w:w="70" w:type="dxa"/>
          <w:right w:w="70" w:type="dxa"/>
        </w:tblCellMar>
        <w:tblLook w:val="04A0" w:firstRow="1" w:lastRow="0" w:firstColumn="1" w:lastColumn="0" w:noHBand="0" w:noVBand="1"/>
      </w:tblPr>
      <w:tblGrid>
        <w:gridCol w:w="2619"/>
        <w:gridCol w:w="2068"/>
        <w:gridCol w:w="2389"/>
      </w:tblGrid>
      <w:tr w:rsidR="00914134" w:rsidRPr="00F11AC5" w14:paraId="2FABFE7E" w14:textId="77777777" w:rsidTr="0024531A">
        <w:trPr>
          <w:trHeight w:val="549"/>
          <w:tblHeader/>
          <w:jc w:val="center"/>
        </w:trPr>
        <w:tc>
          <w:tcPr>
            <w:tcW w:w="2619" w:type="dxa"/>
            <w:tcBorders>
              <w:top w:val="double" w:sz="6" w:space="0" w:color="auto"/>
              <w:left w:val="nil"/>
              <w:bottom w:val="single" w:sz="8" w:space="0" w:color="auto"/>
              <w:right w:val="nil"/>
            </w:tcBorders>
            <w:shd w:val="clear" w:color="auto" w:fill="auto"/>
            <w:noWrap/>
            <w:vAlign w:val="center"/>
            <w:hideMark/>
          </w:tcPr>
          <w:p w14:paraId="0046171A" w14:textId="77777777" w:rsidR="00914134" w:rsidRPr="00115BAF" w:rsidRDefault="00914134" w:rsidP="0024531A">
            <w:pPr>
              <w:jc w:val="center"/>
              <w:rPr>
                <w:rFonts w:ascii="Arial" w:eastAsia="Times New Roman" w:hAnsi="Arial" w:cs="Arial"/>
                <w:b/>
                <w:bCs/>
                <w:color w:val="000000"/>
                <w:sz w:val="20"/>
                <w:szCs w:val="20"/>
                <w:lang w:val="es-CO" w:eastAsia="es-CO"/>
              </w:rPr>
            </w:pPr>
            <w:r w:rsidRPr="00115BAF">
              <w:rPr>
                <w:rFonts w:ascii="Arial" w:eastAsia="Times New Roman" w:hAnsi="Arial" w:cs="Arial"/>
                <w:b/>
                <w:bCs/>
                <w:color w:val="000000"/>
                <w:sz w:val="20"/>
                <w:szCs w:val="20"/>
                <w:lang w:eastAsia="es-CO"/>
              </w:rPr>
              <w:t>Unidad térmica</w:t>
            </w:r>
          </w:p>
        </w:tc>
        <w:tc>
          <w:tcPr>
            <w:tcW w:w="2068" w:type="dxa"/>
            <w:tcBorders>
              <w:top w:val="double" w:sz="6" w:space="0" w:color="auto"/>
              <w:left w:val="nil"/>
              <w:bottom w:val="single" w:sz="8" w:space="0" w:color="auto"/>
              <w:right w:val="nil"/>
            </w:tcBorders>
            <w:shd w:val="clear" w:color="auto" w:fill="auto"/>
            <w:noWrap/>
            <w:vAlign w:val="center"/>
            <w:hideMark/>
          </w:tcPr>
          <w:p w14:paraId="1BF0EC6E" w14:textId="77777777" w:rsidR="00914134" w:rsidRPr="00115BAF" w:rsidRDefault="00914134" w:rsidP="0024531A">
            <w:pPr>
              <w:jc w:val="center"/>
              <w:rPr>
                <w:rFonts w:ascii="Arial" w:eastAsia="Times New Roman" w:hAnsi="Arial" w:cs="Arial"/>
                <w:b/>
                <w:bCs/>
                <w:color w:val="000000"/>
                <w:sz w:val="20"/>
                <w:szCs w:val="20"/>
                <w:lang w:val="es-CO" w:eastAsia="es-CO"/>
              </w:rPr>
            </w:pPr>
            <w:r w:rsidRPr="00115BAF">
              <w:rPr>
                <w:rFonts w:ascii="Arial" w:eastAsia="Times New Roman" w:hAnsi="Arial" w:cs="Arial"/>
                <w:b/>
                <w:bCs/>
                <w:color w:val="000000"/>
                <w:sz w:val="20"/>
                <w:szCs w:val="20"/>
                <w:lang w:eastAsia="es-CO"/>
              </w:rPr>
              <w:t>Ubicación</w:t>
            </w:r>
          </w:p>
        </w:tc>
        <w:tc>
          <w:tcPr>
            <w:tcW w:w="2389" w:type="dxa"/>
            <w:tcBorders>
              <w:top w:val="double" w:sz="6" w:space="0" w:color="auto"/>
              <w:left w:val="nil"/>
              <w:bottom w:val="single" w:sz="8" w:space="0" w:color="auto"/>
              <w:right w:val="nil"/>
            </w:tcBorders>
            <w:shd w:val="clear" w:color="auto" w:fill="auto"/>
            <w:noWrap/>
            <w:vAlign w:val="center"/>
            <w:hideMark/>
          </w:tcPr>
          <w:p w14:paraId="04AB0358" w14:textId="77777777" w:rsidR="00914134" w:rsidRPr="00115BAF" w:rsidRDefault="00914134" w:rsidP="0024531A">
            <w:pPr>
              <w:jc w:val="center"/>
              <w:rPr>
                <w:rFonts w:ascii="Arial" w:eastAsia="Times New Roman" w:hAnsi="Arial" w:cs="Arial"/>
                <w:b/>
                <w:bCs/>
                <w:color w:val="000000"/>
                <w:sz w:val="20"/>
                <w:szCs w:val="20"/>
                <w:lang w:val="es-CO" w:eastAsia="es-CO"/>
              </w:rPr>
            </w:pPr>
            <w:r w:rsidRPr="00115BAF">
              <w:rPr>
                <w:rFonts w:ascii="Arial" w:eastAsia="Times New Roman" w:hAnsi="Arial" w:cs="Arial"/>
                <w:b/>
                <w:bCs/>
                <w:color w:val="000000"/>
                <w:sz w:val="20"/>
                <w:szCs w:val="20"/>
                <w:lang w:eastAsia="es-CO"/>
              </w:rPr>
              <w:t>Capacidad [MW]</w:t>
            </w:r>
          </w:p>
        </w:tc>
      </w:tr>
      <w:tr w:rsidR="00914134" w:rsidRPr="00F11AC5" w14:paraId="5AAFF190"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744EF219"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val="es-CO" w:eastAsia="es-CO"/>
              </w:rPr>
              <w:t>Gecelca 32</w:t>
            </w:r>
          </w:p>
        </w:tc>
        <w:tc>
          <w:tcPr>
            <w:tcW w:w="2068" w:type="dxa"/>
            <w:tcBorders>
              <w:top w:val="nil"/>
              <w:left w:val="nil"/>
              <w:bottom w:val="nil"/>
              <w:right w:val="nil"/>
            </w:tcBorders>
            <w:shd w:val="clear" w:color="auto" w:fill="auto"/>
            <w:noWrap/>
            <w:vAlign w:val="center"/>
            <w:hideMark/>
          </w:tcPr>
          <w:p w14:paraId="13AAB07B"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val="es-CO" w:eastAsia="es-CO"/>
              </w:rPr>
              <w:t>Córdoba</w:t>
            </w:r>
          </w:p>
        </w:tc>
        <w:tc>
          <w:tcPr>
            <w:tcW w:w="2389" w:type="dxa"/>
            <w:tcBorders>
              <w:top w:val="nil"/>
              <w:left w:val="nil"/>
              <w:bottom w:val="nil"/>
              <w:right w:val="nil"/>
            </w:tcBorders>
            <w:shd w:val="clear" w:color="auto" w:fill="auto"/>
            <w:noWrap/>
            <w:vAlign w:val="bottom"/>
            <w:hideMark/>
          </w:tcPr>
          <w:p w14:paraId="16411ADB"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val="es-CO" w:eastAsia="es-CO"/>
              </w:rPr>
              <w:t>273</w:t>
            </w:r>
          </w:p>
        </w:tc>
      </w:tr>
      <w:tr w:rsidR="00914134" w:rsidRPr="00F11AC5" w14:paraId="5024322F"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2AD30F62"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Tasajero 2</w:t>
            </w:r>
          </w:p>
        </w:tc>
        <w:tc>
          <w:tcPr>
            <w:tcW w:w="2068" w:type="dxa"/>
            <w:tcBorders>
              <w:top w:val="nil"/>
              <w:left w:val="nil"/>
              <w:bottom w:val="nil"/>
              <w:right w:val="nil"/>
            </w:tcBorders>
            <w:shd w:val="clear" w:color="auto" w:fill="auto"/>
            <w:noWrap/>
            <w:vAlign w:val="center"/>
            <w:hideMark/>
          </w:tcPr>
          <w:p w14:paraId="7E01F5EB"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Norte de Santander</w:t>
            </w:r>
          </w:p>
        </w:tc>
        <w:tc>
          <w:tcPr>
            <w:tcW w:w="2389" w:type="dxa"/>
            <w:tcBorders>
              <w:top w:val="nil"/>
              <w:left w:val="nil"/>
              <w:bottom w:val="nil"/>
              <w:right w:val="nil"/>
            </w:tcBorders>
            <w:shd w:val="clear" w:color="auto" w:fill="auto"/>
            <w:noWrap/>
            <w:vAlign w:val="center"/>
            <w:hideMark/>
          </w:tcPr>
          <w:p w14:paraId="2C4437FA"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170</w:t>
            </w:r>
          </w:p>
        </w:tc>
      </w:tr>
      <w:tr w:rsidR="00914134" w:rsidRPr="00F11AC5" w14:paraId="7C690935"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17A6100A"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Gecelca 3</w:t>
            </w:r>
          </w:p>
        </w:tc>
        <w:tc>
          <w:tcPr>
            <w:tcW w:w="2068" w:type="dxa"/>
            <w:tcBorders>
              <w:top w:val="nil"/>
              <w:left w:val="nil"/>
              <w:bottom w:val="nil"/>
              <w:right w:val="nil"/>
            </w:tcBorders>
            <w:shd w:val="clear" w:color="auto" w:fill="auto"/>
            <w:noWrap/>
            <w:vAlign w:val="center"/>
            <w:hideMark/>
          </w:tcPr>
          <w:p w14:paraId="58C216BD"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Córdoba</w:t>
            </w:r>
          </w:p>
        </w:tc>
        <w:tc>
          <w:tcPr>
            <w:tcW w:w="2389" w:type="dxa"/>
            <w:tcBorders>
              <w:top w:val="nil"/>
              <w:left w:val="nil"/>
              <w:bottom w:val="nil"/>
              <w:right w:val="nil"/>
            </w:tcBorders>
            <w:shd w:val="clear" w:color="auto" w:fill="auto"/>
            <w:noWrap/>
            <w:vAlign w:val="center"/>
            <w:hideMark/>
          </w:tcPr>
          <w:p w14:paraId="28EF38F6"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164</w:t>
            </w:r>
          </w:p>
        </w:tc>
      </w:tr>
      <w:tr w:rsidR="00914134" w:rsidRPr="00F11AC5" w14:paraId="3AA1923B"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64934045"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Tasajero 1</w:t>
            </w:r>
          </w:p>
        </w:tc>
        <w:tc>
          <w:tcPr>
            <w:tcW w:w="2068" w:type="dxa"/>
            <w:tcBorders>
              <w:top w:val="nil"/>
              <w:left w:val="nil"/>
              <w:bottom w:val="nil"/>
              <w:right w:val="nil"/>
            </w:tcBorders>
            <w:shd w:val="clear" w:color="auto" w:fill="auto"/>
            <w:noWrap/>
            <w:vAlign w:val="center"/>
            <w:hideMark/>
          </w:tcPr>
          <w:p w14:paraId="00158763"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Norte de Santander</w:t>
            </w:r>
          </w:p>
        </w:tc>
        <w:tc>
          <w:tcPr>
            <w:tcW w:w="2389" w:type="dxa"/>
            <w:tcBorders>
              <w:top w:val="nil"/>
              <w:left w:val="nil"/>
              <w:bottom w:val="nil"/>
              <w:right w:val="nil"/>
            </w:tcBorders>
            <w:shd w:val="clear" w:color="auto" w:fill="auto"/>
            <w:noWrap/>
            <w:vAlign w:val="center"/>
            <w:hideMark/>
          </w:tcPr>
          <w:p w14:paraId="54F79F28"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163</w:t>
            </w:r>
          </w:p>
        </w:tc>
      </w:tr>
      <w:tr w:rsidR="00914134" w:rsidRPr="00F11AC5" w14:paraId="36C1C225"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6373BA99"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lastRenderedPageBreak/>
              <w:t>Paipa 4</w:t>
            </w:r>
          </w:p>
        </w:tc>
        <w:tc>
          <w:tcPr>
            <w:tcW w:w="2068" w:type="dxa"/>
            <w:tcBorders>
              <w:top w:val="nil"/>
              <w:left w:val="nil"/>
              <w:bottom w:val="nil"/>
              <w:right w:val="nil"/>
            </w:tcBorders>
            <w:shd w:val="clear" w:color="auto" w:fill="auto"/>
            <w:noWrap/>
            <w:vAlign w:val="center"/>
            <w:hideMark/>
          </w:tcPr>
          <w:p w14:paraId="69CA5F43"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Boyacá</w:t>
            </w:r>
          </w:p>
        </w:tc>
        <w:tc>
          <w:tcPr>
            <w:tcW w:w="2389" w:type="dxa"/>
            <w:tcBorders>
              <w:top w:val="nil"/>
              <w:left w:val="nil"/>
              <w:bottom w:val="nil"/>
              <w:right w:val="nil"/>
            </w:tcBorders>
            <w:shd w:val="clear" w:color="auto" w:fill="auto"/>
            <w:noWrap/>
            <w:vAlign w:val="center"/>
            <w:hideMark/>
          </w:tcPr>
          <w:p w14:paraId="13B58BD2"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154</w:t>
            </w:r>
          </w:p>
        </w:tc>
      </w:tr>
      <w:tr w:rsidR="00914134" w:rsidRPr="00F11AC5" w14:paraId="6EAC0FD6"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4241CA87"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Guajira 1</w:t>
            </w:r>
          </w:p>
        </w:tc>
        <w:tc>
          <w:tcPr>
            <w:tcW w:w="2068" w:type="dxa"/>
            <w:tcBorders>
              <w:top w:val="nil"/>
              <w:left w:val="nil"/>
              <w:bottom w:val="nil"/>
              <w:right w:val="nil"/>
            </w:tcBorders>
            <w:shd w:val="clear" w:color="auto" w:fill="auto"/>
            <w:noWrap/>
            <w:vAlign w:val="center"/>
            <w:hideMark/>
          </w:tcPr>
          <w:p w14:paraId="710362A6"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La guajira</w:t>
            </w:r>
          </w:p>
        </w:tc>
        <w:tc>
          <w:tcPr>
            <w:tcW w:w="2389" w:type="dxa"/>
            <w:tcBorders>
              <w:top w:val="nil"/>
              <w:left w:val="nil"/>
              <w:bottom w:val="nil"/>
              <w:right w:val="nil"/>
            </w:tcBorders>
            <w:shd w:val="clear" w:color="auto" w:fill="auto"/>
            <w:noWrap/>
            <w:vAlign w:val="center"/>
            <w:hideMark/>
          </w:tcPr>
          <w:p w14:paraId="29EC70B1"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143</w:t>
            </w:r>
          </w:p>
        </w:tc>
      </w:tr>
      <w:tr w:rsidR="00914134" w:rsidRPr="00F11AC5" w14:paraId="6DD56E64"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59E88744"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Guajira 2</w:t>
            </w:r>
          </w:p>
        </w:tc>
        <w:tc>
          <w:tcPr>
            <w:tcW w:w="2068" w:type="dxa"/>
            <w:tcBorders>
              <w:top w:val="nil"/>
              <w:left w:val="nil"/>
              <w:bottom w:val="nil"/>
              <w:right w:val="nil"/>
            </w:tcBorders>
            <w:shd w:val="clear" w:color="auto" w:fill="auto"/>
            <w:noWrap/>
            <w:vAlign w:val="center"/>
            <w:hideMark/>
          </w:tcPr>
          <w:p w14:paraId="489A25BA"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La guajira</w:t>
            </w:r>
          </w:p>
        </w:tc>
        <w:tc>
          <w:tcPr>
            <w:tcW w:w="2389" w:type="dxa"/>
            <w:tcBorders>
              <w:top w:val="nil"/>
              <w:left w:val="nil"/>
              <w:bottom w:val="nil"/>
              <w:right w:val="nil"/>
            </w:tcBorders>
            <w:shd w:val="clear" w:color="auto" w:fill="auto"/>
            <w:noWrap/>
            <w:vAlign w:val="center"/>
            <w:hideMark/>
          </w:tcPr>
          <w:p w14:paraId="5CA62B3B"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143</w:t>
            </w:r>
          </w:p>
        </w:tc>
      </w:tr>
      <w:tr w:rsidR="00914134" w:rsidRPr="00F11AC5" w14:paraId="43193455"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2FF8EB1D"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Paipa 2</w:t>
            </w:r>
          </w:p>
        </w:tc>
        <w:tc>
          <w:tcPr>
            <w:tcW w:w="2068" w:type="dxa"/>
            <w:tcBorders>
              <w:top w:val="nil"/>
              <w:left w:val="nil"/>
              <w:bottom w:val="nil"/>
              <w:right w:val="nil"/>
            </w:tcBorders>
            <w:shd w:val="clear" w:color="auto" w:fill="auto"/>
            <w:noWrap/>
            <w:vAlign w:val="center"/>
            <w:hideMark/>
          </w:tcPr>
          <w:p w14:paraId="7B6089E1"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Boyacá</w:t>
            </w:r>
          </w:p>
        </w:tc>
        <w:tc>
          <w:tcPr>
            <w:tcW w:w="2389" w:type="dxa"/>
            <w:tcBorders>
              <w:top w:val="nil"/>
              <w:left w:val="nil"/>
              <w:bottom w:val="nil"/>
              <w:right w:val="nil"/>
            </w:tcBorders>
            <w:shd w:val="clear" w:color="auto" w:fill="auto"/>
            <w:noWrap/>
            <w:vAlign w:val="center"/>
            <w:hideMark/>
          </w:tcPr>
          <w:p w14:paraId="41966E7B"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72</w:t>
            </w:r>
          </w:p>
        </w:tc>
      </w:tr>
      <w:tr w:rsidR="00914134" w:rsidRPr="00F11AC5" w14:paraId="2E65D9EA"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38F97DF1"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Paipa 3</w:t>
            </w:r>
          </w:p>
        </w:tc>
        <w:tc>
          <w:tcPr>
            <w:tcW w:w="2068" w:type="dxa"/>
            <w:tcBorders>
              <w:top w:val="nil"/>
              <w:left w:val="nil"/>
              <w:bottom w:val="nil"/>
              <w:right w:val="nil"/>
            </w:tcBorders>
            <w:shd w:val="clear" w:color="auto" w:fill="auto"/>
            <w:noWrap/>
            <w:vAlign w:val="center"/>
            <w:hideMark/>
          </w:tcPr>
          <w:p w14:paraId="566150F4"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Boyacá</w:t>
            </w:r>
          </w:p>
        </w:tc>
        <w:tc>
          <w:tcPr>
            <w:tcW w:w="2389" w:type="dxa"/>
            <w:tcBorders>
              <w:top w:val="nil"/>
              <w:left w:val="nil"/>
              <w:bottom w:val="nil"/>
              <w:right w:val="nil"/>
            </w:tcBorders>
            <w:shd w:val="clear" w:color="auto" w:fill="auto"/>
            <w:noWrap/>
            <w:vAlign w:val="center"/>
            <w:hideMark/>
          </w:tcPr>
          <w:p w14:paraId="6E6B88A3"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70</w:t>
            </w:r>
          </w:p>
        </w:tc>
      </w:tr>
      <w:tr w:rsidR="00914134" w:rsidRPr="00F11AC5" w14:paraId="76346265"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1465B3DC"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Zipa 4</w:t>
            </w:r>
          </w:p>
        </w:tc>
        <w:tc>
          <w:tcPr>
            <w:tcW w:w="2068" w:type="dxa"/>
            <w:tcBorders>
              <w:top w:val="nil"/>
              <w:left w:val="nil"/>
              <w:bottom w:val="nil"/>
              <w:right w:val="nil"/>
            </w:tcBorders>
            <w:shd w:val="clear" w:color="auto" w:fill="auto"/>
            <w:noWrap/>
            <w:vAlign w:val="center"/>
            <w:hideMark/>
          </w:tcPr>
          <w:p w14:paraId="1CB1CE33"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Cundinamarca</w:t>
            </w:r>
          </w:p>
        </w:tc>
        <w:tc>
          <w:tcPr>
            <w:tcW w:w="2389" w:type="dxa"/>
            <w:tcBorders>
              <w:top w:val="nil"/>
              <w:left w:val="nil"/>
              <w:bottom w:val="nil"/>
              <w:right w:val="nil"/>
            </w:tcBorders>
            <w:shd w:val="clear" w:color="auto" w:fill="auto"/>
            <w:noWrap/>
            <w:vAlign w:val="center"/>
            <w:hideMark/>
          </w:tcPr>
          <w:p w14:paraId="6C4034BF"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64</w:t>
            </w:r>
          </w:p>
        </w:tc>
      </w:tr>
      <w:tr w:rsidR="00914134" w:rsidRPr="00F11AC5" w14:paraId="1E773767"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52AFA2D1"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Zipa 5</w:t>
            </w:r>
          </w:p>
        </w:tc>
        <w:tc>
          <w:tcPr>
            <w:tcW w:w="2068" w:type="dxa"/>
            <w:tcBorders>
              <w:top w:val="nil"/>
              <w:left w:val="nil"/>
              <w:bottom w:val="nil"/>
              <w:right w:val="nil"/>
            </w:tcBorders>
            <w:shd w:val="clear" w:color="auto" w:fill="auto"/>
            <w:noWrap/>
            <w:vAlign w:val="center"/>
            <w:hideMark/>
          </w:tcPr>
          <w:p w14:paraId="37061BF2"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Cundinamarca</w:t>
            </w:r>
          </w:p>
        </w:tc>
        <w:tc>
          <w:tcPr>
            <w:tcW w:w="2389" w:type="dxa"/>
            <w:tcBorders>
              <w:top w:val="nil"/>
              <w:left w:val="nil"/>
              <w:bottom w:val="nil"/>
              <w:right w:val="nil"/>
            </w:tcBorders>
            <w:shd w:val="clear" w:color="auto" w:fill="auto"/>
            <w:noWrap/>
            <w:vAlign w:val="center"/>
            <w:hideMark/>
          </w:tcPr>
          <w:p w14:paraId="006ADB99"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64</w:t>
            </w:r>
          </w:p>
        </w:tc>
      </w:tr>
      <w:tr w:rsidR="00914134" w:rsidRPr="00F11AC5" w14:paraId="0E24F443"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5E953472"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Zipa 3</w:t>
            </w:r>
          </w:p>
        </w:tc>
        <w:tc>
          <w:tcPr>
            <w:tcW w:w="2068" w:type="dxa"/>
            <w:tcBorders>
              <w:top w:val="nil"/>
              <w:left w:val="nil"/>
              <w:bottom w:val="nil"/>
              <w:right w:val="nil"/>
            </w:tcBorders>
            <w:shd w:val="clear" w:color="auto" w:fill="auto"/>
            <w:noWrap/>
            <w:vAlign w:val="center"/>
            <w:hideMark/>
          </w:tcPr>
          <w:p w14:paraId="1D09F071"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Cundinamarca</w:t>
            </w:r>
          </w:p>
        </w:tc>
        <w:tc>
          <w:tcPr>
            <w:tcW w:w="2389" w:type="dxa"/>
            <w:tcBorders>
              <w:top w:val="nil"/>
              <w:left w:val="nil"/>
              <w:bottom w:val="nil"/>
              <w:right w:val="nil"/>
            </w:tcBorders>
            <w:shd w:val="clear" w:color="auto" w:fill="auto"/>
            <w:noWrap/>
            <w:vAlign w:val="center"/>
            <w:hideMark/>
          </w:tcPr>
          <w:p w14:paraId="2159D3F4"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63</w:t>
            </w:r>
          </w:p>
        </w:tc>
      </w:tr>
      <w:tr w:rsidR="00914134" w:rsidRPr="00F11AC5" w14:paraId="7277F734"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3ABB5FCB"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Paipa 1</w:t>
            </w:r>
          </w:p>
        </w:tc>
        <w:tc>
          <w:tcPr>
            <w:tcW w:w="2068" w:type="dxa"/>
            <w:tcBorders>
              <w:top w:val="nil"/>
              <w:left w:val="nil"/>
              <w:bottom w:val="nil"/>
              <w:right w:val="nil"/>
            </w:tcBorders>
            <w:shd w:val="clear" w:color="auto" w:fill="auto"/>
            <w:noWrap/>
            <w:vAlign w:val="center"/>
            <w:hideMark/>
          </w:tcPr>
          <w:p w14:paraId="4156C417"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Boyacá</w:t>
            </w:r>
          </w:p>
        </w:tc>
        <w:tc>
          <w:tcPr>
            <w:tcW w:w="2389" w:type="dxa"/>
            <w:tcBorders>
              <w:top w:val="nil"/>
              <w:left w:val="nil"/>
              <w:bottom w:val="nil"/>
              <w:right w:val="nil"/>
            </w:tcBorders>
            <w:shd w:val="clear" w:color="auto" w:fill="auto"/>
            <w:noWrap/>
            <w:vAlign w:val="center"/>
            <w:hideMark/>
          </w:tcPr>
          <w:p w14:paraId="38AD7BED"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36</w:t>
            </w:r>
          </w:p>
        </w:tc>
      </w:tr>
      <w:tr w:rsidR="00914134" w:rsidRPr="00F11AC5" w14:paraId="755A557F"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7F538A5C"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Zipa 2</w:t>
            </w:r>
          </w:p>
        </w:tc>
        <w:tc>
          <w:tcPr>
            <w:tcW w:w="2068" w:type="dxa"/>
            <w:tcBorders>
              <w:top w:val="nil"/>
              <w:left w:val="nil"/>
              <w:bottom w:val="nil"/>
              <w:right w:val="nil"/>
            </w:tcBorders>
            <w:shd w:val="clear" w:color="auto" w:fill="auto"/>
            <w:noWrap/>
            <w:vAlign w:val="center"/>
            <w:hideMark/>
          </w:tcPr>
          <w:p w14:paraId="42EFF105"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Cundinamarca</w:t>
            </w:r>
          </w:p>
        </w:tc>
        <w:tc>
          <w:tcPr>
            <w:tcW w:w="2389" w:type="dxa"/>
            <w:tcBorders>
              <w:top w:val="nil"/>
              <w:left w:val="nil"/>
              <w:bottom w:val="nil"/>
              <w:right w:val="nil"/>
            </w:tcBorders>
            <w:shd w:val="clear" w:color="auto" w:fill="auto"/>
            <w:noWrap/>
            <w:vAlign w:val="center"/>
            <w:hideMark/>
          </w:tcPr>
          <w:p w14:paraId="09FE2190"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34</w:t>
            </w:r>
          </w:p>
        </w:tc>
      </w:tr>
      <w:tr w:rsidR="00914134" w:rsidRPr="00F11AC5" w14:paraId="6355C2C9"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258ECE38"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val="es-CO" w:eastAsia="es-CO"/>
              </w:rPr>
              <w:t>Proenca ii</w:t>
            </w:r>
          </w:p>
        </w:tc>
        <w:tc>
          <w:tcPr>
            <w:tcW w:w="2068" w:type="dxa"/>
            <w:tcBorders>
              <w:top w:val="nil"/>
              <w:left w:val="nil"/>
              <w:bottom w:val="nil"/>
              <w:right w:val="nil"/>
            </w:tcBorders>
            <w:shd w:val="clear" w:color="auto" w:fill="auto"/>
            <w:noWrap/>
            <w:vAlign w:val="center"/>
            <w:hideMark/>
          </w:tcPr>
          <w:p w14:paraId="7289EF2A"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val="es-CO" w:eastAsia="es-CO"/>
              </w:rPr>
              <w:t>Cauca</w:t>
            </w:r>
          </w:p>
        </w:tc>
        <w:tc>
          <w:tcPr>
            <w:tcW w:w="2389" w:type="dxa"/>
            <w:tcBorders>
              <w:top w:val="nil"/>
              <w:left w:val="nil"/>
              <w:bottom w:val="nil"/>
              <w:right w:val="nil"/>
            </w:tcBorders>
            <w:shd w:val="clear" w:color="auto" w:fill="auto"/>
            <w:noWrap/>
            <w:vAlign w:val="center"/>
            <w:hideMark/>
          </w:tcPr>
          <w:p w14:paraId="30A920A2"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val="es-CO" w:eastAsia="es-CO"/>
              </w:rPr>
              <w:t>17</w:t>
            </w:r>
          </w:p>
        </w:tc>
      </w:tr>
      <w:tr w:rsidR="00914134" w:rsidRPr="00F11AC5" w14:paraId="7A18447A"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6C1E9459"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val="es-CO" w:eastAsia="es-CO"/>
              </w:rPr>
              <w:t>Autg argos</w:t>
            </w:r>
          </w:p>
        </w:tc>
        <w:tc>
          <w:tcPr>
            <w:tcW w:w="2068" w:type="dxa"/>
            <w:tcBorders>
              <w:top w:val="nil"/>
              <w:left w:val="nil"/>
              <w:bottom w:val="nil"/>
              <w:right w:val="nil"/>
            </w:tcBorders>
            <w:shd w:val="clear" w:color="auto" w:fill="auto"/>
            <w:noWrap/>
            <w:vAlign w:val="center"/>
            <w:hideMark/>
          </w:tcPr>
          <w:p w14:paraId="6C2E19C8"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val="es-CO" w:eastAsia="es-CO"/>
              </w:rPr>
              <w:t>Valle del cauca</w:t>
            </w:r>
          </w:p>
        </w:tc>
        <w:tc>
          <w:tcPr>
            <w:tcW w:w="2389" w:type="dxa"/>
            <w:tcBorders>
              <w:top w:val="nil"/>
              <w:left w:val="nil"/>
              <w:bottom w:val="nil"/>
              <w:right w:val="nil"/>
            </w:tcBorders>
            <w:shd w:val="clear" w:color="auto" w:fill="auto"/>
            <w:noWrap/>
            <w:vAlign w:val="bottom"/>
            <w:hideMark/>
          </w:tcPr>
          <w:p w14:paraId="3FA00CCF"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val="es-CO" w:eastAsia="es-CO"/>
              </w:rPr>
              <w:t>9,9</w:t>
            </w:r>
          </w:p>
        </w:tc>
      </w:tr>
      <w:tr w:rsidR="00914134" w:rsidRPr="00F11AC5" w14:paraId="2747885B" w14:textId="77777777" w:rsidTr="0024531A">
        <w:trPr>
          <w:trHeight w:val="503"/>
          <w:jc w:val="center"/>
        </w:trPr>
        <w:tc>
          <w:tcPr>
            <w:tcW w:w="2619" w:type="dxa"/>
            <w:tcBorders>
              <w:top w:val="nil"/>
              <w:left w:val="nil"/>
              <w:bottom w:val="nil"/>
              <w:right w:val="nil"/>
            </w:tcBorders>
            <w:shd w:val="clear" w:color="auto" w:fill="auto"/>
            <w:noWrap/>
            <w:vAlign w:val="center"/>
            <w:hideMark/>
          </w:tcPr>
          <w:p w14:paraId="1007F003"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Cogenerador coltejer 1</w:t>
            </w:r>
          </w:p>
        </w:tc>
        <w:tc>
          <w:tcPr>
            <w:tcW w:w="2068" w:type="dxa"/>
            <w:tcBorders>
              <w:top w:val="nil"/>
              <w:left w:val="nil"/>
              <w:bottom w:val="nil"/>
              <w:right w:val="nil"/>
            </w:tcBorders>
            <w:shd w:val="clear" w:color="auto" w:fill="auto"/>
            <w:noWrap/>
            <w:vAlign w:val="center"/>
            <w:hideMark/>
          </w:tcPr>
          <w:p w14:paraId="1B8F67F4"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Antioquia</w:t>
            </w:r>
          </w:p>
        </w:tc>
        <w:tc>
          <w:tcPr>
            <w:tcW w:w="2389" w:type="dxa"/>
            <w:tcBorders>
              <w:top w:val="nil"/>
              <w:left w:val="nil"/>
              <w:bottom w:val="nil"/>
              <w:right w:val="nil"/>
            </w:tcBorders>
            <w:shd w:val="clear" w:color="auto" w:fill="auto"/>
            <w:noWrap/>
            <w:vAlign w:val="center"/>
            <w:hideMark/>
          </w:tcPr>
          <w:p w14:paraId="6793AC58"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eastAsia="es-CO"/>
              </w:rPr>
              <w:t>9,4</w:t>
            </w:r>
          </w:p>
        </w:tc>
      </w:tr>
      <w:tr w:rsidR="00914134" w:rsidRPr="00F11AC5" w14:paraId="634E501C" w14:textId="77777777" w:rsidTr="0024531A">
        <w:trPr>
          <w:trHeight w:val="526"/>
          <w:jc w:val="center"/>
        </w:trPr>
        <w:tc>
          <w:tcPr>
            <w:tcW w:w="2619" w:type="dxa"/>
            <w:tcBorders>
              <w:top w:val="nil"/>
              <w:left w:val="nil"/>
              <w:bottom w:val="nil"/>
              <w:right w:val="nil"/>
            </w:tcBorders>
            <w:shd w:val="clear" w:color="auto" w:fill="auto"/>
            <w:noWrap/>
            <w:vAlign w:val="center"/>
            <w:hideMark/>
          </w:tcPr>
          <w:p w14:paraId="7E46E378" w14:textId="77777777" w:rsidR="00914134" w:rsidRPr="00115BAF" w:rsidRDefault="00914134" w:rsidP="0024531A">
            <w:pP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val="es-CO" w:eastAsia="es-CO"/>
              </w:rPr>
              <w:t>Autog argos</w:t>
            </w:r>
          </w:p>
        </w:tc>
        <w:tc>
          <w:tcPr>
            <w:tcW w:w="2068" w:type="dxa"/>
            <w:tcBorders>
              <w:top w:val="nil"/>
              <w:left w:val="nil"/>
              <w:bottom w:val="nil"/>
              <w:right w:val="nil"/>
            </w:tcBorders>
            <w:shd w:val="clear" w:color="auto" w:fill="auto"/>
            <w:noWrap/>
            <w:vAlign w:val="center"/>
            <w:hideMark/>
          </w:tcPr>
          <w:p w14:paraId="00917FB0"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val="es-CO" w:eastAsia="es-CO"/>
              </w:rPr>
              <w:t>Boyacá</w:t>
            </w:r>
          </w:p>
        </w:tc>
        <w:tc>
          <w:tcPr>
            <w:tcW w:w="2389" w:type="dxa"/>
            <w:tcBorders>
              <w:top w:val="nil"/>
              <w:left w:val="nil"/>
              <w:bottom w:val="nil"/>
              <w:right w:val="nil"/>
            </w:tcBorders>
            <w:shd w:val="clear" w:color="auto" w:fill="auto"/>
            <w:noWrap/>
            <w:vAlign w:val="bottom"/>
            <w:hideMark/>
          </w:tcPr>
          <w:p w14:paraId="68DC379C" w14:textId="77777777" w:rsidR="00914134" w:rsidRPr="00115BAF" w:rsidRDefault="00914134" w:rsidP="0024531A">
            <w:pPr>
              <w:jc w:val="center"/>
              <w:rPr>
                <w:rFonts w:ascii="Arial" w:eastAsia="Times New Roman" w:hAnsi="Arial" w:cs="Arial"/>
                <w:color w:val="000000"/>
                <w:sz w:val="20"/>
                <w:szCs w:val="20"/>
                <w:lang w:val="es-CO" w:eastAsia="es-CO"/>
              </w:rPr>
            </w:pPr>
            <w:r w:rsidRPr="00115BAF">
              <w:rPr>
                <w:rFonts w:ascii="Arial" w:eastAsia="Times New Roman" w:hAnsi="Arial" w:cs="Arial"/>
                <w:color w:val="000000"/>
                <w:sz w:val="20"/>
                <w:szCs w:val="20"/>
                <w:lang w:val="es-CO" w:eastAsia="es-CO"/>
              </w:rPr>
              <w:t>5</w:t>
            </w:r>
          </w:p>
        </w:tc>
      </w:tr>
      <w:tr w:rsidR="00914134" w:rsidRPr="00F11AC5" w14:paraId="1A64206A" w14:textId="77777777" w:rsidTr="0024531A">
        <w:trPr>
          <w:trHeight w:val="526"/>
          <w:jc w:val="center"/>
        </w:trPr>
        <w:tc>
          <w:tcPr>
            <w:tcW w:w="4687" w:type="dxa"/>
            <w:gridSpan w:val="2"/>
            <w:tcBorders>
              <w:top w:val="single" w:sz="8" w:space="0" w:color="auto"/>
              <w:left w:val="nil"/>
              <w:bottom w:val="double" w:sz="6" w:space="0" w:color="auto"/>
              <w:right w:val="nil"/>
            </w:tcBorders>
            <w:shd w:val="clear" w:color="auto" w:fill="auto"/>
            <w:noWrap/>
            <w:vAlign w:val="center"/>
            <w:hideMark/>
          </w:tcPr>
          <w:p w14:paraId="4E6431D1" w14:textId="77777777" w:rsidR="00914134" w:rsidRPr="00115BAF" w:rsidRDefault="00914134" w:rsidP="0024531A">
            <w:pPr>
              <w:jc w:val="center"/>
              <w:rPr>
                <w:rFonts w:ascii="Arial" w:eastAsia="Times New Roman" w:hAnsi="Arial" w:cs="Arial"/>
                <w:b/>
                <w:bCs/>
                <w:color w:val="000000"/>
                <w:sz w:val="20"/>
                <w:szCs w:val="20"/>
                <w:lang w:val="es-CO" w:eastAsia="es-CO"/>
              </w:rPr>
            </w:pPr>
            <w:r w:rsidRPr="00115BAF">
              <w:rPr>
                <w:rFonts w:ascii="Arial" w:eastAsia="Times New Roman" w:hAnsi="Arial" w:cs="Arial"/>
                <w:b/>
                <w:bCs/>
                <w:color w:val="000000"/>
                <w:sz w:val="20"/>
                <w:szCs w:val="20"/>
                <w:lang w:eastAsia="es-CO"/>
              </w:rPr>
              <w:t>Total</w:t>
            </w:r>
            <w:r w:rsidRPr="00115BAF">
              <w:rPr>
                <w:rFonts w:ascii="Arial" w:eastAsia="Times New Roman" w:hAnsi="Arial" w:cs="Arial"/>
                <w:b/>
                <w:bCs/>
                <w:color w:val="000000"/>
                <w:sz w:val="20"/>
                <w:szCs w:val="20"/>
                <w:lang w:val="es-CO" w:eastAsia="es-CO"/>
              </w:rPr>
              <w:t> </w:t>
            </w:r>
          </w:p>
        </w:tc>
        <w:tc>
          <w:tcPr>
            <w:tcW w:w="2389" w:type="dxa"/>
            <w:tcBorders>
              <w:top w:val="single" w:sz="8" w:space="0" w:color="auto"/>
              <w:left w:val="nil"/>
              <w:bottom w:val="double" w:sz="6" w:space="0" w:color="auto"/>
              <w:right w:val="nil"/>
            </w:tcBorders>
            <w:shd w:val="clear" w:color="auto" w:fill="auto"/>
            <w:noWrap/>
            <w:vAlign w:val="center"/>
            <w:hideMark/>
          </w:tcPr>
          <w:p w14:paraId="74D7EB20" w14:textId="77777777" w:rsidR="00914134" w:rsidRPr="00115BAF" w:rsidRDefault="00914134" w:rsidP="0024531A">
            <w:pPr>
              <w:jc w:val="center"/>
              <w:rPr>
                <w:rFonts w:ascii="Arial" w:eastAsia="Times New Roman" w:hAnsi="Arial" w:cs="Arial"/>
                <w:b/>
                <w:bCs/>
                <w:color w:val="000000"/>
                <w:sz w:val="20"/>
                <w:szCs w:val="20"/>
                <w:lang w:val="es-CO" w:eastAsia="es-CO"/>
              </w:rPr>
            </w:pPr>
            <w:r w:rsidRPr="00115BAF">
              <w:rPr>
                <w:rFonts w:ascii="Arial" w:eastAsia="Times New Roman" w:hAnsi="Arial" w:cs="Arial"/>
                <w:b/>
                <w:bCs/>
                <w:color w:val="000000"/>
                <w:sz w:val="20"/>
                <w:szCs w:val="20"/>
                <w:lang w:val="es-CO" w:eastAsia="es-CO"/>
              </w:rPr>
              <w:t>1</w:t>
            </w:r>
            <w:r>
              <w:rPr>
                <w:rFonts w:ascii="Arial" w:eastAsia="Times New Roman" w:hAnsi="Arial" w:cs="Arial"/>
                <w:b/>
                <w:bCs/>
                <w:color w:val="000000"/>
                <w:sz w:val="20"/>
                <w:szCs w:val="20"/>
                <w:lang w:val="es-CO" w:eastAsia="es-CO"/>
              </w:rPr>
              <w:t>,654.</w:t>
            </w:r>
            <w:r w:rsidRPr="00115BAF">
              <w:rPr>
                <w:rFonts w:ascii="Arial" w:eastAsia="Times New Roman" w:hAnsi="Arial" w:cs="Arial"/>
                <w:b/>
                <w:bCs/>
                <w:color w:val="000000"/>
                <w:sz w:val="20"/>
                <w:szCs w:val="20"/>
                <w:lang w:val="es-CO" w:eastAsia="es-CO"/>
              </w:rPr>
              <w:t>3</w:t>
            </w:r>
          </w:p>
        </w:tc>
      </w:tr>
    </w:tbl>
    <w:p w14:paraId="0E3C4AAB" w14:textId="0AE6193D" w:rsidR="00914134" w:rsidRPr="005D45DF" w:rsidRDefault="00914134" w:rsidP="00914134">
      <w:pPr>
        <w:jc w:val="center"/>
        <w:rPr>
          <w:rFonts w:ascii="Arial" w:hAnsi="Arial" w:cs="Arial"/>
          <w:color w:val="000000" w:themeColor="text1"/>
          <w:sz w:val="18"/>
        </w:rPr>
      </w:pPr>
      <w:r w:rsidRPr="005D45DF">
        <w:rPr>
          <w:rFonts w:ascii="Arial" w:hAnsi="Arial" w:cs="Arial"/>
          <w:b/>
          <w:color w:val="000000" w:themeColor="text1"/>
          <w:sz w:val="16"/>
        </w:rPr>
        <w:t>Fuente:</w:t>
      </w:r>
      <w:r w:rsidRPr="005D45DF">
        <w:rPr>
          <w:rFonts w:ascii="Arial" w:hAnsi="Arial" w:cs="Arial"/>
          <w:color w:val="000000" w:themeColor="text1"/>
          <w:sz w:val="16"/>
        </w:rPr>
        <w:t xml:space="preserve"> XM</w:t>
      </w:r>
      <w:r w:rsidR="005D45DF" w:rsidRPr="005D45DF">
        <w:rPr>
          <w:rFonts w:ascii="Arial" w:hAnsi="Arial" w:cs="Arial"/>
          <w:color w:val="000000" w:themeColor="text1"/>
          <w:sz w:val="16"/>
        </w:rPr>
        <w:t xml:space="preserve"> </w:t>
      </w:r>
      <w:r w:rsidR="005D45DF" w:rsidRPr="005D45DF">
        <w:rPr>
          <w:rFonts w:ascii="Arial" w:hAnsi="Arial" w:cs="Arial"/>
          <w:color w:val="000000" w:themeColor="text1"/>
          <w:sz w:val="16"/>
        </w:rPr>
        <w:fldChar w:fldCharType="begin"/>
      </w:r>
      <w:r w:rsidR="005D45DF" w:rsidRPr="005D45DF">
        <w:rPr>
          <w:rFonts w:ascii="Arial" w:hAnsi="Arial" w:cs="Arial"/>
          <w:color w:val="000000" w:themeColor="text1"/>
          <w:sz w:val="16"/>
        </w:rPr>
        <w:instrText xml:space="preserve"> REF _Ref529881598 \r \h </w:instrText>
      </w:r>
      <w:r w:rsidR="005D45DF">
        <w:rPr>
          <w:rFonts w:ascii="Arial" w:hAnsi="Arial" w:cs="Arial"/>
          <w:color w:val="000000" w:themeColor="text1"/>
          <w:sz w:val="16"/>
        </w:rPr>
        <w:instrText xml:space="preserve"> \* MERGEFORMAT </w:instrText>
      </w:r>
      <w:r w:rsidR="005D45DF" w:rsidRPr="005D45DF">
        <w:rPr>
          <w:rFonts w:ascii="Arial" w:hAnsi="Arial" w:cs="Arial"/>
          <w:color w:val="000000" w:themeColor="text1"/>
          <w:sz w:val="16"/>
        </w:rPr>
      </w:r>
      <w:r w:rsidR="005D45DF" w:rsidRPr="005D45DF">
        <w:rPr>
          <w:rFonts w:ascii="Arial" w:hAnsi="Arial" w:cs="Arial"/>
          <w:color w:val="000000" w:themeColor="text1"/>
          <w:sz w:val="16"/>
        </w:rPr>
        <w:fldChar w:fldCharType="separate"/>
      </w:r>
      <w:r w:rsidR="00915705">
        <w:rPr>
          <w:rFonts w:ascii="Arial" w:hAnsi="Arial" w:cs="Arial"/>
          <w:color w:val="000000" w:themeColor="text1"/>
          <w:sz w:val="16"/>
        </w:rPr>
        <w:t>[13]</w:t>
      </w:r>
      <w:r w:rsidR="005D45DF" w:rsidRPr="005D45DF">
        <w:rPr>
          <w:rFonts w:ascii="Arial" w:hAnsi="Arial" w:cs="Arial"/>
          <w:color w:val="000000" w:themeColor="text1"/>
          <w:sz w:val="16"/>
        </w:rPr>
        <w:fldChar w:fldCharType="end"/>
      </w:r>
      <w:r w:rsidR="005D45DF">
        <w:rPr>
          <w:rFonts w:ascii="Arial" w:hAnsi="Arial" w:cs="Arial"/>
          <w:color w:val="000000" w:themeColor="text1"/>
          <w:sz w:val="16"/>
        </w:rPr>
        <w:t>, UPME</w:t>
      </w:r>
    </w:p>
    <w:p w14:paraId="3A093287" w14:textId="77777777" w:rsidR="00914134" w:rsidRPr="00115BAF" w:rsidRDefault="00914134" w:rsidP="00914134">
      <w:pPr>
        <w:spacing w:before="240" w:after="240" w:line="276" w:lineRule="auto"/>
        <w:jc w:val="both"/>
        <w:rPr>
          <w:rFonts w:ascii="Arial" w:hAnsi="Arial" w:cs="Arial"/>
          <w:sz w:val="22"/>
          <w:szCs w:val="22"/>
        </w:rPr>
      </w:pPr>
      <w:r w:rsidRPr="00115BAF">
        <w:rPr>
          <w:rFonts w:ascii="Arial" w:hAnsi="Arial" w:cs="Arial"/>
          <w:sz w:val="22"/>
          <w:szCs w:val="22"/>
        </w:rPr>
        <w:t xml:space="preserve">Como se puede observar en la </w:t>
      </w:r>
      <w:r w:rsidRPr="00115BAF">
        <w:rPr>
          <w:rFonts w:ascii="Arial" w:hAnsi="Arial" w:cs="Arial"/>
          <w:sz w:val="22"/>
          <w:szCs w:val="22"/>
        </w:rPr>
        <w:fldChar w:fldCharType="begin"/>
      </w:r>
      <w:r w:rsidRPr="00115BAF">
        <w:rPr>
          <w:rFonts w:ascii="Arial" w:hAnsi="Arial" w:cs="Arial"/>
          <w:sz w:val="22"/>
          <w:szCs w:val="22"/>
        </w:rPr>
        <w:instrText xml:space="preserve"> REF _Ref528247970 \h  \* MERGEFORMAT </w:instrText>
      </w:r>
      <w:r w:rsidRPr="00115BAF">
        <w:rPr>
          <w:rFonts w:ascii="Arial" w:hAnsi="Arial" w:cs="Arial"/>
          <w:sz w:val="22"/>
          <w:szCs w:val="22"/>
        </w:rPr>
      </w:r>
      <w:r w:rsidRPr="00115BAF">
        <w:rPr>
          <w:rFonts w:ascii="Arial" w:hAnsi="Arial" w:cs="Arial"/>
          <w:sz w:val="22"/>
          <w:szCs w:val="22"/>
        </w:rPr>
        <w:fldChar w:fldCharType="separate"/>
      </w:r>
      <w:r w:rsidR="00915705" w:rsidRPr="00915705">
        <w:rPr>
          <w:rFonts w:ascii="Arial" w:hAnsi="Arial" w:cs="Arial"/>
          <w:sz w:val="22"/>
          <w:szCs w:val="22"/>
          <w:highlight w:val="yellow"/>
        </w:rPr>
        <w:t xml:space="preserve">Tabla </w:t>
      </w:r>
      <w:r w:rsidR="00915705" w:rsidRPr="00915705">
        <w:rPr>
          <w:rFonts w:ascii="Arial" w:hAnsi="Arial" w:cs="Arial"/>
          <w:noProof/>
          <w:sz w:val="22"/>
          <w:szCs w:val="22"/>
          <w:highlight w:val="yellow"/>
        </w:rPr>
        <w:t>2</w:t>
      </w:r>
      <w:r w:rsidR="00915705" w:rsidRPr="00915705">
        <w:rPr>
          <w:rFonts w:ascii="Arial" w:hAnsi="Arial" w:cs="Arial"/>
          <w:noProof/>
          <w:sz w:val="22"/>
          <w:szCs w:val="22"/>
          <w:highlight w:val="yellow"/>
        </w:rPr>
        <w:noBreakHyphen/>
        <w:t>2</w:t>
      </w:r>
      <w:r w:rsidRPr="00115BAF">
        <w:rPr>
          <w:rFonts w:ascii="Arial" w:hAnsi="Arial" w:cs="Arial"/>
          <w:sz w:val="22"/>
          <w:szCs w:val="22"/>
        </w:rPr>
        <w:fldChar w:fldCharType="end"/>
      </w:r>
      <w:r>
        <w:rPr>
          <w:rFonts w:ascii="Arial" w:hAnsi="Arial" w:cs="Arial"/>
          <w:sz w:val="22"/>
          <w:szCs w:val="22"/>
        </w:rPr>
        <w:t xml:space="preserve"> </w:t>
      </w:r>
      <w:r w:rsidRPr="00115BAF">
        <w:rPr>
          <w:rFonts w:ascii="Arial" w:hAnsi="Arial" w:cs="Arial"/>
          <w:sz w:val="22"/>
          <w:szCs w:val="22"/>
        </w:rPr>
        <w:t>la distribución regional de las plantas con este tipo de fuente es un poco más equitativa con respecto a otras fuentes, pues las unidades localizadas en Córdoba aportan el 26%, en Norte de Santander 20%, en Boyacá aportan en conjunto 20% %, en</w:t>
      </w:r>
      <w:r>
        <w:rPr>
          <w:rFonts w:ascii="Arial" w:hAnsi="Arial" w:cs="Arial"/>
          <w:sz w:val="22"/>
          <w:szCs w:val="22"/>
        </w:rPr>
        <w:t xml:space="preserve"> la </w:t>
      </w:r>
      <w:r w:rsidRPr="00115BAF">
        <w:rPr>
          <w:rFonts w:ascii="Arial" w:hAnsi="Arial" w:cs="Arial"/>
          <w:sz w:val="22"/>
          <w:szCs w:val="22"/>
        </w:rPr>
        <w:t xml:space="preserve">Guajira </w:t>
      </w:r>
      <w:r w:rsidRPr="00006B6F">
        <w:rPr>
          <w:rFonts w:ascii="Arial" w:hAnsi="Arial" w:cs="Arial"/>
          <w:sz w:val="22"/>
          <w:szCs w:val="22"/>
        </w:rPr>
        <w:t>el</w:t>
      </w:r>
      <w:r w:rsidRPr="00115BAF">
        <w:rPr>
          <w:rFonts w:ascii="Arial" w:hAnsi="Arial" w:cs="Arial"/>
          <w:sz w:val="22"/>
          <w:szCs w:val="22"/>
        </w:rPr>
        <w:t xml:space="preserve"> 17% y Cundinamarca el 14%.</w:t>
      </w:r>
    </w:p>
    <w:p w14:paraId="0DE4258F" w14:textId="77777777" w:rsidR="00914134" w:rsidRPr="007E23C5" w:rsidRDefault="00914134" w:rsidP="00006B6F">
      <w:pPr>
        <w:pStyle w:val="Ttulo3"/>
        <w:rPr>
          <w:highlight w:val="yellow"/>
        </w:rPr>
      </w:pPr>
      <w:bookmarkStart w:id="63" w:name="_Toc530045827"/>
      <w:r w:rsidRPr="00BA1B41">
        <w:t>Pla</w:t>
      </w:r>
      <w:r w:rsidRPr="00D7545E">
        <w:t>ntas a combustibles líquidos</w:t>
      </w:r>
      <w:bookmarkEnd w:id="63"/>
    </w:p>
    <w:p w14:paraId="0481A17D" w14:textId="77777777" w:rsidR="00914134" w:rsidRPr="009100D9" w:rsidRDefault="00914134" w:rsidP="00914134">
      <w:pPr>
        <w:spacing w:before="240" w:after="240" w:line="276" w:lineRule="auto"/>
        <w:jc w:val="both"/>
        <w:rPr>
          <w:rFonts w:ascii="Arial" w:hAnsi="Arial" w:cs="Arial"/>
          <w:sz w:val="22"/>
          <w:szCs w:val="22"/>
          <w:highlight w:val="yellow"/>
        </w:rPr>
      </w:pPr>
      <w:r w:rsidRPr="009100D9">
        <w:rPr>
          <w:rFonts w:ascii="Arial" w:hAnsi="Arial" w:cs="Arial"/>
          <w:sz w:val="22"/>
          <w:szCs w:val="22"/>
        </w:rPr>
        <w:t xml:space="preserve">Finalmente se presenta de manera detallada las unidades de generación de electricidad que operan con combustibles derivados del petróleo (ver </w:t>
      </w:r>
      <w:r w:rsidRPr="009100D9">
        <w:rPr>
          <w:rFonts w:ascii="Arial" w:hAnsi="Arial" w:cs="Arial"/>
          <w:sz w:val="22"/>
          <w:szCs w:val="22"/>
          <w:highlight w:val="yellow"/>
        </w:rPr>
        <w:fldChar w:fldCharType="begin"/>
      </w:r>
      <w:r w:rsidRPr="009100D9">
        <w:rPr>
          <w:rFonts w:ascii="Arial" w:hAnsi="Arial" w:cs="Arial"/>
          <w:sz w:val="22"/>
          <w:szCs w:val="22"/>
          <w:highlight w:val="yellow"/>
        </w:rPr>
        <w:instrText xml:space="preserve"> REF _Ref528249409 \h  \* MERGEFORMAT </w:instrText>
      </w:r>
      <w:r w:rsidRPr="009100D9">
        <w:rPr>
          <w:rFonts w:ascii="Arial" w:hAnsi="Arial" w:cs="Arial"/>
          <w:sz w:val="22"/>
          <w:szCs w:val="22"/>
          <w:highlight w:val="yellow"/>
        </w:rPr>
      </w:r>
      <w:r w:rsidRPr="009100D9">
        <w:rPr>
          <w:rFonts w:ascii="Arial" w:hAnsi="Arial" w:cs="Arial"/>
          <w:sz w:val="22"/>
          <w:szCs w:val="22"/>
          <w:highlight w:val="yellow"/>
        </w:rPr>
        <w:fldChar w:fldCharType="separate"/>
      </w:r>
      <w:r w:rsidR="00915705" w:rsidRPr="00915705">
        <w:rPr>
          <w:rFonts w:ascii="Arial" w:hAnsi="Arial" w:cs="Arial"/>
          <w:sz w:val="22"/>
          <w:szCs w:val="22"/>
          <w:highlight w:val="yellow"/>
        </w:rPr>
        <w:t>Tabla 2</w:t>
      </w:r>
      <w:r w:rsidR="00915705" w:rsidRPr="00915705">
        <w:rPr>
          <w:rFonts w:ascii="Arial" w:hAnsi="Arial" w:cs="Arial"/>
          <w:sz w:val="22"/>
          <w:szCs w:val="22"/>
          <w:highlight w:val="yellow"/>
        </w:rPr>
        <w:noBreakHyphen/>
        <w:t>3</w:t>
      </w:r>
      <w:r w:rsidRPr="009100D9">
        <w:rPr>
          <w:rFonts w:ascii="Arial" w:hAnsi="Arial" w:cs="Arial"/>
          <w:sz w:val="22"/>
          <w:szCs w:val="22"/>
          <w:highlight w:val="yellow"/>
        </w:rPr>
        <w:fldChar w:fldCharType="end"/>
      </w:r>
      <w:r w:rsidRPr="009100D9">
        <w:rPr>
          <w:rFonts w:ascii="Arial" w:hAnsi="Arial" w:cs="Arial"/>
          <w:sz w:val="22"/>
          <w:szCs w:val="22"/>
        </w:rPr>
        <w:t xml:space="preserve">). Este sistema en particular reporta una capacidad instalada </w:t>
      </w:r>
      <w:r w:rsidRPr="00A27405">
        <w:rPr>
          <w:rFonts w:ascii="Arial" w:hAnsi="Arial" w:cs="Arial"/>
          <w:sz w:val="22"/>
          <w:szCs w:val="22"/>
        </w:rPr>
        <w:t>de 994 MW de los</w:t>
      </w:r>
      <w:r w:rsidRPr="009100D9">
        <w:rPr>
          <w:rFonts w:ascii="Arial" w:hAnsi="Arial" w:cs="Arial"/>
          <w:sz w:val="22"/>
          <w:szCs w:val="22"/>
        </w:rPr>
        <w:t xml:space="preserve"> cuales alrededor del 77% corresponde a unidades operadas con ACPM, seguidas por las unidades operadas con combustóleo con cerca de 19%y algunas planta que utilizan Jet Fuel. La mayoría de las unidades se concentran en los departamentos Valle del Cauca y Bolívar. Como se mencionó anteriormente, algunas de estas unidades tiene la capacidad para generar con otro combustible, en particular con gas natural.</w:t>
      </w:r>
    </w:p>
    <w:p w14:paraId="7C1CF746" w14:textId="77777777" w:rsidR="00914134" w:rsidRPr="00384134" w:rsidRDefault="00914134" w:rsidP="00914134">
      <w:pPr>
        <w:pStyle w:val="Descripcin"/>
        <w:keepNext/>
        <w:spacing w:after="0"/>
        <w:jc w:val="center"/>
        <w:rPr>
          <w:b/>
          <w:i w:val="0"/>
          <w:color w:val="auto"/>
          <w:sz w:val="20"/>
        </w:rPr>
      </w:pPr>
      <w:bookmarkStart w:id="64" w:name="_Ref528249409"/>
      <w:bookmarkStart w:id="65" w:name="_Toc529889744"/>
      <w:bookmarkStart w:id="66" w:name="_Toc499794491"/>
      <w:r w:rsidRPr="009100D9">
        <w:rPr>
          <w:b/>
          <w:i w:val="0"/>
          <w:color w:val="auto"/>
          <w:sz w:val="20"/>
          <w:highlight w:val="yellow"/>
        </w:rPr>
        <w:lastRenderedPageBreak/>
        <w:t xml:space="preserve">Tabla </w:t>
      </w:r>
      <w:r>
        <w:rPr>
          <w:b/>
          <w:i w:val="0"/>
          <w:color w:val="auto"/>
          <w:sz w:val="20"/>
          <w:highlight w:val="yellow"/>
        </w:rPr>
        <w:fldChar w:fldCharType="begin"/>
      </w:r>
      <w:r>
        <w:rPr>
          <w:b/>
          <w:i w:val="0"/>
          <w:color w:val="auto"/>
          <w:sz w:val="20"/>
          <w:highlight w:val="yellow"/>
        </w:rPr>
        <w:instrText xml:space="preserve"> STYLEREF 1 \s </w:instrText>
      </w:r>
      <w:r>
        <w:rPr>
          <w:b/>
          <w:i w:val="0"/>
          <w:color w:val="auto"/>
          <w:sz w:val="20"/>
          <w:highlight w:val="yellow"/>
        </w:rPr>
        <w:fldChar w:fldCharType="separate"/>
      </w:r>
      <w:r w:rsidR="00915705">
        <w:rPr>
          <w:b/>
          <w:i w:val="0"/>
          <w:noProof/>
          <w:color w:val="auto"/>
          <w:sz w:val="20"/>
          <w:highlight w:val="yellow"/>
        </w:rPr>
        <w:t>2</w:t>
      </w:r>
      <w:r>
        <w:rPr>
          <w:b/>
          <w:i w:val="0"/>
          <w:color w:val="auto"/>
          <w:sz w:val="20"/>
          <w:highlight w:val="yellow"/>
        </w:rPr>
        <w:fldChar w:fldCharType="end"/>
      </w:r>
      <w:r>
        <w:rPr>
          <w:b/>
          <w:i w:val="0"/>
          <w:color w:val="auto"/>
          <w:sz w:val="20"/>
          <w:highlight w:val="yellow"/>
        </w:rPr>
        <w:noBreakHyphen/>
      </w:r>
      <w:r>
        <w:rPr>
          <w:b/>
          <w:i w:val="0"/>
          <w:color w:val="auto"/>
          <w:sz w:val="20"/>
          <w:highlight w:val="yellow"/>
        </w:rPr>
        <w:fldChar w:fldCharType="begin"/>
      </w:r>
      <w:r>
        <w:rPr>
          <w:b/>
          <w:i w:val="0"/>
          <w:color w:val="auto"/>
          <w:sz w:val="20"/>
          <w:highlight w:val="yellow"/>
        </w:rPr>
        <w:instrText xml:space="preserve"> SEQ Tabla \* ARABIC \s 1 </w:instrText>
      </w:r>
      <w:r>
        <w:rPr>
          <w:b/>
          <w:i w:val="0"/>
          <w:color w:val="auto"/>
          <w:sz w:val="20"/>
          <w:highlight w:val="yellow"/>
        </w:rPr>
        <w:fldChar w:fldCharType="separate"/>
      </w:r>
      <w:r w:rsidR="00915705">
        <w:rPr>
          <w:b/>
          <w:i w:val="0"/>
          <w:noProof/>
          <w:color w:val="auto"/>
          <w:sz w:val="20"/>
          <w:highlight w:val="yellow"/>
        </w:rPr>
        <w:t>3</w:t>
      </w:r>
      <w:r>
        <w:rPr>
          <w:b/>
          <w:i w:val="0"/>
          <w:color w:val="auto"/>
          <w:sz w:val="20"/>
          <w:highlight w:val="yellow"/>
        </w:rPr>
        <w:fldChar w:fldCharType="end"/>
      </w:r>
      <w:bookmarkEnd w:id="64"/>
      <w:r w:rsidRPr="00384134">
        <w:rPr>
          <w:b/>
          <w:i w:val="0"/>
          <w:color w:val="auto"/>
          <w:sz w:val="20"/>
        </w:rPr>
        <w:t xml:space="preserve"> </w:t>
      </w:r>
      <w:r w:rsidRPr="009100D9">
        <w:rPr>
          <w:i w:val="0"/>
          <w:color w:val="auto"/>
          <w:sz w:val="20"/>
        </w:rPr>
        <w:t>Unidades de generación térmica del SIN operadas con combustibles líquidos</w:t>
      </w:r>
      <w:bookmarkEnd w:id="65"/>
    </w:p>
    <w:tbl>
      <w:tblPr>
        <w:tblW w:w="7879" w:type="dxa"/>
        <w:jc w:val="center"/>
        <w:tblCellMar>
          <w:left w:w="70" w:type="dxa"/>
          <w:right w:w="70" w:type="dxa"/>
        </w:tblCellMar>
        <w:tblLook w:val="04A0" w:firstRow="1" w:lastRow="0" w:firstColumn="1" w:lastColumn="0" w:noHBand="0" w:noVBand="1"/>
      </w:tblPr>
      <w:tblGrid>
        <w:gridCol w:w="2694"/>
        <w:gridCol w:w="1352"/>
        <w:gridCol w:w="2050"/>
        <w:gridCol w:w="1783"/>
      </w:tblGrid>
      <w:tr w:rsidR="00914134" w:rsidRPr="00384134" w14:paraId="6A3DCE3B" w14:textId="77777777" w:rsidTr="0024531A">
        <w:trPr>
          <w:trHeight w:val="551"/>
          <w:jc w:val="center"/>
        </w:trPr>
        <w:tc>
          <w:tcPr>
            <w:tcW w:w="2694" w:type="dxa"/>
            <w:tcBorders>
              <w:top w:val="double" w:sz="6" w:space="0" w:color="auto"/>
              <w:left w:val="nil"/>
              <w:bottom w:val="single" w:sz="8" w:space="0" w:color="auto"/>
              <w:right w:val="nil"/>
            </w:tcBorders>
            <w:shd w:val="clear" w:color="auto" w:fill="auto"/>
            <w:noWrap/>
            <w:vAlign w:val="center"/>
            <w:hideMark/>
          </w:tcPr>
          <w:bookmarkEnd w:id="66"/>
          <w:p w14:paraId="7E47217A" w14:textId="77777777" w:rsidR="00914134" w:rsidRPr="009100D9" w:rsidRDefault="00914134" w:rsidP="0024531A">
            <w:pPr>
              <w:jc w:val="center"/>
              <w:rPr>
                <w:rFonts w:ascii="Arial" w:eastAsia="Times New Roman" w:hAnsi="Arial" w:cs="Arial"/>
                <w:b/>
                <w:bCs/>
                <w:color w:val="000000"/>
                <w:sz w:val="20"/>
                <w:szCs w:val="20"/>
                <w:lang w:val="es-CO" w:eastAsia="es-CO"/>
              </w:rPr>
            </w:pPr>
            <w:r w:rsidRPr="009100D9">
              <w:rPr>
                <w:rFonts w:ascii="Arial" w:eastAsia="Times New Roman" w:hAnsi="Arial" w:cs="Arial"/>
                <w:b/>
                <w:bCs/>
                <w:color w:val="000000"/>
                <w:sz w:val="20"/>
                <w:szCs w:val="20"/>
                <w:lang w:eastAsia="es-CO"/>
              </w:rPr>
              <w:t>Unidad térmica</w:t>
            </w:r>
          </w:p>
        </w:tc>
        <w:tc>
          <w:tcPr>
            <w:tcW w:w="1352" w:type="dxa"/>
            <w:tcBorders>
              <w:top w:val="double" w:sz="6" w:space="0" w:color="auto"/>
              <w:left w:val="nil"/>
              <w:bottom w:val="single" w:sz="8" w:space="0" w:color="auto"/>
              <w:right w:val="nil"/>
            </w:tcBorders>
            <w:shd w:val="clear" w:color="auto" w:fill="auto"/>
            <w:noWrap/>
            <w:vAlign w:val="center"/>
            <w:hideMark/>
          </w:tcPr>
          <w:p w14:paraId="09DC38A3" w14:textId="77777777" w:rsidR="00914134" w:rsidRPr="009100D9" w:rsidRDefault="00914134" w:rsidP="0024531A">
            <w:pPr>
              <w:jc w:val="center"/>
              <w:rPr>
                <w:rFonts w:ascii="Arial" w:eastAsia="Times New Roman" w:hAnsi="Arial" w:cs="Arial"/>
                <w:b/>
                <w:bCs/>
                <w:color w:val="000000"/>
                <w:sz w:val="20"/>
                <w:szCs w:val="20"/>
                <w:lang w:val="es-CO" w:eastAsia="es-CO"/>
              </w:rPr>
            </w:pPr>
            <w:r w:rsidRPr="009100D9">
              <w:rPr>
                <w:rFonts w:ascii="Arial" w:eastAsia="Times New Roman" w:hAnsi="Arial" w:cs="Arial"/>
                <w:b/>
                <w:bCs/>
                <w:color w:val="000000"/>
                <w:sz w:val="20"/>
                <w:szCs w:val="20"/>
                <w:lang w:eastAsia="es-CO"/>
              </w:rPr>
              <w:t>Combustible</w:t>
            </w:r>
          </w:p>
        </w:tc>
        <w:tc>
          <w:tcPr>
            <w:tcW w:w="2050" w:type="dxa"/>
            <w:tcBorders>
              <w:top w:val="double" w:sz="6" w:space="0" w:color="auto"/>
              <w:left w:val="nil"/>
              <w:bottom w:val="single" w:sz="8" w:space="0" w:color="auto"/>
              <w:right w:val="nil"/>
            </w:tcBorders>
            <w:shd w:val="clear" w:color="auto" w:fill="auto"/>
            <w:noWrap/>
            <w:vAlign w:val="center"/>
            <w:hideMark/>
          </w:tcPr>
          <w:p w14:paraId="60758DAB" w14:textId="77777777" w:rsidR="00914134" w:rsidRPr="009100D9" w:rsidRDefault="00914134" w:rsidP="0024531A">
            <w:pPr>
              <w:jc w:val="center"/>
              <w:rPr>
                <w:rFonts w:ascii="Arial" w:eastAsia="Times New Roman" w:hAnsi="Arial" w:cs="Arial"/>
                <w:b/>
                <w:bCs/>
                <w:color w:val="000000"/>
                <w:sz w:val="20"/>
                <w:szCs w:val="20"/>
                <w:lang w:val="es-CO" w:eastAsia="es-CO"/>
              </w:rPr>
            </w:pPr>
            <w:r w:rsidRPr="009100D9">
              <w:rPr>
                <w:rFonts w:ascii="Arial" w:eastAsia="Times New Roman" w:hAnsi="Arial" w:cs="Arial"/>
                <w:b/>
                <w:bCs/>
                <w:color w:val="000000"/>
                <w:sz w:val="20"/>
                <w:szCs w:val="20"/>
                <w:lang w:eastAsia="es-CO"/>
              </w:rPr>
              <w:t>Ubicación</w:t>
            </w:r>
          </w:p>
        </w:tc>
        <w:tc>
          <w:tcPr>
            <w:tcW w:w="1783" w:type="dxa"/>
            <w:tcBorders>
              <w:top w:val="double" w:sz="6" w:space="0" w:color="auto"/>
              <w:left w:val="nil"/>
              <w:bottom w:val="single" w:sz="8" w:space="0" w:color="auto"/>
              <w:right w:val="nil"/>
            </w:tcBorders>
            <w:shd w:val="clear" w:color="auto" w:fill="auto"/>
            <w:noWrap/>
            <w:vAlign w:val="center"/>
            <w:hideMark/>
          </w:tcPr>
          <w:p w14:paraId="18C8CBC4" w14:textId="77777777" w:rsidR="00914134" w:rsidRPr="009100D9" w:rsidRDefault="00914134" w:rsidP="0024531A">
            <w:pPr>
              <w:jc w:val="center"/>
              <w:rPr>
                <w:rFonts w:ascii="Arial" w:eastAsia="Times New Roman" w:hAnsi="Arial" w:cs="Arial"/>
                <w:b/>
                <w:bCs/>
                <w:color w:val="000000"/>
                <w:sz w:val="20"/>
                <w:szCs w:val="20"/>
                <w:lang w:val="es-CO" w:eastAsia="es-CO"/>
              </w:rPr>
            </w:pPr>
            <w:r w:rsidRPr="009100D9">
              <w:rPr>
                <w:rFonts w:ascii="Arial" w:eastAsia="Times New Roman" w:hAnsi="Arial" w:cs="Arial"/>
                <w:b/>
                <w:bCs/>
                <w:color w:val="000000"/>
                <w:sz w:val="20"/>
                <w:szCs w:val="20"/>
                <w:lang w:eastAsia="es-CO"/>
              </w:rPr>
              <w:t>Capacidad [MW]</w:t>
            </w:r>
          </w:p>
        </w:tc>
      </w:tr>
      <w:tr w:rsidR="00914134" w:rsidRPr="00384134" w14:paraId="4E76D565" w14:textId="77777777" w:rsidTr="0024531A">
        <w:trPr>
          <w:trHeight w:val="505"/>
          <w:jc w:val="center"/>
        </w:trPr>
        <w:tc>
          <w:tcPr>
            <w:tcW w:w="2694" w:type="dxa"/>
            <w:tcBorders>
              <w:top w:val="nil"/>
              <w:left w:val="nil"/>
              <w:bottom w:val="nil"/>
              <w:right w:val="nil"/>
            </w:tcBorders>
            <w:shd w:val="clear" w:color="auto" w:fill="auto"/>
            <w:noWrap/>
            <w:vAlign w:val="center"/>
            <w:hideMark/>
          </w:tcPr>
          <w:p w14:paraId="601D97D5" w14:textId="77777777" w:rsidR="00914134" w:rsidRPr="009100D9" w:rsidRDefault="00914134" w:rsidP="0024531A">
            <w:pP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Termosierra</w:t>
            </w:r>
          </w:p>
        </w:tc>
        <w:tc>
          <w:tcPr>
            <w:tcW w:w="1352" w:type="dxa"/>
            <w:tcBorders>
              <w:top w:val="nil"/>
              <w:left w:val="nil"/>
              <w:bottom w:val="nil"/>
              <w:right w:val="nil"/>
            </w:tcBorders>
            <w:shd w:val="clear" w:color="auto" w:fill="auto"/>
            <w:noWrap/>
            <w:vAlign w:val="center"/>
            <w:hideMark/>
          </w:tcPr>
          <w:p w14:paraId="6A569D85"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ACPM</w:t>
            </w:r>
          </w:p>
        </w:tc>
        <w:tc>
          <w:tcPr>
            <w:tcW w:w="2050" w:type="dxa"/>
            <w:tcBorders>
              <w:top w:val="nil"/>
              <w:left w:val="nil"/>
              <w:bottom w:val="nil"/>
              <w:right w:val="nil"/>
            </w:tcBorders>
            <w:shd w:val="clear" w:color="auto" w:fill="auto"/>
            <w:noWrap/>
            <w:vAlign w:val="center"/>
            <w:hideMark/>
          </w:tcPr>
          <w:p w14:paraId="17E5DAAD"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Antioquia</w:t>
            </w:r>
          </w:p>
        </w:tc>
        <w:tc>
          <w:tcPr>
            <w:tcW w:w="1783" w:type="dxa"/>
            <w:tcBorders>
              <w:top w:val="nil"/>
              <w:left w:val="nil"/>
              <w:bottom w:val="nil"/>
              <w:right w:val="nil"/>
            </w:tcBorders>
            <w:shd w:val="clear" w:color="auto" w:fill="auto"/>
            <w:noWrap/>
            <w:vAlign w:val="center"/>
            <w:hideMark/>
          </w:tcPr>
          <w:p w14:paraId="6802CCC7"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353</w:t>
            </w:r>
          </w:p>
        </w:tc>
      </w:tr>
      <w:tr w:rsidR="00914134" w:rsidRPr="00384134" w14:paraId="741C76EB" w14:textId="77777777" w:rsidTr="0024531A">
        <w:trPr>
          <w:trHeight w:val="505"/>
          <w:jc w:val="center"/>
        </w:trPr>
        <w:tc>
          <w:tcPr>
            <w:tcW w:w="2694" w:type="dxa"/>
            <w:tcBorders>
              <w:top w:val="nil"/>
              <w:left w:val="nil"/>
              <w:bottom w:val="nil"/>
              <w:right w:val="nil"/>
            </w:tcBorders>
            <w:shd w:val="clear" w:color="auto" w:fill="auto"/>
            <w:noWrap/>
            <w:vAlign w:val="center"/>
            <w:hideMark/>
          </w:tcPr>
          <w:p w14:paraId="3FE55B22" w14:textId="77777777" w:rsidR="00914134" w:rsidRPr="009100D9" w:rsidRDefault="00914134" w:rsidP="0024531A">
            <w:pP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Termoemcali 1</w:t>
            </w:r>
          </w:p>
        </w:tc>
        <w:tc>
          <w:tcPr>
            <w:tcW w:w="1352" w:type="dxa"/>
            <w:tcBorders>
              <w:top w:val="nil"/>
              <w:left w:val="nil"/>
              <w:bottom w:val="nil"/>
              <w:right w:val="nil"/>
            </w:tcBorders>
            <w:shd w:val="clear" w:color="auto" w:fill="auto"/>
            <w:noWrap/>
            <w:vAlign w:val="center"/>
            <w:hideMark/>
          </w:tcPr>
          <w:p w14:paraId="5CE60037"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ACPM</w:t>
            </w:r>
          </w:p>
        </w:tc>
        <w:tc>
          <w:tcPr>
            <w:tcW w:w="2050" w:type="dxa"/>
            <w:tcBorders>
              <w:top w:val="nil"/>
              <w:left w:val="nil"/>
              <w:bottom w:val="nil"/>
              <w:right w:val="nil"/>
            </w:tcBorders>
            <w:shd w:val="clear" w:color="auto" w:fill="auto"/>
            <w:noWrap/>
            <w:vAlign w:val="center"/>
            <w:hideMark/>
          </w:tcPr>
          <w:p w14:paraId="7EA32826"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Valle del Cauca</w:t>
            </w:r>
          </w:p>
        </w:tc>
        <w:tc>
          <w:tcPr>
            <w:tcW w:w="1783" w:type="dxa"/>
            <w:tcBorders>
              <w:top w:val="nil"/>
              <w:left w:val="nil"/>
              <w:bottom w:val="nil"/>
              <w:right w:val="nil"/>
            </w:tcBorders>
            <w:shd w:val="clear" w:color="auto" w:fill="auto"/>
            <w:noWrap/>
            <w:vAlign w:val="center"/>
            <w:hideMark/>
          </w:tcPr>
          <w:p w14:paraId="544848C4"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213</w:t>
            </w:r>
          </w:p>
        </w:tc>
      </w:tr>
      <w:tr w:rsidR="00914134" w:rsidRPr="00384134" w14:paraId="120F4993" w14:textId="77777777" w:rsidTr="0024531A">
        <w:trPr>
          <w:trHeight w:val="505"/>
          <w:jc w:val="center"/>
        </w:trPr>
        <w:tc>
          <w:tcPr>
            <w:tcW w:w="2694" w:type="dxa"/>
            <w:tcBorders>
              <w:top w:val="nil"/>
              <w:left w:val="nil"/>
              <w:bottom w:val="nil"/>
              <w:right w:val="nil"/>
            </w:tcBorders>
            <w:shd w:val="clear" w:color="auto" w:fill="auto"/>
            <w:noWrap/>
            <w:vAlign w:val="center"/>
            <w:hideMark/>
          </w:tcPr>
          <w:p w14:paraId="030B0EE9" w14:textId="77777777" w:rsidR="00914134" w:rsidRPr="009100D9" w:rsidRDefault="00914134" w:rsidP="0024531A">
            <w:pP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Termovalle 1</w:t>
            </w:r>
          </w:p>
        </w:tc>
        <w:tc>
          <w:tcPr>
            <w:tcW w:w="1352" w:type="dxa"/>
            <w:tcBorders>
              <w:top w:val="nil"/>
              <w:left w:val="nil"/>
              <w:bottom w:val="nil"/>
              <w:right w:val="nil"/>
            </w:tcBorders>
            <w:shd w:val="clear" w:color="auto" w:fill="auto"/>
            <w:noWrap/>
            <w:vAlign w:val="center"/>
            <w:hideMark/>
          </w:tcPr>
          <w:p w14:paraId="5A47A5BC"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ACPM</w:t>
            </w:r>
          </w:p>
        </w:tc>
        <w:tc>
          <w:tcPr>
            <w:tcW w:w="2050" w:type="dxa"/>
            <w:tcBorders>
              <w:top w:val="nil"/>
              <w:left w:val="nil"/>
              <w:bottom w:val="nil"/>
              <w:right w:val="nil"/>
            </w:tcBorders>
            <w:shd w:val="clear" w:color="auto" w:fill="auto"/>
            <w:noWrap/>
            <w:vAlign w:val="center"/>
            <w:hideMark/>
          </w:tcPr>
          <w:p w14:paraId="09ADF3C5"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Valle del Cauca</w:t>
            </w:r>
          </w:p>
        </w:tc>
        <w:tc>
          <w:tcPr>
            <w:tcW w:w="1783" w:type="dxa"/>
            <w:tcBorders>
              <w:top w:val="nil"/>
              <w:left w:val="nil"/>
              <w:bottom w:val="nil"/>
              <w:right w:val="nil"/>
            </w:tcBorders>
            <w:shd w:val="clear" w:color="auto" w:fill="auto"/>
            <w:noWrap/>
            <w:vAlign w:val="center"/>
            <w:hideMark/>
          </w:tcPr>
          <w:p w14:paraId="716D8835"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200</w:t>
            </w:r>
          </w:p>
        </w:tc>
      </w:tr>
      <w:tr w:rsidR="00914134" w:rsidRPr="00384134" w14:paraId="4C47F54E" w14:textId="77777777" w:rsidTr="0024531A">
        <w:trPr>
          <w:trHeight w:val="505"/>
          <w:jc w:val="center"/>
        </w:trPr>
        <w:tc>
          <w:tcPr>
            <w:tcW w:w="2694" w:type="dxa"/>
            <w:tcBorders>
              <w:top w:val="nil"/>
              <w:left w:val="nil"/>
              <w:bottom w:val="nil"/>
              <w:right w:val="nil"/>
            </w:tcBorders>
            <w:shd w:val="clear" w:color="auto" w:fill="auto"/>
            <w:noWrap/>
            <w:vAlign w:val="center"/>
            <w:hideMark/>
          </w:tcPr>
          <w:p w14:paraId="6F864AAA" w14:textId="77777777" w:rsidR="00914134" w:rsidRPr="009100D9" w:rsidRDefault="00914134" w:rsidP="0024531A">
            <w:pP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Cartagena 3</w:t>
            </w:r>
          </w:p>
        </w:tc>
        <w:tc>
          <w:tcPr>
            <w:tcW w:w="1352" w:type="dxa"/>
            <w:tcBorders>
              <w:top w:val="nil"/>
              <w:left w:val="nil"/>
              <w:bottom w:val="nil"/>
              <w:right w:val="nil"/>
            </w:tcBorders>
            <w:shd w:val="clear" w:color="auto" w:fill="auto"/>
            <w:noWrap/>
            <w:vAlign w:val="center"/>
            <w:hideMark/>
          </w:tcPr>
          <w:p w14:paraId="0DEB59CA"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Combustóleo</w:t>
            </w:r>
          </w:p>
        </w:tc>
        <w:tc>
          <w:tcPr>
            <w:tcW w:w="2050" w:type="dxa"/>
            <w:tcBorders>
              <w:top w:val="nil"/>
              <w:left w:val="nil"/>
              <w:bottom w:val="nil"/>
              <w:right w:val="nil"/>
            </w:tcBorders>
            <w:shd w:val="clear" w:color="auto" w:fill="auto"/>
            <w:noWrap/>
            <w:vAlign w:val="center"/>
            <w:hideMark/>
          </w:tcPr>
          <w:p w14:paraId="18E061F1"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Bolívar</w:t>
            </w:r>
          </w:p>
        </w:tc>
        <w:tc>
          <w:tcPr>
            <w:tcW w:w="1783" w:type="dxa"/>
            <w:tcBorders>
              <w:top w:val="nil"/>
              <w:left w:val="nil"/>
              <w:bottom w:val="nil"/>
              <w:right w:val="nil"/>
            </w:tcBorders>
            <w:shd w:val="clear" w:color="auto" w:fill="auto"/>
            <w:noWrap/>
            <w:vAlign w:val="center"/>
            <w:hideMark/>
          </w:tcPr>
          <w:p w14:paraId="731A1FEE"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66</w:t>
            </w:r>
          </w:p>
        </w:tc>
      </w:tr>
      <w:tr w:rsidR="00914134" w:rsidRPr="00384134" w14:paraId="61675336" w14:textId="77777777" w:rsidTr="0024531A">
        <w:trPr>
          <w:trHeight w:val="505"/>
          <w:jc w:val="center"/>
        </w:trPr>
        <w:tc>
          <w:tcPr>
            <w:tcW w:w="2694" w:type="dxa"/>
            <w:tcBorders>
              <w:top w:val="nil"/>
              <w:left w:val="nil"/>
              <w:bottom w:val="nil"/>
              <w:right w:val="nil"/>
            </w:tcBorders>
            <w:shd w:val="clear" w:color="auto" w:fill="auto"/>
            <w:noWrap/>
            <w:vAlign w:val="center"/>
            <w:hideMark/>
          </w:tcPr>
          <w:p w14:paraId="7F9A974F" w14:textId="77777777" w:rsidR="00914134" w:rsidRPr="009100D9" w:rsidRDefault="00914134" w:rsidP="0024531A">
            <w:pP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Cartagena 1</w:t>
            </w:r>
          </w:p>
        </w:tc>
        <w:tc>
          <w:tcPr>
            <w:tcW w:w="1352" w:type="dxa"/>
            <w:tcBorders>
              <w:top w:val="nil"/>
              <w:left w:val="nil"/>
              <w:bottom w:val="nil"/>
              <w:right w:val="nil"/>
            </w:tcBorders>
            <w:shd w:val="clear" w:color="auto" w:fill="auto"/>
            <w:noWrap/>
            <w:vAlign w:val="center"/>
            <w:hideMark/>
          </w:tcPr>
          <w:p w14:paraId="68ABBA11"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Combustóleo</w:t>
            </w:r>
          </w:p>
        </w:tc>
        <w:tc>
          <w:tcPr>
            <w:tcW w:w="2050" w:type="dxa"/>
            <w:tcBorders>
              <w:top w:val="nil"/>
              <w:left w:val="nil"/>
              <w:bottom w:val="nil"/>
              <w:right w:val="nil"/>
            </w:tcBorders>
            <w:shd w:val="clear" w:color="auto" w:fill="auto"/>
            <w:noWrap/>
            <w:vAlign w:val="center"/>
            <w:hideMark/>
          </w:tcPr>
          <w:p w14:paraId="1F0E0E7F"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Bolívar</w:t>
            </w:r>
          </w:p>
        </w:tc>
        <w:tc>
          <w:tcPr>
            <w:tcW w:w="1783" w:type="dxa"/>
            <w:tcBorders>
              <w:top w:val="nil"/>
              <w:left w:val="nil"/>
              <w:bottom w:val="nil"/>
              <w:right w:val="nil"/>
            </w:tcBorders>
            <w:shd w:val="clear" w:color="auto" w:fill="auto"/>
            <w:noWrap/>
            <w:vAlign w:val="center"/>
            <w:hideMark/>
          </w:tcPr>
          <w:p w14:paraId="794EDC53"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56</w:t>
            </w:r>
          </w:p>
        </w:tc>
      </w:tr>
      <w:tr w:rsidR="00914134" w:rsidRPr="00384134" w14:paraId="589E3E08" w14:textId="77777777" w:rsidTr="0024531A">
        <w:trPr>
          <w:trHeight w:val="505"/>
          <w:jc w:val="center"/>
        </w:trPr>
        <w:tc>
          <w:tcPr>
            <w:tcW w:w="2694" w:type="dxa"/>
            <w:tcBorders>
              <w:top w:val="nil"/>
              <w:left w:val="nil"/>
              <w:bottom w:val="nil"/>
              <w:right w:val="nil"/>
            </w:tcBorders>
            <w:shd w:val="clear" w:color="auto" w:fill="auto"/>
            <w:noWrap/>
            <w:vAlign w:val="center"/>
            <w:hideMark/>
          </w:tcPr>
          <w:p w14:paraId="53F03095" w14:textId="77777777" w:rsidR="00914134" w:rsidRPr="009100D9" w:rsidRDefault="00914134" w:rsidP="0024531A">
            <w:pP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Cartagena 2</w:t>
            </w:r>
          </w:p>
        </w:tc>
        <w:tc>
          <w:tcPr>
            <w:tcW w:w="1352" w:type="dxa"/>
            <w:tcBorders>
              <w:top w:val="nil"/>
              <w:left w:val="nil"/>
              <w:bottom w:val="nil"/>
              <w:right w:val="nil"/>
            </w:tcBorders>
            <w:shd w:val="clear" w:color="auto" w:fill="auto"/>
            <w:noWrap/>
            <w:vAlign w:val="center"/>
            <w:hideMark/>
          </w:tcPr>
          <w:p w14:paraId="4084A888"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Combustóleo</w:t>
            </w:r>
          </w:p>
        </w:tc>
        <w:tc>
          <w:tcPr>
            <w:tcW w:w="2050" w:type="dxa"/>
            <w:tcBorders>
              <w:top w:val="nil"/>
              <w:left w:val="nil"/>
              <w:bottom w:val="nil"/>
              <w:right w:val="nil"/>
            </w:tcBorders>
            <w:shd w:val="clear" w:color="auto" w:fill="auto"/>
            <w:noWrap/>
            <w:vAlign w:val="center"/>
            <w:hideMark/>
          </w:tcPr>
          <w:p w14:paraId="3C425288"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Bolívar</w:t>
            </w:r>
          </w:p>
        </w:tc>
        <w:tc>
          <w:tcPr>
            <w:tcW w:w="1783" w:type="dxa"/>
            <w:tcBorders>
              <w:top w:val="nil"/>
              <w:left w:val="nil"/>
              <w:bottom w:val="nil"/>
              <w:right w:val="nil"/>
            </w:tcBorders>
            <w:shd w:val="clear" w:color="auto" w:fill="auto"/>
            <w:noWrap/>
            <w:vAlign w:val="center"/>
            <w:hideMark/>
          </w:tcPr>
          <w:p w14:paraId="5764FF2D"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62</w:t>
            </w:r>
          </w:p>
        </w:tc>
      </w:tr>
      <w:tr w:rsidR="00914134" w:rsidRPr="00384134" w14:paraId="451DEEE3" w14:textId="77777777" w:rsidTr="0024531A">
        <w:trPr>
          <w:trHeight w:val="528"/>
          <w:jc w:val="center"/>
        </w:trPr>
        <w:tc>
          <w:tcPr>
            <w:tcW w:w="2694" w:type="dxa"/>
            <w:tcBorders>
              <w:top w:val="nil"/>
              <w:left w:val="nil"/>
              <w:bottom w:val="single" w:sz="8" w:space="0" w:color="auto"/>
              <w:right w:val="nil"/>
            </w:tcBorders>
            <w:shd w:val="clear" w:color="auto" w:fill="auto"/>
            <w:noWrap/>
            <w:vAlign w:val="center"/>
            <w:hideMark/>
          </w:tcPr>
          <w:p w14:paraId="49BEAD32" w14:textId="77777777" w:rsidR="00914134" w:rsidRPr="009100D9" w:rsidRDefault="00914134" w:rsidP="0024531A">
            <w:pP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Termodorada 1</w:t>
            </w:r>
          </w:p>
        </w:tc>
        <w:tc>
          <w:tcPr>
            <w:tcW w:w="1352" w:type="dxa"/>
            <w:tcBorders>
              <w:top w:val="nil"/>
              <w:left w:val="nil"/>
              <w:bottom w:val="single" w:sz="8" w:space="0" w:color="auto"/>
              <w:right w:val="nil"/>
            </w:tcBorders>
            <w:shd w:val="clear" w:color="auto" w:fill="auto"/>
            <w:noWrap/>
            <w:vAlign w:val="center"/>
            <w:hideMark/>
          </w:tcPr>
          <w:p w14:paraId="33072D68"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Jet A1</w:t>
            </w:r>
          </w:p>
        </w:tc>
        <w:tc>
          <w:tcPr>
            <w:tcW w:w="2050" w:type="dxa"/>
            <w:tcBorders>
              <w:top w:val="nil"/>
              <w:left w:val="nil"/>
              <w:bottom w:val="single" w:sz="8" w:space="0" w:color="auto"/>
              <w:right w:val="nil"/>
            </w:tcBorders>
            <w:shd w:val="clear" w:color="auto" w:fill="auto"/>
            <w:noWrap/>
            <w:vAlign w:val="center"/>
            <w:hideMark/>
          </w:tcPr>
          <w:p w14:paraId="3565CB3E"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Caldas</w:t>
            </w:r>
          </w:p>
        </w:tc>
        <w:tc>
          <w:tcPr>
            <w:tcW w:w="1783" w:type="dxa"/>
            <w:tcBorders>
              <w:top w:val="nil"/>
              <w:left w:val="nil"/>
              <w:bottom w:val="nil"/>
              <w:right w:val="nil"/>
            </w:tcBorders>
            <w:shd w:val="clear" w:color="auto" w:fill="auto"/>
            <w:noWrap/>
            <w:vAlign w:val="center"/>
            <w:hideMark/>
          </w:tcPr>
          <w:p w14:paraId="1D32E8E9" w14:textId="77777777" w:rsidR="00914134" w:rsidRPr="009100D9" w:rsidRDefault="00914134" w:rsidP="0024531A">
            <w:pPr>
              <w:jc w:val="center"/>
              <w:rPr>
                <w:rFonts w:ascii="Arial" w:eastAsia="Times New Roman" w:hAnsi="Arial" w:cs="Arial"/>
                <w:color w:val="000000"/>
                <w:sz w:val="20"/>
                <w:szCs w:val="20"/>
                <w:lang w:val="es-CO" w:eastAsia="es-CO"/>
              </w:rPr>
            </w:pPr>
            <w:r w:rsidRPr="009100D9">
              <w:rPr>
                <w:rFonts w:ascii="Arial" w:eastAsia="Times New Roman" w:hAnsi="Arial" w:cs="Arial"/>
                <w:color w:val="000000"/>
                <w:sz w:val="20"/>
                <w:szCs w:val="20"/>
                <w:lang w:eastAsia="es-CO"/>
              </w:rPr>
              <w:t>44</w:t>
            </w:r>
          </w:p>
        </w:tc>
      </w:tr>
      <w:tr w:rsidR="00914134" w:rsidRPr="00384134" w14:paraId="2CF899EE" w14:textId="77777777" w:rsidTr="0024531A">
        <w:trPr>
          <w:trHeight w:val="528"/>
          <w:jc w:val="center"/>
        </w:trPr>
        <w:tc>
          <w:tcPr>
            <w:tcW w:w="6096" w:type="dxa"/>
            <w:gridSpan w:val="3"/>
            <w:tcBorders>
              <w:top w:val="single" w:sz="8" w:space="0" w:color="auto"/>
              <w:left w:val="nil"/>
              <w:bottom w:val="double" w:sz="6" w:space="0" w:color="auto"/>
              <w:right w:val="nil"/>
            </w:tcBorders>
            <w:shd w:val="clear" w:color="auto" w:fill="auto"/>
            <w:noWrap/>
            <w:vAlign w:val="center"/>
            <w:hideMark/>
          </w:tcPr>
          <w:p w14:paraId="286255CE" w14:textId="77777777" w:rsidR="00914134" w:rsidRPr="009100D9" w:rsidRDefault="00914134" w:rsidP="0024531A">
            <w:pPr>
              <w:jc w:val="center"/>
              <w:rPr>
                <w:rFonts w:ascii="Arial" w:eastAsia="Times New Roman" w:hAnsi="Arial" w:cs="Arial"/>
                <w:b/>
                <w:bCs/>
                <w:color w:val="000000"/>
                <w:sz w:val="20"/>
                <w:szCs w:val="20"/>
                <w:lang w:val="es-CO" w:eastAsia="es-CO"/>
              </w:rPr>
            </w:pPr>
            <w:r w:rsidRPr="009100D9">
              <w:rPr>
                <w:rFonts w:ascii="Arial" w:eastAsia="Times New Roman" w:hAnsi="Arial" w:cs="Arial"/>
                <w:b/>
                <w:bCs/>
                <w:color w:val="000000"/>
                <w:sz w:val="20"/>
                <w:szCs w:val="20"/>
                <w:lang w:eastAsia="es-CO"/>
              </w:rPr>
              <w:t>Total</w:t>
            </w:r>
          </w:p>
        </w:tc>
        <w:tc>
          <w:tcPr>
            <w:tcW w:w="1783" w:type="dxa"/>
            <w:tcBorders>
              <w:top w:val="single" w:sz="8" w:space="0" w:color="auto"/>
              <w:left w:val="nil"/>
              <w:bottom w:val="double" w:sz="6" w:space="0" w:color="auto"/>
              <w:right w:val="nil"/>
            </w:tcBorders>
            <w:shd w:val="clear" w:color="auto" w:fill="auto"/>
            <w:noWrap/>
            <w:vAlign w:val="center"/>
            <w:hideMark/>
          </w:tcPr>
          <w:p w14:paraId="5F82836B" w14:textId="77777777" w:rsidR="00914134" w:rsidRPr="009100D9" w:rsidRDefault="00914134" w:rsidP="0024531A">
            <w:pPr>
              <w:jc w:val="center"/>
              <w:rPr>
                <w:rFonts w:ascii="Arial" w:eastAsia="Times New Roman" w:hAnsi="Arial" w:cs="Arial"/>
                <w:b/>
                <w:bCs/>
                <w:color w:val="000000"/>
                <w:sz w:val="20"/>
                <w:szCs w:val="20"/>
                <w:lang w:val="es-CO" w:eastAsia="es-CO"/>
              </w:rPr>
            </w:pPr>
            <w:r w:rsidRPr="009100D9">
              <w:rPr>
                <w:rFonts w:ascii="Arial" w:eastAsia="Times New Roman" w:hAnsi="Arial" w:cs="Arial"/>
                <w:b/>
                <w:bCs/>
                <w:color w:val="000000"/>
                <w:sz w:val="20"/>
                <w:szCs w:val="20"/>
                <w:lang w:val="es-CO" w:eastAsia="es-CO"/>
              </w:rPr>
              <w:t>994</w:t>
            </w:r>
          </w:p>
        </w:tc>
      </w:tr>
    </w:tbl>
    <w:p w14:paraId="5836152E" w14:textId="5D845451" w:rsidR="00914134" w:rsidRPr="005D45DF" w:rsidRDefault="00914134" w:rsidP="00914134">
      <w:pPr>
        <w:jc w:val="center"/>
        <w:rPr>
          <w:rFonts w:ascii="Arial" w:hAnsi="Arial" w:cs="Arial"/>
          <w:color w:val="000000" w:themeColor="text1"/>
          <w:sz w:val="18"/>
        </w:rPr>
      </w:pPr>
      <w:r w:rsidRPr="005D45DF">
        <w:rPr>
          <w:rFonts w:ascii="Arial" w:hAnsi="Arial" w:cs="Arial"/>
          <w:b/>
          <w:color w:val="000000" w:themeColor="text1"/>
          <w:sz w:val="16"/>
        </w:rPr>
        <w:t>Fuente:</w:t>
      </w:r>
      <w:r w:rsidRPr="005D45DF">
        <w:rPr>
          <w:rFonts w:ascii="Arial" w:hAnsi="Arial" w:cs="Arial"/>
          <w:color w:val="000000" w:themeColor="text1"/>
          <w:sz w:val="16"/>
        </w:rPr>
        <w:t xml:space="preserve"> XM</w:t>
      </w:r>
      <w:r w:rsidR="005D45DF" w:rsidRPr="005D45DF">
        <w:rPr>
          <w:rFonts w:ascii="Arial" w:hAnsi="Arial" w:cs="Arial"/>
          <w:color w:val="000000" w:themeColor="text1"/>
          <w:sz w:val="16"/>
        </w:rPr>
        <w:t xml:space="preserve"> </w:t>
      </w:r>
      <w:r w:rsidR="005D45DF" w:rsidRPr="005D45DF">
        <w:rPr>
          <w:rFonts w:ascii="Arial" w:hAnsi="Arial" w:cs="Arial"/>
          <w:color w:val="000000" w:themeColor="text1"/>
          <w:sz w:val="16"/>
        </w:rPr>
        <w:fldChar w:fldCharType="begin"/>
      </w:r>
      <w:r w:rsidR="005D45DF" w:rsidRPr="005D45DF">
        <w:rPr>
          <w:rFonts w:ascii="Arial" w:hAnsi="Arial" w:cs="Arial"/>
          <w:color w:val="000000" w:themeColor="text1"/>
          <w:sz w:val="16"/>
        </w:rPr>
        <w:instrText xml:space="preserve"> REF _Ref529881598 \r \h </w:instrText>
      </w:r>
      <w:r w:rsidR="005D45DF">
        <w:rPr>
          <w:rFonts w:ascii="Arial" w:hAnsi="Arial" w:cs="Arial"/>
          <w:color w:val="000000" w:themeColor="text1"/>
          <w:sz w:val="16"/>
        </w:rPr>
        <w:instrText xml:space="preserve"> \* MERGEFORMAT </w:instrText>
      </w:r>
      <w:r w:rsidR="005D45DF" w:rsidRPr="005D45DF">
        <w:rPr>
          <w:rFonts w:ascii="Arial" w:hAnsi="Arial" w:cs="Arial"/>
          <w:color w:val="000000" w:themeColor="text1"/>
          <w:sz w:val="16"/>
        </w:rPr>
      </w:r>
      <w:r w:rsidR="005D45DF" w:rsidRPr="005D45DF">
        <w:rPr>
          <w:rFonts w:ascii="Arial" w:hAnsi="Arial" w:cs="Arial"/>
          <w:color w:val="000000" w:themeColor="text1"/>
          <w:sz w:val="16"/>
        </w:rPr>
        <w:fldChar w:fldCharType="separate"/>
      </w:r>
      <w:r w:rsidR="00915705">
        <w:rPr>
          <w:rFonts w:ascii="Arial" w:hAnsi="Arial" w:cs="Arial"/>
          <w:color w:val="000000" w:themeColor="text1"/>
          <w:sz w:val="16"/>
        </w:rPr>
        <w:t>[13]</w:t>
      </w:r>
      <w:r w:rsidR="005D45DF" w:rsidRPr="005D45DF">
        <w:rPr>
          <w:rFonts w:ascii="Arial" w:hAnsi="Arial" w:cs="Arial"/>
          <w:color w:val="000000" w:themeColor="text1"/>
          <w:sz w:val="16"/>
        </w:rPr>
        <w:fldChar w:fldCharType="end"/>
      </w:r>
      <w:r w:rsidRPr="005D45DF">
        <w:rPr>
          <w:rFonts w:ascii="Arial" w:hAnsi="Arial" w:cs="Arial"/>
          <w:color w:val="000000" w:themeColor="text1"/>
          <w:sz w:val="16"/>
        </w:rPr>
        <w:t>, UPME.</w:t>
      </w:r>
    </w:p>
    <w:p w14:paraId="2DD757C2" w14:textId="77777777" w:rsidR="00914134" w:rsidRPr="009100D9" w:rsidRDefault="00914134" w:rsidP="00914134">
      <w:pPr>
        <w:spacing w:before="240" w:after="240" w:line="276" w:lineRule="auto"/>
        <w:jc w:val="both"/>
        <w:rPr>
          <w:rFonts w:ascii="Arial" w:hAnsi="Arial" w:cs="Arial"/>
          <w:sz w:val="22"/>
          <w:szCs w:val="22"/>
        </w:rPr>
      </w:pPr>
      <w:r w:rsidRPr="009100D9">
        <w:rPr>
          <w:rFonts w:ascii="Arial" w:hAnsi="Arial" w:cs="Arial"/>
          <w:sz w:val="22"/>
          <w:szCs w:val="22"/>
        </w:rPr>
        <w:t xml:space="preserve">Adicionalmente, en el Plan de Expansión de Referencia Generación – Transmisión 2017 – 2031 se plantean diferentes escenarios de expansión del parque de generación de electricidad entre los que se encuentran principalmente escenarios con una gran expansión del parque generador térmico a carbón y una pequeña expansión con unidades térmicas operadas con gas y/o combustibles líquidos. </w:t>
      </w:r>
    </w:p>
    <w:p w14:paraId="394E8358" w14:textId="77777777" w:rsidR="00914134" w:rsidRPr="009E630B" w:rsidRDefault="00914134" w:rsidP="00914134">
      <w:pPr>
        <w:pStyle w:val="Ttulo2"/>
      </w:pPr>
      <w:bookmarkStart w:id="67" w:name="_Toc499539620"/>
      <w:bookmarkStart w:id="68" w:name="_Toc530045828"/>
      <w:r w:rsidRPr="009E630B">
        <w:t>Generación de electricidad por recurso</w:t>
      </w:r>
      <w:bookmarkEnd w:id="67"/>
      <w:bookmarkEnd w:id="68"/>
    </w:p>
    <w:p w14:paraId="1411A6F4" w14:textId="77777777" w:rsidR="00914134" w:rsidRPr="009100D9" w:rsidRDefault="00914134" w:rsidP="00914134">
      <w:pPr>
        <w:spacing w:before="240" w:after="240" w:line="276" w:lineRule="auto"/>
        <w:jc w:val="both"/>
        <w:rPr>
          <w:rFonts w:ascii="Arial" w:hAnsi="Arial" w:cs="Arial"/>
          <w:sz w:val="22"/>
          <w:szCs w:val="22"/>
        </w:rPr>
      </w:pPr>
      <w:r w:rsidRPr="009100D9">
        <w:rPr>
          <w:rFonts w:ascii="Arial" w:hAnsi="Arial" w:cs="Arial"/>
          <w:sz w:val="22"/>
          <w:szCs w:val="22"/>
        </w:rPr>
        <w:t xml:space="preserve">Al hacer una revisión de la generación de electricidad en Colombia, se observa que de manera general la mayor parte ha sido aportada por plantas hidráulicas seguidas por unidades térmicas a gas y luego a carbón. En la </w:t>
      </w:r>
      <w:r w:rsidRPr="009100D9">
        <w:rPr>
          <w:rFonts w:ascii="Arial" w:hAnsi="Arial" w:cs="Arial"/>
          <w:sz w:val="22"/>
          <w:szCs w:val="22"/>
          <w:highlight w:val="yellow"/>
        </w:rPr>
        <w:fldChar w:fldCharType="begin"/>
      </w:r>
      <w:r w:rsidRPr="009100D9">
        <w:rPr>
          <w:rFonts w:ascii="Arial" w:hAnsi="Arial" w:cs="Arial"/>
          <w:sz w:val="22"/>
          <w:szCs w:val="22"/>
        </w:rPr>
        <w:instrText xml:space="preserve"> REF _Ref528852179 \h </w:instrText>
      </w:r>
      <w:r w:rsidRPr="009100D9">
        <w:rPr>
          <w:rFonts w:ascii="Arial" w:hAnsi="Arial" w:cs="Arial"/>
          <w:sz w:val="22"/>
          <w:szCs w:val="22"/>
          <w:highlight w:val="yellow"/>
        </w:rPr>
        <w:instrText xml:space="preserve"> \* MERGEFORMAT </w:instrText>
      </w:r>
      <w:r w:rsidRPr="009100D9">
        <w:rPr>
          <w:rFonts w:ascii="Arial" w:hAnsi="Arial" w:cs="Arial"/>
          <w:sz w:val="22"/>
          <w:szCs w:val="22"/>
          <w:highlight w:val="yellow"/>
        </w:rPr>
      </w:r>
      <w:r w:rsidRPr="009100D9">
        <w:rPr>
          <w:rFonts w:ascii="Arial" w:hAnsi="Arial" w:cs="Arial"/>
          <w:sz w:val="22"/>
          <w:szCs w:val="22"/>
          <w:highlight w:val="yellow"/>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2</w:t>
      </w:r>
      <w:r w:rsidR="00915705" w:rsidRPr="00915705">
        <w:rPr>
          <w:rFonts w:ascii="Arial" w:hAnsi="Arial" w:cs="Arial"/>
          <w:noProof/>
          <w:sz w:val="22"/>
          <w:szCs w:val="22"/>
          <w:highlight w:val="yellow"/>
        </w:rPr>
        <w:noBreakHyphen/>
        <w:t>2</w:t>
      </w:r>
      <w:r w:rsidRPr="009100D9">
        <w:rPr>
          <w:rFonts w:ascii="Arial" w:hAnsi="Arial" w:cs="Arial"/>
          <w:sz w:val="22"/>
          <w:szCs w:val="22"/>
          <w:highlight w:val="yellow"/>
        </w:rPr>
        <w:fldChar w:fldCharType="end"/>
      </w:r>
      <w:r w:rsidRPr="009100D9">
        <w:rPr>
          <w:rFonts w:ascii="Arial" w:hAnsi="Arial" w:cs="Arial"/>
          <w:sz w:val="22"/>
          <w:szCs w:val="22"/>
        </w:rPr>
        <w:t xml:space="preserve"> se ilustra el aporte de electricidad según el tipo de recurso utilizado para la generación desde el año 2016, donde se observa que el parque generador térmico ha llegado a aportar al sistema valores hasta del 53% de la demanda total durante eventos de fenómeno de El Niño, tal y como se registró entre los meses de diciembre de 2009 y enero de 2010 y entre los meses de octubre de 2015 y marzo de 2016, lo cual demuestra la importancia del parque generador térmico para garantizar la confiabilidad del suministro de electricidad durante periodos de bajos aportes hídricos al SIN.</w:t>
      </w:r>
    </w:p>
    <w:p w14:paraId="043EAC45" w14:textId="2E9D56C7" w:rsidR="00914134" w:rsidRDefault="00914134" w:rsidP="00914134">
      <w:pPr>
        <w:pStyle w:val="Descripcin"/>
        <w:keepNext/>
        <w:spacing w:after="0"/>
        <w:jc w:val="center"/>
        <w:rPr>
          <w:i w:val="0"/>
          <w:color w:val="auto"/>
          <w:sz w:val="20"/>
          <w:szCs w:val="20"/>
        </w:rPr>
      </w:pPr>
      <w:bookmarkStart w:id="69" w:name="_Ref528852179"/>
      <w:bookmarkStart w:id="70" w:name="_Toc530033401"/>
      <w:r w:rsidRPr="009100D9">
        <w:rPr>
          <w:b/>
          <w:i w:val="0"/>
          <w:color w:val="auto"/>
          <w:sz w:val="20"/>
          <w:szCs w:val="20"/>
          <w:highlight w:val="yellow"/>
        </w:rPr>
        <w:lastRenderedPageBreak/>
        <w:t xml:space="preserve">Gráfica </w:t>
      </w:r>
      <w:r w:rsidR="00DA50A5">
        <w:rPr>
          <w:b/>
          <w:i w:val="0"/>
          <w:color w:val="auto"/>
          <w:sz w:val="20"/>
          <w:szCs w:val="20"/>
          <w:highlight w:val="yellow"/>
        </w:rPr>
        <w:fldChar w:fldCharType="begin"/>
      </w:r>
      <w:r w:rsidR="00DA50A5">
        <w:rPr>
          <w:b/>
          <w:i w:val="0"/>
          <w:color w:val="auto"/>
          <w:sz w:val="20"/>
          <w:szCs w:val="20"/>
          <w:highlight w:val="yellow"/>
        </w:rPr>
        <w:instrText xml:space="preserve"> STYLEREF 1 \s </w:instrText>
      </w:r>
      <w:r w:rsidR="00DA50A5">
        <w:rPr>
          <w:b/>
          <w:i w:val="0"/>
          <w:color w:val="auto"/>
          <w:sz w:val="20"/>
          <w:szCs w:val="20"/>
          <w:highlight w:val="yellow"/>
        </w:rPr>
        <w:fldChar w:fldCharType="separate"/>
      </w:r>
      <w:r w:rsidR="00DA50A5">
        <w:rPr>
          <w:b/>
          <w:i w:val="0"/>
          <w:noProof/>
          <w:color w:val="auto"/>
          <w:sz w:val="20"/>
          <w:szCs w:val="20"/>
          <w:highlight w:val="yellow"/>
        </w:rPr>
        <w:t>2</w:t>
      </w:r>
      <w:r w:rsidR="00DA50A5">
        <w:rPr>
          <w:b/>
          <w:i w:val="0"/>
          <w:color w:val="auto"/>
          <w:sz w:val="20"/>
          <w:szCs w:val="20"/>
          <w:highlight w:val="yellow"/>
        </w:rPr>
        <w:fldChar w:fldCharType="end"/>
      </w:r>
      <w:r w:rsidR="00DA50A5">
        <w:rPr>
          <w:b/>
          <w:i w:val="0"/>
          <w:color w:val="auto"/>
          <w:sz w:val="20"/>
          <w:szCs w:val="20"/>
          <w:highlight w:val="yellow"/>
        </w:rPr>
        <w:noBreakHyphen/>
      </w:r>
      <w:r w:rsidR="00DA50A5">
        <w:rPr>
          <w:b/>
          <w:i w:val="0"/>
          <w:color w:val="auto"/>
          <w:sz w:val="20"/>
          <w:szCs w:val="20"/>
          <w:highlight w:val="yellow"/>
        </w:rPr>
        <w:fldChar w:fldCharType="begin"/>
      </w:r>
      <w:r w:rsidR="00DA50A5">
        <w:rPr>
          <w:b/>
          <w:i w:val="0"/>
          <w:color w:val="auto"/>
          <w:sz w:val="20"/>
          <w:szCs w:val="20"/>
          <w:highlight w:val="yellow"/>
        </w:rPr>
        <w:instrText xml:space="preserve"> SEQ Gráfica \* ARABIC \s 1 </w:instrText>
      </w:r>
      <w:r w:rsidR="00DA50A5">
        <w:rPr>
          <w:b/>
          <w:i w:val="0"/>
          <w:color w:val="auto"/>
          <w:sz w:val="20"/>
          <w:szCs w:val="20"/>
          <w:highlight w:val="yellow"/>
        </w:rPr>
        <w:fldChar w:fldCharType="separate"/>
      </w:r>
      <w:r w:rsidR="00DA50A5">
        <w:rPr>
          <w:b/>
          <w:i w:val="0"/>
          <w:noProof/>
          <w:color w:val="auto"/>
          <w:sz w:val="20"/>
          <w:szCs w:val="20"/>
          <w:highlight w:val="yellow"/>
        </w:rPr>
        <w:t>2</w:t>
      </w:r>
      <w:r w:rsidR="00DA50A5">
        <w:rPr>
          <w:b/>
          <w:i w:val="0"/>
          <w:color w:val="auto"/>
          <w:sz w:val="20"/>
          <w:szCs w:val="20"/>
          <w:highlight w:val="yellow"/>
        </w:rPr>
        <w:fldChar w:fldCharType="end"/>
      </w:r>
      <w:bookmarkEnd w:id="69"/>
      <w:r w:rsidRPr="009100D9">
        <w:rPr>
          <w:i w:val="0"/>
          <w:color w:val="auto"/>
          <w:sz w:val="20"/>
          <w:szCs w:val="20"/>
        </w:rPr>
        <w:t xml:space="preserve"> Generación de electricidad por tecnología – Participación térmica</w:t>
      </w:r>
      <w:bookmarkEnd w:id="70"/>
    </w:p>
    <w:p w14:paraId="40D7E249" w14:textId="4724B29E" w:rsidR="00A6575F" w:rsidRPr="00A6575F" w:rsidRDefault="00A6575F" w:rsidP="00A6575F">
      <w:pPr>
        <w:jc w:val="center"/>
        <w:rPr>
          <w:lang w:val="es-CO" w:eastAsia="es-ES"/>
        </w:rPr>
      </w:pPr>
      <w:r w:rsidRPr="00A6575F">
        <w:rPr>
          <w:noProof/>
          <w:lang w:val="es-ES" w:eastAsia="es-ES"/>
        </w:rPr>
        <w:drawing>
          <wp:inline distT="0" distB="0" distL="0" distR="0" wp14:anchorId="01D2C90F" wp14:editId="534C8446">
            <wp:extent cx="5873607" cy="3600000"/>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73607" cy="3600000"/>
                    </a:xfrm>
                    <a:prstGeom prst="rect">
                      <a:avLst/>
                    </a:prstGeom>
                    <a:noFill/>
                    <a:ln>
                      <a:noFill/>
                    </a:ln>
                  </pic:spPr>
                </pic:pic>
              </a:graphicData>
            </a:graphic>
          </wp:inline>
        </w:drawing>
      </w:r>
    </w:p>
    <w:p w14:paraId="4D35C845" w14:textId="7324D7E8" w:rsidR="00914134" w:rsidRPr="005D45DF" w:rsidRDefault="00914134" w:rsidP="00914134">
      <w:pPr>
        <w:jc w:val="center"/>
        <w:rPr>
          <w:rFonts w:ascii="Arial" w:hAnsi="Arial" w:cs="Arial"/>
          <w:color w:val="000000" w:themeColor="text1"/>
          <w:sz w:val="16"/>
        </w:rPr>
      </w:pPr>
      <w:r w:rsidRPr="005D45DF">
        <w:rPr>
          <w:rFonts w:ascii="Arial" w:hAnsi="Arial" w:cs="Arial"/>
          <w:b/>
          <w:color w:val="000000" w:themeColor="text1"/>
          <w:sz w:val="16"/>
        </w:rPr>
        <w:t>Fuente:</w:t>
      </w:r>
      <w:r w:rsidRPr="005D45DF">
        <w:rPr>
          <w:rFonts w:ascii="Arial" w:hAnsi="Arial" w:cs="Arial"/>
          <w:color w:val="000000" w:themeColor="text1"/>
          <w:sz w:val="16"/>
        </w:rPr>
        <w:t xml:space="preserve"> XM</w:t>
      </w:r>
      <w:r w:rsidR="005D45DF" w:rsidRPr="005D45DF">
        <w:rPr>
          <w:rFonts w:ascii="Arial" w:hAnsi="Arial" w:cs="Arial"/>
          <w:color w:val="000000" w:themeColor="text1"/>
          <w:sz w:val="16"/>
        </w:rPr>
        <w:t xml:space="preserve"> </w:t>
      </w:r>
      <w:r w:rsidR="005D45DF" w:rsidRPr="005D45DF">
        <w:rPr>
          <w:rFonts w:ascii="Arial" w:hAnsi="Arial" w:cs="Arial"/>
          <w:color w:val="000000" w:themeColor="text1"/>
          <w:sz w:val="16"/>
        </w:rPr>
        <w:fldChar w:fldCharType="begin"/>
      </w:r>
      <w:r w:rsidR="005D45DF" w:rsidRPr="005D45DF">
        <w:rPr>
          <w:rFonts w:ascii="Arial" w:hAnsi="Arial" w:cs="Arial"/>
          <w:color w:val="000000" w:themeColor="text1"/>
          <w:sz w:val="16"/>
        </w:rPr>
        <w:instrText xml:space="preserve"> REF _Ref529881598 \r \h </w:instrText>
      </w:r>
      <w:r w:rsidR="005D45DF">
        <w:rPr>
          <w:rFonts w:ascii="Arial" w:hAnsi="Arial" w:cs="Arial"/>
          <w:color w:val="000000" w:themeColor="text1"/>
          <w:sz w:val="16"/>
        </w:rPr>
        <w:instrText xml:space="preserve"> \* MERGEFORMAT </w:instrText>
      </w:r>
      <w:r w:rsidR="005D45DF" w:rsidRPr="005D45DF">
        <w:rPr>
          <w:rFonts w:ascii="Arial" w:hAnsi="Arial" w:cs="Arial"/>
          <w:color w:val="000000" w:themeColor="text1"/>
          <w:sz w:val="16"/>
        </w:rPr>
      </w:r>
      <w:r w:rsidR="005D45DF" w:rsidRPr="005D45DF">
        <w:rPr>
          <w:rFonts w:ascii="Arial" w:hAnsi="Arial" w:cs="Arial"/>
          <w:color w:val="000000" w:themeColor="text1"/>
          <w:sz w:val="16"/>
        </w:rPr>
        <w:fldChar w:fldCharType="separate"/>
      </w:r>
      <w:r w:rsidR="00915705">
        <w:rPr>
          <w:rFonts w:ascii="Arial" w:hAnsi="Arial" w:cs="Arial"/>
          <w:color w:val="000000" w:themeColor="text1"/>
          <w:sz w:val="16"/>
        </w:rPr>
        <w:t>[13]</w:t>
      </w:r>
      <w:r w:rsidR="005D45DF" w:rsidRPr="005D45DF">
        <w:rPr>
          <w:rFonts w:ascii="Arial" w:hAnsi="Arial" w:cs="Arial"/>
          <w:color w:val="000000" w:themeColor="text1"/>
          <w:sz w:val="16"/>
        </w:rPr>
        <w:fldChar w:fldCharType="end"/>
      </w:r>
      <w:r w:rsidRPr="005D45DF">
        <w:rPr>
          <w:rFonts w:ascii="Arial" w:hAnsi="Arial" w:cs="Arial"/>
          <w:color w:val="000000" w:themeColor="text1"/>
          <w:sz w:val="16"/>
        </w:rPr>
        <w:t>, UPME.</w:t>
      </w:r>
    </w:p>
    <w:p w14:paraId="2350DD1A" w14:textId="77777777" w:rsidR="00914134" w:rsidRPr="009100D9" w:rsidRDefault="00914134" w:rsidP="00914134">
      <w:pPr>
        <w:spacing w:before="240" w:after="240" w:line="276" w:lineRule="auto"/>
        <w:jc w:val="both"/>
        <w:rPr>
          <w:rFonts w:ascii="Arial" w:hAnsi="Arial" w:cs="Arial"/>
          <w:sz w:val="22"/>
          <w:szCs w:val="22"/>
        </w:rPr>
      </w:pPr>
      <w:r w:rsidRPr="009100D9">
        <w:rPr>
          <w:rFonts w:ascii="Arial" w:hAnsi="Arial" w:cs="Arial"/>
          <w:sz w:val="22"/>
          <w:szCs w:val="22"/>
        </w:rPr>
        <w:t>De manera particular, las centrales térmicas a gas han participado hasta con cerca del 40% de la electricidad generada y las de carbón con más del 14% de la energía entregada al sistema durante periodos dichos periodos. De igual forma, es importante mencionar que durante los meses en los cuales ha ocurrido fenómeno de El Niño la participación en la oferta de electricidad a partir de unidades térmicas operadas con líquidos toman una partición relevante.</w:t>
      </w:r>
    </w:p>
    <w:p w14:paraId="703F06B5" w14:textId="77777777" w:rsidR="00914134" w:rsidRPr="009100D9" w:rsidRDefault="00914134" w:rsidP="00914134">
      <w:pPr>
        <w:spacing w:before="240" w:after="240" w:line="276" w:lineRule="auto"/>
        <w:jc w:val="both"/>
        <w:rPr>
          <w:rFonts w:ascii="Arial" w:hAnsi="Arial" w:cs="Arial"/>
          <w:sz w:val="22"/>
          <w:szCs w:val="22"/>
        </w:rPr>
      </w:pPr>
      <w:r w:rsidRPr="009100D9">
        <w:rPr>
          <w:rFonts w:ascii="Arial" w:hAnsi="Arial" w:cs="Arial"/>
          <w:sz w:val="22"/>
          <w:szCs w:val="22"/>
        </w:rPr>
        <w:t>Ahora bien, actualmente en Colombia se evidencia interés en el desarrollo de  energías renovables y  acciones ante el cambio climático lo cual se evidencia en el incremento de la capacidad instalada para la generación de electricidad en el país. Esto debido a que la producción en masa y el desarrollo de mayor eficiencia de conversión han logrado que estas tecnologías sean cada vez más competitivas. Lo cual da una señal en cuanto al desarrollo de la red de transmisión en las áreas operativas y nuevos retos en la operación del sistema.</w:t>
      </w:r>
    </w:p>
    <w:p w14:paraId="3CF14CE8" w14:textId="77777777" w:rsidR="00914134" w:rsidRPr="003E5002" w:rsidRDefault="00914134" w:rsidP="00914134">
      <w:pPr>
        <w:pStyle w:val="Ttulo2"/>
      </w:pPr>
      <w:bookmarkStart w:id="71" w:name="_Toc499539621"/>
      <w:bookmarkStart w:id="72" w:name="_Toc530045829"/>
      <w:r w:rsidRPr="003E5002">
        <w:t>Consumo de combustibles para generación de electricidad</w:t>
      </w:r>
      <w:bookmarkEnd w:id="71"/>
      <w:bookmarkEnd w:id="72"/>
    </w:p>
    <w:p w14:paraId="10204391" w14:textId="77777777" w:rsidR="00914134" w:rsidRPr="009100D9" w:rsidRDefault="00914134" w:rsidP="00914134">
      <w:pPr>
        <w:spacing w:before="240" w:after="240" w:line="276" w:lineRule="auto"/>
        <w:jc w:val="both"/>
        <w:rPr>
          <w:rFonts w:ascii="Arial" w:hAnsi="Arial" w:cs="Arial"/>
          <w:sz w:val="22"/>
          <w:szCs w:val="22"/>
        </w:rPr>
      </w:pPr>
      <w:r w:rsidRPr="009100D9">
        <w:rPr>
          <w:rFonts w:ascii="Arial" w:hAnsi="Arial" w:cs="Arial"/>
          <w:sz w:val="22"/>
          <w:szCs w:val="22"/>
        </w:rPr>
        <w:t>El consumo de combustibles dentro del parque generador térmico tiene una participación importante tal como se mencionó anteriormente, por lo tanto, se requiere una disponibilidad confiable de los diferentes combustibles con el fin de brindar confiabilidad y seguridad al sistema</w:t>
      </w:r>
      <w:r>
        <w:rPr>
          <w:rFonts w:ascii="Arial" w:hAnsi="Arial" w:cs="Arial"/>
          <w:sz w:val="22"/>
          <w:szCs w:val="22"/>
        </w:rPr>
        <w:t>.</w:t>
      </w:r>
    </w:p>
    <w:p w14:paraId="40CCB8A4" w14:textId="4A624378" w:rsidR="00914134" w:rsidRPr="009100D9" w:rsidRDefault="00914134" w:rsidP="00914134">
      <w:pPr>
        <w:spacing w:before="240" w:after="240" w:line="276" w:lineRule="auto"/>
        <w:jc w:val="both"/>
        <w:rPr>
          <w:rFonts w:ascii="Arial" w:hAnsi="Arial" w:cs="Arial"/>
          <w:sz w:val="22"/>
          <w:szCs w:val="22"/>
        </w:rPr>
      </w:pPr>
      <w:r w:rsidRPr="009100D9">
        <w:rPr>
          <w:rFonts w:ascii="Arial" w:hAnsi="Arial" w:cs="Arial"/>
          <w:sz w:val="22"/>
          <w:szCs w:val="22"/>
        </w:rPr>
        <w:t>Actualmente, en Colombia se emplean diferentes energéticos para este fin, como por ejemplo el gas natural cuyo comportamiento se ve afectado entre otros factores por la variabilidad climática, es así como durante El Niño de 2009 – 2010 se consumieron  val</w:t>
      </w:r>
      <w:r>
        <w:rPr>
          <w:rFonts w:ascii="Arial" w:hAnsi="Arial" w:cs="Arial"/>
          <w:sz w:val="22"/>
          <w:szCs w:val="22"/>
        </w:rPr>
        <w:t>ores cercanos a los 500</w:t>
      </w:r>
      <w:r w:rsidRPr="009100D9">
        <w:rPr>
          <w:rFonts w:ascii="Arial" w:hAnsi="Arial" w:cs="Arial"/>
          <w:sz w:val="22"/>
          <w:szCs w:val="22"/>
        </w:rPr>
        <w:t xml:space="preserve"> GBTUD, </w:t>
      </w:r>
      <w:r w:rsidRPr="009100D9">
        <w:rPr>
          <w:rFonts w:ascii="Arial" w:hAnsi="Arial" w:cs="Arial"/>
          <w:sz w:val="22"/>
          <w:szCs w:val="22"/>
        </w:rPr>
        <w:lastRenderedPageBreak/>
        <w:t xml:space="preserve">mientras que en periodos estacionarios como en el segundo semestre de 2016 y el primer semestre de 2017, el consumo promedio se ubicó cerca de 200 GBTUD( </w:t>
      </w:r>
      <w:r>
        <w:rPr>
          <w:rFonts w:ascii="Arial" w:hAnsi="Arial" w:cs="Arial"/>
          <w:sz w:val="22"/>
          <w:szCs w:val="22"/>
        </w:rPr>
        <w:t>V</w:t>
      </w:r>
      <w:r w:rsidRPr="009100D9">
        <w:rPr>
          <w:rFonts w:ascii="Arial" w:hAnsi="Arial" w:cs="Arial"/>
          <w:sz w:val="22"/>
          <w:szCs w:val="22"/>
        </w:rPr>
        <w:t xml:space="preserve">er </w:t>
      </w:r>
      <w:r w:rsidRPr="009100D9">
        <w:rPr>
          <w:rFonts w:ascii="Arial" w:hAnsi="Arial" w:cs="Arial"/>
          <w:sz w:val="22"/>
          <w:szCs w:val="22"/>
        </w:rPr>
        <w:fldChar w:fldCharType="begin"/>
      </w:r>
      <w:r w:rsidRPr="009100D9">
        <w:rPr>
          <w:rFonts w:ascii="Arial" w:hAnsi="Arial" w:cs="Arial"/>
          <w:sz w:val="22"/>
          <w:szCs w:val="22"/>
        </w:rPr>
        <w:instrText xml:space="preserve"> REF _Ref528852374 \h  \* MERGEFORMAT </w:instrText>
      </w:r>
      <w:r w:rsidRPr="009100D9">
        <w:rPr>
          <w:rFonts w:ascii="Arial" w:hAnsi="Arial" w:cs="Arial"/>
          <w:sz w:val="22"/>
          <w:szCs w:val="22"/>
        </w:rPr>
      </w:r>
      <w:r w:rsidRPr="009100D9">
        <w:rPr>
          <w:rFonts w:ascii="Arial" w:hAnsi="Arial" w:cs="Arial"/>
          <w:sz w:val="22"/>
          <w:szCs w:val="22"/>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2</w:t>
      </w:r>
      <w:r w:rsidR="00915705" w:rsidRPr="00915705">
        <w:rPr>
          <w:rFonts w:ascii="Arial" w:hAnsi="Arial" w:cs="Arial"/>
          <w:noProof/>
          <w:sz w:val="22"/>
          <w:szCs w:val="22"/>
          <w:highlight w:val="yellow"/>
        </w:rPr>
        <w:noBreakHyphen/>
        <w:t>3</w:t>
      </w:r>
      <w:r w:rsidRPr="009100D9">
        <w:rPr>
          <w:rFonts w:ascii="Arial" w:hAnsi="Arial" w:cs="Arial"/>
          <w:sz w:val="22"/>
          <w:szCs w:val="22"/>
        </w:rPr>
        <w:fldChar w:fldCharType="end"/>
      </w:r>
      <w:r w:rsidRPr="009100D9">
        <w:rPr>
          <w:rFonts w:ascii="Arial" w:hAnsi="Arial" w:cs="Arial"/>
          <w:sz w:val="22"/>
          <w:szCs w:val="22"/>
        </w:rPr>
        <w:t>).</w:t>
      </w:r>
    </w:p>
    <w:p w14:paraId="08D43071" w14:textId="77777777" w:rsidR="00914134" w:rsidRPr="009100D9" w:rsidRDefault="00914134" w:rsidP="00914134">
      <w:pPr>
        <w:spacing w:before="240" w:after="240" w:line="276" w:lineRule="auto"/>
        <w:jc w:val="both"/>
        <w:rPr>
          <w:rFonts w:ascii="Arial" w:hAnsi="Arial" w:cs="Arial"/>
          <w:sz w:val="22"/>
          <w:szCs w:val="22"/>
        </w:rPr>
      </w:pPr>
      <w:r w:rsidRPr="009100D9">
        <w:rPr>
          <w:rFonts w:ascii="Arial" w:hAnsi="Arial" w:cs="Arial"/>
          <w:sz w:val="22"/>
          <w:szCs w:val="22"/>
        </w:rPr>
        <w:t>Ahora bien, otro se los energéticos empleados es el carbón el cual reporta un consumo promedio de desde el segundo semestre de 2016, este ha oscilado entre cerca de los 100 GBTUD. Así mismo, se nota que el consumo de los combustibles líquidos aparece en menor proporción a lo largo del periodo de análisis, sin embargo en los eventos de fenómeno de El Niño alcanzan de manera agregada valores que superan los 700 GWh, equivalentes a 225 GBTUD.</w:t>
      </w:r>
    </w:p>
    <w:p w14:paraId="4F530FC1" w14:textId="48F7F6A5" w:rsidR="00914134" w:rsidRDefault="00914134" w:rsidP="00914134">
      <w:pPr>
        <w:pStyle w:val="Descripcin"/>
        <w:keepNext/>
        <w:spacing w:after="0"/>
        <w:jc w:val="center"/>
        <w:rPr>
          <w:i w:val="0"/>
          <w:color w:val="auto"/>
          <w:sz w:val="20"/>
          <w:szCs w:val="20"/>
        </w:rPr>
      </w:pPr>
      <w:bookmarkStart w:id="73" w:name="_Ref528852374"/>
      <w:bookmarkStart w:id="74" w:name="_Toc530033402"/>
      <w:r w:rsidRPr="009100D9">
        <w:rPr>
          <w:b/>
          <w:i w:val="0"/>
          <w:color w:val="auto"/>
          <w:sz w:val="20"/>
          <w:szCs w:val="20"/>
          <w:highlight w:val="yellow"/>
        </w:rPr>
        <w:t xml:space="preserve">Gráfica </w:t>
      </w:r>
      <w:r w:rsidR="00DA50A5">
        <w:rPr>
          <w:b/>
          <w:i w:val="0"/>
          <w:color w:val="auto"/>
          <w:sz w:val="20"/>
          <w:szCs w:val="20"/>
          <w:highlight w:val="yellow"/>
        </w:rPr>
        <w:fldChar w:fldCharType="begin"/>
      </w:r>
      <w:r w:rsidR="00DA50A5">
        <w:rPr>
          <w:b/>
          <w:i w:val="0"/>
          <w:color w:val="auto"/>
          <w:sz w:val="20"/>
          <w:szCs w:val="20"/>
          <w:highlight w:val="yellow"/>
        </w:rPr>
        <w:instrText xml:space="preserve"> STYLEREF 1 \s </w:instrText>
      </w:r>
      <w:r w:rsidR="00DA50A5">
        <w:rPr>
          <w:b/>
          <w:i w:val="0"/>
          <w:color w:val="auto"/>
          <w:sz w:val="20"/>
          <w:szCs w:val="20"/>
          <w:highlight w:val="yellow"/>
        </w:rPr>
        <w:fldChar w:fldCharType="separate"/>
      </w:r>
      <w:r w:rsidR="00DA50A5">
        <w:rPr>
          <w:b/>
          <w:i w:val="0"/>
          <w:noProof/>
          <w:color w:val="auto"/>
          <w:sz w:val="20"/>
          <w:szCs w:val="20"/>
          <w:highlight w:val="yellow"/>
        </w:rPr>
        <w:t>2</w:t>
      </w:r>
      <w:r w:rsidR="00DA50A5">
        <w:rPr>
          <w:b/>
          <w:i w:val="0"/>
          <w:color w:val="auto"/>
          <w:sz w:val="20"/>
          <w:szCs w:val="20"/>
          <w:highlight w:val="yellow"/>
        </w:rPr>
        <w:fldChar w:fldCharType="end"/>
      </w:r>
      <w:r w:rsidR="00DA50A5">
        <w:rPr>
          <w:b/>
          <w:i w:val="0"/>
          <w:color w:val="auto"/>
          <w:sz w:val="20"/>
          <w:szCs w:val="20"/>
          <w:highlight w:val="yellow"/>
        </w:rPr>
        <w:noBreakHyphen/>
      </w:r>
      <w:r w:rsidR="00DA50A5">
        <w:rPr>
          <w:b/>
          <w:i w:val="0"/>
          <w:color w:val="auto"/>
          <w:sz w:val="20"/>
          <w:szCs w:val="20"/>
          <w:highlight w:val="yellow"/>
        </w:rPr>
        <w:fldChar w:fldCharType="begin"/>
      </w:r>
      <w:r w:rsidR="00DA50A5">
        <w:rPr>
          <w:b/>
          <w:i w:val="0"/>
          <w:color w:val="auto"/>
          <w:sz w:val="20"/>
          <w:szCs w:val="20"/>
          <w:highlight w:val="yellow"/>
        </w:rPr>
        <w:instrText xml:space="preserve"> SEQ Gráfica \* ARABIC \s 1 </w:instrText>
      </w:r>
      <w:r w:rsidR="00DA50A5">
        <w:rPr>
          <w:b/>
          <w:i w:val="0"/>
          <w:color w:val="auto"/>
          <w:sz w:val="20"/>
          <w:szCs w:val="20"/>
          <w:highlight w:val="yellow"/>
        </w:rPr>
        <w:fldChar w:fldCharType="separate"/>
      </w:r>
      <w:r w:rsidR="00DA50A5">
        <w:rPr>
          <w:b/>
          <w:i w:val="0"/>
          <w:noProof/>
          <w:color w:val="auto"/>
          <w:sz w:val="20"/>
          <w:szCs w:val="20"/>
          <w:highlight w:val="yellow"/>
        </w:rPr>
        <w:t>3</w:t>
      </w:r>
      <w:r w:rsidR="00DA50A5">
        <w:rPr>
          <w:b/>
          <w:i w:val="0"/>
          <w:color w:val="auto"/>
          <w:sz w:val="20"/>
          <w:szCs w:val="20"/>
          <w:highlight w:val="yellow"/>
        </w:rPr>
        <w:fldChar w:fldCharType="end"/>
      </w:r>
      <w:bookmarkEnd w:id="73"/>
      <w:r w:rsidRPr="009100D9">
        <w:rPr>
          <w:b/>
          <w:i w:val="0"/>
          <w:color w:val="auto"/>
          <w:sz w:val="20"/>
          <w:szCs w:val="20"/>
          <w:highlight w:val="yellow"/>
        </w:rPr>
        <w:t xml:space="preserve"> </w:t>
      </w:r>
      <w:r w:rsidRPr="009100D9">
        <w:rPr>
          <w:i w:val="0"/>
          <w:color w:val="auto"/>
          <w:sz w:val="20"/>
          <w:szCs w:val="20"/>
        </w:rPr>
        <w:t>Uso de combustibles para generación de electricidad</w:t>
      </w:r>
      <w:bookmarkEnd w:id="74"/>
    </w:p>
    <w:p w14:paraId="40903B80" w14:textId="77777777" w:rsidR="00914134" w:rsidRPr="00A61265" w:rsidRDefault="00914134" w:rsidP="000624CA">
      <w:pPr>
        <w:jc w:val="center"/>
        <w:rPr>
          <w:highlight w:val="yellow"/>
          <w:lang w:val="es-CO" w:eastAsia="es-ES"/>
        </w:rPr>
      </w:pPr>
      <w:r w:rsidRPr="00A61265">
        <w:rPr>
          <w:noProof/>
          <w:lang w:val="es-ES" w:eastAsia="es-ES"/>
        </w:rPr>
        <w:drawing>
          <wp:inline distT="0" distB="0" distL="0" distR="0" wp14:anchorId="40E2819C" wp14:editId="0683D155">
            <wp:extent cx="5399844" cy="324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9844" cy="3240000"/>
                    </a:xfrm>
                    <a:prstGeom prst="rect">
                      <a:avLst/>
                    </a:prstGeom>
                    <a:noFill/>
                    <a:ln>
                      <a:noFill/>
                    </a:ln>
                  </pic:spPr>
                </pic:pic>
              </a:graphicData>
            </a:graphic>
          </wp:inline>
        </w:drawing>
      </w:r>
    </w:p>
    <w:p w14:paraId="784775EA" w14:textId="4FE6A07A" w:rsidR="00914134" w:rsidRPr="005D45DF" w:rsidRDefault="00914134" w:rsidP="00914134">
      <w:pPr>
        <w:jc w:val="center"/>
        <w:rPr>
          <w:rFonts w:ascii="Arial" w:hAnsi="Arial" w:cs="Arial"/>
        </w:rPr>
      </w:pPr>
      <w:r w:rsidRPr="005D45DF">
        <w:rPr>
          <w:rFonts w:ascii="Arial" w:hAnsi="Arial" w:cs="Arial"/>
          <w:b/>
          <w:color w:val="000000" w:themeColor="text1"/>
          <w:sz w:val="16"/>
        </w:rPr>
        <w:t>Fuente:</w:t>
      </w:r>
      <w:r w:rsidRPr="005D45DF">
        <w:rPr>
          <w:rFonts w:ascii="Arial" w:hAnsi="Arial" w:cs="Arial"/>
          <w:color w:val="000000" w:themeColor="text1"/>
          <w:sz w:val="16"/>
        </w:rPr>
        <w:t xml:space="preserve"> XM</w:t>
      </w:r>
      <w:r w:rsidR="005D45DF" w:rsidRPr="005D45DF">
        <w:rPr>
          <w:rFonts w:ascii="Arial" w:hAnsi="Arial" w:cs="Arial"/>
          <w:color w:val="000000" w:themeColor="text1"/>
          <w:sz w:val="16"/>
        </w:rPr>
        <w:t xml:space="preserve"> </w:t>
      </w:r>
      <w:r w:rsidR="005D45DF" w:rsidRPr="005D45DF">
        <w:rPr>
          <w:rFonts w:ascii="Arial" w:hAnsi="Arial" w:cs="Arial"/>
          <w:color w:val="000000" w:themeColor="text1"/>
          <w:sz w:val="16"/>
        </w:rPr>
        <w:fldChar w:fldCharType="begin"/>
      </w:r>
      <w:r w:rsidR="005D45DF" w:rsidRPr="005D45DF">
        <w:rPr>
          <w:rFonts w:ascii="Arial" w:hAnsi="Arial" w:cs="Arial"/>
          <w:color w:val="000000" w:themeColor="text1"/>
          <w:sz w:val="16"/>
        </w:rPr>
        <w:instrText xml:space="preserve"> REF _Ref529881598 \r \h </w:instrText>
      </w:r>
      <w:r w:rsidR="005D45DF">
        <w:rPr>
          <w:rFonts w:ascii="Arial" w:hAnsi="Arial" w:cs="Arial"/>
          <w:color w:val="000000" w:themeColor="text1"/>
          <w:sz w:val="16"/>
        </w:rPr>
        <w:instrText xml:space="preserve"> \* MERGEFORMAT </w:instrText>
      </w:r>
      <w:r w:rsidR="005D45DF" w:rsidRPr="005D45DF">
        <w:rPr>
          <w:rFonts w:ascii="Arial" w:hAnsi="Arial" w:cs="Arial"/>
          <w:color w:val="000000" w:themeColor="text1"/>
          <w:sz w:val="16"/>
        </w:rPr>
      </w:r>
      <w:r w:rsidR="005D45DF" w:rsidRPr="005D45DF">
        <w:rPr>
          <w:rFonts w:ascii="Arial" w:hAnsi="Arial" w:cs="Arial"/>
          <w:color w:val="000000" w:themeColor="text1"/>
          <w:sz w:val="16"/>
        </w:rPr>
        <w:fldChar w:fldCharType="separate"/>
      </w:r>
      <w:r w:rsidR="00915705">
        <w:rPr>
          <w:rFonts w:ascii="Arial" w:hAnsi="Arial" w:cs="Arial"/>
          <w:color w:val="000000" w:themeColor="text1"/>
          <w:sz w:val="16"/>
        </w:rPr>
        <w:t>[13]</w:t>
      </w:r>
      <w:r w:rsidR="005D45DF" w:rsidRPr="005D45DF">
        <w:rPr>
          <w:rFonts w:ascii="Arial" w:hAnsi="Arial" w:cs="Arial"/>
          <w:color w:val="000000" w:themeColor="text1"/>
          <w:sz w:val="16"/>
        </w:rPr>
        <w:fldChar w:fldCharType="end"/>
      </w:r>
      <w:r w:rsidRPr="005D45DF">
        <w:rPr>
          <w:rFonts w:ascii="Arial" w:hAnsi="Arial" w:cs="Arial"/>
          <w:color w:val="000000" w:themeColor="text1"/>
          <w:sz w:val="16"/>
        </w:rPr>
        <w:t>, UPME.</w:t>
      </w:r>
    </w:p>
    <w:p w14:paraId="688378BB" w14:textId="77777777" w:rsidR="00914134" w:rsidRPr="009100D9" w:rsidRDefault="00914134" w:rsidP="00914134">
      <w:pPr>
        <w:spacing w:before="240" w:after="240" w:line="276" w:lineRule="auto"/>
        <w:jc w:val="both"/>
        <w:rPr>
          <w:rFonts w:ascii="Arial" w:hAnsi="Arial" w:cs="Arial"/>
          <w:sz w:val="22"/>
          <w:szCs w:val="22"/>
        </w:rPr>
      </w:pPr>
      <w:r w:rsidRPr="009100D9">
        <w:rPr>
          <w:rFonts w:ascii="Arial" w:hAnsi="Arial" w:cs="Arial"/>
          <w:sz w:val="22"/>
          <w:szCs w:val="22"/>
        </w:rPr>
        <w:t>Cabe señalar que el  incremento en el consumo térmico como consecuencia de los bajos niveles de los embalses por efecto del Fenómeno del Niño, tiene repercusiones importantes  en los precios de oferta de las térmicas y por ende, en el precio de bolsa. Este último, indiscutiblemente debe reflejar los costos variables de la generación, así como el costo de oportunidad del recurso utilizado para su transformación.</w:t>
      </w:r>
    </w:p>
    <w:p w14:paraId="16BB9F56" w14:textId="5A7B1921" w:rsidR="00914134" w:rsidRPr="00C36778" w:rsidRDefault="00914134" w:rsidP="00914134">
      <w:pPr>
        <w:spacing w:before="240" w:after="240" w:line="276" w:lineRule="auto"/>
        <w:jc w:val="both"/>
        <w:rPr>
          <w:rFonts w:ascii="Arial" w:hAnsi="Arial" w:cs="Arial"/>
          <w:sz w:val="22"/>
          <w:szCs w:val="22"/>
        </w:rPr>
      </w:pPr>
      <w:r w:rsidRPr="00C36778">
        <w:rPr>
          <w:rFonts w:ascii="Arial" w:hAnsi="Arial" w:cs="Arial"/>
          <w:sz w:val="22"/>
          <w:szCs w:val="22"/>
        </w:rPr>
        <w:t>La evolución de este precio señala un comportamiento relativamente estable entre julio de 2014 y agosto de 2015 frente al precio de escasez (al cual la obligación de energía firme es exigida y remunerada) salvo</w:t>
      </w:r>
      <w:r w:rsidR="00C36778">
        <w:rPr>
          <w:rFonts w:ascii="Arial" w:hAnsi="Arial" w:cs="Arial"/>
          <w:sz w:val="22"/>
          <w:szCs w:val="22"/>
        </w:rPr>
        <w:t xml:space="preserve"> en el mes de junio de 2015</w:t>
      </w:r>
      <w:r w:rsidRPr="00C36778">
        <w:rPr>
          <w:rFonts w:ascii="Arial" w:hAnsi="Arial" w:cs="Arial"/>
          <w:sz w:val="22"/>
          <w:szCs w:val="22"/>
        </w:rPr>
        <w:t xml:space="preserve">. No obstante, hacia finales de septiembre y la primera semana de octubre, precisamente el mes donde la </w:t>
      </w:r>
      <w:r w:rsidRPr="00C36778">
        <w:rPr>
          <w:rFonts w:ascii="Arial" w:hAnsi="Arial" w:cs="Arial"/>
          <w:sz w:val="22"/>
          <w:szCs w:val="22"/>
          <w:highlight w:val="yellow"/>
        </w:rPr>
        <w:fldChar w:fldCharType="begin"/>
      </w:r>
      <w:r w:rsidRPr="00C36778">
        <w:rPr>
          <w:rFonts w:ascii="Arial" w:hAnsi="Arial" w:cs="Arial"/>
          <w:sz w:val="22"/>
          <w:szCs w:val="22"/>
          <w:highlight w:val="yellow"/>
        </w:rPr>
        <w:instrText xml:space="preserve"> REF _Ref447121759 \h  \* MERGEFORMAT </w:instrText>
      </w:r>
      <w:r w:rsidRPr="00C36778">
        <w:rPr>
          <w:rFonts w:ascii="Arial" w:hAnsi="Arial" w:cs="Arial"/>
          <w:sz w:val="22"/>
          <w:szCs w:val="22"/>
          <w:highlight w:val="yellow"/>
        </w:rPr>
      </w:r>
      <w:r w:rsidRPr="00C36778">
        <w:rPr>
          <w:rFonts w:ascii="Arial" w:hAnsi="Arial" w:cs="Arial"/>
          <w:sz w:val="22"/>
          <w:szCs w:val="22"/>
          <w:highlight w:val="yellow"/>
        </w:rPr>
        <w:fldChar w:fldCharType="separate"/>
      </w:r>
      <w:r w:rsidR="00915705" w:rsidRPr="00C36778">
        <w:rPr>
          <w:rFonts w:ascii="Arial" w:hAnsi="Arial" w:cs="Arial"/>
          <w:sz w:val="22"/>
          <w:szCs w:val="22"/>
          <w:highlight w:val="yellow"/>
        </w:rPr>
        <w:t>Gráfica 2</w:t>
      </w:r>
      <w:r w:rsidR="00915705" w:rsidRPr="00C36778">
        <w:rPr>
          <w:rFonts w:ascii="Arial" w:hAnsi="Arial" w:cs="Arial"/>
          <w:sz w:val="22"/>
          <w:szCs w:val="22"/>
          <w:highlight w:val="yellow"/>
        </w:rPr>
        <w:noBreakHyphen/>
        <w:t>4</w:t>
      </w:r>
      <w:r w:rsidRPr="00C36778">
        <w:rPr>
          <w:rFonts w:ascii="Arial" w:hAnsi="Arial" w:cs="Arial"/>
          <w:sz w:val="22"/>
          <w:szCs w:val="22"/>
          <w:highlight w:val="yellow"/>
        </w:rPr>
        <w:fldChar w:fldCharType="end"/>
      </w:r>
      <w:r w:rsidRPr="00C36778">
        <w:rPr>
          <w:rFonts w:ascii="Arial" w:hAnsi="Arial" w:cs="Arial"/>
          <w:sz w:val="22"/>
          <w:szCs w:val="22"/>
        </w:rPr>
        <w:t xml:space="preserve"> muestra un incremento importante en el consumo de combustibles para generación, el precio de bolsa superó el de escasez con lo cual debió activarse el cargo por confiabilidad del sistema interconectado nacional (SIN). Puntualmente el 8 de octubre el precio de bolsa registro un máximo de </w:t>
      </w:r>
      <w:r w:rsidR="008202F5">
        <w:rPr>
          <w:rFonts w:ascii="Arial" w:hAnsi="Arial" w:cs="Arial"/>
          <w:sz w:val="22"/>
          <w:szCs w:val="22"/>
        </w:rPr>
        <w:t xml:space="preserve">COP$ </w:t>
      </w:r>
      <w:r w:rsidRPr="00C36778">
        <w:rPr>
          <w:rFonts w:ascii="Arial" w:hAnsi="Arial" w:cs="Arial"/>
          <w:sz w:val="22"/>
          <w:szCs w:val="22"/>
        </w:rPr>
        <w:t>952.17</w:t>
      </w:r>
      <w:r w:rsidR="008202F5">
        <w:rPr>
          <w:rFonts w:ascii="Arial" w:hAnsi="Arial" w:cs="Arial"/>
          <w:sz w:val="22"/>
          <w:szCs w:val="22"/>
        </w:rPr>
        <w:t>/</w:t>
      </w:r>
      <w:r w:rsidRPr="00C36778">
        <w:rPr>
          <w:rFonts w:ascii="Arial" w:hAnsi="Arial" w:cs="Arial"/>
          <w:sz w:val="22"/>
          <w:szCs w:val="22"/>
        </w:rPr>
        <w:t>kWh, superando ampliamente el precio de escasez ubicado en COP$ 302.43/kWh, siendo la oferta ponderada del agua cercana a los COP$ 1,952.17/kWh.</w:t>
      </w:r>
    </w:p>
    <w:p w14:paraId="36DC7451" w14:textId="4E949B59" w:rsidR="00914134" w:rsidRDefault="00914134" w:rsidP="00914134">
      <w:pPr>
        <w:pStyle w:val="Descripcin"/>
        <w:keepNext/>
        <w:spacing w:after="0"/>
        <w:jc w:val="center"/>
        <w:rPr>
          <w:rFonts w:cs="Arial"/>
          <w:i w:val="0"/>
          <w:color w:val="auto"/>
          <w:sz w:val="20"/>
          <w:szCs w:val="20"/>
        </w:rPr>
      </w:pPr>
      <w:bookmarkStart w:id="75" w:name="_Ref447121759"/>
      <w:bookmarkStart w:id="76" w:name="_Ref447176622"/>
      <w:bookmarkStart w:id="77" w:name="_Toc499799355"/>
      <w:bookmarkStart w:id="78" w:name="_Toc530033403"/>
      <w:r w:rsidRPr="00127A88">
        <w:rPr>
          <w:rFonts w:cs="Arial"/>
          <w:b/>
          <w:i w:val="0"/>
          <w:color w:val="auto"/>
          <w:sz w:val="20"/>
          <w:szCs w:val="20"/>
          <w:highlight w:val="yellow"/>
        </w:rPr>
        <w:lastRenderedPageBreak/>
        <w:t xml:space="preserve">Gráfica </w:t>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STYLEREF 1 \s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2</w:t>
      </w:r>
      <w:r w:rsidR="00DA50A5">
        <w:rPr>
          <w:rFonts w:cs="Arial"/>
          <w:b/>
          <w:i w:val="0"/>
          <w:color w:val="auto"/>
          <w:sz w:val="20"/>
          <w:szCs w:val="20"/>
          <w:highlight w:val="yellow"/>
        </w:rPr>
        <w:fldChar w:fldCharType="end"/>
      </w:r>
      <w:r w:rsidR="00DA50A5">
        <w:rPr>
          <w:rFonts w:cs="Arial"/>
          <w:b/>
          <w:i w:val="0"/>
          <w:color w:val="auto"/>
          <w:sz w:val="20"/>
          <w:szCs w:val="20"/>
          <w:highlight w:val="yellow"/>
        </w:rPr>
        <w:noBreakHyphen/>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SEQ Gráfica \* ARABIC \s 1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4</w:t>
      </w:r>
      <w:r w:rsidR="00DA50A5">
        <w:rPr>
          <w:rFonts w:cs="Arial"/>
          <w:b/>
          <w:i w:val="0"/>
          <w:color w:val="auto"/>
          <w:sz w:val="20"/>
          <w:szCs w:val="20"/>
          <w:highlight w:val="yellow"/>
        </w:rPr>
        <w:fldChar w:fldCharType="end"/>
      </w:r>
      <w:bookmarkEnd w:id="75"/>
      <w:r w:rsidRPr="00127A88">
        <w:rPr>
          <w:rFonts w:cs="Arial"/>
          <w:b/>
          <w:i w:val="0"/>
          <w:color w:val="auto"/>
          <w:sz w:val="20"/>
          <w:szCs w:val="20"/>
          <w:highlight w:val="yellow"/>
        </w:rPr>
        <w:t xml:space="preserve">. </w:t>
      </w:r>
      <w:r w:rsidRPr="0053107F">
        <w:rPr>
          <w:rFonts w:cs="Arial"/>
          <w:i w:val="0"/>
          <w:color w:val="auto"/>
          <w:sz w:val="20"/>
          <w:szCs w:val="20"/>
        </w:rPr>
        <w:t>Precio</w:t>
      </w:r>
      <w:r w:rsidR="00C36778">
        <w:rPr>
          <w:rFonts w:cs="Arial"/>
          <w:i w:val="0"/>
          <w:color w:val="auto"/>
          <w:sz w:val="20"/>
          <w:szCs w:val="20"/>
        </w:rPr>
        <w:t xml:space="preserve"> promedio mes</w:t>
      </w:r>
      <w:r w:rsidRPr="0053107F">
        <w:rPr>
          <w:rFonts w:cs="Arial"/>
          <w:i w:val="0"/>
          <w:color w:val="auto"/>
          <w:sz w:val="20"/>
          <w:szCs w:val="20"/>
        </w:rPr>
        <w:t xml:space="preserve"> de bolsa, escasez y oferta por tipo de combustible</w:t>
      </w:r>
      <w:bookmarkEnd w:id="76"/>
      <w:bookmarkEnd w:id="77"/>
      <w:bookmarkEnd w:id="78"/>
    </w:p>
    <w:p w14:paraId="030D653D" w14:textId="654395B9" w:rsidR="001D7E55" w:rsidRPr="001D7E55" w:rsidRDefault="001D7E55" w:rsidP="001D7E55">
      <w:pPr>
        <w:jc w:val="center"/>
        <w:rPr>
          <w:highlight w:val="yellow"/>
          <w:lang w:val="es-CO" w:eastAsia="es-ES"/>
        </w:rPr>
      </w:pPr>
      <w:r w:rsidRPr="001D7E55">
        <w:rPr>
          <w:noProof/>
          <w:lang w:val="es-ES" w:eastAsia="es-ES"/>
        </w:rPr>
        <w:drawing>
          <wp:inline distT="0" distB="0" distL="0" distR="0" wp14:anchorId="6838B22A" wp14:editId="2B5FD7DF">
            <wp:extent cx="5693750" cy="3420000"/>
            <wp:effectExtent l="0" t="0" r="254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93750" cy="3420000"/>
                    </a:xfrm>
                    <a:prstGeom prst="rect">
                      <a:avLst/>
                    </a:prstGeom>
                    <a:noFill/>
                    <a:ln>
                      <a:noFill/>
                    </a:ln>
                  </pic:spPr>
                </pic:pic>
              </a:graphicData>
            </a:graphic>
          </wp:inline>
        </w:drawing>
      </w:r>
    </w:p>
    <w:p w14:paraId="42672B9B" w14:textId="6CD3CF9E" w:rsidR="00914134" w:rsidRDefault="00914134" w:rsidP="00914134">
      <w:pPr>
        <w:jc w:val="center"/>
        <w:rPr>
          <w:rFonts w:cs="Arial"/>
          <w:color w:val="000000" w:themeColor="text1"/>
          <w:sz w:val="16"/>
          <w:highlight w:val="yellow"/>
        </w:rPr>
      </w:pPr>
    </w:p>
    <w:p w14:paraId="0B00AD88" w14:textId="77777777" w:rsidR="00914134" w:rsidRPr="001D7E55" w:rsidRDefault="00914134" w:rsidP="00914134">
      <w:pPr>
        <w:jc w:val="center"/>
        <w:rPr>
          <w:rFonts w:ascii="Arial" w:hAnsi="Arial" w:cs="Arial"/>
          <w:sz w:val="16"/>
          <w:szCs w:val="16"/>
        </w:rPr>
      </w:pPr>
      <w:r w:rsidRPr="001D7E55">
        <w:rPr>
          <w:rFonts w:ascii="Arial" w:hAnsi="Arial" w:cs="Arial"/>
          <w:b/>
          <w:color w:val="000000" w:themeColor="text1"/>
          <w:sz w:val="16"/>
          <w:szCs w:val="16"/>
        </w:rPr>
        <w:t>Fuente:</w:t>
      </w:r>
      <w:r w:rsidRPr="001D7E55">
        <w:rPr>
          <w:rFonts w:ascii="Arial" w:hAnsi="Arial" w:cs="Arial"/>
          <w:color w:val="000000" w:themeColor="text1"/>
          <w:sz w:val="16"/>
          <w:szCs w:val="16"/>
        </w:rPr>
        <w:t xml:space="preserve"> XM. *</w:t>
      </w:r>
      <w:r w:rsidRPr="001D7E55">
        <w:rPr>
          <w:rFonts w:ascii="Arial" w:hAnsi="Arial" w:cs="Arial"/>
          <w:i/>
          <w:color w:val="000000" w:themeColor="text1"/>
          <w:sz w:val="16"/>
          <w:szCs w:val="16"/>
        </w:rPr>
        <w:t>El precio del Jet se muestra como dispersión debido a su discontinuidad en la serie, en especial en los eventos que el precio de la generación con agua supera el precio de escasez</w:t>
      </w:r>
      <w:r w:rsidRPr="001D7E55">
        <w:rPr>
          <w:rFonts w:ascii="Arial" w:hAnsi="Arial" w:cs="Arial"/>
          <w:b/>
          <w:i/>
          <w:color w:val="000000" w:themeColor="text1"/>
          <w:sz w:val="16"/>
          <w:szCs w:val="16"/>
        </w:rPr>
        <w:t>.</w:t>
      </w:r>
    </w:p>
    <w:p w14:paraId="111A9394" w14:textId="66A056B2" w:rsidR="00C36778" w:rsidRDefault="00914134" w:rsidP="00914134">
      <w:pPr>
        <w:spacing w:before="240" w:after="240" w:line="276" w:lineRule="auto"/>
        <w:jc w:val="both"/>
        <w:rPr>
          <w:rFonts w:ascii="Arial" w:hAnsi="Arial" w:cs="Arial"/>
          <w:sz w:val="22"/>
          <w:szCs w:val="22"/>
        </w:rPr>
      </w:pPr>
      <w:r w:rsidRPr="007F3579">
        <w:rPr>
          <w:rFonts w:ascii="Arial" w:hAnsi="Arial" w:cs="Arial"/>
          <w:sz w:val="22"/>
          <w:szCs w:val="22"/>
        </w:rPr>
        <w:t xml:space="preserve">Así entonces, </w:t>
      </w:r>
      <w:r w:rsidR="00C36778" w:rsidRPr="007F3579">
        <w:rPr>
          <w:rFonts w:ascii="Arial" w:hAnsi="Arial" w:cs="Arial"/>
          <w:sz w:val="22"/>
          <w:szCs w:val="22"/>
        </w:rPr>
        <w:t xml:space="preserve">luego del </w:t>
      </w:r>
      <w:r w:rsidRPr="007F3579">
        <w:rPr>
          <w:rFonts w:ascii="Arial" w:hAnsi="Arial" w:cs="Arial"/>
          <w:sz w:val="22"/>
          <w:szCs w:val="22"/>
        </w:rPr>
        <w:t>fenómeno de El Niño</w:t>
      </w:r>
      <w:r w:rsidR="00C36778" w:rsidRPr="007F3579">
        <w:rPr>
          <w:rFonts w:ascii="Arial" w:hAnsi="Arial" w:cs="Arial"/>
          <w:sz w:val="22"/>
          <w:szCs w:val="22"/>
        </w:rPr>
        <w:t xml:space="preserve"> el cual dejó</w:t>
      </w:r>
      <w:r w:rsidRPr="007F3579">
        <w:rPr>
          <w:rFonts w:ascii="Arial" w:hAnsi="Arial" w:cs="Arial"/>
          <w:sz w:val="22"/>
          <w:szCs w:val="22"/>
        </w:rPr>
        <w:t xml:space="preserve"> un precio de oferta alrededor de los</w:t>
      </w:r>
      <w:r w:rsidR="007F3579" w:rsidRPr="007F3579">
        <w:rPr>
          <w:rFonts w:ascii="Arial" w:hAnsi="Arial" w:cs="Arial"/>
          <w:sz w:val="22"/>
          <w:szCs w:val="22"/>
        </w:rPr>
        <w:t xml:space="preserve"> COP$ 800/</w:t>
      </w:r>
      <w:r w:rsidRPr="007F3579">
        <w:rPr>
          <w:rFonts w:ascii="Arial" w:hAnsi="Arial" w:cs="Arial"/>
          <w:sz w:val="22"/>
          <w:szCs w:val="22"/>
        </w:rPr>
        <w:t xml:space="preserve">kWh, </w:t>
      </w:r>
      <w:r w:rsidR="00C36778" w:rsidRPr="007F3579">
        <w:rPr>
          <w:rFonts w:ascii="Arial" w:hAnsi="Arial" w:cs="Arial"/>
          <w:sz w:val="22"/>
          <w:szCs w:val="22"/>
        </w:rPr>
        <w:t xml:space="preserve">se presenta una caída en el precio de bolsa nacional, llegando a un valor de </w:t>
      </w:r>
      <w:r w:rsidR="007F3579" w:rsidRPr="007F3579">
        <w:rPr>
          <w:rFonts w:ascii="Arial" w:hAnsi="Arial" w:cs="Arial"/>
          <w:sz w:val="22"/>
          <w:szCs w:val="22"/>
        </w:rPr>
        <w:t>COP$ 332/kWh en abril de 2016, y su descenso continuó hasta alcanzar un precio promedio, entre mayo de 2016 y marzo de 2017, de COP$ 147/kWh. Finalmente en diciembre de 2017 el precio llegó a los COP$ 94/kWh.</w:t>
      </w:r>
    </w:p>
    <w:p w14:paraId="583B476E" w14:textId="74647133" w:rsidR="0003625E" w:rsidRDefault="007F3579" w:rsidP="00914134">
      <w:pPr>
        <w:spacing w:before="240" w:after="240" w:line="276" w:lineRule="auto"/>
        <w:jc w:val="both"/>
        <w:rPr>
          <w:rFonts w:ascii="Arial" w:hAnsi="Arial" w:cs="Arial"/>
          <w:sz w:val="22"/>
          <w:szCs w:val="22"/>
        </w:rPr>
      </w:pPr>
      <w:r>
        <w:rPr>
          <w:rFonts w:ascii="Arial" w:hAnsi="Arial" w:cs="Arial"/>
          <w:sz w:val="22"/>
          <w:szCs w:val="22"/>
        </w:rPr>
        <w:t>Adicionalmente, hubo un aumento significativo a partir de finales del año 2015 en la generación con combustible JET-A1, alcanzando un valor máximo de COP$ 867/</w:t>
      </w:r>
      <w:r w:rsidRPr="00C36778">
        <w:rPr>
          <w:rFonts w:ascii="Arial" w:hAnsi="Arial" w:cs="Arial"/>
          <w:sz w:val="22"/>
          <w:szCs w:val="22"/>
        </w:rPr>
        <w:t>kWh</w:t>
      </w:r>
      <w:r>
        <w:rPr>
          <w:rFonts w:ascii="Arial" w:hAnsi="Arial" w:cs="Arial"/>
          <w:sz w:val="22"/>
          <w:szCs w:val="22"/>
        </w:rPr>
        <w:t xml:space="preserve"> en octubre de 2017, siendo la generación de energía e</w:t>
      </w:r>
      <w:r w:rsidR="00A80BCB">
        <w:rPr>
          <w:rFonts w:ascii="Arial" w:hAnsi="Arial" w:cs="Arial"/>
          <w:sz w:val="22"/>
          <w:szCs w:val="22"/>
        </w:rPr>
        <w:t>lé</w:t>
      </w:r>
      <w:r>
        <w:rPr>
          <w:rFonts w:ascii="Arial" w:hAnsi="Arial" w:cs="Arial"/>
          <w:sz w:val="22"/>
          <w:szCs w:val="22"/>
        </w:rPr>
        <w:t xml:space="preserve">ctrica con este combustible las </w:t>
      </w:r>
      <w:r w:rsidR="00A80BCB">
        <w:rPr>
          <w:rFonts w:ascii="Arial" w:hAnsi="Arial" w:cs="Arial"/>
          <w:sz w:val="22"/>
          <w:szCs w:val="22"/>
        </w:rPr>
        <w:t>más</w:t>
      </w:r>
      <w:r>
        <w:rPr>
          <w:rFonts w:ascii="Arial" w:hAnsi="Arial" w:cs="Arial"/>
          <w:sz w:val="22"/>
          <w:szCs w:val="22"/>
        </w:rPr>
        <w:t xml:space="preserve"> costosa en comparación con los otros energéticos mostrados en la </w:t>
      </w:r>
      <w:r w:rsidRPr="009100D9">
        <w:rPr>
          <w:rFonts w:ascii="Arial" w:hAnsi="Arial" w:cs="Arial"/>
          <w:sz w:val="22"/>
          <w:szCs w:val="22"/>
          <w:highlight w:val="yellow"/>
        </w:rPr>
        <w:fldChar w:fldCharType="begin"/>
      </w:r>
      <w:r w:rsidRPr="009100D9">
        <w:rPr>
          <w:rFonts w:ascii="Arial" w:hAnsi="Arial" w:cs="Arial"/>
          <w:sz w:val="22"/>
          <w:szCs w:val="22"/>
          <w:highlight w:val="yellow"/>
        </w:rPr>
        <w:instrText xml:space="preserve"> REF _Ref447121759 \h  \* MERGEFORMAT </w:instrText>
      </w:r>
      <w:r w:rsidRPr="009100D9">
        <w:rPr>
          <w:rFonts w:ascii="Arial" w:hAnsi="Arial" w:cs="Arial"/>
          <w:sz w:val="22"/>
          <w:szCs w:val="22"/>
          <w:highlight w:val="yellow"/>
        </w:rPr>
      </w:r>
      <w:r w:rsidRPr="009100D9">
        <w:rPr>
          <w:rFonts w:ascii="Arial" w:hAnsi="Arial" w:cs="Arial"/>
          <w:sz w:val="22"/>
          <w:szCs w:val="22"/>
          <w:highlight w:val="yellow"/>
        </w:rPr>
        <w:fldChar w:fldCharType="separate"/>
      </w:r>
      <w:r w:rsidRPr="00915705">
        <w:rPr>
          <w:rFonts w:ascii="Arial" w:hAnsi="Arial" w:cs="Arial"/>
          <w:sz w:val="22"/>
          <w:szCs w:val="22"/>
          <w:highlight w:val="yellow"/>
        </w:rPr>
        <w:t>Gráfica 2</w:t>
      </w:r>
      <w:r w:rsidRPr="00915705">
        <w:rPr>
          <w:rFonts w:ascii="Arial" w:hAnsi="Arial" w:cs="Arial"/>
          <w:sz w:val="22"/>
          <w:szCs w:val="22"/>
          <w:highlight w:val="yellow"/>
        </w:rPr>
        <w:noBreakHyphen/>
        <w:t>4</w:t>
      </w:r>
      <w:r w:rsidRPr="009100D9">
        <w:rPr>
          <w:rFonts w:ascii="Arial" w:hAnsi="Arial" w:cs="Arial"/>
          <w:sz w:val="22"/>
          <w:szCs w:val="22"/>
          <w:highlight w:val="yellow"/>
        </w:rPr>
        <w:fldChar w:fldCharType="end"/>
      </w:r>
      <w:r>
        <w:rPr>
          <w:rFonts w:ascii="Arial" w:hAnsi="Arial" w:cs="Arial"/>
          <w:sz w:val="22"/>
          <w:szCs w:val="22"/>
        </w:rPr>
        <w:t>.</w:t>
      </w:r>
      <w:r w:rsidR="0003625E">
        <w:rPr>
          <w:rFonts w:ascii="Arial" w:hAnsi="Arial" w:cs="Arial"/>
          <w:sz w:val="22"/>
          <w:szCs w:val="22"/>
        </w:rPr>
        <w:t xml:space="preserve">Por otra parte, el costo de generación con gas pasó de </w:t>
      </w:r>
      <w:r w:rsidR="0003625E" w:rsidRPr="007F3579">
        <w:rPr>
          <w:rFonts w:ascii="Arial" w:hAnsi="Arial" w:cs="Arial"/>
          <w:sz w:val="22"/>
          <w:szCs w:val="22"/>
        </w:rPr>
        <w:t>COP$</w:t>
      </w:r>
      <w:r w:rsidR="0003625E">
        <w:rPr>
          <w:rFonts w:ascii="Arial" w:hAnsi="Arial" w:cs="Arial"/>
          <w:sz w:val="22"/>
          <w:szCs w:val="22"/>
        </w:rPr>
        <w:t xml:space="preserve"> 251</w:t>
      </w:r>
      <w:r w:rsidR="0003625E" w:rsidRPr="007F3579">
        <w:rPr>
          <w:rFonts w:ascii="Arial" w:hAnsi="Arial" w:cs="Arial"/>
          <w:sz w:val="22"/>
          <w:szCs w:val="22"/>
        </w:rPr>
        <w:t>/kWh</w:t>
      </w:r>
      <w:r w:rsidR="0003625E">
        <w:rPr>
          <w:rFonts w:ascii="Arial" w:hAnsi="Arial" w:cs="Arial"/>
          <w:sz w:val="22"/>
          <w:szCs w:val="22"/>
        </w:rPr>
        <w:t xml:space="preserve"> en noviembre a 2016 a </w:t>
      </w:r>
      <w:r w:rsidR="0003625E" w:rsidRPr="007F3579">
        <w:rPr>
          <w:rFonts w:ascii="Arial" w:hAnsi="Arial" w:cs="Arial"/>
          <w:sz w:val="22"/>
          <w:szCs w:val="22"/>
        </w:rPr>
        <w:t>COP$</w:t>
      </w:r>
      <w:r w:rsidR="0003625E">
        <w:rPr>
          <w:rFonts w:ascii="Arial" w:hAnsi="Arial" w:cs="Arial"/>
          <w:sz w:val="22"/>
          <w:szCs w:val="22"/>
        </w:rPr>
        <w:t xml:space="preserve"> 344</w:t>
      </w:r>
      <w:r w:rsidR="0003625E" w:rsidRPr="007F3579">
        <w:rPr>
          <w:rFonts w:ascii="Arial" w:hAnsi="Arial" w:cs="Arial"/>
          <w:sz w:val="22"/>
          <w:szCs w:val="22"/>
        </w:rPr>
        <w:t>/kWh</w:t>
      </w:r>
      <w:r w:rsidR="0003625E">
        <w:rPr>
          <w:rFonts w:ascii="Arial" w:hAnsi="Arial" w:cs="Arial"/>
          <w:sz w:val="22"/>
          <w:szCs w:val="22"/>
        </w:rPr>
        <w:t xml:space="preserve"> en diciembre del mismo años. A partir de esta fecha y hasta diciembre del año 2017 el precio promedio se </w:t>
      </w:r>
      <w:r w:rsidR="00987FF9">
        <w:rPr>
          <w:rFonts w:ascii="Arial" w:hAnsi="Arial" w:cs="Arial"/>
          <w:sz w:val="22"/>
          <w:szCs w:val="22"/>
        </w:rPr>
        <w:t>ubicó</w:t>
      </w:r>
      <w:r w:rsidR="0003625E">
        <w:rPr>
          <w:rFonts w:ascii="Arial" w:hAnsi="Arial" w:cs="Arial"/>
          <w:sz w:val="22"/>
          <w:szCs w:val="22"/>
        </w:rPr>
        <w:t xml:space="preserve"> alrededor de los </w:t>
      </w:r>
      <w:r w:rsidR="0003625E" w:rsidRPr="007F3579">
        <w:rPr>
          <w:rFonts w:ascii="Arial" w:hAnsi="Arial" w:cs="Arial"/>
          <w:sz w:val="22"/>
          <w:szCs w:val="22"/>
        </w:rPr>
        <w:t>COP$</w:t>
      </w:r>
      <w:r w:rsidR="0003625E">
        <w:rPr>
          <w:rFonts w:ascii="Arial" w:hAnsi="Arial" w:cs="Arial"/>
          <w:sz w:val="22"/>
          <w:szCs w:val="22"/>
        </w:rPr>
        <w:t xml:space="preserve"> 357</w:t>
      </w:r>
      <w:r w:rsidR="0003625E" w:rsidRPr="007F3579">
        <w:rPr>
          <w:rFonts w:ascii="Arial" w:hAnsi="Arial" w:cs="Arial"/>
          <w:sz w:val="22"/>
          <w:szCs w:val="22"/>
        </w:rPr>
        <w:t>/kWh</w:t>
      </w:r>
      <w:r w:rsidR="0003625E">
        <w:rPr>
          <w:rFonts w:ascii="Arial" w:hAnsi="Arial" w:cs="Arial"/>
          <w:sz w:val="22"/>
          <w:szCs w:val="22"/>
        </w:rPr>
        <w:t>.</w:t>
      </w:r>
    </w:p>
    <w:p w14:paraId="7A9BC20B" w14:textId="75303C98" w:rsidR="00914134" w:rsidRPr="0003625E" w:rsidRDefault="00914134" w:rsidP="00914134">
      <w:pPr>
        <w:spacing w:before="240" w:after="240" w:line="276" w:lineRule="auto"/>
        <w:jc w:val="both"/>
        <w:rPr>
          <w:rFonts w:ascii="Arial" w:hAnsi="Arial" w:cs="Arial"/>
          <w:sz w:val="22"/>
          <w:szCs w:val="22"/>
        </w:rPr>
      </w:pPr>
      <w:r w:rsidRPr="00987FF9">
        <w:rPr>
          <w:rFonts w:ascii="Arial" w:hAnsi="Arial" w:cs="Arial"/>
          <w:sz w:val="22"/>
          <w:szCs w:val="22"/>
        </w:rPr>
        <w:t xml:space="preserve">Se debe recordar que el objetivo del documento es determinar el costo del combustible para estas plantas de generación, diferente al precio de oferta de la energía cuando se usan los diferentes combustibles, que es lo que muestra la </w:t>
      </w:r>
      <w:r w:rsidRPr="00987FF9">
        <w:rPr>
          <w:rFonts w:ascii="Arial" w:hAnsi="Arial" w:cs="Arial"/>
          <w:sz w:val="22"/>
          <w:szCs w:val="22"/>
          <w:highlight w:val="yellow"/>
        </w:rPr>
        <w:fldChar w:fldCharType="begin"/>
      </w:r>
      <w:r w:rsidRPr="00987FF9">
        <w:rPr>
          <w:rFonts w:ascii="Arial" w:hAnsi="Arial" w:cs="Arial"/>
          <w:sz w:val="22"/>
          <w:szCs w:val="22"/>
          <w:highlight w:val="yellow"/>
        </w:rPr>
        <w:instrText xml:space="preserve"> REF _Ref447121759 \h  \* MERGEFORMAT </w:instrText>
      </w:r>
      <w:r w:rsidRPr="00987FF9">
        <w:rPr>
          <w:rFonts w:ascii="Arial" w:hAnsi="Arial" w:cs="Arial"/>
          <w:sz w:val="22"/>
          <w:szCs w:val="22"/>
          <w:highlight w:val="yellow"/>
        </w:rPr>
      </w:r>
      <w:r w:rsidRPr="00987FF9">
        <w:rPr>
          <w:rFonts w:ascii="Arial" w:hAnsi="Arial" w:cs="Arial"/>
          <w:sz w:val="22"/>
          <w:szCs w:val="22"/>
          <w:highlight w:val="yellow"/>
        </w:rPr>
        <w:fldChar w:fldCharType="separate"/>
      </w:r>
      <w:r w:rsidR="00915705" w:rsidRPr="00987FF9">
        <w:rPr>
          <w:rFonts w:ascii="Arial" w:hAnsi="Arial" w:cs="Arial"/>
          <w:sz w:val="22"/>
          <w:szCs w:val="22"/>
          <w:highlight w:val="yellow"/>
        </w:rPr>
        <w:t>Gráfica 2</w:t>
      </w:r>
      <w:r w:rsidR="00915705" w:rsidRPr="00987FF9">
        <w:rPr>
          <w:rFonts w:ascii="Arial" w:hAnsi="Arial" w:cs="Arial"/>
          <w:sz w:val="22"/>
          <w:szCs w:val="22"/>
          <w:highlight w:val="yellow"/>
        </w:rPr>
        <w:noBreakHyphen/>
        <w:t>4</w:t>
      </w:r>
      <w:r w:rsidRPr="00987FF9">
        <w:rPr>
          <w:rFonts w:ascii="Arial" w:hAnsi="Arial" w:cs="Arial"/>
          <w:sz w:val="22"/>
          <w:szCs w:val="22"/>
          <w:highlight w:val="yellow"/>
        </w:rPr>
        <w:fldChar w:fldCharType="end"/>
      </w:r>
      <w:r w:rsidRPr="00987FF9">
        <w:rPr>
          <w:rFonts w:ascii="Arial" w:hAnsi="Arial" w:cs="Arial"/>
          <w:sz w:val="22"/>
          <w:szCs w:val="22"/>
          <w:highlight w:val="yellow"/>
        </w:rPr>
        <w:t>,</w:t>
      </w:r>
      <w:r w:rsidRPr="00987FF9">
        <w:rPr>
          <w:rFonts w:ascii="Arial" w:hAnsi="Arial" w:cs="Arial"/>
          <w:sz w:val="22"/>
          <w:szCs w:val="22"/>
        </w:rPr>
        <w:t xml:space="preserve"> aunque su influencia es vital para entender hacia donde podrían ir estos precios en un horizonte próximo.</w:t>
      </w:r>
    </w:p>
    <w:p w14:paraId="44701D34" w14:textId="77777777" w:rsidR="00914134" w:rsidRDefault="00914134" w:rsidP="00914134">
      <w:r>
        <w:br w:type="page"/>
      </w:r>
    </w:p>
    <w:p w14:paraId="1C1D1B73" w14:textId="77777777" w:rsidR="00914134" w:rsidRPr="004327CD" w:rsidRDefault="00914134" w:rsidP="00914134">
      <w:pPr>
        <w:pStyle w:val="Ttulo1"/>
      </w:pPr>
      <w:bookmarkStart w:id="79" w:name="_Toc530045830"/>
      <w:r>
        <w:lastRenderedPageBreak/>
        <w:t>Gas NATURAL</w:t>
      </w:r>
      <w:bookmarkEnd w:id="79"/>
    </w:p>
    <w:p w14:paraId="23B2D02A" w14:textId="77777777" w:rsidR="00914134" w:rsidRPr="00127A88" w:rsidRDefault="00914134" w:rsidP="00914134">
      <w:pPr>
        <w:spacing w:before="240" w:after="240" w:line="276" w:lineRule="auto"/>
        <w:jc w:val="both"/>
        <w:rPr>
          <w:rFonts w:ascii="Arial" w:hAnsi="Arial" w:cs="Arial"/>
          <w:sz w:val="22"/>
          <w:szCs w:val="22"/>
        </w:rPr>
      </w:pPr>
      <w:r w:rsidRPr="00127A88">
        <w:rPr>
          <w:rFonts w:ascii="Arial" w:hAnsi="Arial" w:cs="Arial"/>
          <w:sz w:val="22"/>
          <w:szCs w:val="22"/>
        </w:rPr>
        <w:t>El aumento de la producción de gas natural en Estados Unidos viene reconfigurando la matriz energética mundial generando cambios económicos que, según los expertos, está dando origen a una época dorada de la industria manufacturera en ese país y hoy se puede afirmar que el gas natural no convencional proyecta ese futuro prometedor que para muchos estuvo en duda, por las preocupaciones de distinta índole asociadas al desarrollo de estos recursos.</w:t>
      </w:r>
    </w:p>
    <w:p w14:paraId="1DE89661" w14:textId="77777777" w:rsidR="00914134" w:rsidRPr="00127A88" w:rsidRDefault="00914134" w:rsidP="00914134">
      <w:pPr>
        <w:spacing w:before="240" w:after="240" w:line="276" w:lineRule="auto"/>
        <w:jc w:val="both"/>
        <w:rPr>
          <w:rFonts w:ascii="Arial" w:hAnsi="Arial" w:cs="Arial"/>
          <w:sz w:val="22"/>
          <w:szCs w:val="22"/>
        </w:rPr>
      </w:pPr>
      <w:r w:rsidRPr="00127A88">
        <w:rPr>
          <w:rFonts w:ascii="Arial" w:hAnsi="Arial" w:cs="Arial"/>
          <w:sz w:val="22"/>
          <w:szCs w:val="22"/>
        </w:rPr>
        <w:t>Las ventajas que ofrece el gas natural frente al petróleo, a la energía nuclear y otras energías renovables, están promoviendo procesos de sustitución energética acelerada en todo el mundo pues se trata de un recurso que dispone de aquellas características de los hidrocarburos como posibilidad de almacenamiento, transporte y adaptabilidad para diversos usos mediante diferentes aplicaciones y procesos, pero además arroja a la atmósfera emisiones relativamente menores, tiene bajos precios y elevadas reservas en el mundo, convirtiéndolo en el sustituto ideal de muchas de las fuentes energéticas.</w:t>
      </w:r>
    </w:p>
    <w:p w14:paraId="7EDDC6C6" w14:textId="77777777" w:rsidR="00914134" w:rsidRPr="00127A88" w:rsidRDefault="00914134" w:rsidP="00914134">
      <w:pPr>
        <w:spacing w:before="240" w:after="240" w:line="276" w:lineRule="auto"/>
        <w:jc w:val="both"/>
        <w:rPr>
          <w:rFonts w:ascii="Arial" w:hAnsi="Arial" w:cs="Arial"/>
          <w:sz w:val="22"/>
          <w:szCs w:val="22"/>
        </w:rPr>
      </w:pPr>
      <w:r w:rsidRPr="00127A88">
        <w:rPr>
          <w:rFonts w:ascii="Arial" w:hAnsi="Arial" w:cs="Arial"/>
          <w:sz w:val="22"/>
          <w:szCs w:val="22"/>
        </w:rPr>
        <w:t>Con la experiencia norteamericana se han mejorado las tecnologías para la extracción de los recursos no convencionales, permitiendo así incrementar las reservas de gas y de crudo de manera importante, lo cual viene impactando significativamente en los precios de gas natural en la región, los c</w:t>
      </w:r>
      <w:r>
        <w:rPr>
          <w:rFonts w:ascii="Arial" w:hAnsi="Arial" w:cs="Arial"/>
          <w:sz w:val="22"/>
          <w:szCs w:val="22"/>
        </w:rPr>
        <w:t>uales disminuyeron cerca del 48.</w:t>
      </w:r>
      <w:r w:rsidRPr="00127A88">
        <w:rPr>
          <w:rFonts w:ascii="Arial" w:hAnsi="Arial" w:cs="Arial"/>
          <w:sz w:val="22"/>
          <w:szCs w:val="22"/>
        </w:rPr>
        <w:t>3%, entre 2010 hasta el cierre de 2016. Es importante considerar que el comportamiento del precio del gas estadounidense hacia 2017 presentó una recuperación aproximadamente del 19%. No obstante, no ha logrado alcanzar los USD</w:t>
      </w:r>
      <w:r>
        <w:rPr>
          <w:rFonts w:ascii="Arial" w:hAnsi="Arial" w:cs="Arial"/>
          <w:sz w:val="22"/>
          <w:szCs w:val="22"/>
        </w:rPr>
        <w:t xml:space="preserve"> </w:t>
      </w:r>
      <w:r w:rsidRPr="00127A88">
        <w:rPr>
          <w:rFonts w:ascii="Arial" w:hAnsi="Arial" w:cs="Arial"/>
          <w:sz w:val="22"/>
          <w:szCs w:val="22"/>
        </w:rPr>
        <w:t>4.37</w:t>
      </w:r>
      <w:r>
        <w:rPr>
          <w:rFonts w:ascii="Arial" w:hAnsi="Arial" w:cs="Arial"/>
          <w:sz w:val="22"/>
          <w:szCs w:val="22"/>
        </w:rPr>
        <w:t xml:space="preserve"> por M</w:t>
      </w:r>
      <w:r w:rsidRPr="00E67D05">
        <w:rPr>
          <w:rFonts w:ascii="Arial" w:hAnsi="Arial" w:cs="Arial"/>
          <w:sz w:val="22"/>
          <w:szCs w:val="22"/>
        </w:rPr>
        <w:t>MBTU</w:t>
      </w:r>
      <w:r>
        <w:rPr>
          <w:rFonts w:ascii="Arial" w:hAnsi="Arial" w:cs="Arial"/>
          <w:sz w:val="22"/>
          <w:szCs w:val="22"/>
        </w:rPr>
        <w:t xml:space="preserve"> </w:t>
      </w:r>
      <w:r w:rsidRPr="00127A88">
        <w:rPr>
          <w:rFonts w:ascii="Arial" w:hAnsi="Arial" w:cs="Arial"/>
          <w:sz w:val="22"/>
          <w:szCs w:val="22"/>
        </w:rPr>
        <w:t>obtenidos en el 2014.</w:t>
      </w:r>
    </w:p>
    <w:p w14:paraId="1D1F9B55" w14:textId="77777777" w:rsidR="00914134" w:rsidRPr="00074AE3" w:rsidRDefault="00914134" w:rsidP="00914134">
      <w:pPr>
        <w:pStyle w:val="Ttulo2"/>
      </w:pPr>
      <w:r w:rsidRPr="00074AE3">
        <w:t xml:space="preserve"> </w:t>
      </w:r>
      <w:bookmarkStart w:id="80" w:name="_Toc403636376"/>
      <w:bookmarkStart w:id="81" w:name="_Toc403637342"/>
      <w:bookmarkStart w:id="82" w:name="_Toc403637937"/>
      <w:bookmarkStart w:id="83" w:name="_Toc403638042"/>
      <w:bookmarkStart w:id="84" w:name="_Toc403638286"/>
      <w:bookmarkStart w:id="85" w:name="_Toc499539623"/>
      <w:bookmarkStart w:id="86" w:name="_Toc530045831"/>
      <w:r w:rsidRPr="00074AE3">
        <w:t>Precios internacionales del gas natural</w:t>
      </w:r>
      <w:bookmarkEnd w:id="80"/>
      <w:bookmarkEnd w:id="81"/>
      <w:bookmarkEnd w:id="82"/>
      <w:bookmarkEnd w:id="83"/>
      <w:bookmarkEnd w:id="84"/>
      <w:bookmarkEnd w:id="85"/>
      <w:bookmarkEnd w:id="86"/>
    </w:p>
    <w:p w14:paraId="6096DA07" w14:textId="77777777" w:rsidR="00914134" w:rsidRPr="00127A88" w:rsidRDefault="00914134" w:rsidP="00914134">
      <w:pPr>
        <w:spacing w:before="240" w:after="240" w:line="276" w:lineRule="auto"/>
        <w:jc w:val="both"/>
        <w:rPr>
          <w:rFonts w:ascii="Arial" w:hAnsi="Arial" w:cs="Arial"/>
          <w:sz w:val="22"/>
          <w:szCs w:val="22"/>
        </w:rPr>
      </w:pPr>
      <w:r w:rsidRPr="00127A88">
        <w:rPr>
          <w:rFonts w:ascii="Arial" w:hAnsi="Arial" w:cs="Arial"/>
          <w:sz w:val="22"/>
          <w:szCs w:val="22"/>
        </w:rPr>
        <w:t xml:space="preserve">Mientras el mercado del crudo es esencialmente global, en el caso del gas natural </w:t>
      </w:r>
      <w:r>
        <w:rPr>
          <w:rFonts w:ascii="Arial" w:hAnsi="Arial" w:cs="Arial"/>
          <w:sz w:val="22"/>
          <w:szCs w:val="22"/>
        </w:rPr>
        <w:t>las actividades comerciales</w:t>
      </w:r>
      <w:r w:rsidRPr="00127A88">
        <w:rPr>
          <w:rFonts w:ascii="Arial" w:hAnsi="Arial" w:cs="Arial"/>
          <w:sz w:val="22"/>
          <w:szCs w:val="22"/>
        </w:rPr>
        <w:t xml:space="preserve"> está</w:t>
      </w:r>
      <w:r>
        <w:rPr>
          <w:rFonts w:ascii="Arial" w:hAnsi="Arial" w:cs="Arial"/>
          <w:sz w:val="22"/>
          <w:szCs w:val="22"/>
        </w:rPr>
        <w:t>n</w:t>
      </w:r>
      <w:r w:rsidRPr="00127A88">
        <w:rPr>
          <w:rFonts w:ascii="Arial" w:hAnsi="Arial" w:cs="Arial"/>
          <w:sz w:val="22"/>
          <w:szCs w:val="22"/>
        </w:rPr>
        <w:t xml:space="preserve"> segmentad</w:t>
      </w:r>
      <w:r>
        <w:rPr>
          <w:rFonts w:ascii="Arial" w:hAnsi="Arial" w:cs="Arial"/>
          <w:sz w:val="22"/>
          <w:szCs w:val="22"/>
        </w:rPr>
        <w:t>as</w:t>
      </w:r>
      <w:r w:rsidRPr="00127A88">
        <w:rPr>
          <w:rFonts w:ascii="Arial" w:hAnsi="Arial" w:cs="Arial"/>
          <w:sz w:val="22"/>
          <w:szCs w:val="22"/>
        </w:rPr>
        <w:t xml:space="preserve"> en tres grades mercados: Estados Unidos, Europa y Asia, los cuales tienen diferencias importantes en el caso de los precios, pues presentan brechas significativas en magnitud. Los precios de gas natural en Estados Unidos están basados en la oferta y la demanda local, en tanto que en Asia y Europa están referenciados parcialmente al comportamiento del precio del petróleo y sus derivados, así como al desempeño del mercado internacional.</w:t>
      </w:r>
    </w:p>
    <w:p w14:paraId="163729B1" w14:textId="77777777" w:rsidR="00914134" w:rsidRPr="00127A88" w:rsidRDefault="00914134" w:rsidP="00914134">
      <w:pPr>
        <w:spacing w:before="240" w:after="240" w:line="276" w:lineRule="auto"/>
        <w:jc w:val="both"/>
        <w:rPr>
          <w:rFonts w:ascii="Arial" w:hAnsi="Arial" w:cs="Arial"/>
          <w:sz w:val="22"/>
          <w:szCs w:val="22"/>
        </w:rPr>
      </w:pPr>
      <w:r w:rsidRPr="00127A88">
        <w:rPr>
          <w:rFonts w:ascii="Arial" w:hAnsi="Arial" w:cs="Arial"/>
          <w:sz w:val="22"/>
          <w:szCs w:val="22"/>
        </w:rPr>
        <w:t xml:space="preserve">Como lo presenta la </w:t>
      </w:r>
      <w:r w:rsidRPr="00127A88">
        <w:rPr>
          <w:rFonts w:ascii="Arial" w:hAnsi="Arial" w:cs="Arial"/>
          <w:sz w:val="22"/>
          <w:szCs w:val="22"/>
          <w:highlight w:val="yellow"/>
        </w:rPr>
        <w:fldChar w:fldCharType="begin"/>
      </w:r>
      <w:r w:rsidRPr="00127A88">
        <w:rPr>
          <w:rFonts w:ascii="Arial" w:hAnsi="Arial" w:cs="Arial"/>
          <w:sz w:val="22"/>
          <w:szCs w:val="22"/>
        </w:rPr>
        <w:instrText xml:space="preserve"> REF _Ref528852787 \h </w:instrText>
      </w:r>
      <w:r w:rsidRPr="00127A88">
        <w:rPr>
          <w:rFonts w:ascii="Arial" w:hAnsi="Arial" w:cs="Arial"/>
          <w:sz w:val="22"/>
          <w:szCs w:val="22"/>
          <w:highlight w:val="yellow"/>
        </w:rPr>
        <w:instrText xml:space="preserve"> \* MERGEFORMAT </w:instrText>
      </w:r>
      <w:r w:rsidRPr="00127A88">
        <w:rPr>
          <w:rFonts w:ascii="Arial" w:hAnsi="Arial" w:cs="Arial"/>
          <w:sz w:val="22"/>
          <w:szCs w:val="22"/>
          <w:highlight w:val="yellow"/>
        </w:rPr>
      </w:r>
      <w:r w:rsidRPr="00127A88">
        <w:rPr>
          <w:rFonts w:ascii="Arial" w:hAnsi="Arial" w:cs="Arial"/>
          <w:sz w:val="22"/>
          <w:szCs w:val="22"/>
          <w:highlight w:val="yellow"/>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3</w:t>
      </w:r>
      <w:r w:rsidR="00915705" w:rsidRPr="00915705">
        <w:rPr>
          <w:rFonts w:ascii="Arial" w:hAnsi="Arial" w:cs="Arial"/>
          <w:noProof/>
          <w:sz w:val="22"/>
          <w:szCs w:val="22"/>
          <w:highlight w:val="yellow"/>
        </w:rPr>
        <w:noBreakHyphen/>
        <w:t>1</w:t>
      </w:r>
      <w:r w:rsidRPr="00127A88">
        <w:rPr>
          <w:rFonts w:ascii="Arial" w:hAnsi="Arial" w:cs="Arial"/>
          <w:sz w:val="22"/>
          <w:szCs w:val="22"/>
          <w:highlight w:val="yellow"/>
        </w:rPr>
        <w:fldChar w:fldCharType="end"/>
      </w:r>
      <w:r w:rsidRPr="00127A88">
        <w:rPr>
          <w:rFonts w:ascii="Arial" w:hAnsi="Arial" w:cs="Arial"/>
          <w:sz w:val="22"/>
          <w:szCs w:val="22"/>
        </w:rPr>
        <w:t xml:space="preserve"> los precios del crudo y del gas en los distintos mercados muestran diferencias y se encuentra una correlación entre el crudo y el gas de Japón, debido básicamente a que </w:t>
      </w:r>
      <w:r>
        <w:rPr>
          <w:rFonts w:ascii="Arial" w:hAnsi="Arial" w:cs="Arial"/>
          <w:sz w:val="22"/>
          <w:szCs w:val="22"/>
        </w:rPr>
        <w:t>el precio</w:t>
      </w:r>
      <w:r w:rsidRPr="00127A88">
        <w:rPr>
          <w:rFonts w:ascii="Arial" w:hAnsi="Arial" w:cs="Arial"/>
          <w:sz w:val="22"/>
          <w:szCs w:val="22"/>
        </w:rPr>
        <w:t xml:space="preserve"> de gas natural de este último está referenciado a una cesta de precios del petróleo, por lo demás no se aprecia reciprocidad entre el precio del crudo </w:t>
      </w:r>
      <w:r>
        <w:rPr>
          <w:rFonts w:ascii="Arial" w:hAnsi="Arial" w:cs="Arial"/>
          <w:sz w:val="22"/>
          <w:szCs w:val="22"/>
        </w:rPr>
        <w:t xml:space="preserve">de referencia Brent </w:t>
      </w:r>
      <w:r w:rsidRPr="00127A88">
        <w:rPr>
          <w:rFonts w:ascii="Arial" w:hAnsi="Arial" w:cs="Arial"/>
          <w:sz w:val="22"/>
          <w:szCs w:val="22"/>
        </w:rPr>
        <w:t xml:space="preserve">y el Henry Hub (marcadores en Norte América), desde que se inició la explotación de Shale Gas en Estados Unidos, llegando en 2012 a una diferencia de un poco más de cinco veces a favor del crudo, contrario a lo ocurrido en el pasado donde se presentaba una clara correlación, la cual se mantuvo por décadas. </w:t>
      </w:r>
    </w:p>
    <w:p w14:paraId="5D473B66" w14:textId="77777777" w:rsidR="00914134" w:rsidRDefault="00914134" w:rsidP="00914134">
      <w:pPr>
        <w:spacing w:before="240" w:after="240" w:line="276" w:lineRule="auto"/>
        <w:jc w:val="both"/>
        <w:rPr>
          <w:rFonts w:ascii="Arial" w:hAnsi="Arial" w:cs="Arial"/>
          <w:sz w:val="22"/>
          <w:szCs w:val="22"/>
        </w:rPr>
      </w:pPr>
      <w:r>
        <w:rPr>
          <w:rFonts w:ascii="Arial" w:hAnsi="Arial" w:cs="Arial"/>
          <w:sz w:val="22"/>
          <w:szCs w:val="22"/>
        </w:rPr>
        <w:t>En l</w:t>
      </w:r>
      <w:r w:rsidRPr="00127A88">
        <w:rPr>
          <w:rFonts w:ascii="Arial" w:hAnsi="Arial" w:cs="Arial"/>
          <w:sz w:val="22"/>
          <w:szCs w:val="22"/>
        </w:rPr>
        <w:t xml:space="preserve">a misma grafica </w:t>
      </w:r>
      <w:r>
        <w:rPr>
          <w:rFonts w:ascii="Arial" w:hAnsi="Arial" w:cs="Arial"/>
          <w:sz w:val="22"/>
          <w:szCs w:val="22"/>
        </w:rPr>
        <w:t>se puede observar</w:t>
      </w:r>
      <w:r w:rsidRPr="00127A88">
        <w:rPr>
          <w:rFonts w:ascii="Arial" w:hAnsi="Arial" w:cs="Arial"/>
          <w:sz w:val="22"/>
          <w:szCs w:val="22"/>
        </w:rPr>
        <w:t xml:space="preserve"> que en el corto plazo se </w:t>
      </w:r>
      <w:r>
        <w:rPr>
          <w:rFonts w:ascii="Arial" w:hAnsi="Arial" w:cs="Arial"/>
          <w:sz w:val="22"/>
          <w:szCs w:val="22"/>
        </w:rPr>
        <w:t>presenta</w:t>
      </w:r>
      <w:r w:rsidRPr="00127A88">
        <w:rPr>
          <w:rFonts w:ascii="Arial" w:hAnsi="Arial" w:cs="Arial"/>
          <w:sz w:val="22"/>
          <w:szCs w:val="22"/>
        </w:rPr>
        <w:t xml:space="preserve"> una diferencia entre los precios del crudo y del gas</w:t>
      </w:r>
      <w:r>
        <w:rPr>
          <w:rFonts w:ascii="Arial" w:hAnsi="Arial" w:cs="Arial"/>
          <w:sz w:val="22"/>
          <w:szCs w:val="22"/>
        </w:rPr>
        <w:t xml:space="preserve"> de referencia NBP (marcador europeo). Si bien en la historia se puede </w:t>
      </w:r>
      <w:r>
        <w:rPr>
          <w:rFonts w:ascii="Arial" w:hAnsi="Arial" w:cs="Arial"/>
          <w:sz w:val="22"/>
          <w:szCs w:val="22"/>
        </w:rPr>
        <w:lastRenderedPageBreak/>
        <w:t xml:space="preserve">determinar una alta correlación entre los precios del gas de referencia NBP y el crudo de referencia Brent, se observa que entre los años 2018 y 2024 los precios del gas no reaccionan a los cambios del precio del crudo alcanzando una máxima diferencia en el año 2021 de US$7.6 MMBTU. Sin embargo, a partir del 2025 se recupera dicha correlación. </w:t>
      </w:r>
    </w:p>
    <w:p w14:paraId="10BE9891" w14:textId="389CC783" w:rsidR="00914134" w:rsidRDefault="00914134" w:rsidP="00914134">
      <w:pPr>
        <w:pStyle w:val="Descripcin"/>
        <w:keepNext/>
        <w:spacing w:after="0"/>
        <w:jc w:val="center"/>
        <w:rPr>
          <w:rFonts w:cs="Arial"/>
          <w:i w:val="0"/>
          <w:color w:val="auto"/>
          <w:sz w:val="20"/>
          <w:szCs w:val="20"/>
        </w:rPr>
      </w:pPr>
      <w:bookmarkStart w:id="87" w:name="_Ref528852787"/>
      <w:bookmarkStart w:id="88" w:name="_Toc530033404"/>
      <w:r w:rsidRPr="00127A88">
        <w:rPr>
          <w:rFonts w:cs="Arial"/>
          <w:b/>
          <w:i w:val="0"/>
          <w:color w:val="auto"/>
          <w:sz w:val="20"/>
          <w:szCs w:val="20"/>
          <w:highlight w:val="yellow"/>
        </w:rPr>
        <w:t xml:space="preserve">Gráfica </w:t>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STYLEREF 1 \s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3</w:t>
      </w:r>
      <w:r w:rsidR="00DA50A5">
        <w:rPr>
          <w:rFonts w:cs="Arial"/>
          <w:b/>
          <w:i w:val="0"/>
          <w:color w:val="auto"/>
          <w:sz w:val="20"/>
          <w:szCs w:val="20"/>
          <w:highlight w:val="yellow"/>
        </w:rPr>
        <w:fldChar w:fldCharType="end"/>
      </w:r>
      <w:r w:rsidR="00DA50A5">
        <w:rPr>
          <w:rFonts w:cs="Arial"/>
          <w:b/>
          <w:i w:val="0"/>
          <w:color w:val="auto"/>
          <w:sz w:val="20"/>
          <w:szCs w:val="20"/>
          <w:highlight w:val="yellow"/>
        </w:rPr>
        <w:noBreakHyphen/>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SEQ Gráfica \* ARABIC \s 1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1</w:t>
      </w:r>
      <w:r w:rsidR="00DA50A5">
        <w:rPr>
          <w:rFonts w:cs="Arial"/>
          <w:b/>
          <w:i w:val="0"/>
          <w:color w:val="auto"/>
          <w:sz w:val="20"/>
          <w:szCs w:val="20"/>
          <w:highlight w:val="yellow"/>
        </w:rPr>
        <w:fldChar w:fldCharType="end"/>
      </w:r>
      <w:bookmarkEnd w:id="87"/>
      <w:r w:rsidRPr="00127A88">
        <w:rPr>
          <w:rFonts w:cs="Arial"/>
          <w:b/>
          <w:i w:val="0"/>
          <w:color w:val="auto"/>
          <w:sz w:val="20"/>
          <w:szCs w:val="20"/>
          <w:highlight w:val="yellow"/>
        </w:rPr>
        <w:t xml:space="preserve"> </w:t>
      </w:r>
      <w:r w:rsidRPr="00127A88">
        <w:rPr>
          <w:rFonts w:cs="Arial"/>
          <w:i w:val="0"/>
          <w:color w:val="auto"/>
          <w:sz w:val="20"/>
          <w:szCs w:val="20"/>
        </w:rPr>
        <w:t>Evolución del precio de gas natural y crudo</w:t>
      </w:r>
      <w:bookmarkEnd w:id="88"/>
    </w:p>
    <w:p w14:paraId="7AEFA45A" w14:textId="77777777" w:rsidR="00914134" w:rsidRPr="00456CB7" w:rsidRDefault="00914134" w:rsidP="00914134">
      <w:pPr>
        <w:jc w:val="center"/>
        <w:rPr>
          <w:lang w:val="es-CO" w:eastAsia="es-ES"/>
        </w:rPr>
      </w:pPr>
      <w:r w:rsidRPr="00456CB7">
        <w:rPr>
          <w:noProof/>
          <w:lang w:val="es-ES" w:eastAsia="es-ES"/>
        </w:rPr>
        <w:drawing>
          <wp:inline distT="0" distB="0" distL="0" distR="0" wp14:anchorId="4D0889F3" wp14:editId="5BA11CF9">
            <wp:extent cx="5400675" cy="32385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5680FAF1" w14:textId="3F862BC1" w:rsidR="00914134" w:rsidRPr="005D45DF" w:rsidRDefault="00914134" w:rsidP="00914134">
      <w:pPr>
        <w:jc w:val="center"/>
        <w:rPr>
          <w:rFonts w:cs="Arial"/>
          <w:color w:val="000000" w:themeColor="text1"/>
          <w:sz w:val="16"/>
        </w:rPr>
      </w:pPr>
      <w:r w:rsidRPr="005D45DF">
        <w:rPr>
          <w:rFonts w:ascii="Arial" w:hAnsi="Arial" w:cs="Arial"/>
          <w:b/>
          <w:color w:val="000000" w:themeColor="text1"/>
          <w:sz w:val="16"/>
        </w:rPr>
        <w:t>Fuente:</w:t>
      </w:r>
      <w:r w:rsidR="005D45DF" w:rsidRPr="005D45DF">
        <w:rPr>
          <w:rFonts w:ascii="Arial" w:hAnsi="Arial" w:cs="Arial"/>
          <w:color w:val="000000" w:themeColor="text1"/>
          <w:sz w:val="16"/>
        </w:rPr>
        <w:t xml:space="preserve"> WM </w:t>
      </w:r>
      <w:r w:rsidR="005D45DF" w:rsidRPr="005D45DF">
        <w:rPr>
          <w:rFonts w:ascii="Arial" w:hAnsi="Arial" w:cs="Arial"/>
          <w:color w:val="000000" w:themeColor="text1"/>
          <w:sz w:val="16"/>
        </w:rPr>
        <w:fldChar w:fldCharType="begin"/>
      </w:r>
      <w:r w:rsidR="005D45DF" w:rsidRPr="005D45DF">
        <w:rPr>
          <w:rFonts w:ascii="Arial" w:hAnsi="Arial" w:cs="Arial"/>
          <w:color w:val="000000" w:themeColor="text1"/>
          <w:sz w:val="16"/>
        </w:rPr>
        <w:instrText xml:space="preserve"> REF _Ref529881535 \r \h  \* MERGEFORMAT </w:instrText>
      </w:r>
      <w:r w:rsidR="005D45DF" w:rsidRPr="005D45DF">
        <w:rPr>
          <w:rFonts w:ascii="Arial" w:hAnsi="Arial" w:cs="Arial"/>
          <w:color w:val="000000" w:themeColor="text1"/>
          <w:sz w:val="16"/>
        </w:rPr>
      </w:r>
      <w:r w:rsidR="005D45DF" w:rsidRPr="005D45DF">
        <w:rPr>
          <w:rFonts w:ascii="Arial" w:hAnsi="Arial" w:cs="Arial"/>
          <w:color w:val="000000" w:themeColor="text1"/>
          <w:sz w:val="16"/>
        </w:rPr>
        <w:fldChar w:fldCharType="separate"/>
      </w:r>
      <w:r w:rsidR="00915705">
        <w:rPr>
          <w:rFonts w:ascii="Arial" w:hAnsi="Arial" w:cs="Arial"/>
          <w:color w:val="000000" w:themeColor="text1"/>
          <w:sz w:val="16"/>
        </w:rPr>
        <w:t>[10]</w:t>
      </w:r>
      <w:r w:rsidR="005D45DF" w:rsidRPr="005D45DF">
        <w:rPr>
          <w:rFonts w:ascii="Arial" w:hAnsi="Arial" w:cs="Arial"/>
          <w:color w:val="000000" w:themeColor="text1"/>
          <w:sz w:val="16"/>
        </w:rPr>
        <w:fldChar w:fldCharType="end"/>
      </w:r>
      <w:r w:rsidRPr="005D45DF">
        <w:rPr>
          <w:rFonts w:cs="Arial"/>
          <w:color w:val="000000" w:themeColor="text1"/>
          <w:sz w:val="16"/>
        </w:rPr>
        <w:t>.</w:t>
      </w:r>
    </w:p>
    <w:p w14:paraId="2D27DF45" w14:textId="77777777" w:rsidR="00914134" w:rsidRDefault="00914134" w:rsidP="00914134">
      <w:pPr>
        <w:spacing w:before="240" w:after="240" w:line="276" w:lineRule="auto"/>
        <w:jc w:val="both"/>
        <w:rPr>
          <w:rFonts w:ascii="Arial" w:hAnsi="Arial" w:cs="Arial"/>
          <w:sz w:val="22"/>
          <w:szCs w:val="22"/>
        </w:rPr>
      </w:pPr>
      <w:r w:rsidRPr="00B07188">
        <w:rPr>
          <w:rFonts w:ascii="Arial" w:hAnsi="Arial" w:cs="Arial"/>
          <w:sz w:val="22"/>
          <w:szCs w:val="22"/>
        </w:rPr>
        <w:t>Durante el 2017 el precio del NBP fue de USD$5.8 MMBTU</w:t>
      </w:r>
      <w:r>
        <w:rPr>
          <w:rFonts w:ascii="Arial" w:hAnsi="Arial" w:cs="Arial"/>
          <w:sz w:val="22"/>
          <w:szCs w:val="22"/>
        </w:rPr>
        <w:t xml:space="preserve"> </w:t>
      </w:r>
      <w:r w:rsidRPr="00B07188">
        <w:rPr>
          <w:rFonts w:ascii="Arial" w:hAnsi="Arial" w:cs="Arial"/>
          <w:sz w:val="22"/>
          <w:szCs w:val="22"/>
        </w:rPr>
        <w:t>presentando una caída en el 2018 alcanzando</w:t>
      </w:r>
      <w:r>
        <w:rPr>
          <w:rFonts w:ascii="Arial" w:hAnsi="Arial" w:cs="Arial"/>
          <w:sz w:val="22"/>
          <w:szCs w:val="22"/>
        </w:rPr>
        <w:t xml:space="preserve"> un valor de USD</w:t>
      </w:r>
      <w:r w:rsidRPr="00B07188">
        <w:rPr>
          <w:rFonts w:ascii="Arial" w:hAnsi="Arial" w:cs="Arial"/>
          <w:sz w:val="22"/>
          <w:szCs w:val="22"/>
        </w:rPr>
        <w:t>$4.2 MMBTU en el año 2020.</w:t>
      </w:r>
      <w:r>
        <w:rPr>
          <w:rFonts w:ascii="Arial" w:hAnsi="Arial" w:cs="Arial"/>
          <w:sz w:val="22"/>
          <w:szCs w:val="22"/>
        </w:rPr>
        <w:t xml:space="preserve"> Entre los años 2021 y 2024</w:t>
      </w:r>
      <w:r w:rsidRPr="00B07188">
        <w:rPr>
          <w:rFonts w:ascii="Arial" w:hAnsi="Arial" w:cs="Arial"/>
          <w:sz w:val="22"/>
          <w:szCs w:val="22"/>
        </w:rPr>
        <w:t xml:space="preserve"> se presenta una recuperación importante llegando a los </w:t>
      </w:r>
      <w:r>
        <w:rPr>
          <w:rFonts w:ascii="Arial" w:hAnsi="Arial" w:cs="Arial"/>
          <w:sz w:val="22"/>
          <w:szCs w:val="22"/>
        </w:rPr>
        <w:t>USD$</w:t>
      </w:r>
      <w:r w:rsidRPr="00B07188">
        <w:rPr>
          <w:rFonts w:ascii="Arial" w:hAnsi="Arial" w:cs="Arial"/>
          <w:sz w:val="22"/>
          <w:szCs w:val="22"/>
        </w:rPr>
        <w:t>7.7</w:t>
      </w:r>
      <w:r>
        <w:rPr>
          <w:rFonts w:ascii="Arial" w:hAnsi="Arial" w:cs="Arial"/>
          <w:sz w:val="22"/>
          <w:szCs w:val="22"/>
        </w:rPr>
        <w:t xml:space="preserve"> </w:t>
      </w:r>
      <w:r w:rsidRPr="00B07188">
        <w:rPr>
          <w:rFonts w:ascii="Arial" w:hAnsi="Arial" w:cs="Arial"/>
          <w:sz w:val="22"/>
          <w:szCs w:val="22"/>
        </w:rPr>
        <w:t xml:space="preserve">MMBTU con una tasa </w:t>
      </w:r>
      <w:r>
        <w:rPr>
          <w:rFonts w:ascii="Arial" w:hAnsi="Arial" w:cs="Arial"/>
          <w:sz w:val="22"/>
          <w:szCs w:val="22"/>
        </w:rPr>
        <w:t xml:space="preserve">promedio </w:t>
      </w:r>
      <w:r w:rsidRPr="00B07188">
        <w:rPr>
          <w:rFonts w:ascii="Arial" w:hAnsi="Arial" w:cs="Arial"/>
          <w:sz w:val="22"/>
          <w:szCs w:val="22"/>
        </w:rPr>
        <w:t>de crecimiento de</w:t>
      </w:r>
      <w:r>
        <w:rPr>
          <w:rFonts w:ascii="Arial" w:hAnsi="Arial" w:cs="Arial"/>
          <w:sz w:val="22"/>
          <w:szCs w:val="22"/>
        </w:rPr>
        <w:t>l</w:t>
      </w:r>
      <w:r w:rsidRPr="00B07188">
        <w:rPr>
          <w:rFonts w:ascii="Arial" w:hAnsi="Arial" w:cs="Arial"/>
          <w:sz w:val="22"/>
          <w:szCs w:val="22"/>
        </w:rPr>
        <w:t xml:space="preserve"> 17%</w:t>
      </w:r>
      <w:r>
        <w:rPr>
          <w:rFonts w:ascii="Arial" w:hAnsi="Arial" w:cs="Arial"/>
          <w:sz w:val="22"/>
          <w:szCs w:val="22"/>
        </w:rPr>
        <w:t xml:space="preserve"> durante este periodo. A partir del año 2024 y hasta el 2035 se proyecta un crecimiento promedio de 3.5% alcanzado un valor máximo de USD$9.8 </w:t>
      </w:r>
      <w:r w:rsidRPr="00B07188">
        <w:rPr>
          <w:rFonts w:ascii="Arial" w:hAnsi="Arial" w:cs="Arial"/>
          <w:sz w:val="22"/>
          <w:szCs w:val="22"/>
        </w:rPr>
        <w:t>MMBTU</w:t>
      </w:r>
      <w:r>
        <w:rPr>
          <w:rFonts w:ascii="Arial" w:hAnsi="Arial" w:cs="Arial"/>
          <w:sz w:val="22"/>
          <w:szCs w:val="22"/>
        </w:rPr>
        <w:t xml:space="preserve">. </w:t>
      </w:r>
    </w:p>
    <w:p w14:paraId="27AD4877" w14:textId="77777777" w:rsidR="00914134" w:rsidRDefault="00914134" w:rsidP="00914134">
      <w:pPr>
        <w:spacing w:before="240" w:after="240" w:line="276" w:lineRule="auto"/>
        <w:jc w:val="both"/>
        <w:rPr>
          <w:rFonts w:ascii="Arial" w:hAnsi="Arial" w:cs="Arial"/>
          <w:sz w:val="22"/>
          <w:szCs w:val="22"/>
        </w:rPr>
      </w:pPr>
      <w:r>
        <w:rPr>
          <w:rFonts w:ascii="Arial" w:hAnsi="Arial" w:cs="Arial"/>
          <w:sz w:val="22"/>
          <w:szCs w:val="22"/>
        </w:rPr>
        <w:t>Según Wood Mackenzie los precios para Europa y globales de GNL se mantienen durante el 2018 para posteriormente presentar una caída reflejando la oferta presentada por Estados Unidos particularmente durante los meses de verano. Para los años 2020 y 2024 se espera una demanda más alta en Asia y una oferta baja en Australia lo cual significaría que este mercado podrá absorber el exceso de demanda de gas el cual se mencionó anteriormente afectando el balance del mercado lo cual repercute directamente en los precios europeos.</w:t>
      </w:r>
    </w:p>
    <w:p w14:paraId="3DC1C5D6" w14:textId="77777777" w:rsidR="00914134" w:rsidRDefault="00914134" w:rsidP="00914134">
      <w:pPr>
        <w:spacing w:before="240" w:after="240" w:line="276" w:lineRule="auto"/>
        <w:jc w:val="both"/>
        <w:rPr>
          <w:rFonts w:ascii="Arial" w:hAnsi="Arial" w:cs="Arial"/>
          <w:sz w:val="22"/>
          <w:szCs w:val="22"/>
        </w:rPr>
      </w:pPr>
      <w:r w:rsidRPr="001F0815">
        <w:rPr>
          <w:rFonts w:ascii="Arial" w:hAnsi="Arial" w:cs="Arial"/>
          <w:sz w:val="22"/>
          <w:szCs w:val="22"/>
        </w:rPr>
        <w:t xml:space="preserve">Igualmente, </w:t>
      </w:r>
      <w:r w:rsidRPr="00485FC3">
        <w:rPr>
          <w:rFonts w:ascii="Arial" w:hAnsi="Arial" w:cs="Arial"/>
          <w:sz w:val="22"/>
          <w:szCs w:val="22"/>
          <w:highlight w:val="yellow"/>
        </w:rPr>
        <w:t xml:space="preserve">la </w:t>
      </w:r>
      <w:r w:rsidRPr="00485FC3">
        <w:rPr>
          <w:rFonts w:ascii="Arial" w:hAnsi="Arial" w:cs="Arial"/>
          <w:sz w:val="22"/>
          <w:szCs w:val="22"/>
          <w:highlight w:val="yellow"/>
        </w:rPr>
        <w:fldChar w:fldCharType="begin"/>
      </w:r>
      <w:r w:rsidRPr="00485FC3">
        <w:rPr>
          <w:rFonts w:ascii="Arial" w:hAnsi="Arial" w:cs="Arial"/>
          <w:sz w:val="22"/>
          <w:szCs w:val="22"/>
          <w:highlight w:val="yellow"/>
        </w:rPr>
        <w:instrText xml:space="preserve"> REF _Ref528852787 \h  \* MERGEFORMAT </w:instrText>
      </w:r>
      <w:r w:rsidRPr="00485FC3">
        <w:rPr>
          <w:rFonts w:ascii="Arial" w:hAnsi="Arial" w:cs="Arial"/>
          <w:sz w:val="22"/>
          <w:szCs w:val="22"/>
          <w:highlight w:val="yellow"/>
        </w:rPr>
      </w:r>
      <w:r w:rsidRPr="00485FC3">
        <w:rPr>
          <w:rFonts w:ascii="Arial" w:hAnsi="Arial" w:cs="Arial"/>
          <w:sz w:val="22"/>
          <w:szCs w:val="22"/>
          <w:highlight w:val="yellow"/>
        </w:rPr>
        <w:fldChar w:fldCharType="separate"/>
      </w:r>
      <w:r w:rsidR="00915705" w:rsidRPr="00915705">
        <w:rPr>
          <w:rFonts w:ascii="Arial" w:hAnsi="Arial" w:cs="Arial"/>
          <w:sz w:val="22"/>
          <w:szCs w:val="22"/>
          <w:highlight w:val="yellow"/>
        </w:rPr>
        <w:t>Gráfica 3</w:t>
      </w:r>
      <w:r w:rsidR="00915705" w:rsidRPr="00915705">
        <w:rPr>
          <w:rFonts w:ascii="Arial" w:hAnsi="Arial" w:cs="Arial"/>
          <w:sz w:val="22"/>
          <w:szCs w:val="22"/>
          <w:highlight w:val="yellow"/>
        </w:rPr>
        <w:noBreakHyphen/>
        <w:t>1</w:t>
      </w:r>
      <w:r w:rsidRPr="00485FC3">
        <w:rPr>
          <w:rFonts w:ascii="Arial" w:hAnsi="Arial" w:cs="Arial"/>
          <w:sz w:val="22"/>
          <w:szCs w:val="22"/>
          <w:highlight w:val="yellow"/>
        </w:rPr>
        <w:fldChar w:fldCharType="end"/>
      </w:r>
      <w:r w:rsidRPr="001F0815">
        <w:rPr>
          <w:rFonts w:ascii="Arial" w:hAnsi="Arial" w:cs="Arial"/>
          <w:sz w:val="22"/>
          <w:szCs w:val="22"/>
        </w:rPr>
        <w:t xml:space="preserve"> además de presentar el NBP en Europa, muestra una comparación de este con los demás índices internacionales del gas, como lo son el Henry Hub</w:t>
      </w:r>
      <w:r>
        <w:rPr>
          <w:rFonts w:ascii="Arial" w:hAnsi="Arial" w:cs="Arial"/>
          <w:sz w:val="22"/>
          <w:szCs w:val="22"/>
        </w:rPr>
        <w:t xml:space="preserve"> de Estados Unidos</w:t>
      </w:r>
      <w:r w:rsidRPr="001F0815">
        <w:rPr>
          <w:rFonts w:ascii="Arial" w:hAnsi="Arial" w:cs="Arial"/>
          <w:sz w:val="22"/>
          <w:szCs w:val="22"/>
        </w:rPr>
        <w:t xml:space="preserve">  y del JKM en Japón</w:t>
      </w:r>
      <w:r>
        <w:rPr>
          <w:rFonts w:ascii="Arial" w:hAnsi="Arial" w:cs="Arial"/>
          <w:sz w:val="22"/>
          <w:szCs w:val="22"/>
        </w:rPr>
        <w:t xml:space="preserve">. </w:t>
      </w:r>
      <w:r w:rsidRPr="00086116">
        <w:rPr>
          <w:rFonts w:ascii="Arial" w:hAnsi="Arial" w:cs="Arial"/>
          <w:sz w:val="22"/>
          <w:szCs w:val="22"/>
        </w:rPr>
        <w:t>Para</w:t>
      </w:r>
      <w:r>
        <w:rPr>
          <w:rFonts w:ascii="Arial" w:hAnsi="Arial" w:cs="Arial"/>
          <w:sz w:val="22"/>
          <w:szCs w:val="22"/>
        </w:rPr>
        <w:t xml:space="preserve"> </w:t>
      </w:r>
      <w:r w:rsidRPr="00F447B6">
        <w:rPr>
          <w:rFonts w:ascii="Arial" w:hAnsi="Arial" w:cs="Arial"/>
          <w:sz w:val="22"/>
          <w:szCs w:val="22"/>
        </w:rPr>
        <w:t>el caso de Japón y Corea, en la gráfica podemos observar el comportamiento del marcador J</w:t>
      </w:r>
      <w:r>
        <w:rPr>
          <w:rFonts w:ascii="Arial" w:hAnsi="Arial" w:cs="Arial"/>
          <w:sz w:val="22"/>
          <w:szCs w:val="22"/>
        </w:rPr>
        <w:t>KM presentó un valor máximo de USD$</w:t>
      </w:r>
      <w:r w:rsidRPr="001239C4">
        <w:rPr>
          <w:rFonts w:ascii="Arial" w:hAnsi="Arial" w:cs="Arial"/>
          <w:sz w:val="22"/>
          <w:szCs w:val="22"/>
        </w:rPr>
        <w:t>17.0 /MMBTU en 2013 y un valor mínimo de USD$5.4 /MMBTU en 2020</w:t>
      </w:r>
      <w:r>
        <w:rPr>
          <w:rFonts w:ascii="Arial" w:hAnsi="Arial" w:cs="Arial"/>
          <w:sz w:val="22"/>
          <w:szCs w:val="22"/>
        </w:rPr>
        <w:t xml:space="preserve"> </w:t>
      </w:r>
      <w:r w:rsidRPr="000552BD">
        <w:rPr>
          <w:rFonts w:ascii="Arial" w:hAnsi="Arial" w:cs="Arial"/>
          <w:sz w:val="22"/>
          <w:szCs w:val="22"/>
        </w:rPr>
        <w:t xml:space="preserve">mostrando así una reducción importante entre </w:t>
      </w:r>
      <w:r>
        <w:rPr>
          <w:rFonts w:ascii="Arial" w:hAnsi="Arial" w:cs="Arial"/>
          <w:sz w:val="22"/>
          <w:szCs w:val="22"/>
        </w:rPr>
        <w:t xml:space="preserve">estos </w:t>
      </w:r>
      <w:r w:rsidRPr="000552BD">
        <w:rPr>
          <w:rFonts w:ascii="Arial" w:hAnsi="Arial" w:cs="Arial"/>
          <w:sz w:val="22"/>
          <w:szCs w:val="22"/>
        </w:rPr>
        <w:t>años. Hacia</w:t>
      </w:r>
      <w:r>
        <w:rPr>
          <w:rFonts w:ascii="Arial" w:hAnsi="Arial" w:cs="Arial"/>
          <w:sz w:val="22"/>
          <w:szCs w:val="22"/>
        </w:rPr>
        <w:t xml:space="preserve"> el 2017 el precio</w:t>
      </w:r>
      <w:r w:rsidRPr="001239C4">
        <w:rPr>
          <w:rFonts w:ascii="Arial" w:hAnsi="Arial" w:cs="Arial"/>
          <w:sz w:val="22"/>
          <w:szCs w:val="22"/>
        </w:rPr>
        <w:t xml:space="preserve"> fue de </w:t>
      </w:r>
      <w:r>
        <w:rPr>
          <w:rFonts w:ascii="Arial" w:hAnsi="Arial" w:cs="Arial"/>
          <w:sz w:val="22"/>
          <w:szCs w:val="22"/>
        </w:rPr>
        <w:t>USD$</w:t>
      </w:r>
      <w:r w:rsidRPr="001239C4">
        <w:rPr>
          <w:rFonts w:ascii="Arial" w:hAnsi="Arial" w:cs="Arial"/>
          <w:sz w:val="22"/>
          <w:szCs w:val="22"/>
        </w:rPr>
        <w:t>7.5 /M</w:t>
      </w:r>
      <w:r>
        <w:rPr>
          <w:rFonts w:ascii="Arial" w:hAnsi="Arial" w:cs="Arial"/>
          <w:sz w:val="22"/>
          <w:szCs w:val="22"/>
        </w:rPr>
        <w:t>M</w:t>
      </w:r>
      <w:r w:rsidRPr="001239C4">
        <w:rPr>
          <w:rFonts w:ascii="Arial" w:hAnsi="Arial" w:cs="Arial"/>
          <w:sz w:val="22"/>
          <w:szCs w:val="22"/>
        </w:rPr>
        <w:t>BTU y se espera que para el año 2035 alcance un precio USD$11.1 /M</w:t>
      </w:r>
      <w:r>
        <w:rPr>
          <w:rFonts w:ascii="Arial" w:hAnsi="Arial" w:cs="Arial"/>
          <w:sz w:val="22"/>
          <w:szCs w:val="22"/>
        </w:rPr>
        <w:t>M</w:t>
      </w:r>
      <w:r w:rsidRPr="001239C4">
        <w:rPr>
          <w:rFonts w:ascii="Arial" w:hAnsi="Arial" w:cs="Arial"/>
          <w:sz w:val="22"/>
          <w:szCs w:val="22"/>
        </w:rPr>
        <w:t>BTU</w:t>
      </w:r>
      <w:r>
        <w:rPr>
          <w:rFonts w:ascii="Arial" w:hAnsi="Arial" w:cs="Arial"/>
          <w:sz w:val="22"/>
          <w:szCs w:val="22"/>
        </w:rPr>
        <w:t>.</w:t>
      </w:r>
    </w:p>
    <w:p w14:paraId="4DCF7CF5" w14:textId="50975722" w:rsidR="00914134" w:rsidRDefault="00914134" w:rsidP="00914134">
      <w:pPr>
        <w:spacing w:before="240" w:after="240" w:line="276" w:lineRule="auto"/>
        <w:jc w:val="both"/>
        <w:rPr>
          <w:rFonts w:ascii="Arial" w:hAnsi="Arial" w:cs="Arial"/>
          <w:sz w:val="22"/>
          <w:szCs w:val="22"/>
        </w:rPr>
      </w:pPr>
      <w:r>
        <w:rPr>
          <w:rFonts w:ascii="Arial" w:hAnsi="Arial" w:cs="Arial"/>
          <w:sz w:val="22"/>
          <w:szCs w:val="22"/>
        </w:rPr>
        <w:lastRenderedPageBreak/>
        <w:t>Según Wood Mackenzie, el pronóstico para la demanda de gas en Japón continúa en declive debido a la dinámica del mercado nuclear en esta zona. Sin embargo, las nuevas políticas a imp</w:t>
      </w:r>
      <w:r w:rsidR="002D0DF7">
        <w:rPr>
          <w:rFonts w:ascii="Arial" w:hAnsi="Arial" w:cs="Arial"/>
          <w:sz w:val="22"/>
          <w:szCs w:val="22"/>
        </w:rPr>
        <w:t>lementar en el largo plazo, en C</w:t>
      </w:r>
      <w:r>
        <w:rPr>
          <w:rFonts w:ascii="Arial" w:hAnsi="Arial" w:cs="Arial"/>
          <w:sz w:val="22"/>
          <w:szCs w:val="22"/>
        </w:rPr>
        <w:t>orea del Sur, manifiestan su oposición a la utilización del carbón y de fuentes nucleares para la generación de energía. Lo anterior impacta en la demanda de gas a largo plazo y en consecuencia en su precio.</w:t>
      </w:r>
    </w:p>
    <w:p w14:paraId="2BF99128" w14:textId="77777777" w:rsidR="00914134" w:rsidRPr="00DA5579" w:rsidRDefault="00914134" w:rsidP="00914134">
      <w:pPr>
        <w:spacing w:before="240" w:after="240" w:line="276" w:lineRule="auto"/>
        <w:jc w:val="both"/>
        <w:rPr>
          <w:rFonts w:ascii="Arial" w:hAnsi="Arial" w:cs="Arial"/>
          <w:sz w:val="22"/>
          <w:szCs w:val="22"/>
        </w:rPr>
      </w:pPr>
      <w:r w:rsidRPr="00DA5579">
        <w:rPr>
          <w:rFonts w:ascii="Arial" w:hAnsi="Arial" w:cs="Arial"/>
          <w:sz w:val="22"/>
          <w:szCs w:val="22"/>
        </w:rPr>
        <w:t xml:space="preserve">La tendencia de precios observada últimamente entre NBP y JKM, pareciera indicar cierta convergencia, sin que ello signifique que se equiparen, modificando de esta manera el comportamiento alcanzado en los últimos años, es decir, que la segmentación que hoy tienen los mercados de gas se disminuirá paulatinamente gracias a dos eventos: el primero relacionado con el aumento de la producción de shale gas principalmente en Estados Unidos, generando mayores exportaciones y, por otro lado, la expansión del GNL que gracias a su portabilidad como mecanismo de exportación ha venido reduciendo poco a poco la dependencia que tiene el mercado mundial de los sistemas de gasoductos para transporte. </w:t>
      </w:r>
    </w:p>
    <w:p w14:paraId="20427051" w14:textId="77777777" w:rsidR="00914134" w:rsidRDefault="00914134" w:rsidP="00914134">
      <w:pPr>
        <w:spacing w:before="240" w:after="240" w:line="276" w:lineRule="auto"/>
        <w:jc w:val="both"/>
        <w:rPr>
          <w:rFonts w:ascii="Arial" w:hAnsi="Arial" w:cs="Arial"/>
          <w:sz w:val="22"/>
          <w:szCs w:val="22"/>
        </w:rPr>
      </w:pPr>
      <w:r w:rsidRPr="000F5646">
        <w:rPr>
          <w:rFonts w:ascii="Arial" w:hAnsi="Arial" w:cs="Arial"/>
          <w:sz w:val="22"/>
          <w:szCs w:val="22"/>
        </w:rPr>
        <w:t>Ahora bien, Henry Hub</w:t>
      </w:r>
      <w:r>
        <w:rPr>
          <w:rFonts w:ascii="Arial" w:hAnsi="Arial" w:cs="Arial"/>
          <w:sz w:val="22"/>
          <w:szCs w:val="22"/>
        </w:rPr>
        <w:t xml:space="preserve"> (HH)</w:t>
      </w:r>
      <w:r w:rsidRPr="000F5646">
        <w:rPr>
          <w:rFonts w:ascii="Arial" w:hAnsi="Arial" w:cs="Arial"/>
          <w:sz w:val="22"/>
          <w:szCs w:val="22"/>
        </w:rPr>
        <w:t xml:space="preserve"> es el índice de gas más económico de los presentados en la </w:t>
      </w:r>
      <w:r w:rsidRPr="00A27405">
        <w:rPr>
          <w:rFonts w:ascii="Arial" w:hAnsi="Arial" w:cs="Arial"/>
          <w:sz w:val="22"/>
          <w:szCs w:val="22"/>
          <w:highlight w:val="yellow"/>
        </w:rPr>
        <w:fldChar w:fldCharType="begin"/>
      </w:r>
      <w:r w:rsidRPr="00A27405">
        <w:rPr>
          <w:rFonts w:ascii="Arial" w:hAnsi="Arial" w:cs="Arial"/>
          <w:sz w:val="22"/>
          <w:szCs w:val="22"/>
          <w:highlight w:val="yellow"/>
        </w:rPr>
        <w:instrText xml:space="preserve"> REF _Ref528852787 \h  \* MERGEFORMAT </w:instrText>
      </w:r>
      <w:r w:rsidRPr="00A27405">
        <w:rPr>
          <w:rFonts w:ascii="Arial" w:hAnsi="Arial" w:cs="Arial"/>
          <w:sz w:val="22"/>
          <w:szCs w:val="22"/>
          <w:highlight w:val="yellow"/>
        </w:rPr>
      </w:r>
      <w:r w:rsidRPr="00A27405">
        <w:rPr>
          <w:rFonts w:ascii="Arial" w:hAnsi="Arial" w:cs="Arial"/>
          <w:sz w:val="22"/>
          <w:szCs w:val="22"/>
          <w:highlight w:val="yellow"/>
        </w:rPr>
        <w:fldChar w:fldCharType="separate"/>
      </w:r>
      <w:r w:rsidR="00915705" w:rsidRPr="00A27405">
        <w:rPr>
          <w:rFonts w:ascii="Arial" w:hAnsi="Arial" w:cs="Arial"/>
          <w:sz w:val="22"/>
          <w:szCs w:val="22"/>
          <w:highlight w:val="yellow"/>
        </w:rPr>
        <w:t>Gráfica 3</w:t>
      </w:r>
      <w:r w:rsidR="00915705" w:rsidRPr="00A27405">
        <w:rPr>
          <w:rFonts w:ascii="Arial" w:hAnsi="Arial" w:cs="Arial"/>
          <w:sz w:val="22"/>
          <w:szCs w:val="22"/>
          <w:highlight w:val="yellow"/>
        </w:rPr>
        <w:noBreakHyphen/>
        <w:t>1</w:t>
      </w:r>
      <w:r w:rsidRPr="00A27405">
        <w:rPr>
          <w:rFonts w:ascii="Arial" w:hAnsi="Arial" w:cs="Arial"/>
          <w:sz w:val="22"/>
          <w:szCs w:val="22"/>
          <w:highlight w:val="yellow"/>
        </w:rPr>
        <w:fldChar w:fldCharType="end"/>
      </w:r>
      <w:r w:rsidRPr="000F5646">
        <w:rPr>
          <w:rFonts w:ascii="Arial" w:hAnsi="Arial" w:cs="Arial"/>
          <w:sz w:val="22"/>
          <w:szCs w:val="22"/>
        </w:rPr>
        <w:t>, toda vez que este precio hace referencia a precio en boca de pozo y no incluye los precios de licuefacción, transporte marítimo y regasificación.</w:t>
      </w:r>
      <w:r>
        <w:rPr>
          <w:rFonts w:ascii="Arial" w:hAnsi="Arial" w:cs="Arial"/>
          <w:sz w:val="22"/>
          <w:szCs w:val="22"/>
        </w:rPr>
        <w:t xml:space="preserve"> El precio del HH presentó una </w:t>
      </w:r>
      <w:r w:rsidRPr="000F5646">
        <w:rPr>
          <w:rFonts w:ascii="Arial" w:hAnsi="Arial" w:cs="Arial"/>
          <w:sz w:val="22"/>
          <w:szCs w:val="22"/>
        </w:rPr>
        <w:t xml:space="preserve">fluctuación comparativamente limitada  con un precio  mínimo de USD$2.56 MMBTU en Febrero y un precio  máximo de USD$3.42 </w:t>
      </w:r>
      <w:r w:rsidRPr="007168B7">
        <w:rPr>
          <w:rFonts w:ascii="Arial" w:hAnsi="Arial" w:cs="Arial"/>
          <w:sz w:val="22"/>
          <w:szCs w:val="22"/>
        </w:rPr>
        <w:t>MMBTU</w:t>
      </w:r>
      <w:r w:rsidRPr="000F5646">
        <w:rPr>
          <w:rFonts w:ascii="Arial" w:hAnsi="Arial" w:cs="Arial"/>
          <w:sz w:val="22"/>
          <w:szCs w:val="22"/>
        </w:rPr>
        <w:t xml:space="preserve"> en mayo, siendo esta una oscilación atípica con respecto a la variación histórica reportada. En comparación con el primer semestre de 2016 el precio del Henry Hub presentó una tendencia al incremento presentando así un aumento del 15% en este periodo de tiempo. El valor promedio al finalizar el mes de diciembre de 2017 se situó en los USD$ 3.0 /MBTU. Este comportamiento en los precios está directamente relacionado con el desarrollo del Shale gas, el aumento en precios de equipos de perforación y la mejora en actividad petrolífera por el fortalecimiento en los precios de petróleo.</w:t>
      </w:r>
    </w:p>
    <w:p w14:paraId="181D2C31" w14:textId="41F70625" w:rsidR="00914134" w:rsidRPr="00A54DE1" w:rsidRDefault="00914134" w:rsidP="007168B7">
      <w:pPr>
        <w:pStyle w:val="Ttulo2"/>
      </w:pPr>
      <w:bookmarkStart w:id="89" w:name="_Toc403636379"/>
      <w:bookmarkStart w:id="90" w:name="_Toc403637345"/>
      <w:bookmarkStart w:id="91" w:name="_Toc403637940"/>
      <w:bookmarkStart w:id="92" w:name="_Toc403638045"/>
      <w:bookmarkStart w:id="93" w:name="_Toc403638289"/>
      <w:bookmarkStart w:id="94" w:name="_Toc530045832"/>
      <w:r w:rsidRPr="00A54DE1">
        <w:t>Oferta mundial de gas natural licuado</w:t>
      </w:r>
      <w:bookmarkEnd w:id="89"/>
      <w:bookmarkEnd w:id="90"/>
      <w:bookmarkEnd w:id="91"/>
      <w:bookmarkEnd w:id="92"/>
      <w:bookmarkEnd w:id="93"/>
      <w:bookmarkEnd w:id="94"/>
    </w:p>
    <w:p w14:paraId="3235057B" w14:textId="7B4A129E" w:rsidR="00914134" w:rsidRPr="00AF2573" w:rsidRDefault="00914134" w:rsidP="00914134">
      <w:pPr>
        <w:spacing w:before="240" w:after="240" w:line="276" w:lineRule="auto"/>
        <w:jc w:val="both"/>
        <w:rPr>
          <w:rFonts w:ascii="Arial" w:hAnsi="Arial" w:cs="Arial"/>
          <w:sz w:val="22"/>
          <w:szCs w:val="22"/>
        </w:rPr>
      </w:pPr>
      <w:r w:rsidRPr="00AF2573">
        <w:rPr>
          <w:rFonts w:ascii="Arial" w:hAnsi="Arial" w:cs="Arial"/>
          <w:sz w:val="22"/>
          <w:szCs w:val="22"/>
        </w:rPr>
        <w:t>Las transacciones en el mercado de GNL son generalmente contratos a largo plazo con la modalidad Take or Pay</w:t>
      </w:r>
      <w:r w:rsidRPr="00AF2573">
        <w:rPr>
          <w:rFonts w:ascii="Arial" w:hAnsi="Arial" w:cs="Arial"/>
          <w:sz w:val="22"/>
          <w:szCs w:val="22"/>
          <w:vertAlign w:val="superscript"/>
        </w:rPr>
        <w:footnoteReference w:id="3"/>
      </w:r>
      <w:r w:rsidRPr="00AF2573">
        <w:rPr>
          <w:rFonts w:ascii="Arial" w:hAnsi="Arial" w:cs="Arial"/>
          <w:sz w:val="22"/>
          <w:szCs w:val="22"/>
        </w:rPr>
        <w:t>, lo que representa para compradores la toma de una mínima cantidad de volumen o deben pagar una multa por bajo consumo y, como se mencionó anteriormente, no disponen de precios basados en la oferta y la demanda, por lo</w:t>
      </w:r>
      <w:r w:rsidR="007168B7">
        <w:rPr>
          <w:rFonts w:ascii="Arial" w:hAnsi="Arial" w:cs="Arial"/>
          <w:sz w:val="22"/>
          <w:szCs w:val="22"/>
        </w:rPr>
        <w:t xml:space="preserve"> que utilizan distintos índice internacionales.</w:t>
      </w:r>
    </w:p>
    <w:p w14:paraId="37200392" w14:textId="16407731" w:rsidR="00914134" w:rsidRPr="00AF2573" w:rsidRDefault="007168B7" w:rsidP="00914134">
      <w:pPr>
        <w:spacing w:before="240" w:after="240" w:line="276" w:lineRule="auto"/>
        <w:jc w:val="both"/>
        <w:rPr>
          <w:rFonts w:ascii="Arial" w:hAnsi="Arial" w:cs="Arial"/>
          <w:sz w:val="22"/>
          <w:szCs w:val="22"/>
        </w:rPr>
      </w:pPr>
      <w:r w:rsidRPr="00475018">
        <w:rPr>
          <w:rFonts w:ascii="Arial" w:hAnsi="Arial" w:cs="Arial"/>
          <w:sz w:val="22"/>
          <w:szCs w:val="22"/>
        </w:rPr>
        <w:t>H</w:t>
      </w:r>
      <w:r w:rsidR="00914134" w:rsidRPr="00475018">
        <w:rPr>
          <w:rFonts w:ascii="Arial" w:hAnsi="Arial" w:cs="Arial"/>
          <w:sz w:val="22"/>
          <w:szCs w:val="22"/>
        </w:rPr>
        <w:t xml:space="preserve">oy en día el mundo tiene una capacidad de producción que históricamente no ha sido demandada, pues tan solo el </w:t>
      </w:r>
      <w:r w:rsidR="00475018" w:rsidRPr="00475018">
        <w:rPr>
          <w:rFonts w:ascii="Arial" w:hAnsi="Arial" w:cs="Arial"/>
          <w:sz w:val="22"/>
          <w:szCs w:val="22"/>
        </w:rPr>
        <w:t>83</w:t>
      </w:r>
      <w:r w:rsidR="00914134" w:rsidRPr="00475018">
        <w:rPr>
          <w:rFonts w:ascii="Arial" w:hAnsi="Arial" w:cs="Arial"/>
          <w:sz w:val="22"/>
          <w:szCs w:val="22"/>
        </w:rPr>
        <w:t>% de la oferta ha sido requerida por los países importadores, razón por la cual se cuenta con un volumen nominal sobrante</w:t>
      </w:r>
      <w:r w:rsidR="00475018">
        <w:rPr>
          <w:rFonts w:ascii="Arial" w:hAnsi="Arial" w:cs="Arial"/>
          <w:sz w:val="22"/>
          <w:szCs w:val="22"/>
        </w:rPr>
        <w:t xml:space="preserve"> del 17% a diciembre de 2017 lo cual equivale a 135 Mm</w:t>
      </w:r>
      <w:r w:rsidR="00475018" w:rsidRPr="00A27405">
        <w:rPr>
          <w:rFonts w:ascii="Arial" w:hAnsi="Arial" w:cs="Arial"/>
          <w:sz w:val="22"/>
          <w:szCs w:val="22"/>
          <w:vertAlign w:val="superscript"/>
        </w:rPr>
        <w:t>3</w:t>
      </w:r>
      <w:r w:rsidR="00475018">
        <w:rPr>
          <w:rFonts w:ascii="Arial" w:hAnsi="Arial" w:cs="Arial"/>
          <w:sz w:val="22"/>
          <w:szCs w:val="22"/>
        </w:rPr>
        <w:t xml:space="preserve"> GNL</w:t>
      </w:r>
      <w:r w:rsidR="00914134" w:rsidRPr="00475018">
        <w:rPr>
          <w:rFonts w:ascii="Arial" w:hAnsi="Arial" w:cs="Arial"/>
          <w:sz w:val="22"/>
          <w:szCs w:val="22"/>
        </w:rPr>
        <w:t>. Las</w:t>
      </w:r>
      <w:r w:rsidR="00914134" w:rsidRPr="00AF2573">
        <w:rPr>
          <w:rFonts w:ascii="Arial" w:hAnsi="Arial" w:cs="Arial"/>
          <w:sz w:val="22"/>
          <w:szCs w:val="22"/>
        </w:rPr>
        <w:t xml:space="preserve"> plantas de licuefacción a nivel mundial que exportan gas natural licuado, y las potenciales a entrar en funcionamiento en los próximos años, se muestran a continuación en la </w:t>
      </w:r>
      <w:r w:rsidR="00914134" w:rsidRPr="00485FC3">
        <w:rPr>
          <w:rFonts w:ascii="Arial" w:hAnsi="Arial" w:cs="Arial"/>
          <w:sz w:val="22"/>
          <w:szCs w:val="22"/>
          <w:highlight w:val="yellow"/>
        </w:rPr>
        <w:fldChar w:fldCharType="begin"/>
      </w:r>
      <w:r w:rsidR="00914134" w:rsidRPr="00485FC3">
        <w:rPr>
          <w:rFonts w:ascii="Arial" w:hAnsi="Arial" w:cs="Arial"/>
          <w:sz w:val="22"/>
          <w:szCs w:val="22"/>
          <w:highlight w:val="yellow"/>
        </w:rPr>
        <w:instrText xml:space="preserve"> REF _Ref445802037 \h  \* MERGEFORMAT </w:instrText>
      </w:r>
      <w:r w:rsidR="00914134" w:rsidRPr="00485FC3">
        <w:rPr>
          <w:rFonts w:ascii="Arial" w:hAnsi="Arial" w:cs="Arial"/>
          <w:sz w:val="22"/>
          <w:szCs w:val="22"/>
          <w:highlight w:val="yellow"/>
        </w:rPr>
      </w:r>
      <w:r w:rsidR="00914134" w:rsidRPr="00485FC3">
        <w:rPr>
          <w:rFonts w:ascii="Arial" w:hAnsi="Arial" w:cs="Arial"/>
          <w:sz w:val="22"/>
          <w:szCs w:val="22"/>
          <w:highlight w:val="yellow"/>
        </w:rPr>
        <w:fldChar w:fldCharType="separate"/>
      </w:r>
      <w:r w:rsidR="00915705" w:rsidRPr="00915705">
        <w:rPr>
          <w:rFonts w:ascii="Arial" w:hAnsi="Arial" w:cs="Arial"/>
          <w:sz w:val="22"/>
          <w:szCs w:val="22"/>
          <w:highlight w:val="yellow"/>
        </w:rPr>
        <w:t>Gráfica 3</w:t>
      </w:r>
      <w:r w:rsidR="00915705" w:rsidRPr="00915705">
        <w:rPr>
          <w:rFonts w:ascii="Arial" w:hAnsi="Arial" w:cs="Arial"/>
          <w:sz w:val="22"/>
          <w:szCs w:val="22"/>
          <w:highlight w:val="yellow"/>
        </w:rPr>
        <w:noBreakHyphen/>
        <w:t>2</w:t>
      </w:r>
      <w:r w:rsidR="00914134" w:rsidRPr="00485FC3">
        <w:rPr>
          <w:rFonts w:ascii="Arial" w:hAnsi="Arial" w:cs="Arial"/>
          <w:sz w:val="22"/>
          <w:szCs w:val="22"/>
          <w:highlight w:val="yellow"/>
        </w:rPr>
        <w:fldChar w:fldCharType="end"/>
      </w:r>
      <w:r w:rsidR="00914134" w:rsidRPr="00485FC3">
        <w:rPr>
          <w:rFonts w:ascii="Arial" w:hAnsi="Arial" w:cs="Arial"/>
          <w:sz w:val="22"/>
          <w:szCs w:val="22"/>
          <w:highlight w:val="yellow"/>
        </w:rPr>
        <w:t>.</w:t>
      </w:r>
    </w:p>
    <w:p w14:paraId="6235C13E" w14:textId="31BE277E" w:rsidR="00914134" w:rsidRPr="000D6504" w:rsidRDefault="00914134" w:rsidP="00914134">
      <w:pPr>
        <w:pStyle w:val="Descripcin"/>
        <w:spacing w:after="0"/>
        <w:jc w:val="center"/>
        <w:rPr>
          <w:rFonts w:cs="Arial"/>
          <w:b/>
          <w:i w:val="0"/>
          <w:color w:val="auto"/>
          <w:sz w:val="20"/>
          <w:szCs w:val="20"/>
          <w:highlight w:val="yellow"/>
        </w:rPr>
      </w:pPr>
      <w:bookmarkStart w:id="95" w:name="_Ref445802037"/>
      <w:bookmarkStart w:id="96" w:name="_Toc401316960"/>
      <w:bookmarkStart w:id="97" w:name="_Toc403640999"/>
      <w:bookmarkStart w:id="98" w:name="_Toc403641238"/>
      <w:bookmarkStart w:id="99" w:name="_Toc403641394"/>
      <w:bookmarkStart w:id="100" w:name="_Toc403641946"/>
      <w:bookmarkStart w:id="101" w:name="_Toc403641996"/>
      <w:bookmarkStart w:id="102" w:name="_Toc447097985"/>
      <w:bookmarkStart w:id="103" w:name="_Toc499799357"/>
      <w:bookmarkStart w:id="104" w:name="_Toc530033405"/>
      <w:r w:rsidRPr="000D6504">
        <w:rPr>
          <w:rFonts w:cs="Arial"/>
          <w:b/>
          <w:i w:val="0"/>
          <w:color w:val="auto"/>
          <w:sz w:val="20"/>
          <w:szCs w:val="20"/>
          <w:highlight w:val="yellow"/>
        </w:rPr>
        <w:lastRenderedPageBreak/>
        <w:t xml:space="preserve">Gráfica </w:t>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STYLEREF 1 \s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3</w:t>
      </w:r>
      <w:r w:rsidR="00DA50A5">
        <w:rPr>
          <w:rFonts w:cs="Arial"/>
          <w:b/>
          <w:i w:val="0"/>
          <w:color w:val="auto"/>
          <w:sz w:val="20"/>
          <w:szCs w:val="20"/>
          <w:highlight w:val="yellow"/>
        </w:rPr>
        <w:fldChar w:fldCharType="end"/>
      </w:r>
      <w:r w:rsidR="00DA50A5">
        <w:rPr>
          <w:rFonts w:cs="Arial"/>
          <w:b/>
          <w:i w:val="0"/>
          <w:color w:val="auto"/>
          <w:sz w:val="20"/>
          <w:szCs w:val="20"/>
          <w:highlight w:val="yellow"/>
        </w:rPr>
        <w:noBreakHyphen/>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SEQ Gráfica \* ARABIC \s 1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2</w:t>
      </w:r>
      <w:r w:rsidR="00DA50A5">
        <w:rPr>
          <w:rFonts w:cs="Arial"/>
          <w:b/>
          <w:i w:val="0"/>
          <w:color w:val="auto"/>
          <w:sz w:val="20"/>
          <w:szCs w:val="20"/>
          <w:highlight w:val="yellow"/>
        </w:rPr>
        <w:fldChar w:fldCharType="end"/>
      </w:r>
      <w:bookmarkEnd w:id="95"/>
      <w:r w:rsidRPr="000D6504">
        <w:rPr>
          <w:rFonts w:cs="Arial"/>
          <w:b/>
          <w:i w:val="0"/>
          <w:color w:val="auto"/>
          <w:sz w:val="20"/>
          <w:szCs w:val="20"/>
          <w:highlight w:val="yellow"/>
        </w:rPr>
        <w:t xml:space="preserve">. </w:t>
      </w:r>
      <w:r w:rsidRPr="00BD4FC2">
        <w:rPr>
          <w:rFonts w:cs="Arial"/>
          <w:i w:val="0"/>
          <w:color w:val="auto"/>
          <w:sz w:val="20"/>
          <w:szCs w:val="20"/>
        </w:rPr>
        <w:t>Plantas de licuefacción (actuales y potenciales)</w:t>
      </w:r>
      <w:bookmarkEnd w:id="96"/>
      <w:bookmarkEnd w:id="97"/>
      <w:bookmarkEnd w:id="98"/>
      <w:bookmarkEnd w:id="99"/>
      <w:bookmarkEnd w:id="100"/>
      <w:bookmarkEnd w:id="101"/>
      <w:bookmarkEnd w:id="102"/>
      <w:bookmarkEnd w:id="103"/>
      <w:bookmarkEnd w:id="104"/>
    </w:p>
    <w:p w14:paraId="4343531F" w14:textId="77777777" w:rsidR="00914134" w:rsidRDefault="00914134" w:rsidP="00914134">
      <w:pPr>
        <w:jc w:val="center"/>
        <w:rPr>
          <w:sz w:val="18"/>
          <w:szCs w:val="18"/>
          <w:lang w:val="es-CO" w:eastAsia="es-ES"/>
        </w:rPr>
      </w:pPr>
      <w:r w:rsidRPr="0038692B">
        <w:rPr>
          <w:noProof/>
          <w:lang w:val="es-ES" w:eastAsia="es-ES"/>
        </w:rPr>
        <w:drawing>
          <wp:inline distT="0" distB="0" distL="0" distR="0" wp14:anchorId="4EE1534C" wp14:editId="6C32242F">
            <wp:extent cx="5584474" cy="3672000"/>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84474" cy="3672000"/>
                    </a:xfrm>
                    <a:prstGeom prst="rect">
                      <a:avLst/>
                    </a:prstGeom>
                  </pic:spPr>
                </pic:pic>
              </a:graphicData>
            </a:graphic>
          </wp:inline>
        </w:drawing>
      </w:r>
    </w:p>
    <w:p w14:paraId="08068CA5" w14:textId="77777777" w:rsidR="00A6575F" w:rsidRPr="00A6575F" w:rsidRDefault="00A6575F" w:rsidP="00914134">
      <w:pPr>
        <w:jc w:val="center"/>
        <w:rPr>
          <w:sz w:val="18"/>
          <w:szCs w:val="18"/>
          <w:lang w:val="es-CO" w:eastAsia="es-ES"/>
        </w:rPr>
      </w:pPr>
    </w:p>
    <w:p w14:paraId="7ADB6A78" w14:textId="77777777" w:rsidR="00914134" w:rsidRPr="00827CE2" w:rsidRDefault="00914134" w:rsidP="00914134">
      <w:pPr>
        <w:jc w:val="center"/>
        <w:rPr>
          <w:lang w:val="es-CO" w:eastAsia="es-ES"/>
        </w:rPr>
      </w:pPr>
      <w:r>
        <w:rPr>
          <w:noProof/>
          <w:lang w:val="es-ES" w:eastAsia="es-ES"/>
        </w:rPr>
        <w:drawing>
          <wp:inline distT="0" distB="0" distL="0" distR="0" wp14:anchorId="452ADEEB" wp14:editId="62478B6B">
            <wp:extent cx="5584776" cy="3672000"/>
            <wp:effectExtent l="0" t="0" r="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84776" cy="3672000"/>
                    </a:xfrm>
                    <a:prstGeom prst="rect">
                      <a:avLst/>
                    </a:prstGeom>
                  </pic:spPr>
                </pic:pic>
              </a:graphicData>
            </a:graphic>
          </wp:inline>
        </w:drawing>
      </w:r>
    </w:p>
    <w:p w14:paraId="4E907926" w14:textId="7F3E9D30" w:rsidR="00914134" w:rsidRPr="00FA5F1B" w:rsidRDefault="00914134" w:rsidP="00914134">
      <w:pPr>
        <w:jc w:val="center"/>
        <w:rPr>
          <w:rFonts w:ascii="Arial" w:hAnsi="Arial" w:cs="Arial"/>
        </w:rPr>
      </w:pPr>
      <w:r w:rsidRPr="005D45DF">
        <w:rPr>
          <w:rFonts w:ascii="Arial" w:hAnsi="Arial" w:cs="Arial"/>
          <w:b/>
          <w:color w:val="000000" w:themeColor="text1"/>
          <w:sz w:val="16"/>
        </w:rPr>
        <w:t>Fuente:</w:t>
      </w:r>
      <w:r w:rsidR="005D45DF" w:rsidRPr="005D45DF">
        <w:rPr>
          <w:rFonts w:ascii="Arial" w:hAnsi="Arial" w:cs="Arial"/>
          <w:color w:val="000000" w:themeColor="text1"/>
          <w:sz w:val="16"/>
        </w:rPr>
        <w:t xml:space="preserve"> GIIGNL </w:t>
      </w:r>
      <w:r w:rsidR="005D45DF" w:rsidRPr="005D45DF">
        <w:rPr>
          <w:rFonts w:ascii="Arial" w:hAnsi="Arial" w:cs="Arial"/>
          <w:color w:val="000000" w:themeColor="text1"/>
          <w:sz w:val="16"/>
        </w:rPr>
        <w:fldChar w:fldCharType="begin"/>
      </w:r>
      <w:r w:rsidR="005D45DF" w:rsidRPr="005D45DF">
        <w:rPr>
          <w:rFonts w:ascii="Arial" w:hAnsi="Arial" w:cs="Arial"/>
          <w:color w:val="000000" w:themeColor="text1"/>
          <w:sz w:val="16"/>
        </w:rPr>
        <w:instrText xml:space="preserve"> REF _Ref529881942 \r \h </w:instrText>
      </w:r>
      <w:r w:rsidR="005D45DF">
        <w:rPr>
          <w:rFonts w:ascii="Arial" w:hAnsi="Arial" w:cs="Arial"/>
          <w:color w:val="000000" w:themeColor="text1"/>
          <w:sz w:val="16"/>
        </w:rPr>
        <w:instrText xml:space="preserve"> \* MERGEFORMAT </w:instrText>
      </w:r>
      <w:r w:rsidR="005D45DF" w:rsidRPr="005D45DF">
        <w:rPr>
          <w:rFonts w:ascii="Arial" w:hAnsi="Arial" w:cs="Arial"/>
          <w:color w:val="000000" w:themeColor="text1"/>
          <w:sz w:val="16"/>
        </w:rPr>
      </w:r>
      <w:r w:rsidR="005D45DF" w:rsidRPr="005D45DF">
        <w:rPr>
          <w:rFonts w:ascii="Arial" w:hAnsi="Arial" w:cs="Arial"/>
          <w:color w:val="000000" w:themeColor="text1"/>
          <w:sz w:val="16"/>
        </w:rPr>
        <w:fldChar w:fldCharType="separate"/>
      </w:r>
      <w:r w:rsidR="00915705">
        <w:rPr>
          <w:rFonts w:ascii="Arial" w:hAnsi="Arial" w:cs="Arial"/>
          <w:color w:val="000000" w:themeColor="text1"/>
          <w:sz w:val="16"/>
        </w:rPr>
        <w:t>[14]</w:t>
      </w:r>
      <w:r w:rsidR="005D45DF" w:rsidRPr="005D45DF">
        <w:rPr>
          <w:rFonts w:ascii="Arial" w:hAnsi="Arial" w:cs="Arial"/>
          <w:color w:val="000000" w:themeColor="text1"/>
          <w:sz w:val="16"/>
        </w:rPr>
        <w:fldChar w:fldCharType="end"/>
      </w:r>
    </w:p>
    <w:p w14:paraId="178494E1" w14:textId="3B715789" w:rsidR="00914134" w:rsidRPr="0037689C" w:rsidRDefault="00914134" w:rsidP="00914134">
      <w:pPr>
        <w:spacing w:before="240" w:after="240" w:line="276" w:lineRule="auto"/>
        <w:jc w:val="both"/>
        <w:rPr>
          <w:rFonts w:ascii="Arial" w:hAnsi="Arial" w:cs="Arial"/>
          <w:sz w:val="22"/>
          <w:szCs w:val="22"/>
        </w:rPr>
      </w:pPr>
      <w:bookmarkStart w:id="105" w:name="_Ref401271054"/>
      <w:r w:rsidRPr="00613F68">
        <w:rPr>
          <w:rFonts w:ascii="Arial" w:hAnsi="Arial" w:cs="Arial"/>
          <w:sz w:val="22"/>
          <w:szCs w:val="22"/>
        </w:rPr>
        <w:lastRenderedPageBreak/>
        <w:t>Las plantas de licuefacción que actualmente se encuentran en funcionamiento de acuerdo con la información suministrada por el GIIGNL</w:t>
      </w:r>
      <w:r w:rsidR="00613F68" w:rsidRPr="00613F68">
        <w:rPr>
          <w:rFonts w:ascii="Arial" w:hAnsi="Arial" w:cs="Arial"/>
          <w:sz w:val="22"/>
          <w:szCs w:val="22"/>
        </w:rPr>
        <w:t xml:space="preserve"> 2018</w:t>
      </w:r>
      <w:r w:rsidRPr="00613F68">
        <w:rPr>
          <w:rFonts w:ascii="Arial" w:hAnsi="Arial" w:cs="Arial"/>
          <w:sz w:val="22"/>
          <w:szCs w:val="22"/>
        </w:rPr>
        <w:t xml:space="preserve"> se presentan en la </w:t>
      </w:r>
      <w:r w:rsidRPr="005D6C19">
        <w:rPr>
          <w:rFonts w:ascii="Arial" w:hAnsi="Arial" w:cs="Arial"/>
          <w:sz w:val="22"/>
          <w:szCs w:val="22"/>
          <w:highlight w:val="yellow"/>
        </w:rPr>
        <w:fldChar w:fldCharType="begin"/>
      </w:r>
      <w:r w:rsidRPr="005D6C19">
        <w:rPr>
          <w:rFonts w:ascii="Arial" w:hAnsi="Arial" w:cs="Arial"/>
          <w:sz w:val="22"/>
          <w:szCs w:val="22"/>
          <w:highlight w:val="yellow"/>
        </w:rPr>
        <w:instrText xml:space="preserve"> REF _Ref445912368 \h  \* MERGEFORMAT </w:instrText>
      </w:r>
      <w:r w:rsidRPr="005D6C19">
        <w:rPr>
          <w:rFonts w:ascii="Arial" w:hAnsi="Arial" w:cs="Arial"/>
          <w:sz w:val="22"/>
          <w:szCs w:val="22"/>
          <w:highlight w:val="yellow"/>
        </w:rPr>
      </w:r>
      <w:r w:rsidRPr="005D6C19">
        <w:rPr>
          <w:rFonts w:ascii="Arial" w:hAnsi="Arial" w:cs="Arial"/>
          <w:sz w:val="22"/>
          <w:szCs w:val="22"/>
          <w:highlight w:val="yellow"/>
        </w:rPr>
        <w:fldChar w:fldCharType="separate"/>
      </w:r>
      <w:r w:rsidR="00915705" w:rsidRPr="005D6C19">
        <w:rPr>
          <w:rFonts w:ascii="Arial" w:hAnsi="Arial" w:cs="Arial"/>
          <w:sz w:val="22"/>
          <w:szCs w:val="22"/>
          <w:highlight w:val="yellow"/>
        </w:rPr>
        <w:t>Tabla 3</w:t>
      </w:r>
      <w:r w:rsidR="00915705" w:rsidRPr="005D6C19">
        <w:rPr>
          <w:rFonts w:ascii="Arial" w:hAnsi="Arial" w:cs="Arial"/>
          <w:sz w:val="22"/>
          <w:szCs w:val="22"/>
          <w:highlight w:val="yellow"/>
        </w:rPr>
        <w:noBreakHyphen/>
        <w:t>1</w:t>
      </w:r>
      <w:r w:rsidRPr="005D6C19">
        <w:rPr>
          <w:rFonts w:ascii="Arial" w:hAnsi="Arial" w:cs="Arial"/>
          <w:sz w:val="22"/>
          <w:szCs w:val="22"/>
          <w:highlight w:val="yellow"/>
        </w:rPr>
        <w:fldChar w:fldCharType="end"/>
      </w:r>
      <w:r w:rsidRPr="00613F68">
        <w:rPr>
          <w:rFonts w:ascii="Arial" w:hAnsi="Arial" w:cs="Arial"/>
          <w:sz w:val="22"/>
          <w:szCs w:val="22"/>
        </w:rPr>
        <w:t xml:space="preserve">. </w:t>
      </w:r>
      <w:r w:rsidR="00613F68" w:rsidRPr="00613F68">
        <w:rPr>
          <w:rFonts w:ascii="Arial" w:hAnsi="Arial" w:cs="Arial"/>
          <w:sz w:val="22"/>
          <w:szCs w:val="22"/>
        </w:rPr>
        <w:t>A diciembre de 2017 existían</w:t>
      </w:r>
      <w:r w:rsidRPr="00613F68">
        <w:rPr>
          <w:rFonts w:ascii="Arial" w:hAnsi="Arial" w:cs="Arial"/>
          <w:sz w:val="22"/>
          <w:szCs w:val="22"/>
        </w:rPr>
        <w:t xml:space="preserve"> 1</w:t>
      </w:r>
      <w:r w:rsidR="00613F68" w:rsidRPr="00613F68">
        <w:rPr>
          <w:rFonts w:ascii="Arial" w:hAnsi="Arial" w:cs="Arial"/>
          <w:sz w:val="22"/>
          <w:szCs w:val="22"/>
        </w:rPr>
        <w:t>9 países que producían y exportaban</w:t>
      </w:r>
      <w:r w:rsidRPr="00613F68">
        <w:rPr>
          <w:rFonts w:ascii="Arial" w:hAnsi="Arial" w:cs="Arial"/>
          <w:sz w:val="22"/>
          <w:szCs w:val="22"/>
        </w:rPr>
        <w:t xml:space="preserve"> GNL</w:t>
      </w:r>
      <w:r w:rsidR="00613F68" w:rsidRPr="00613F68">
        <w:rPr>
          <w:rFonts w:ascii="Arial" w:hAnsi="Arial" w:cs="Arial"/>
          <w:sz w:val="22"/>
          <w:szCs w:val="22"/>
        </w:rPr>
        <w:t xml:space="preserve"> según el informe del GIIGNL 2018</w:t>
      </w:r>
      <w:r w:rsidRPr="00613F68">
        <w:rPr>
          <w:rFonts w:ascii="Arial" w:hAnsi="Arial" w:cs="Arial"/>
          <w:sz w:val="22"/>
          <w:szCs w:val="22"/>
        </w:rPr>
        <w:t xml:space="preserve">, con una capacidad total de </w:t>
      </w:r>
      <w:r w:rsidRPr="0037689C">
        <w:rPr>
          <w:rFonts w:ascii="Arial" w:hAnsi="Arial" w:cs="Arial"/>
          <w:sz w:val="22"/>
          <w:szCs w:val="22"/>
        </w:rPr>
        <w:t xml:space="preserve">producción de </w:t>
      </w:r>
      <w:r w:rsidR="00613F68" w:rsidRPr="0037689C">
        <w:rPr>
          <w:rFonts w:ascii="Arial" w:hAnsi="Arial" w:cs="Arial"/>
          <w:sz w:val="22"/>
          <w:szCs w:val="22"/>
        </w:rPr>
        <w:t>813.4</w:t>
      </w:r>
      <w:r w:rsidRPr="0037689C">
        <w:rPr>
          <w:rFonts w:ascii="Arial" w:hAnsi="Arial" w:cs="Arial"/>
          <w:sz w:val="22"/>
          <w:szCs w:val="22"/>
        </w:rPr>
        <w:t xml:space="preserve"> Mm</w:t>
      </w:r>
      <w:r w:rsidRPr="0037689C">
        <w:rPr>
          <w:rFonts w:ascii="Arial" w:hAnsi="Arial" w:cs="Arial"/>
          <w:sz w:val="22"/>
          <w:szCs w:val="22"/>
          <w:vertAlign w:val="superscript"/>
        </w:rPr>
        <w:t>3</w:t>
      </w:r>
      <w:r w:rsidRPr="0037689C">
        <w:rPr>
          <w:rFonts w:ascii="Arial" w:hAnsi="Arial" w:cs="Arial"/>
          <w:sz w:val="22"/>
          <w:szCs w:val="22"/>
        </w:rPr>
        <w:t xml:space="preserve"> de GNL al año.</w:t>
      </w:r>
    </w:p>
    <w:p w14:paraId="0EC03D93" w14:textId="77777777" w:rsidR="00914134" w:rsidRDefault="00914134" w:rsidP="00914134">
      <w:pPr>
        <w:pStyle w:val="Descripcin"/>
        <w:spacing w:after="0"/>
        <w:jc w:val="center"/>
        <w:rPr>
          <w:rFonts w:cs="Arial"/>
          <w:b/>
          <w:i w:val="0"/>
          <w:color w:val="auto"/>
          <w:sz w:val="20"/>
          <w:szCs w:val="20"/>
          <w:highlight w:val="yellow"/>
        </w:rPr>
      </w:pPr>
      <w:bookmarkStart w:id="106" w:name="_Ref445912368"/>
      <w:bookmarkStart w:id="107" w:name="_Ref445912363"/>
      <w:bookmarkStart w:id="108" w:name="_Toc499794492"/>
      <w:bookmarkStart w:id="109" w:name="_Toc529889745"/>
      <w:r w:rsidRPr="000D6504">
        <w:rPr>
          <w:rFonts w:cs="Arial"/>
          <w:b/>
          <w:i w:val="0"/>
          <w:color w:val="auto"/>
          <w:sz w:val="20"/>
          <w:szCs w:val="20"/>
          <w:highlight w:val="yellow"/>
        </w:rPr>
        <w:t xml:space="preserve">Tabla </w:t>
      </w:r>
      <w:r>
        <w:rPr>
          <w:rFonts w:cs="Arial"/>
          <w:b/>
          <w:i w:val="0"/>
          <w:color w:val="auto"/>
          <w:sz w:val="20"/>
          <w:szCs w:val="20"/>
          <w:highlight w:val="yellow"/>
        </w:rPr>
        <w:fldChar w:fldCharType="begin"/>
      </w:r>
      <w:r>
        <w:rPr>
          <w:rFonts w:cs="Arial"/>
          <w:b/>
          <w:i w:val="0"/>
          <w:color w:val="auto"/>
          <w:sz w:val="20"/>
          <w:szCs w:val="20"/>
          <w:highlight w:val="yellow"/>
        </w:rPr>
        <w:instrText xml:space="preserve"> STYLEREF 1 \s </w:instrText>
      </w:r>
      <w:r>
        <w:rPr>
          <w:rFonts w:cs="Arial"/>
          <w:b/>
          <w:i w:val="0"/>
          <w:color w:val="auto"/>
          <w:sz w:val="20"/>
          <w:szCs w:val="20"/>
          <w:highlight w:val="yellow"/>
        </w:rPr>
        <w:fldChar w:fldCharType="separate"/>
      </w:r>
      <w:r w:rsidR="00915705">
        <w:rPr>
          <w:rFonts w:cs="Arial"/>
          <w:b/>
          <w:i w:val="0"/>
          <w:noProof/>
          <w:color w:val="auto"/>
          <w:sz w:val="20"/>
          <w:szCs w:val="20"/>
          <w:highlight w:val="yellow"/>
        </w:rPr>
        <w:t>3</w:t>
      </w:r>
      <w:r>
        <w:rPr>
          <w:rFonts w:cs="Arial"/>
          <w:b/>
          <w:i w:val="0"/>
          <w:color w:val="auto"/>
          <w:sz w:val="20"/>
          <w:szCs w:val="20"/>
          <w:highlight w:val="yellow"/>
        </w:rPr>
        <w:fldChar w:fldCharType="end"/>
      </w:r>
      <w:r>
        <w:rPr>
          <w:rFonts w:cs="Arial"/>
          <w:b/>
          <w:i w:val="0"/>
          <w:color w:val="auto"/>
          <w:sz w:val="20"/>
          <w:szCs w:val="20"/>
          <w:highlight w:val="yellow"/>
        </w:rPr>
        <w:noBreakHyphen/>
      </w:r>
      <w:r>
        <w:rPr>
          <w:rFonts w:cs="Arial"/>
          <w:b/>
          <w:i w:val="0"/>
          <w:color w:val="auto"/>
          <w:sz w:val="20"/>
          <w:szCs w:val="20"/>
          <w:highlight w:val="yellow"/>
        </w:rPr>
        <w:fldChar w:fldCharType="begin"/>
      </w:r>
      <w:r>
        <w:rPr>
          <w:rFonts w:cs="Arial"/>
          <w:b/>
          <w:i w:val="0"/>
          <w:color w:val="auto"/>
          <w:sz w:val="20"/>
          <w:szCs w:val="20"/>
          <w:highlight w:val="yellow"/>
        </w:rPr>
        <w:instrText xml:space="preserve"> SEQ Tabla \* ARABIC \s 1 </w:instrText>
      </w:r>
      <w:r>
        <w:rPr>
          <w:rFonts w:cs="Arial"/>
          <w:b/>
          <w:i w:val="0"/>
          <w:color w:val="auto"/>
          <w:sz w:val="20"/>
          <w:szCs w:val="20"/>
          <w:highlight w:val="yellow"/>
        </w:rPr>
        <w:fldChar w:fldCharType="separate"/>
      </w:r>
      <w:r w:rsidR="00915705">
        <w:rPr>
          <w:rFonts w:cs="Arial"/>
          <w:b/>
          <w:i w:val="0"/>
          <w:noProof/>
          <w:color w:val="auto"/>
          <w:sz w:val="20"/>
          <w:szCs w:val="20"/>
          <w:highlight w:val="yellow"/>
        </w:rPr>
        <w:t>1</w:t>
      </w:r>
      <w:r>
        <w:rPr>
          <w:rFonts w:cs="Arial"/>
          <w:b/>
          <w:i w:val="0"/>
          <w:color w:val="auto"/>
          <w:sz w:val="20"/>
          <w:szCs w:val="20"/>
          <w:highlight w:val="yellow"/>
        </w:rPr>
        <w:fldChar w:fldCharType="end"/>
      </w:r>
      <w:bookmarkEnd w:id="105"/>
      <w:bookmarkEnd w:id="106"/>
      <w:r w:rsidRPr="00E97BA4">
        <w:rPr>
          <w:rFonts w:cs="Arial"/>
          <w:i w:val="0"/>
          <w:color w:val="auto"/>
          <w:sz w:val="20"/>
          <w:szCs w:val="20"/>
          <w:highlight w:val="yellow"/>
        </w:rPr>
        <w:t xml:space="preserve">. </w:t>
      </w:r>
      <w:r w:rsidRPr="00E97BA4">
        <w:rPr>
          <w:rFonts w:cs="Arial"/>
          <w:i w:val="0"/>
          <w:color w:val="auto"/>
          <w:sz w:val="20"/>
          <w:szCs w:val="20"/>
        </w:rPr>
        <w:t>Infraestructura mundial de licuefacción</w:t>
      </w:r>
      <w:bookmarkEnd w:id="107"/>
      <w:bookmarkEnd w:id="108"/>
      <w:r w:rsidRPr="00E97BA4">
        <w:rPr>
          <w:rFonts w:cs="Arial"/>
          <w:i w:val="0"/>
          <w:color w:val="auto"/>
          <w:sz w:val="20"/>
          <w:szCs w:val="20"/>
        </w:rPr>
        <w:t xml:space="preserve"> exportaciones</w:t>
      </w:r>
      <w:bookmarkEnd w:id="109"/>
    </w:p>
    <w:tbl>
      <w:tblPr>
        <w:tblW w:w="4782" w:type="pct"/>
        <w:jc w:val="center"/>
        <w:tblCellMar>
          <w:left w:w="70" w:type="dxa"/>
          <w:right w:w="70" w:type="dxa"/>
        </w:tblCellMar>
        <w:tblLook w:val="04A0" w:firstRow="1" w:lastRow="0" w:firstColumn="1" w:lastColumn="0" w:noHBand="0" w:noVBand="1"/>
      </w:tblPr>
      <w:tblGrid>
        <w:gridCol w:w="1535"/>
        <w:gridCol w:w="1394"/>
        <w:gridCol w:w="2219"/>
        <w:gridCol w:w="1334"/>
        <w:gridCol w:w="352"/>
        <w:gridCol w:w="1087"/>
        <w:gridCol w:w="352"/>
        <w:gridCol w:w="941"/>
        <w:gridCol w:w="30"/>
        <w:gridCol w:w="58"/>
        <w:gridCol w:w="51"/>
      </w:tblGrid>
      <w:tr w:rsidR="00914134" w:rsidRPr="00BD4FC2" w14:paraId="6D4D6A11" w14:textId="77777777" w:rsidTr="0024531A">
        <w:trPr>
          <w:gridAfter w:val="3"/>
          <w:wAfter w:w="74" w:type="pct"/>
          <w:trHeight w:val="300"/>
          <w:tblHeader/>
          <w:jc w:val="center"/>
        </w:trPr>
        <w:tc>
          <w:tcPr>
            <w:tcW w:w="821" w:type="pct"/>
            <w:vMerge w:val="restart"/>
            <w:tcBorders>
              <w:top w:val="single" w:sz="4" w:space="0" w:color="auto"/>
            </w:tcBorders>
            <w:shd w:val="clear" w:color="auto" w:fill="FFFFFF" w:themeFill="background1"/>
            <w:vAlign w:val="center"/>
            <w:hideMark/>
          </w:tcPr>
          <w:p w14:paraId="0006DE0A" w14:textId="77777777" w:rsidR="00914134" w:rsidRPr="00BD4FC2" w:rsidRDefault="00914134" w:rsidP="0024531A">
            <w:pPr>
              <w:jc w:val="center"/>
              <w:rPr>
                <w:rFonts w:ascii="Arial" w:eastAsia="Times New Roman" w:hAnsi="Arial" w:cs="Arial"/>
                <w:b/>
                <w:bCs/>
                <w:sz w:val="16"/>
                <w:szCs w:val="16"/>
                <w:lang w:val="es-ES" w:eastAsia="es-ES"/>
              </w:rPr>
            </w:pPr>
            <w:r>
              <w:rPr>
                <w:rFonts w:ascii="Arial" w:eastAsia="Times New Roman" w:hAnsi="Arial" w:cs="Arial"/>
                <w:b/>
                <w:bCs/>
                <w:sz w:val="16"/>
                <w:szCs w:val="16"/>
                <w:lang w:val="es-ES" w:eastAsia="es-ES"/>
              </w:rPr>
              <w:t>Origen</w:t>
            </w:r>
          </w:p>
        </w:tc>
        <w:tc>
          <w:tcPr>
            <w:tcW w:w="746" w:type="pct"/>
            <w:vMerge w:val="restart"/>
            <w:tcBorders>
              <w:top w:val="single" w:sz="4" w:space="0" w:color="auto"/>
            </w:tcBorders>
            <w:shd w:val="clear" w:color="auto" w:fill="FFFFFF" w:themeFill="background1"/>
            <w:vAlign w:val="center"/>
            <w:hideMark/>
          </w:tcPr>
          <w:p w14:paraId="2280CA80" w14:textId="77777777" w:rsidR="00914134" w:rsidRPr="00BD4FC2" w:rsidRDefault="00914134" w:rsidP="0024531A">
            <w:pPr>
              <w:jc w:val="center"/>
              <w:rPr>
                <w:rFonts w:ascii="Arial" w:eastAsia="Times New Roman" w:hAnsi="Arial" w:cs="Arial"/>
                <w:b/>
                <w:bCs/>
                <w:sz w:val="16"/>
                <w:szCs w:val="16"/>
                <w:lang w:val="es-ES" w:eastAsia="es-ES"/>
              </w:rPr>
            </w:pPr>
            <w:r>
              <w:rPr>
                <w:rFonts w:ascii="Arial" w:eastAsia="Times New Roman" w:hAnsi="Arial" w:cs="Arial"/>
                <w:b/>
                <w:bCs/>
                <w:sz w:val="16"/>
                <w:szCs w:val="16"/>
                <w:lang w:val="es-ES" w:eastAsia="es-ES"/>
              </w:rPr>
              <w:t>Paises</w:t>
            </w:r>
          </w:p>
        </w:tc>
        <w:tc>
          <w:tcPr>
            <w:tcW w:w="1186" w:type="pct"/>
            <w:vMerge w:val="restart"/>
            <w:tcBorders>
              <w:top w:val="single" w:sz="4" w:space="0" w:color="auto"/>
            </w:tcBorders>
            <w:shd w:val="clear" w:color="auto" w:fill="FFFFFF" w:themeFill="background1"/>
            <w:vAlign w:val="center"/>
            <w:hideMark/>
          </w:tcPr>
          <w:p w14:paraId="41E55210" w14:textId="77777777" w:rsidR="00914134" w:rsidRPr="00BD4FC2" w:rsidRDefault="00914134" w:rsidP="0024531A">
            <w:pPr>
              <w:jc w:val="center"/>
              <w:rPr>
                <w:rFonts w:ascii="Arial" w:eastAsia="Times New Roman" w:hAnsi="Arial" w:cs="Arial"/>
                <w:b/>
                <w:bCs/>
                <w:sz w:val="16"/>
                <w:szCs w:val="16"/>
                <w:lang w:val="es-ES" w:eastAsia="es-ES"/>
              </w:rPr>
            </w:pPr>
            <w:r w:rsidRPr="00BD4FC2">
              <w:rPr>
                <w:rFonts w:ascii="Arial" w:eastAsia="Times New Roman" w:hAnsi="Arial" w:cs="Arial"/>
                <w:b/>
                <w:bCs/>
                <w:sz w:val="16"/>
                <w:szCs w:val="16"/>
                <w:lang w:val="es-ES" w:eastAsia="es-ES"/>
              </w:rPr>
              <w:t>Planta de Licuefacción</w:t>
            </w:r>
          </w:p>
        </w:tc>
        <w:tc>
          <w:tcPr>
            <w:tcW w:w="2173" w:type="pct"/>
            <w:gridSpan w:val="5"/>
            <w:tcBorders>
              <w:top w:val="single" w:sz="4" w:space="0" w:color="auto"/>
            </w:tcBorders>
            <w:shd w:val="clear" w:color="auto" w:fill="FFFFFF" w:themeFill="background1"/>
            <w:vAlign w:val="center"/>
            <w:hideMark/>
          </w:tcPr>
          <w:p w14:paraId="158A14D2" w14:textId="77777777" w:rsidR="00914134" w:rsidRPr="00BD4FC2" w:rsidRDefault="00914134" w:rsidP="0024531A">
            <w:pPr>
              <w:jc w:val="center"/>
              <w:rPr>
                <w:rFonts w:ascii="Arial" w:eastAsia="Times New Roman" w:hAnsi="Arial" w:cs="Arial"/>
                <w:b/>
                <w:bCs/>
                <w:sz w:val="16"/>
                <w:szCs w:val="16"/>
                <w:lang w:val="es-ES" w:eastAsia="es-ES"/>
              </w:rPr>
            </w:pPr>
            <w:r w:rsidRPr="00BD4FC2">
              <w:rPr>
                <w:rFonts w:ascii="Arial" w:eastAsia="Times New Roman" w:hAnsi="Arial" w:cs="Arial"/>
                <w:b/>
                <w:bCs/>
                <w:sz w:val="16"/>
                <w:szCs w:val="16"/>
                <w:lang w:val="es-ES" w:eastAsia="es-ES"/>
              </w:rPr>
              <w:t>EXPORTACIÓN</w:t>
            </w:r>
          </w:p>
        </w:tc>
      </w:tr>
      <w:tr w:rsidR="00914134" w:rsidRPr="00BD4FC2" w14:paraId="44ED0424" w14:textId="77777777" w:rsidTr="009B4F36">
        <w:trPr>
          <w:trHeight w:val="227"/>
          <w:tblHeader/>
          <w:jc w:val="center"/>
        </w:trPr>
        <w:tc>
          <w:tcPr>
            <w:tcW w:w="821" w:type="pct"/>
            <w:vMerge/>
            <w:tcBorders>
              <w:bottom w:val="single" w:sz="4" w:space="0" w:color="auto"/>
            </w:tcBorders>
            <w:shd w:val="clear" w:color="auto" w:fill="FFFFFF" w:themeFill="background1"/>
            <w:vAlign w:val="center"/>
            <w:hideMark/>
          </w:tcPr>
          <w:p w14:paraId="4DEB0DB4" w14:textId="77777777" w:rsidR="00914134" w:rsidRPr="00BD4FC2" w:rsidRDefault="00914134" w:rsidP="0024531A">
            <w:pPr>
              <w:rPr>
                <w:rFonts w:ascii="Arial" w:eastAsia="Times New Roman" w:hAnsi="Arial" w:cs="Arial"/>
                <w:b/>
                <w:bCs/>
                <w:sz w:val="16"/>
                <w:szCs w:val="16"/>
                <w:lang w:val="es-ES" w:eastAsia="es-ES"/>
              </w:rPr>
            </w:pPr>
          </w:p>
        </w:tc>
        <w:tc>
          <w:tcPr>
            <w:tcW w:w="746" w:type="pct"/>
            <w:vMerge/>
            <w:tcBorders>
              <w:bottom w:val="single" w:sz="4" w:space="0" w:color="auto"/>
            </w:tcBorders>
            <w:shd w:val="clear" w:color="auto" w:fill="FFFFFF" w:themeFill="background1"/>
            <w:vAlign w:val="center"/>
            <w:hideMark/>
          </w:tcPr>
          <w:p w14:paraId="4D799239" w14:textId="77777777" w:rsidR="00914134" w:rsidRPr="00BD4FC2" w:rsidRDefault="00914134" w:rsidP="0024531A">
            <w:pPr>
              <w:rPr>
                <w:rFonts w:ascii="Arial" w:eastAsia="Times New Roman" w:hAnsi="Arial" w:cs="Arial"/>
                <w:b/>
                <w:bCs/>
                <w:sz w:val="16"/>
                <w:szCs w:val="16"/>
                <w:lang w:val="es-ES" w:eastAsia="es-ES"/>
              </w:rPr>
            </w:pPr>
          </w:p>
        </w:tc>
        <w:tc>
          <w:tcPr>
            <w:tcW w:w="1186" w:type="pct"/>
            <w:vMerge/>
            <w:tcBorders>
              <w:bottom w:val="single" w:sz="4" w:space="0" w:color="auto"/>
            </w:tcBorders>
            <w:shd w:val="clear" w:color="auto" w:fill="FFFFFF" w:themeFill="background1"/>
            <w:vAlign w:val="center"/>
            <w:hideMark/>
          </w:tcPr>
          <w:p w14:paraId="4BEB7AC2" w14:textId="77777777" w:rsidR="00914134" w:rsidRPr="00BD4FC2" w:rsidRDefault="00914134" w:rsidP="0024531A">
            <w:pPr>
              <w:rPr>
                <w:rFonts w:ascii="Arial" w:eastAsia="Times New Roman" w:hAnsi="Arial" w:cs="Arial"/>
                <w:b/>
                <w:bCs/>
                <w:sz w:val="16"/>
                <w:szCs w:val="16"/>
                <w:lang w:val="es-ES" w:eastAsia="es-ES"/>
              </w:rPr>
            </w:pPr>
          </w:p>
        </w:tc>
        <w:tc>
          <w:tcPr>
            <w:tcW w:w="713" w:type="pct"/>
            <w:tcBorders>
              <w:bottom w:val="single" w:sz="4" w:space="0" w:color="auto"/>
            </w:tcBorders>
            <w:shd w:val="clear" w:color="auto" w:fill="FFFFFF" w:themeFill="background1"/>
            <w:vAlign w:val="center"/>
            <w:hideMark/>
          </w:tcPr>
          <w:p w14:paraId="23D14D74" w14:textId="06380022" w:rsidR="00914134" w:rsidRPr="00BD4FC2" w:rsidRDefault="00914134" w:rsidP="00613F68">
            <w:pPr>
              <w:jc w:val="center"/>
              <w:rPr>
                <w:rFonts w:ascii="Arial" w:eastAsia="Times New Roman" w:hAnsi="Arial" w:cs="Arial"/>
                <w:b/>
                <w:bCs/>
                <w:sz w:val="16"/>
                <w:szCs w:val="16"/>
                <w:lang w:val="es-ES" w:eastAsia="es-ES"/>
              </w:rPr>
            </w:pPr>
            <w:r w:rsidRPr="00BD4FC2">
              <w:rPr>
                <w:rFonts w:ascii="Arial" w:eastAsia="Times New Roman" w:hAnsi="Arial" w:cs="Arial"/>
                <w:b/>
                <w:bCs/>
                <w:sz w:val="16"/>
                <w:szCs w:val="16"/>
                <w:lang w:val="es-ES" w:eastAsia="es-ES"/>
              </w:rPr>
              <w:t>Cantidad Exportada</w:t>
            </w:r>
            <w:r w:rsidRPr="00BD4FC2">
              <w:rPr>
                <w:rFonts w:ascii="Arial" w:eastAsia="Times New Roman" w:hAnsi="Arial" w:cs="Arial"/>
                <w:b/>
                <w:bCs/>
                <w:sz w:val="16"/>
                <w:szCs w:val="16"/>
                <w:lang w:val="es-ES" w:eastAsia="es-ES"/>
              </w:rPr>
              <w:br/>
              <w:t>(MTon GNL/año)</w:t>
            </w:r>
          </w:p>
        </w:tc>
        <w:tc>
          <w:tcPr>
            <w:tcW w:w="769" w:type="pct"/>
            <w:gridSpan w:val="2"/>
            <w:tcBorders>
              <w:bottom w:val="single" w:sz="4" w:space="0" w:color="auto"/>
            </w:tcBorders>
            <w:shd w:val="clear" w:color="auto" w:fill="FFFFFF" w:themeFill="background1"/>
            <w:vAlign w:val="center"/>
            <w:hideMark/>
          </w:tcPr>
          <w:p w14:paraId="2F9520FA" w14:textId="2D69D844" w:rsidR="00914134" w:rsidRPr="00BD4FC2" w:rsidRDefault="00914134" w:rsidP="00613F68">
            <w:pPr>
              <w:jc w:val="center"/>
              <w:rPr>
                <w:rFonts w:ascii="Arial" w:eastAsia="Times New Roman" w:hAnsi="Arial" w:cs="Arial"/>
                <w:b/>
                <w:bCs/>
                <w:sz w:val="16"/>
                <w:szCs w:val="16"/>
                <w:lang w:val="es-ES" w:eastAsia="es-ES"/>
              </w:rPr>
            </w:pPr>
            <w:r w:rsidRPr="00BD4FC2">
              <w:rPr>
                <w:rFonts w:ascii="Arial" w:eastAsia="Times New Roman" w:hAnsi="Arial" w:cs="Arial"/>
                <w:b/>
                <w:bCs/>
                <w:sz w:val="16"/>
                <w:szCs w:val="16"/>
                <w:lang w:val="es-ES" w:eastAsia="es-ES"/>
              </w:rPr>
              <w:t>Cantidad Exportada</w:t>
            </w:r>
            <w:r w:rsidRPr="00BD4FC2">
              <w:rPr>
                <w:rFonts w:ascii="Arial" w:eastAsia="Times New Roman" w:hAnsi="Arial" w:cs="Arial"/>
                <w:b/>
                <w:bCs/>
                <w:sz w:val="16"/>
                <w:szCs w:val="16"/>
                <w:lang w:val="es-ES" w:eastAsia="es-ES"/>
              </w:rPr>
              <w:br/>
              <w:t>(Mm</w:t>
            </w:r>
            <w:r w:rsidRPr="00BD4FC2">
              <w:rPr>
                <w:rFonts w:ascii="Arial" w:eastAsia="Times New Roman" w:hAnsi="Arial" w:cs="Arial"/>
                <w:b/>
                <w:bCs/>
                <w:sz w:val="16"/>
                <w:szCs w:val="16"/>
                <w:vertAlign w:val="superscript"/>
                <w:lang w:val="es-ES" w:eastAsia="es-ES"/>
              </w:rPr>
              <w:t>3</w:t>
            </w:r>
            <w:r w:rsidRPr="00BD4FC2">
              <w:rPr>
                <w:rFonts w:ascii="Arial" w:eastAsia="Times New Roman" w:hAnsi="Arial" w:cs="Arial"/>
                <w:b/>
                <w:bCs/>
                <w:sz w:val="16"/>
                <w:szCs w:val="16"/>
                <w:lang w:val="es-ES" w:eastAsia="es-ES"/>
              </w:rPr>
              <w:t xml:space="preserve"> GNL/año)</w:t>
            </w:r>
          </w:p>
        </w:tc>
        <w:tc>
          <w:tcPr>
            <w:tcW w:w="765" w:type="pct"/>
            <w:gridSpan w:val="5"/>
            <w:tcBorders>
              <w:bottom w:val="single" w:sz="4" w:space="0" w:color="auto"/>
            </w:tcBorders>
            <w:shd w:val="clear" w:color="auto" w:fill="FFFFFF" w:themeFill="background1"/>
            <w:vAlign w:val="center"/>
            <w:hideMark/>
          </w:tcPr>
          <w:p w14:paraId="071ED564" w14:textId="509A8038" w:rsidR="00914134" w:rsidRPr="00BD4FC2" w:rsidRDefault="00914134" w:rsidP="00613F68">
            <w:pPr>
              <w:jc w:val="center"/>
              <w:rPr>
                <w:rFonts w:ascii="Arial" w:eastAsia="Times New Roman" w:hAnsi="Arial" w:cs="Arial"/>
                <w:b/>
                <w:bCs/>
                <w:sz w:val="16"/>
                <w:szCs w:val="16"/>
                <w:lang w:val="es-ES" w:eastAsia="es-ES"/>
              </w:rPr>
            </w:pPr>
            <w:r w:rsidRPr="00BD4FC2">
              <w:rPr>
                <w:rFonts w:ascii="Arial" w:eastAsia="Times New Roman" w:hAnsi="Arial" w:cs="Arial"/>
                <w:b/>
                <w:bCs/>
                <w:sz w:val="16"/>
                <w:szCs w:val="16"/>
                <w:lang w:val="es-ES" w:eastAsia="es-ES"/>
              </w:rPr>
              <w:t>Cantidad Disponible</w:t>
            </w:r>
            <w:r w:rsidRPr="00BD4FC2">
              <w:rPr>
                <w:rFonts w:ascii="Arial" w:eastAsia="Times New Roman" w:hAnsi="Arial" w:cs="Arial"/>
                <w:b/>
                <w:bCs/>
                <w:sz w:val="16"/>
                <w:szCs w:val="16"/>
                <w:lang w:val="es-ES" w:eastAsia="es-ES"/>
              </w:rPr>
              <w:br/>
              <w:t>(Mm³ GNL/año)</w:t>
            </w:r>
          </w:p>
        </w:tc>
      </w:tr>
      <w:tr w:rsidR="00914134" w:rsidRPr="00BD4FC2" w14:paraId="0138F84E" w14:textId="77777777" w:rsidTr="009B4F36">
        <w:trPr>
          <w:gridAfter w:val="1"/>
          <w:wAfter w:w="27" w:type="pct"/>
          <w:trHeight w:val="397"/>
          <w:jc w:val="center"/>
        </w:trPr>
        <w:tc>
          <w:tcPr>
            <w:tcW w:w="821" w:type="pct"/>
            <w:tcBorders>
              <w:top w:val="single" w:sz="4" w:space="0" w:color="auto"/>
              <w:bottom w:val="single" w:sz="4" w:space="0" w:color="auto"/>
            </w:tcBorders>
            <w:shd w:val="clear" w:color="auto" w:fill="FFFFFF" w:themeFill="background1"/>
            <w:noWrap/>
            <w:vAlign w:val="center"/>
            <w:hideMark/>
          </w:tcPr>
          <w:p w14:paraId="53C4B65D"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América del Norte</w:t>
            </w:r>
          </w:p>
        </w:tc>
        <w:tc>
          <w:tcPr>
            <w:tcW w:w="746" w:type="pct"/>
            <w:tcBorders>
              <w:top w:val="single" w:sz="4" w:space="0" w:color="auto"/>
              <w:bottom w:val="single" w:sz="4" w:space="0" w:color="auto"/>
            </w:tcBorders>
            <w:shd w:val="clear" w:color="auto" w:fill="FFFFFF" w:themeFill="background1"/>
            <w:vAlign w:val="center"/>
            <w:hideMark/>
          </w:tcPr>
          <w:p w14:paraId="3C94ED18"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Estados Unidos </w:t>
            </w:r>
          </w:p>
        </w:tc>
        <w:tc>
          <w:tcPr>
            <w:tcW w:w="1186" w:type="pct"/>
            <w:tcBorders>
              <w:top w:val="single" w:sz="4" w:space="0" w:color="auto"/>
              <w:bottom w:val="single" w:sz="4" w:space="0" w:color="auto"/>
            </w:tcBorders>
            <w:shd w:val="clear" w:color="auto" w:fill="FFFFFF" w:themeFill="background1"/>
            <w:vAlign w:val="center"/>
            <w:hideMark/>
          </w:tcPr>
          <w:p w14:paraId="38588D5B" w14:textId="54E56C44"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Sabine Pass</w:t>
            </w:r>
            <w:r w:rsidR="004321B5">
              <w:rPr>
                <w:rFonts w:ascii="Arial" w:eastAsia="Times New Roman" w:hAnsi="Arial" w:cs="Arial"/>
                <w:sz w:val="16"/>
                <w:szCs w:val="16"/>
                <w:lang w:val="es-ES" w:eastAsia="es-ES"/>
              </w:rPr>
              <w:t xml:space="preserve"> y Kenai</w:t>
            </w:r>
            <w:r w:rsidRPr="00BD4FC2">
              <w:rPr>
                <w:rFonts w:ascii="Arial" w:eastAsia="Times New Roman" w:hAnsi="Arial" w:cs="Arial"/>
                <w:sz w:val="16"/>
                <w:szCs w:val="16"/>
                <w:lang w:val="es-ES" w:eastAsia="es-ES"/>
              </w:rPr>
              <w:t xml:space="preserve"> </w:t>
            </w:r>
          </w:p>
        </w:tc>
        <w:tc>
          <w:tcPr>
            <w:tcW w:w="713" w:type="pct"/>
            <w:tcBorders>
              <w:top w:val="single" w:sz="4" w:space="0" w:color="auto"/>
              <w:bottom w:val="single" w:sz="4" w:space="0" w:color="auto"/>
            </w:tcBorders>
            <w:shd w:val="clear" w:color="auto" w:fill="FFFFFF" w:themeFill="background1"/>
            <w:noWrap/>
            <w:vAlign w:val="center"/>
            <w:hideMark/>
          </w:tcPr>
          <w:p w14:paraId="3833BB85"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12.24</w:t>
            </w:r>
          </w:p>
        </w:tc>
        <w:tc>
          <w:tcPr>
            <w:tcW w:w="769" w:type="pct"/>
            <w:gridSpan w:val="2"/>
            <w:tcBorders>
              <w:top w:val="single" w:sz="4" w:space="0" w:color="auto"/>
              <w:bottom w:val="single" w:sz="4" w:space="0" w:color="auto"/>
            </w:tcBorders>
            <w:shd w:val="clear" w:color="auto" w:fill="FFFFFF" w:themeFill="background1"/>
            <w:noWrap/>
            <w:vAlign w:val="center"/>
            <w:hideMark/>
          </w:tcPr>
          <w:p w14:paraId="33ADA087"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28.65</w:t>
            </w:r>
          </w:p>
        </w:tc>
        <w:tc>
          <w:tcPr>
            <w:tcW w:w="738" w:type="pct"/>
            <w:gridSpan w:val="4"/>
            <w:tcBorders>
              <w:top w:val="single" w:sz="4" w:space="0" w:color="auto"/>
              <w:bottom w:val="single" w:sz="4" w:space="0" w:color="auto"/>
            </w:tcBorders>
            <w:shd w:val="clear" w:color="auto" w:fill="FFFFFF" w:themeFill="background1"/>
            <w:noWrap/>
            <w:vAlign w:val="center"/>
            <w:hideMark/>
          </w:tcPr>
          <w:p w14:paraId="26F43243"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16.99</w:t>
            </w:r>
          </w:p>
        </w:tc>
      </w:tr>
      <w:tr w:rsidR="00914134" w:rsidRPr="00BD4FC2" w14:paraId="6B0A407C" w14:textId="77777777" w:rsidTr="009B4F36">
        <w:trPr>
          <w:gridAfter w:val="1"/>
          <w:wAfter w:w="27" w:type="pct"/>
          <w:trHeight w:val="397"/>
          <w:jc w:val="center"/>
        </w:trPr>
        <w:tc>
          <w:tcPr>
            <w:tcW w:w="821" w:type="pct"/>
            <w:vMerge w:val="restart"/>
            <w:tcBorders>
              <w:top w:val="single" w:sz="4" w:space="0" w:color="auto"/>
            </w:tcBorders>
            <w:shd w:val="clear" w:color="auto" w:fill="FFFFFF" w:themeFill="background1"/>
            <w:noWrap/>
            <w:vAlign w:val="center"/>
            <w:hideMark/>
          </w:tcPr>
          <w:p w14:paraId="019A7226"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América del Sur</w:t>
            </w:r>
          </w:p>
        </w:tc>
        <w:tc>
          <w:tcPr>
            <w:tcW w:w="746" w:type="pct"/>
            <w:vMerge w:val="restart"/>
            <w:tcBorders>
              <w:top w:val="single" w:sz="4" w:space="0" w:color="auto"/>
            </w:tcBorders>
            <w:shd w:val="clear" w:color="auto" w:fill="FFFFFF" w:themeFill="background1"/>
            <w:vAlign w:val="center"/>
            <w:hideMark/>
          </w:tcPr>
          <w:p w14:paraId="1D19DCEC"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Trinidad y Tobago </w:t>
            </w:r>
          </w:p>
        </w:tc>
        <w:tc>
          <w:tcPr>
            <w:tcW w:w="1186" w:type="pct"/>
            <w:tcBorders>
              <w:top w:val="single" w:sz="4" w:space="0" w:color="auto"/>
            </w:tcBorders>
            <w:shd w:val="clear" w:color="auto" w:fill="FFFFFF" w:themeFill="background1"/>
            <w:vAlign w:val="center"/>
            <w:hideMark/>
          </w:tcPr>
          <w:p w14:paraId="043D02CB"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Point Fortin-Atlantic LNG 1</w:t>
            </w:r>
          </w:p>
        </w:tc>
        <w:tc>
          <w:tcPr>
            <w:tcW w:w="713" w:type="pct"/>
            <w:tcBorders>
              <w:top w:val="single" w:sz="4" w:space="0" w:color="auto"/>
            </w:tcBorders>
            <w:shd w:val="clear" w:color="auto" w:fill="FFFFFF" w:themeFill="background1"/>
            <w:noWrap/>
            <w:vAlign w:val="center"/>
            <w:hideMark/>
          </w:tcPr>
          <w:p w14:paraId="33A0E1A7"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10.19</w:t>
            </w:r>
          </w:p>
        </w:tc>
        <w:tc>
          <w:tcPr>
            <w:tcW w:w="769" w:type="pct"/>
            <w:gridSpan w:val="2"/>
            <w:tcBorders>
              <w:top w:val="single" w:sz="4" w:space="0" w:color="auto"/>
            </w:tcBorders>
            <w:shd w:val="clear" w:color="auto" w:fill="FFFFFF" w:themeFill="background1"/>
            <w:noWrap/>
            <w:vAlign w:val="center"/>
            <w:hideMark/>
          </w:tcPr>
          <w:p w14:paraId="3DFD92D5"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23.85</w:t>
            </w:r>
          </w:p>
        </w:tc>
        <w:tc>
          <w:tcPr>
            <w:tcW w:w="738" w:type="pct"/>
            <w:gridSpan w:val="4"/>
            <w:tcBorders>
              <w:top w:val="single" w:sz="4" w:space="0" w:color="auto"/>
            </w:tcBorders>
            <w:shd w:val="clear" w:color="auto" w:fill="FFFFFF" w:themeFill="background1"/>
            <w:noWrap/>
            <w:vAlign w:val="center"/>
            <w:hideMark/>
          </w:tcPr>
          <w:p w14:paraId="43F6B854"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11.96</w:t>
            </w:r>
          </w:p>
        </w:tc>
      </w:tr>
      <w:tr w:rsidR="00914134" w:rsidRPr="00BD4FC2" w14:paraId="3129094F" w14:textId="77777777" w:rsidTr="009B4F36">
        <w:trPr>
          <w:gridAfter w:val="2"/>
          <w:wAfter w:w="58" w:type="pct"/>
          <w:trHeight w:val="397"/>
          <w:jc w:val="center"/>
        </w:trPr>
        <w:tc>
          <w:tcPr>
            <w:tcW w:w="821" w:type="pct"/>
            <w:vMerge/>
            <w:shd w:val="clear" w:color="auto" w:fill="FFFFFF" w:themeFill="background1"/>
            <w:vAlign w:val="center"/>
            <w:hideMark/>
          </w:tcPr>
          <w:p w14:paraId="0358CA50"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shd w:val="clear" w:color="auto" w:fill="FFFFFF" w:themeFill="background1"/>
            <w:vAlign w:val="center"/>
            <w:hideMark/>
          </w:tcPr>
          <w:p w14:paraId="00561CE2" w14:textId="77777777" w:rsidR="00914134" w:rsidRPr="00BD4FC2" w:rsidRDefault="00914134" w:rsidP="0024531A">
            <w:pPr>
              <w:rPr>
                <w:rFonts w:ascii="Arial" w:eastAsia="Times New Roman" w:hAnsi="Arial" w:cs="Arial"/>
                <w:sz w:val="16"/>
                <w:szCs w:val="16"/>
                <w:lang w:val="es-ES" w:eastAsia="es-ES"/>
              </w:rPr>
            </w:pPr>
          </w:p>
        </w:tc>
        <w:tc>
          <w:tcPr>
            <w:tcW w:w="1186" w:type="pct"/>
            <w:shd w:val="clear" w:color="auto" w:fill="FFFFFF" w:themeFill="background1"/>
            <w:vAlign w:val="center"/>
            <w:hideMark/>
          </w:tcPr>
          <w:p w14:paraId="029EB7F6" w14:textId="77777777" w:rsidR="00914134" w:rsidRPr="00BD4FC2" w:rsidRDefault="00914134" w:rsidP="0024531A">
            <w:pPr>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Point Fortin</w:t>
            </w:r>
            <w:r w:rsidRPr="00BD4FC2">
              <w:rPr>
                <w:rFonts w:ascii="Arial" w:eastAsia="Times New Roman" w:hAnsi="Arial" w:cs="Arial"/>
                <w:sz w:val="16"/>
                <w:szCs w:val="16"/>
                <w:lang w:val="es-ES" w:eastAsia="es-ES"/>
              </w:rPr>
              <w:t>-</w:t>
            </w:r>
            <w:r>
              <w:rPr>
                <w:rFonts w:ascii="Arial" w:eastAsia="Times New Roman" w:hAnsi="Arial" w:cs="Arial"/>
                <w:sz w:val="16"/>
                <w:szCs w:val="16"/>
                <w:lang w:val="es-ES" w:eastAsia="es-ES"/>
              </w:rPr>
              <w:t>Atlantic LNG 2,</w:t>
            </w:r>
            <w:r w:rsidRPr="00BD4FC2">
              <w:rPr>
                <w:rFonts w:ascii="Arial" w:eastAsia="Times New Roman" w:hAnsi="Arial" w:cs="Arial"/>
                <w:sz w:val="16"/>
                <w:szCs w:val="16"/>
                <w:lang w:val="es-ES" w:eastAsia="es-ES"/>
              </w:rPr>
              <w:t>3</w:t>
            </w:r>
          </w:p>
        </w:tc>
        <w:tc>
          <w:tcPr>
            <w:tcW w:w="901" w:type="pct"/>
            <w:gridSpan w:val="2"/>
            <w:vMerge w:val="restart"/>
            <w:shd w:val="clear" w:color="auto" w:fill="FFFFFF" w:themeFill="background1"/>
            <w:vAlign w:val="center"/>
            <w:hideMark/>
          </w:tcPr>
          <w:p w14:paraId="1E041224" w14:textId="77777777" w:rsidR="00914134" w:rsidRPr="00BD4FC2" w:rsidRDefault="00914134" w:rsidP="0024531A">
            <w:pPr>
              <w:rPr>
                <w:rFonts w:ascii="Arial" w:eastAsia="Times New Roman" w:hAnsi="Arial" w:cs="Arial"/>
                <w:color w:val="000000"/>
                <w:sz w:val="16"/>
                <w:szCs w:val="16"/>
                <w:lang w:val="es-ES" w:eastAsia="es-ES"/>
              </w:rPr>
            </w:pPr>
          </w:p>
        </w:tc>
        <w:tc>
          <w:tcPr>
            <w:tcW w:w="769" w:type="pct"/>
            <w:gridSpan w:val="2"/>
            <w:vMerge w:val="restart"/>
            <w:shd w:val="clear" w:color="auto" w:fill="FFFFFF" w:themeFill="background1"/>
            <w:vAlign w:val="center"/>
            <w:hideMark/>
          </w:tcPr>
          <w:p w14:paraId="1D38B2A7" w14:textId="77777777" w:rsidR="00914134" w:rsidRPr="00BD4FC2" w:rsidRDefault="00914134" w:rsidP="0024531A">
            <w:pPr>
              <w:rPr>
                <w:rFonts w:ascii="Arial" w:eastAsia="Times New Roman" w:hAnsi="Arial" w:cs="Arial"/>
                <w:color w:val="000000"/>
                <w:sz w:val="16"/>
                <w:szCs w:val="16"/>
                <w:lang w:val="es-ES" w:eastAsia="es-ES"/>
              </w:rPr>
            </w:pPr>
          </w:p>
        </w:tc>
        <w:tc>
          <w:tcPr>
            <w:tcW w:w="519" w:type="pct"/>
            <w:gridSpan w:val="2"/>
            <w:vMerge w:val="restart"/>
            <w:shd w:val="clear" w:color="auto" w:fill="FFFFFF" w:themeFill="background1"/>
            <w:vAlign w:val="center"/>
            <w:hideMark/>
          </w:tcPr>
          <w:p w14:paraId="232A847A" w14:textId="77777777" w:rsidR="00914134" w:rsidRPr="00BD4FC2" w:rsidRDefault="00914134" w:rsidP="0024531A">
            <w:pPr>
              <w:rPr>
                <w:rFonts w:ascii="Arial" w:eastAsia="Times New Roman" w:hAnsi="Arial" w:cs="Arial"/>
                <w:color w:val="000000"/>
                <w:sz w:val="16"/>
                <w:szCs w:val="16"/>
                <w:lang w:val="es-ES" w:eastAsia="es-ES"/>
              </w:rPr>
            </w:pPr>
          </w:p>
        </w:tc>
      </w:tr>
      <w:tr w:rsidR="00914134" w:rsidRPr="00BD4FC2" w14:paraId="6E4B758E" w14:textId="77777777" w:rsidTr="009B4F36">
        <w:trPr>
          <w:gridAfter w:val="2"/>
          <w:wAfter w:w="58" w:type="pct"/>
          <w:trHeight w:val="397"/>
          <w:jc w:val="center"/>
        </w:trPr>
        <w:tc>
          <w:tcPr>
            <w:tcW w:w="821" w:type="pct"/>
            <w:vMerge/>
            <w:shd w:val="clear" w:color="auto" w:fill="FFFFFF" w:themeFill="background1"/>
            <w:vAlign w:val="center"/>
            <w:hideMark/>
          </w:tcPr>
          <w:p w14:paraId="0E56FAC0"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tcBorders>
              <w:bottom w:val="dotted" w:sz="4" w:space="0" w:color="auto"/>
            </w:tcBorders>
            <w:shd w:val="clear" w:color="auto" w:fill="FFFFFF" w:themeFill="background1"/>
            <w:vAlign w:val="center"/>
            <w:hideMark/>
          </w:tcPr>
          <w:p w14:paraId="39DE47D1" w14:textId="77777777" w:rsidR="00914134" w:rsidRPr="00BD4FC2" w:rsidRDefault="00914134" w:rsidP="0024531A">
            <w:pPr>
              <w:rPr>
                <w:rFonts w:ascii="Arial" w:eastAsia="Times New Roman" w:hAnsi="Arial" w:cs="Arial"/>
                <w:sz w:val="16"/>
                <w:szCs w:val="16"/>
                <w:lang w:val="es-ES" w:eastAsia="es-ES"/>
              </w:rPr>
            </w:pPr>
          </w:p>
        </w:tc>
        <w:tc>
          <w:tcPr>
            <w:tcW w:w="1186" w:type="pct"/>
            <w:tcBorders>
              <w:bottom w:val="dotted" w:sz="4" w:space="0" w:color="auto"/>
            </w:tcBorders>
            <w:shd w:val="clear" w:color="auto" w:fill="FFFFFF" w:themeFill="background1"/>
            <w:vAlign w:val="center"/>
            <w:hideMark/>
          </w:tcPr>
          <w:p w14:paraId="1F75F7A1" w14:textId="77777777" w:rsidR="00914134" w:rsidRPr="00BD4FC2" w:rsidRDefault="00914134" w:rsidP="0024531A">
            <w:pPr>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Point Fortin</w:t>
            </w:r>
            <w:r w:rsidRPr="00BD4FC2">
              <w:rPr>
                <w:rFonts w:ascii="Arial" w:eastAsia="Times New Roman" w:hAnsi="Arial" w:cs="Arial"/>
                <w:sz w:val="16"/>
                <w:szCs w:val="16"/>
                <w:lang w:val="es-ES" w:eastAsia="es-ES"/>
              </w:rPr>
              <w:t>-Atlantic LNG 4</w:t>
            </w:r>
          </w:p>
        </w:tc>
        <w:tc>
          <w:tcPr>
            <w:tcW w:w="901" w:type="pct"/>
            <w:gridSpan w:val="2"/>
            <w:vMerge/>
            <w:tcBorders>
              <w:bottom w:val="dotted" w:sz="4" w:space="0" w:color="auto"/>
            </w:tcBorders>
            <w:shd w:val="clear" w:color="auto" w:fill="FFFFFF" w:themeFill="background1"/>
            <w:vAlign w:val="center"/>
            <w:hideMark/>
          </w:tcPr>
          <w:p w14:paraId="0BA99D6E"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tcBorders>
              <w:bottom w:val="dotted" w:sz="4" w:space="0" w:color="auto"/>
            </w:tcBorders>
            <w:shd w:val="clear" w:color="auto" w:fill="FFFFFF" w:themeFill="background1"/>
            <w:vAlign w:val="center"/>
            <w:hideMark/>
          </w:tcPr>
          <w:p w14:paraId="05093272"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tcBorders>
              <w:bottom w:val="dotted" w:sz="4" w:space="0" w:color="auto"/>
            </w:tcBorders>
            <w:shd w:val="clear" w:color="auto" w:fill="FFFFFF" w:themeFill="background1"/>
            <w:vAlign w:val="center"/>
            <w:hideMark/>
          </w:tcPr>
          <w:p w14:paraId="4CE0FCB4"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0787E73A" w14:textId="77777777" w:rsidTr="009B4F36">
        <w:trPr>
          <w:gridAfter w:val="2"/>
          <w:wAfter w:w="58" w:type="pct"/>
          <w:trHeight w:val="397"/>
          <w:jc w:val="center"/>
        </w:trPr>
        <w:tc>
          <w:tcPr>
            <w:tcW w:w="821" w:type="pct"/>
            <w:vMerge/>
            <w:tcBorders>
              <w:bottom w:val="single" w:sz="4" w:space="0" w:color="auto"/>
            </w:tcBorders>
            <w:shd w:val="clear" w:color="auto" w:fill="FFFFFF" w:themeFill="background1"/>
            <w:vAlign w:val="center"/>
            <w:hideMark/>
          </w:tcPr>
          <w:p w14:paraId="5FE9C591"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tcBorders>
              <w:top w:val="dotted" w:sz="4" w:space="0" w:color="auto"/>
              <w:bottom w:val="single" w:sz="4" w:space="0" w:color="auto"/>
            </w:tcBorders>
            <w:shd w:val="clear" w:color="auto" w:fill="FFFFFF" w:themeFill="background1"/>
            <w:vAlign w:val="center"/>
            <w:hideMark/>
          </w:tcPr>
          <w:p w14:paraId="264D249E"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Perú </w:t>
            </w:r>
          </w:p>
        </w:tc>
        <w:tc>
          <w:tcPr>
            <w:tcW w:w="1186" w:type="pct"/>
            <w:tcBorders>
              <w:top w:val="dotted" w:sz="4" w:space="0" w:color="auto"/>
              <w:bottom w:val="single" w:sz="4" w:space="0" w:color="auto"/>
            </w:tcBorders>
            <w:shd w:val="clear" w:color="auto" w:fill="FFFFFF" w:themeFill="background1"/>
            <w:vAlign w:val="center"/>
            <w:hideMark/>
          </w:tcPr>
          <w:p w14:paraId="78828C2C"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Peru LNG </w:t>
            </w:r>
          </w:p>
        </w:tc>
        <w:tc>
          <w:tcPr>
            <w:tcW w:w="901" w:type="pct"/>
            <w:gridSpan w:val="2"/>
            <w:tcBorders>
              <w:top w:val="dotted" w:sz="4" w:space="0" w:color="auto"/>
              <w:bottom w:val="single" w:sz="4" w:space="0" w:color="auto"/>
            </w:tcBorders>
            <w:shd w:val="clear" w:color="auto" w:fill="FFFFFF" w:themeFill="background1"/>
            <w:noWrap/>
            <w:vAlign w:val="center"/>
            <w:hideMark/>
          </w:tcPr>
          <w:p w14:paraId="43487ED4"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3.72</w:t>
            </w:r>
          </w:p>
        </w:tc>
        <w:tc>
          <w:tcPr>
            <w:tcW w:w="769" w:type="pct"/>
            <w:gridSpan w:val="2"/>
            <w:tcBorders>
              <w:top w:val="dotted" w:sz="4" w:space="0" w:color="auto"/>
              <w:bottom w:val="single" w:sz="4" w:space="0" w:color="auto"/>
            </w:tcBorders>
            <w:shd w:val="clear" w:color="auto" w:fill="FFFFFF" w:themeFill="background1"/>
            <w:noWrap/>
            <w:vAlign w:val="center"/>
            <w:hideMark/>
          </w:tcPr>
          <w:p w14:paraId="4F3654D2"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8.71</w:t>
            </w:r>
          </w:p>
        </w:tc>
        <w:tc>
          <w:tcPr>
            <w:tcW w:w="519" w:type="pct"/>
            <w:gridSpan w:val="2"/>
            <w:tcBorders>
              <w:top w:val="dotted" w:sz="4" w:space="0" w:color="auto"/>
              <w:bottom w:val="single" w:sz="4" w:space="0" w:color="auto"/>
            </w:tcBorders>
            <w:shd w:val="clear" w:color="auto" w:fill="FFFFFF" w:themeFill="background1"/>
            <w:noWrap/>
            <w:vAlign w:val="center"/>
            <w:hideMark/>
          </w:tcPr>
          <w:p w14:paraId="7260D2E7"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1.83</w:t>
            </w:r>
          </w:p>
        </w:tc>
      </w:tr>
      <w:tr w:rsidR="00914134" w:rsidRPr="00BD4FC2" w14:paraId="65906E06" w14:textId="77777777" w:rsidTr="009B4F36">
        <w:trPr>
          <w:gridAfter w:val="2"/>
          <w:wAfter w:w="58" w:type="pct"/>
          <w:trHeight w:val="397"/>
          <w:jc w:val="center"/>
        </w:trPr>
        <w:tc>
          <w:tcPr>
            <w:tcW w:w="821" w:type="pct"/>
            <w:vMerge w:val="restart"/>
            <w:tcBorders>
              <w:top w:val="single" w:sz="4" w:space="0" w:color="auto"/>
            </w:tcBorders>
            <w:shd w:val="clear" w:color="auto" w:fill="FFFFFF" w:themeFill="background1"/>
            <w:noWrap/>
            <w:vAlign w:val="center"/>
            <w:hideMark/>
          </w:tcPr>
          <w:p w14:paraId="03BE4090"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África (Norte)</w:t>
            </w:r>
          </w:p>
        </w:tc>
        <w:tc>
          <w:tcPr>
            <w:tcW w:w="746" w:type="pct"/>
            <w:vMerge w:val="restart"/>
            <w:tcBorders>
              <w:top w:val="single" w:sz="4" w:space="0" w:color="auto"/>
            </w:tcBorders>
            <w:shd w:val="clear" w:color="auto" w:fill="FFFFFF" w:themeFill="background1"/>
            <w:vAlign w:val="center"/>
            <w:hideMark/>
          </w:tcPr>
          <w:p w14:paraId="34BF9966"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Algeria </w:t>
            </w:r>
          </w:p>
        </w:tc>
        <w:tc>
          <w:tcPr>
            <w:tcW w:w="1186" w:type="pct"/>
            <w:tcBorders>
              <w:top w:val="single" w:sz="4" w:space="0" w:color="auto"/>
            </w:tcBorders>
            <w:shd w:val="clear" w:color="auto" w:fill="FFFFFF" w:themeFill="background1"/>
            <w:vAlign w:val="center"/>
            <w:hideMark/>
          </w:tcPr>
          <w:p w14:paraId="356CA3AA"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Arzew GL 1Z (Bethioua) </w:t>
            </w:r>
          </w:p>
        </w:tc>
        <w:tc>
          <w:tcPr>
            <w:tcW w:w="901" w:type="pct"/>
            <w:gridSpan w:val="2"/>
            <w:vMerge w:val="restart"/>
            <w:tcBorders>
              <w:top w:val="single" w:sz="4" w:space="0" w:color="auto"/>
            </w:tcBorders>
            <w:shd w:val="clear" w:color="auto" w:fill="FFFFFF" w:themeFill="background1"/>
            <w:noWrap/>
            <w:vAlign w:val="center"/>
            <w:hideMark/>
          </w:tcPr>
          <w:p w14:paraId="23CF80C9"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12.34</w:t>
            </w:r>
          </w:p>
        </w:tc>
        <w:tc>
          <w:tcPr>
            <w:tcW w:w="769" w:type="pct"/>
            <w:gridSpan w:val="2"/>
            <w:vMerge w:val="restart"/>
            <w:tcBorders>
              <w:top w:val="single" w:sz="4" w:space="0" w:color="auto"/>
            </w:tcBorders>
            <w:shd w:val="clear" w:color="auto" w:fill="FFFFFF" w:themeFill="background1"/>
            <w:noWrap/>
            <w:vAlign w:val="center"/>
            <w:hideMark/>
          </w:tcPr>
          <w:p w14:paraId="6A8C5231"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28.89</w:t>
            </w:r>
          </w:p>
        </w:tc>
        <w:tc>
          <w:tcPr>
            <w:tcW w:w="519" w:type="pct"/>
            <w:gridSpan w:val="2"/>
            <w:vMerge w:val="restart"/>
            <w:tcBorders>
              <w:top w:val="single" w:sz="4" w:space="0" w:color="auto"/>
            </w:tcBorders>
            <w:shd w:val="clear" w:color="auto" w:fill="FFFFFF" w:themeFill="background1"/>
            <w:noWrap/>
            <w:vAlign w:val="center"/>
            <w:hideMark/>
          </w:tcPr>
          <w:p w14:paraId="243A2454"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30.34</w:t>
            </w:r>
          </w:p>
        </w:tc>
      </w:tr>
      <w:tr w:rsidR="00914134" w:rsidRPr="00BD4FC2" w14:paraId="31D0FA5C" w14:textId="77777777" w:rsidTr="009B4F36">
        <w:trPr>
          <w:gridAfter w:val="2"/>
          <w:wAfter w:w="58" w:type="pct"/>
          <w:trHeight w:val="397"/>
          <w:jc w:val="center"/>
        </w:trPr>
        <w:tc>
          <w:tcPr>
            <w:tcW w:w="821" w:type="pct"/>
            <w:vMerge/>
            <w:shd w:val="clear" w:color="auto" w:fill="FFFFFF" w:themeFill="background1"/>
            <w:vAlign w:val="center"/>
            <w:hideMark/>
          </w:tcPr>
          <w:p w14:paraId="70D9CF44"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shd w:val="clear" w:color="auto" w:fill="FFFFFF" w:themeFill="background1"/>
            <w:vAlign w:val="center"/>
            <w:hideMark/>
          </w:tcPr>
          <w:p w14:paraId="6EF163E7" w14:textId="77777777" w:rsidR="00914134" w:rsidRPr="00BD4FC2" w:rsidRDefault="00914134" w:rsidP="0024531A">
            <w:pPr>
              <w:rPr>
                <w:rFonts w:ascii="Arial" w:eastAsia="Times New Roman" w:hAnsi="Arial" w:cs="Arial"/>
                <w:sz w:val="16"/>
                <w:szCs w:val="16"/>
                <w:lang w:val="es-ES" w:eastAsia="es-ES"/>
              </w:rPr>
            </w:pPr>
          </w:p>
        </w:tc>
        <w:tc>
          <w:tcPr>
            <w:tcW w:w="1186" w:type="pct"/>
            <w:shd w:val="clear" w:color="auto" w:fill="FFFFFF" w:themeFill="background1"/>
            <w:vAlign w:val="center"/>
            <w:hideMark/>
          </w:tcPr>
          <w:p w14:paraId="3D928D07"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Arzew GL 2Z </w:t>
            </w:r>
          </w:p>
        </w:tc>
        <w:tc>
          <w:tcPr>
            <w:tcW w:w="901" w:type="pct"/>
            <w:gridSpan w:val="2"/>
            <w:vMerge/>
            <w:shd w:val="clear" w:color="auto" w:fill="FFFFFF" w:themeFill="background1"/>
            <w:vAlign w:val="center"/>
            <w:hideMark/>
          </w:tcPr>
          <w:p w14:paraId="3A3925FA"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shd w:val="clear" w:color="auto" w:fill="FFFFFF" w:themeFill="background1"/>
            <w:vAlign w:val="center"/>
            <w:hideMark/>
          </w:tcPr>
          <w:p w14:paraId="3D72B8E5"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shd w:val="clear" w:color="auto" w:fill="FFFFFF" w:themeFill="background1"/>
            <w:vAlign w:val="center"/>
            <w:hideMark/>
          </w:tcPr>
          <w:p w14:paraId="752BF132"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20B4A872" w14:textId="77777777" w:rsidTr="009B4F36">
        <w:trPr>
          <w:gridAfter w:val="2"/>
          <w:wAfter w:w="58" w:type="pct"/>
          <w:trHeight w:val="397"/>
          <w:jc w:val="center"/>
        </w:trPr>
        <w:tc>
          <w:tcPr>
            <w:tcW w:w="821" w:type="pct"/>
            <w:vMerge/>
            <w:shd w:val="clear" w:color="auto" w:fill="FFFFFF" w:themeFill="background1"/>
            <w:vAlign w:val="center"/>
            <w:hideMark/>
          </w:tcPr>
          <w:p w14:paraId="3921642E"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shd w:val="clear" w:color="auto" w:fill="FFFFFF" w:themeFill="background1"/>
            <w:vAlign w:val="center"/>
            <w:hideMark/>
          </w:tcPr>
          <w:p w14:paraId="510CFA7F" w14:textId="77777777" w:rsidR="00914134" w:rsidRPr="00BD4FC2" w:rsidRDefault="00914134" w:rsidP="0024531A">
            <w:pPr>
              <w:rPr>
                <w:rFonts w:ascii="Arial" w:eastAsia="Times New Roman" w:hAnsi="Arial" w:cs="Arial"/>
                <w:sz w:val="16"/>
                <w:szCs w:val="16"/>
                <w:lang w:val="es-ES" w:eastAsia="es-ES"/>
              </w:rPr>
            </w:pPr>
          </w:p>
        </w:tc>
        <w:tc>
          <w:tcPr>
            <w:tcW w:w="1186" w:type="pct"/>
            <w:shd w:val="clear" w:color="auto" w:fill="FFFFFF" w:themeFill="background1"/>
            <w:vAlign w:val="center"/>
            <w:hideMark/>
          </w:tcPr>
          <w:p w14:paraId="79F2C668"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Arzew GL 3Z </w:t>
            </w:r>
          </w:p>
        </w:tc>
        <w:tc>
          <w:tcPr>
            <w:tcW w:w="901" w:type="pct"/>
            <w:gridSpan w:val="2"/>
            <w:vMerge/>
            <w:shd w:val="clear" w:color="auto" w:fill="FFFFFF" w:themeFill="background1"/>
            <w:vAlign w:val="center"/>
            <w:hideMark/>
          </w:tcPr>
          <w:p w14:paraId="71B26FAD"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shd w:val="clear" w:color="auto" w:fill="FFFFFF" w:themeFill="background1"/>
            <w:vAlign w:val="center"/>
            <w:hideMark/>
          </w:tcPr>
          <w:p w14:paraId="65732F44"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shd w:val="clear" w:color="auto" w:fill="FFFFFF" w:themeFill="background1"/>
            <w:vAlign w:val="center"/>
            <w:hideMark/>
          </w:tcPr>
          <w:p w14:paraId="0EE92171"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695501FB" w14:textId="77777777" w:rsidTr="009B4F36">
        <w:trPr>
          <w:gridAfter w:val="2"/>
          <w:wAfter w:w="58" w:type="pct"/>
          <w:trHeight w:val="397"/>
          <w:jc w:val="center"/>
        </w:trPr>
        <w:tc>
          <w:tcPr>
            <w:tcW w:w="821" w:type="pct"/>
            <w:vMerge/>
            <w:shd w:val="clear" w:color="auto" w:fill="FFFFFF" w:themeFill="background1"/>
            <w:vAlign w:val="center"/>
            <w:hideMark/>
          </w:tcPr>
          <w:p w14:paraId="4DAEE053"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shd w:val="clear" w:color="auto" w:fill="FFFFFF" w:themeFill="background1"/>
            <w:vAlign w:val="center"/>
            <w:hideMark/>
          </w:tcPr>
          <w:p w14:paraId="48E0B1DC" w14:textId="77777777" w:rsidR="00914134" w:rsidRPr="00BD4FC2" w:rsidRDefault="00914134" w:rsidP="0024531A">
            <w:pPr>
              <w:rPr>
                <w:rFonts w:ascii="Arial" w:eastAsia="Times New Roman" w:hAnsi="Arial" w:cs="Arial"/>
                <w:sz w:val="16"/>
                <w:szCs w:val="16"/>
                <w:lang w:val="es-ES" w:eastAsia="es-ES"/>
              </w:rPr>
            </w:pPr>
          </w:p>
        </w:tc>
        <w:tc>
          <w:tcPr>
            <w:tcW w:w="1186" w:type="pct"/>
            <w:shd w:val="clear" w:color="auto" w:fill="FFFFFF" w:themeFill="background1"/>
            <w:noWrap/>
            <w:vAlign w:val="center"/>
            <w:hideMark/>
          </w:tcPr>
          <w:p w14:paraId="6F14195D"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Skikda - GL1K/GL2K</w:t>
            </w:r>
          </w:p>
        </w:tc>
        <w:tc>
          <w:tcPr>
            <w:tcW w:w="901" w:type="pct"/>
            <w:gridSpan w:val="2"/>
            <w:vMerge/>
            <w:shd w:val="clear" w:color="auto" w:fill="FFFFFF" w:themeFill="background1"/>
            <w:vAlign w:val="center"/>
            <w:hideMark/>
          </w:tcPr>
          <w:p w14:paraId="711DF9D2"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shd w:val="clear" w:color="auto" w:fill="FFFFFF" w:themeFill="background1"/>
            <w:vAlign w:val="center"/>
            <w:hideMark/>
          </w:tcPr>
          <w:p w14:paraId="2605E301"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shd w:val="clear" w:color="auto" w:fill="FFFFFF" w:themeFill="background1"/>
            <w:vAlign w:val="center"/>
            <w:hideMark/>
          </w:tcPr>
          <w:p w14:paraId="4AE25EA0"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211C0E50" w14:textId="77777777" w:rsidTr="009B4F36">
        <w:trPr>
          <w:gridAfter w:val="2"/>
          <w:wAfter w:w="58" w:type="pct"/>
          <w:trHeight w:val="397"/>
          <w:jc w:val="center"/>
        </w:trPr>
        <w:tc>
          <w:tcPr>
            <w:tcW w:w="821" w:type="pct"/>
            <w:vMerge/>
            <w:shd w:val="clear" w:color="auto" w:fill="FFFFFF" w:themeFill="background1"/>
            <w:vAlign w:val="center"/>
            <w:hideMark/>
          </w:tcPr>
          <w:p w14:paraId="7D39DC90"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tcBorders>
              <w:bottom w:val="dotted" w:sz="4" w:space="0" w:color="auto"/>
            </w:tcBorders>
            <w:shd w:val="clear" w:color="auto" w:fill="FFFFFF" w:themeFill="background1"/>
            <w:vAlign w:val="center"/>
            <w:hideMark/>
          </w:tcPr>
          <w:p w14:paraId="2FCF6D1C" w14:textId="77777777" w:rsidR="00914134" w:rsidRPr="00BD4FC2" w:rsidRDefault="00914134" w:rsidP="0024531A">
            <w:pPr>
              <w:rPr>
                <w:rFonts w:ascii="Arial" w:eastAsia="Times New Roman" w:hAnsi="Arial" w:cs="Arial"/>
                <w:sz w:val="16"/>
                <w:szCs w:val="16"/>
                <w:lang w:val="es-ES" w:eastAsia="es-ES"/>
              </w:rPr>
            </w:pPr>
          </w:p>
        </w:tc>
        <w:tc>
          <w:tcPr>
            <w:tcW w:w="1186" w:type="pct"/>
            <w:tcBorders>
              <w:bottom w:val="dotted" w:sz="4" w:space="0" w:color="auto"/>
            </w:tcBorders>
            <w:shd w:val="clear" w:color="auto" w:fill="FFFFFF" w:themeFill="background1"/>
            <w:noWrap/>
            <w:vAlign w:val="center"/>
            <w:hideMark/>
          </w:tcPr>
          <w:p w14:paraId="43999B1F"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Skikda - GL1K megatrain</w:t>
            </w:r>
          </w:p>
        </w:tc>
        <w:tc>
          <w:tcPr>
            <w:tcW w:w="901" w:type="pct"/>
            <w:gridSpan w:val="2"/>
            <w:vMerge/>
            <w:tcBorders>
              <w:bottom w:val="dotted" w:sz="4" w:space="0" w:color="auto"/>
            </w:tcBorders>
            <w:shd w:val="clear" w:color="auto" w:fill="FFFFFF" w:themeFill="background1"/>
            <w:vAlign w:val="center"/>
            <w:hideMark/>
          </w:tcPr>
          <w:p w14:paraId="76E0C6D4"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tcBorders>
              <w:bottom w:val="dotted" w:sz="4" w:space="0" w:color="auto"/>
            </w:tcBorders>
            <w:shd w:val="clear" w:color="auto" w:fill="FFFFFF" w:themeFill="background1"/>
            <w:vAlign w:val="center"/>
            <w:hideMark/>
          </w:tcPr>
          <w:p w14:paraId="2838B9AA"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tcBorders>
              <w:bottom w:val="dotted" w:sz="4" w:space="0" w:color="auto"/>
            </w:tcBorders>
            <w:shd w:val="clear" w:color="auto" w:fill="FFFFFF" w:themeFill="background1"/>
            <w:vAlign w:val="center"/>
            <w:hideMark/>
          </w:tcPr>
          <w:p w14:paraId="233771F8"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6C3E008A" w14:textId="77777777" w:rsidTr="009B4F36">
        <w:trPr>
          <w:gridAfter w:val="3"/>
          <w:wAfter w:w="74" w:type="pct"/>
          <w:trHeight w:val="397"/>
          <w:jc w:val="center"/>
        </w:trPr>
        <w:tc>
          <w:tcPr>
            <w:tcW w:w="821" w:type="pct"/>
            <w:vMerge/>
            <w:shd w:val="clear" w:color="auto" w:fill="FFFFFF" w:themeFill="background1"/>
            <w:vAlign w:val="center"/>
            <w:hideMark/>
          </w:tcPr>
          <w:p w14:paraId="4C5DD706"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tcBorders>
              <w:top w:val="dotted" w:sz="4" w:space="0" w:color="auto"/>
              <w:bottom w:val="dotted" w:sz="4" w:space="0" w:color="auto"/>
            </w:tcBorders>
            <w:shd w:val="clear" w:color="auto" w:fill="FFFFFF" w:themeFill="background1"/>
            <w:vAlign w:val="center"/>
            <w:hideMark/>
          </w:tcPr>
          <w:p w14:paraId="470ED15A"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Libia </w:t>
            </w:r>
          </w:p>
        </w:tc>
        <w:tc>
          <w:tcPr>
            <w:tcW w:w="1186" w:type="pct"/>
            <w:tcBorders>
              <w:top w:val="dotted" w:sz="4" w:space="0" w:color="auto"/>
              <w:bottom w:val="dotted" w:sz="4" w:space="0" w:color="auto"/>
            </w:tcBorders>
            <w:shd w:val="clear" w:color="auto" w:fill="FFFFFF" w:themeFill="background1"/>
            <w:vAlign w:val="center"/>
            <w:hideMark/>
          </w:tcPr>
          <w:p w14:paraId="1E82512C"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Marsa-el-brega </w:t>
            </w:r>
          </w:p>
        </w:tc>
        <w:tc>
          <w:tcPr>
            <w:tcW w:w="2173" w:type="pct"/>
            <w:gridSpan w:val="5"/>
            <w:tcBorders>
              <w:top w:val="dotted" w:sz="4" w:space="0" w:color="auto"/>
              <w:bottom w:val="dotted" w:sz="4" w:space="0" w:color="auto"/>
            </w:tcBorders>
            <w:shd w:val="clear" w:color="auto" w:fill="FFFFFF" w:themeFill="background1"/>
            <w:vAlign w:val="center"/>
            <w:hideMark/>
          </w:tcPr>
          <w:p w14:paraId="0870D8E8" w14:textId="77777777" w:rsidR="00914134" w:rsidRPr="00BD4FC2" w:rsidRDefault="00914134" w:rsidP="0024531A">
            <w:pPr>
              <w:jc w:val="center"/>
              <w:rPr>
                <w:rFonts w:ascii="Arial" w:eastAsia="Times New Roman" w:hAnsi="Arial" w:cs="Arial"/>
                <w:color w:val="000000"/>
                <w:sz w:val="16"/>
                <w:szCs w:val="16"/>
                <w:lang w:val="es-ES" w:eastAsia="es-ES"/>
              </w:rPr>
            </w:pPr>
            <w:r w:rsidRPr="00504667">
              <w:rPr>
                <w:rFonts w:ascii="Arial" w:eastAsia="Times New Roman" w:hAnsi="Arial" w:cs="Arial"/>
                <w:color w:val="000000"/>
                <w:sz w:val="16"/>
                <w:szCs w:val="16"/>
                <w:lang w:val="es-ES" w:eastAsia="es-ES"/>
              </w:rPr>
              <w:t>No exporto en 2017</w:t>
            </w:r>
          </w:p>
        </w:tc>
      </w:tr>
      <w:tr w:rsidR="00914134" w:rsidRPr="00BD4FC2" w14:paraId="77CBF4CC" w14:textId="77777777" w:rsidTr="009B4F36">
        <w:trPr>
          <w:gridAfter w:val="2"/>
          <w:wAfter w:w="58" w:type="pct"/>
          <w:trHeight w:val="397"/>
          <w:jc w:val="center"/>
        </w:trPr>
        <w:tc>
          <w:tcPr>
            <w:tcW w:w="821" w:type="pct"/>
            <w:vMerge/>
            <w:shd w:val="clear" w:color="auto" w:fill="FFFFFF" w:themeFill="background1"/>
            <w:vAlign w:val="center"/>
            <w:hideMark/>
          </w:tcPr>
          <w:p w14:paraId="21A79A2E"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val="restart"/>
            <w:tcBorders>
              <w:top w:val="dotted" w:sz="4" w:space="0" w:color="auto"/>
            </w:tcBorders>
            <w:shd w:val="clear" w:color="auto" w:fill="FFFFFF" w:themeFill="background1"/>
            <w:vAlign w:val="center"/>
            <w:hideMark/>
          </w:tcPr>
          <w:p w14:paraId="35D2ADDA"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Egipto </w:t>
            </w:r>
          </w:p>
        </w:tc>
        <w:tc>
          <w:tcPr>
            <w:tcW w:w="1186" w:type="pct"/>
            <w:tcBorders>
              <w:top w:val="dotted" w:sz="4" w:space="0" w:color="auto"/>
            </w:tcBorders>
            <w:shd w:val="clear" w:color="auto" w:fill="FFFFFF" w:themeFill="background1"/>
            <w:vAlign w:val="center"/>
            <w:hideMark/>
          </w:tcPr>
          <w:p w14:paraId="6E64678C"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Damietta </w:t>
            </w:r>
          </w:p>
        </w:tc>
        <w:tc>
          <w:tcPr>
            <w:tcW w:w="901" w:type="pct"/>
            <w:gridSpan w:val="2"/>
            <w:vMerge w:val="restart"/>
            <w:tcBorders>
              <w:top w:val="dotted" w:sz="4" w:space="0" w:color="auto"/>
            </w:tcBorders>
            <w:shd w:val="clear" w:color="auto" w:fill="FFFFFF" w:themeFill="background1"/>
            <w:noWrap/>
            <w:vAlign w:val="center"/>
            <w:hideMark/>
          </w:tcPr>
          <w:p w14:paraId="1CE56085"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0.78</w:t>
            </w:r>
          </w:p>
        </w:tc>
        <w:tc>
          <w:tcPr>
            <w:tcW w:w="769" w:type="pct"/>
            <w:gridSpan w:val="2"/>
            <w:vMerge w:val="restart"/>
            <w:tcBorders>
              <w:top w:val="dotted" w:sz="4" w:space="0" w:color="auto"/>
            </w:tcBorders>
            <w:shd w:val="clear" w:color="auto" w:fill="FFFFFF" w:themeFill="background1"/>
            <w:noWrap/>
            <w:vAlign w:val="center"/>
            <w:hideMark/>
          </w:tcPr>
          <w:p w14:paraId="26B48F22"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1.83</w:t>
            </w:r>
          </w:p>
        </w:tc>
        <w:tc>
          <w:tcPr>
            <w:tcW w:w="519" w:type="pct"/>
            <w:gridSpan w:val="2"/>
            <w:vMerge w:val="restart"/>
            <w:tcBorders>
              <w:top w:val="dotted" w:sz="4" w:space="0" w:color="auto"/>
            </w:tcBorders>
            <w:shd w:val="clear" w:color="auto" w:fill="FFFFFF" w:themeFill="background1"/>
            <w:noWrap/>
            <w:vAlign w:val="center"/>
            <w:hideMark/>
          </w:tcPr>
          <w:p w14:paraId="77E3C365"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26.73</w:t>
            </w:r>
          </w:p>
        </w:tc>
      </w:tr>
      <w:tr w:rsidR="00914134" w:rsidRPr="00BD4FC2" w14:paraId="129A6C7C" w14:textId="77777777" w:rsidTr="009B4F36">
        <w:trPr>
          <w:gridAfter w:val="2"/>
          <w:wAfter w:w="58" w:type="pct"/>
          <w:trHeight w:val="397"/>
          <w:jc w:val="center"/>
        </w:trPr>
        <w:tc>
          <w:tcPr>
            <w:tcW w:w="821" w:type="pct"/>
            <w:vMerge/>
            <w:tcBorders>
              <w:bottom w:val="single" w:sz="4" w:space="0" w:color="auto"/>
            </w:tcBorders>
            <w:shd w:val="clear" w:color="auto" w:fill="FFFFFF" w:themeFill="background1"/>
            <w:vAlign w:val="center"/>
            <w:hideMark/>
          </w:tcPr>
          <w:p w14:paraId="667B20BB"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tcBorders>
              <w:bottom w:val="single" w:sz="4" w:space="0" w:color="auto"/>
            </w:tcBorders>
            <w:shd w:val="clear" w:color="auto" w:fill="FFFFFF" w:themeFill="background1"/>
            <w:vAlign w:val="center"/>
            <w:hideMark/>
          </w:tcPr>
          <w:p w14:paraId="1CA3920F" w14:textId="77777777" w:rsidR="00914134" w:rsidRPr="00BD4FC2" w:rsidRDefault="00914134" w:rsidP="0024531A">
            <w:pPr>
              <w:rPr>
                <w:rFonts w:ascii="Arial" w:eastAsia="Times New Roman" w:hAnsi="Arial" w:cs="Arial"/>
                <w:sz w:val="16"/>
                <w:szCs w:val="16"/>
                <w:lang w:val="es-ES" w:eastAsia="es-ES"/>
              </w:rPr>
            </w:pPr>
          </w:p>
        </w:tc>
        <w:tc>
          <w:tcPr>
            <w:tcW w:w="1186" w:type="pct"/>
            <w:tcBorders>
              <w:bottom w:val="single" w:sz="4" w:space="0" w:color="auto"/>
            </w:tcBorders>
            <w:shd w:val="clear" w:color="auto" w:fill="FFFFFF" w:themeFill="background1"/>
            <w:vAlign w:val="center"/>
            <w:hideMark/>
          </w:tcPr>
          <w:p w14:paraId="4A27010C"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Idku </w:t>
            </w:r>
          </w:p>
        </w:tc>
        <w:tc>
          <w:tcPr>
            <w:tcW w:w="901" w:type="pct"/>
            <w:gridSpan w:val="2"/>
            <w:vMerge/>
            <w:tcBorders>
              <w:bottom w:val="single" w:sz="4" w:space="0" w:color="auto"/>
            </w:tcBorders>
            <w:shd w:val="clear" w:color="auto" w:fill="FFFFFF" w:themeFill="background1"/>
            <w:vAlign w:val="center"/>
            <w:hideMark/>
          </w:tcPr>
          <w:p w14:paraId="555FFAA8"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tcBorders>
              <w:bottom w:val="single" w:sz="4" w:space="0" w:color="auto"/>
            </w:tcBorders>
            <w:shd w:val="clear" w:color="auto" w:fill="FFFFFF" w:themeFill="background1"/>
            <w:vAlign w:val="center"/>
            <w:hideMark/>
          </w:tcPr>
          <w:p w14:paraId="5E1FDBF1"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tcBorders>
              <w:bottom w:val="single" w:sz="4" w:space="0" w:color="auto"/>
            </w:tcBorders>
            <w:shd w:val="clear" w:color="auto" w:fill="FFFFFF" w:themeFill="background1"/>
            <w:vAlign w:val="center"/>
            <w:hideMark/>
          </w:tcPr>
          <w:p w14:paraId="07458F63"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6DEAD959" w14:textId="77777777" w:rsidTr="009B4F36">
        <w:trPr>
          <w:gridAfter w:val="2"/>
          <w:wAfter w:w="58" w:type="pct"/>
          <w:trHeight w:val="397"/>
          <w:jc w:val="center"/>
        </w:trPr>
        <w:tc>
          <w:tcPr>
            <w:tcW w:w="821" w:type="pct"/>
            <w:vMerge w:val="restart"/>
            <w:tcBorders>
              <w:top w:val="single" w:sz="4" w:space="0" w:color="auto"/>
            </w:tcBorders>
            <w:shd w:val="clear" w:color="auto" w:fill="FFFFFF" w:themeFill="background1"/>
            <w:noWrap/>
            <w:vAlign w:val="center"/>
            <w:hideMark/>
          </w:tcPr>
          <w:p w14:paraId="49408845"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África (Occidental)</w:t>
            </w:r>
          </w:p>
        </w:tc>
        <w:tc>
          <w:tcPr>
            <w:tcW w:w="746" w:type="pct"/>
            <w:tcBorders>
              <w:top w:val="single" w:sz="4" w:space="0" w:color="auto"/>
            </w:tcBorders>
            <w:shd w:val="clear" w:color="auto" w:fill="FFFFFF" w:themeFill="background1"/>
            <w:vAlign w:val="center"/>
            <w:hideMark/>
          </w:tcPr>
          <w:p w14:paraId="4BB893E3"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Guinea Ecuatorial </w:t>
            </w:r>
          </w:p>
        </w:tc>
        <w:tc>
          <w:tcPr>
            <w:tcW w:w="1186" w:type="pct"/>
            <w:tcBorders>
              <w:top w:val="single" w:sz="4" w:space="0" w:color="auto"/>
            </w:tcBorders>
            <w:shd w:val="clear" w:color="auto" w:fill="FFFFFF" w:themeFill="background1"/>
            <w:vAlign w:val="center"/>
            <w:hideMark/>
          </w:tcPr>
          <w:p w14:paraId="030E369F"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Bioko Island </w:t>
            </w:r>
          </w:p>
        </w:tc>
        <w:tc>
          <w:tcPr>
            <w:tcW w:w="901" w:type="pct"/>
            <w:gridSpan w:val="2"/>
            <w:tcBorders>
              <w:top w:val="single" w:sz="4" w:space="0" w:color="auto"/>
            </w:tcBorders>
            <w:shd w:val="clear" w:color="auto" w:fill="FFFFFF" w:themeFill="background1"/>
            <w:noWrap/>
            <w:vAlign w:val="center"/>
            <w:hideMark/>
          </w:tcPr>
          <w:p w14:paraId="53522C5B"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3.83</w:t>
            </w:r>
          </w:p>
        </w:tc>
        <w:tc>
          <w:tcPr>
            <w:tcW w:w="769" w:type="pct"/>
            <w:gridSpan w:val="2"/>
            <w:tcBorders>
              <w:top w:val="single" w:sz="4" w:space="0" w:color="auto"/>
            </w:tcBorders>
            <w:shd w:val="clear" w:color="auto" w:fill="FFFFFF" w:themeFill="background1"/>
            <w:noWrap/>
            <w:vAlign w:val="center"/>
            <w:hideMark/>
          </w:tcPr>
          <w:p w14:paraId="127C7A8D"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8.97</w:t>
            </w:r>
          </w:p>
        </w:tc>
        <w:tc>
          <w:tcPr>
            <w:tcW w:w="519" w:type="pct"/>
            <w:gridSpan w:val="2"/>
            <w:tcBorders>
              <w:top w:val="single" w:sz="4" w:space="0" w:color="auto"/>
            </w:tcBorders>
            <w:shd w:val="clear" w:color="auto" w:fill="FFFFFF" w:themeFill="background1"/>
            <w:noWrap/>
            <w:vAlign w:val="center"/>
            <w:hideMark/>
          </w:tcPr>
          <w:p w14:paraId="4C763562"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-0.30</w:t>
            </w:r>
          </w:p>
        </w:tc>
      </w:tr>
      <w:tr w:rsidR="00914134" w:rsidRPr="00BD4FC2" w14:paraId="45C15648" w14:textId="77777777" w:rsidTr="009B4F36">
        <w:trPr>
          <w:gridAfter w:val="2"/>
          <w:wAfter w:w="58" w:type="pct"/>
          <w:trHeight w:val="397"/>
          <w:jc w:val="center"/>
        </w:trPr>
        <w:tc>
          <w:tcPr>
            <w:tcW w:w="821" w:type="pct"/>
            <w:vMerge/>
            <w:tcBorders>
              <w:bottom w:val="single" w:sz="4" w:space="0" w:color="auto"/>
            </w:tcBorders>
            <w:shd w:val="clear" w:color="auto" w:fill="FFFFFF" w:themeFill="background1"/>
            <w:vAlign w:val="center"/>
            <w:hideMark/>
          </w:tcPr>
          <w:p w14:paraId="65A128FC"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tcBorders>
              <w:bottom w:val="single" w:sz="4" w:space="0" w:color="auto"/>
            </w:tcBorders>
            <w:shd w:val="clear" w:color="auto" w:fill="FFFFFF" w:themeFill="background1"/>
            <w:vAlign w:val="center"/>
            <w:hideMark/>
          </w:tcPr>
          <w:p w14:paraId="72AE3CE9"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Nigeria </w:t>
            </w:r>
          </w:p>
        </w:tc>
        <w:tc>
          <w:tcPr>
            <w:tcW w:w="1186" w:type="pct"/>
            <w:tcBorders>
              <w:bottom w:val="single" w:sz="4" w:space="0" w:color="auto"/>
            </w:tcBorders>
            <w:shd w:val="clear" w:color="auto" w:fill="FFFFFF" w:themeFill="background1"/>
            <w:vAlign w:val="center"/>
            <w:hideMark/>
          </w:tcPr>
          <w:p w14:paraId="2163B008"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Bonny Island </w:t>
            </w:r>
          </w:p>
        </w:tc>
        <w:tc>
          <w:tcPr>
            <w:tcW w:w="901" w:type="pct"/>
            <w:gridSpan w:val="2"/>
            <w:tcBorders>
              <w:bottom w:val="single" w:sz="4" w:space="0" w:color="auto"/>
            </w:tcBorders>
            <w:shd w:val="clear" w:color="auto" w:fill="FFFFFF" w:themeFill="background1"/>
            <w:noWrap/>
            <w:vAlign w:val="center"/>
            <w:hideMark/>
          </w:tcPr>
          <w:p w14:paraId="0864E047"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20.34</w:t>
            </w:r>
          </w:p>
        </w:tc>
        <w:tc>
          <w:tcPr>
            <w:tcW w:w="769" w:type="pct"/>
            <w:gridSpan w:val="2"/>
            <w:tcBorders>
              <w:bottom w:val="single" w:sz="4" w:space="0" w:color="auto"/>
            </w:tcBorders>
            <w:shd w:val="clear" w:color="auto" w:fill="FFFFFF" w:themeFill="background1"/>
            <w:noWrap/>
            <w:vAlign w:val="center"/>
            <w:hideMark/>
          </w:tcPr>
          <w:p w14:paraId="20FCAE34"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47.61</w:t>
            </w:r>
          </w:p>
        </w:tc>
        <w:tc>
          <w:tcPr>
            <w:tcW w:w="519" w:type="pct"/>
            <w:gridSpan w:val="2"/>
            <w:tcBorders>
              <w:bottom w:val="single" w:sz="4" w:space="0" w:color="auto"/>
            </w:tcBorders>
            <w:shd w:val="clear" w:color="auto" w:fill="FFFFFF" w:themeFill="background1"/>
            <w:noWrap/>
            <w:vAlign w:val="center"/>
            <w:hideMark/>
          </w:tcPr>
          <w:p w14:paraId="18B3D364"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4.35</w:t>
            </w:r>
          </w:p>
        </w:tc>
      </w:tr>
      <w:tr w:rsidR="00914134" w:rsidRPr="00BD4FC2" w14:paraId="142823D8" w14:textId="77777777" w:rsidTr="009B4F36">
        <w:trPr>
          <w:gridAfter w:val="2"/>
          <w:wAfter w:w="58" w:type="pct"/>
          <w:trHeight w:val="397"/>
          <w:jc w:val="center"/>
        </w:trPr>
        <w:tc>
          <w:tcPr>
            <w:tcW w:w="821" w:type="pct"/>
            <w:tcBorders>
              <w:top w:val="single" w:sz="4" w:space="0" w:color="auto"/>
              <w:bottom w:val="single" w:sz="4" w:space="0" w:color="auto"/>
            </w:tcBorders>
            <w:shd w:val="clear" w:color="auto" w:fill="FFFFFF" w:themeFill="background1"/>
            <w:noWrap/>
            <w:vAlign w:val="center"/>
            <w:hideMark/>
          </w:tcPr>
          <w:p w14:paraId="2517CF6A"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África (Sur)</w:t>
            </w:r>
          </w:p>
        </w:tc>
        <w:tc>
          <w:tcPr>
            <w:tcW w:w="746" w:type="pct"/>
            <w:tcBorders>
              <w:top w:val="single" w:sz="4" w:space="0" w:color="auto"/>
              <w:bottom w:val="single" w:sz="4" w:space="0" w:color="auto"/>
            </w:tcBorders>
            <w:shd w:val="clear" w:color="auto" w:fill="FFFFFF" w:themeFill="background1"/>
            <w:vAlign w:val="center"/>
            <w:hideMark/>
          </w:tcPr>
          <w:p w14:paraId="1D7CE562"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Angola </w:t>
            </w:r>
          </w:p>
        </w:tc>
        <w:tc>
          <w:tcPr>
            <w:tcW w:w="1186" w:type="pct"/>
            <w:tcBorders>
              <w:top w:val="single" w:sz="4" w:space="0" w:color="auto"/>
              <w:bottom w:val="single" w:sz="4" w:space="0" w:color="auto"/>
            </w:tcBorders>
            <w:shd w:val="clear" w:color="auto" w:fill="FFFFFF" w:themeFill="background1"/>
            <w:vAlign w:val="center"/>
            <w:hideMark/>
          </w:tcPr>
          <w:p w14:paraId="5B78AC34"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Soyo </w:t>
            </w:r>
          </w:p>
        </w:tc>
        <w:tc>
          <w:tcPr>
            <w:tcW w:w="901" w:type="pct"/>
            <w:gridSpan w:val="2"/>
            <w:tcBorders>
              <w:top w:val="single" w:sz="4" w:space="0" w:color="auto"/>
              <w:bottom w:val="single" w:sz="4" w:space="0" w:color="auto"/>
            </w:tcBorders>
            <w:shd w:val="clear" w:color="auto" w:fill="FFFFFF" w:themeFill="background1"/>
            <w:noWrap/>
            <w:vAlign w:val="center"/>
            <w:hideMark/>
          </w:tcPr>
          <w:p w14:paraId="3F732B4B"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3.53</w:t>
            </w:r>
          </w:p>
        </w:tc>
        <w:tc>
          <w:tcPr>
            <w:tcW w:w="769" w:type="pct"/>
            <w:gridSpan w:val="2"/>
            <w:tcBorders>
              <w:top w:val="single" w:sz="4" w:space="0" w:color="auto"/>
              <w:bottom w:val="single" w:sz="4" w:space="0" w:color="auto"/>
            </w:tcBorders>
            <w:shd w:val="clear" w:color="auto" w:fill="FFFFFF" w:themeFill="background1"/>
            <w:noWrap/>
            <w:vAlign w:val="center"/>
            <w:hideMark/>
          </w:tcPr>
          <w:p w14:paraId="4050C55F"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8.26</w:t>
            </w:r>
          </w:p>
        </w:tc>
        <w:tc>
          <w:tcPr>
            <w:tcW w:w="519" w:type="pct"/>
            <w:gridSpan w:val="2"/>
            <w:tcBorders>
              <w:top w:val="single" w:sz="4" w:space="0" w:color="auto"/>
              <w:bottom w:val="single" w:sz="4" w:space="0" w:color="auto"/>
            </w:tcBorders>
            <w:shd w:val="clear" w:color="auto" w:fill="FFFFFF" w:themeFill="background1"/>
            <w:noWrap/>
            <w:vAlign w:val="center"/>
            <w:hideMark/>
          </w:tcPr>
          <w:p w14:paraId="75B0A147"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3.91</w:t>
            </w:r>
          </w:p>
        </w:tc>
      </w:tr>
      <w:tr w:rsidR="00914134" w:rsidRPr="00BD4FC2" w14:paraId="5951FE8E" w14:textId="77777777" w:rsidTr="009B4F36">
        <w:trPr>
          <w:gridAfter w:val="2"/>
          <w:wAfter w:w="58" w:type="pct"/>
          <w:trHeight w:val="397"/>
          <w:jc w:val="center"/>
        </w:trPr>
        <w:tc>
          <w:tcPr>
            <w:tcW w:w="821" w:type="pct"/>
            <w:tcBorders>
              <w:top w:val="single" w:sz="4" w:space="0" w:color="auto"/>
              <w:bottom w:val="single" w:sz="4" w:space="0" w:color="auto"/>
            </w:tcBorders>
            <w:shd w:val="clear" w:color="auto" w:fill="FFFFFF" w:themeFill="background1"/>
            <w:noWrap/>
            <w:vAlign w:val="center"/>
            <w:hideMark/>
          </w:tcPr>
          <w:p w14:paraId="62F3E378"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Europa</w:t>
            </w:r>
          </w:p>
        </w:tc>
        <w:tc>
          <w:tcPr>
            <w:tcW w:w="746" w:type="pct"/>
            <w:tcBorders>
              <w:top w:val="single" w:sz="4" w:space="0" w:color="auto"/>
              <w:bottom w:val="single" w:sz="4" w:space="0" w:color="auto"/>
            </w:tcBorders>
            <w:shd w:val="clear" w:color="auto" w:fill="FFFFFF" w:themeFill="background1"/>
            <w:vAlign w:val="center"/>
            <w:hideMark/>
          </w:tcPr>
          <w:p w14:paraId="416A4FCE"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Noruega </w:t>
            </w:r>
          </w:p>
        </w:tc>
        <w:tc>
          <w:tcPr>
            <w:tcW w:w="1186" w:type="pct"/>
            <w:tcBorders>
              <w:top w:val="single" w:sz="4" w:space="0" w:color="auto"/>
              <w:bottom w:val="single" w:sz="4" w:space="0" w:color="auto"/>
            </w:tcBorders>
            <w:shd w:val="clear" w:color="auto" w:fill="FFFFFF" w:themeFill="background1"/>
            <w:vAlign w:val="center"/>
            <w:hideMark/>
          </w:tcPr>
          <w:p w14:paraId="26846A2E"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Hammerfest </w:t>
            </w:r>
          </w:p>
        </w:tc>
        <w:tc>
          <w:tcPr>
            <w:tcW w:w="901" w:type="pct"/>
            <w:gridSpan w:val="2"/>
            <w:tcBorders>
              <w:top w:val="single" w:sz="4" w:space="0" w:color="auto"/>
              <w:bottom w:val="single" w:sz="4" w:space="0" w:color="auto"/>
            </w:tcBorders>
            <w:shd w:val="clear" w:color="auto" w:fill="FFFFFF" w:themeFill="background1"/>
            <w:noWrap/>
            <w:vAlign w:val="center"/>
            <w:hideMark/>
          </w:tcPr>
          <w:p w14:paraId="40EA201B"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3.90</w:t>
            </w:r>
          </w:p>
        </w:tc>
        <w:tc>
          <w:tcPr>
            <w:tcW w:w="769" w:type="pct"/>
            <w:gridSpan w:val="2"/>
            <w:tcBorders>
              <w:top w:val="single" w:sz="4" w:space="0" w:color="auto"/>
              <w:bottom w:val="single" w:sz="4" w:space="0" w:color="auto"/>
            </w:tcBorders>
            <w:shd w:val="clear" w:color="auto" w:fill="FFFFFF" w:themeFill="background1"/>
            <w:noWrap/>
            <w:vAlign w:val="center"/>
            <w:hideMark/>
          </w:tcPr>
          <w:p w14:paraId="70DE8AE4"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9.13</w:t>
            </w:r>
          </w:p>
        </w:tc>
        <w:tc>
          <w:tcPr>
            <w:tcW w:w="519" w:type="pct"/>
            <w:gridSpan w:val="2"/>
            <w:tcBorders>
              <w:top w:val="single" w:sz="4" w:space="0" w:color="auto"/>
              <w:bottom w:val="single" w:sz="4" w:space="0" w:color="auto"/>
            </w:tcBorders>
            <w:shd w:val="clear" w:color="auto" w:fill="FFFFFF" w:themeFill="background1"/>
            <w:noWrap/>
            <w:vAlign w:val="center"/>
            <w:hideMark/>
          </w:tcPr>
          <w:p w14:paraId="248339ED"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0.70</w:t>
            </w:r>
          </w:p>
        </w:tc>
      </w:tr>
      <w:tr w:rsidR="00914134" w:rsidRPr="00BD4FC2" w14:paraId="28DC1003" w14:textId="77777777" w:rsidTr="009B4F36">
        <w:trPr>
          <w:gridAfter w:val="2"/>
          <w:wAfter w:w="58" w:type="pct"/>
          <w:trHeight w:val="397"/>
          <w:jc w:val="center"/>
        </w:trPr>
        <w:tc>
          <w:tcPr>
            <w:tcW w:w="821" w:type="pct"/>
            <w:vMerge w:val="restart"/>
            <w:tcBorders>
              <w:top w:val="single" w:sz="4" w:space="0" w:color="auto"/>
            </w:tcBorders>
            <w:shd w:val="clear" w:color="auto" w:fill="FFFFFF" w:themeFill="background1"/>
            <w:noWrap/>
            <w:vAlign w:val="center"/>
            <w:hideMark/>
          </w:tcPr>
          <w:p w14:paraId="399F7609"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Asia Occidental</w:t>
            </w:r>
          </w:p>
        </w:tc>
        <w:tc>
          <w:tcPr>
            <w:tcW w:w="746" w:type="pct"/>
            <w:vMerge w:val="restart"/>
            <w:tcBorders>
              <w:top w:val="single" w:sz="4" w:space="0" w:color="auto"/>
            </w:tcBorders>
            <w:shd w:val="clear" w:color="auto" w:fill="FFFFFF" w:themeFill="background1"/>
            <w:vAlign w:val="center"/>
            <w:hideMark/>
          </w:tcPr>
          <w:p w14:paraId="3580190D"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Qatar </w:t>
            </w:r>
          </w:p>
        </w:tc>
        <w:tc>
          <w:tcPr>
            <w:tcW w:w="1186" w:type="pct"/>
            <w:tcBorders>
              <w:top w:val="single" w:sz="4" w:space="0" w:color="auto"/>
            </w:tcBorders>
            <w:shd w:val="clear" w:color="auto" w:fill="FFFFFF" w:themeFill="background1"/>
            <w:vAlign w:val="center"/>
            <w:hideMark/>
          </w:tcPr>
          <w:p w14:paraId="0E4DE323"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Ras Laffan 1 </w:t>
            </w:r>
          </w:p>
        </w:tc>
        <w:tc>
          <w:tcPr>
            <w:tcW w:w="901" w:type="pct"/>
            <w:gridSpan w:val="2"/>
            <w:vMerge w:val="restart"/>
            <w:tcBorders>
              <w:top w:val="single" w:sz="4" w:space="0" w:color="auto"/>
            </w:tcBorders>
            <w:shd w:val="clear" w:color="auto" w:fill="FFFFFF" w:themeFill="background1"/>
            <w:noWrap/>
            <w:vAlign w:val="center"/>
            <w:hideMark/>
          </w:tcPr>
          <w:p w14:paraId="5D0F8044"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77.50</w:t>
            </w:r>
          </w:p>
        </w:tc>
        <w:tc>
          <w:tcPr>
            <w:tcW w:w="769" w:type="pct"/>
            <w:gridSpan w:val="2"/>
            <w:vMerge w:val="restart"/>
            <w:tcBorders>
              <w:top w:val="single" w:sz="4" w:space="0" w:color="auto"/>
            </w:tcBorders>
            <w:shd w:val="clear" w:color="auto" w:fill="FFFFFF" w:themeFill="background1"/>
            <w:noWrap/>
            <w:vAlign w:val="center"/>
            <w:hideMark/>
          </w:tcPr>
          <w:p w14:paraId="36B8A6A4"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181.41</w:t>
            </w:r>
          </w:p>
        </w:tc>
        <w:tc>
          <w:tcPr>
            <w:tcW w:w="519" w:type="pct"/>
            <w:gridSpan w:val="2"/>
            <w:vMerge w:val="restart"/>
            <w:tcBorders>
              <w:top w:val="single" w:sz="4" w:space="0" w:color="auto"/>
            </w:tcBorders>
            <w:shd w:val="clear" w:color="auto" w:fill="FFFFFF" w:themeFill="background1"/>
            <w:noWrap/>
            <w:vAlign w:val="center"/>
            <w:hideMark/>
          </w:tcPr>
          <w:p w14:paraId="64DDB7AB"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-1.17</w:t>
            </w:r>
          </w:p>
        </w:tc>
      </w:tr>
      <w:tr w:rsidR="00914134" w:rsidRPr="00BD4FC2" w14:paraId="4EB0E8B2" w14:textId="77777777" w:rsidTr="009B4F36">
        <w:trPr>
          <w:gridAfter w:val="2"/>
          <w:wAfter w:w="58" w:type="pct"/>
          <w:trHeight w:val="397"/>
          <w:jc w:val="center"/>
        </w:trPr>
        <w:tc>
          <w:tcPr>
            <w:tcW w:w="821" w:type="pct"/>
            <w:vMerge/>
            <w:shd w:val="clear" w:color="auto" w:fill="FFFFFF" w:themeFill="background1"/>
            <w:vAlign w:val="center"/>
            <w:hideMark/>
          </w:tcPr>
          <w:p w14:paraId="1D5F045B"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shd w:val="clear" w:color="auto" w:fill="FFFFFF" w:themeFill="background1"/>
            <w:vAlign w:val="center"/>
            <w:hideMark/>
          </w:tcPr>
          <w:p w14:paraId="6136D28D" w14:textId="77777777" w:rsidR="00914134" w:rsidRPr="00BD4FC2" w:rsidRDefault="00914134" w:rsidP="0024531A">
            <w:pPr>
              <w:rPr>
                <w:rFonts w:ascii="Arial" w:eastAsia="Times New Roman" w:hAnsi="Arial" w:cs="Arial"/>
                <w:sz w:val="16"/>
                <w:szCs w:val="16"/>
                <w:lang w:val="es-ES" w:eastAsia="es-ES"/>
              </w:rPr>
            </w:pPr>
          </w:p>
        </w:tc>
        <w:tc>
          <w:tcPr>
            <w:tcW w:w="1186" w:type="pct"/>
            <w:shd w:val="clear" w:color="auto" w:fill="FFFFFF" w:themeFill="background1"/>
            <w:vAlign w:val="center"/>
            <w:hideMark/>
          </w:tcPr>
          <w:p w14:paraId="0F384D9B"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Ras Laffan 2 </w:t>
            </w:r>
          </w:p>
        </w:tc>
        <w:tc>
          <w:tcPr>
            <w:tcW w:w="901" w:type="pct"/>
            <w:gridSpan w:val="2"/>
            <w:vMerge/>
            <w:shd w:val="clear" w:color="auto" w:fill="FFFFFF" w:themeFill="background1"/>
            <w:vAlign w:val="center"/>
            <w:hideMark/>
          </w:tcPr>
          <w:p w14:paraId="7E05F9BD"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shd w:val="clear" w:color="auto" w:fill="FFFFFF" w:themeFill="background1"/>
            <w:vAlign w:val="center"/>
            <w:hideMark/>
          </w:tcPr>
          <w:p w14:paraId="464ABDF9"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shd w:val="clear" w:color="auto" w:fill="FFFFFF" w:themeFill="background1"/>
            <w:vAlign w:val="center"/>
            <w:hideMark/>
          </w:tcPr>
          <w:p w14:paraId="3C66CC1A"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370612ED" w14:textId="77777777" w:rsidTr="009B4F36">
        <w:trPr>
          <w:gridAfter w:val="2"/>
          <w:wAfter w:w="58" w:type="pct"/>
          <w:trHeight w:val="397"/>
          <w:jc w:val="center"/>
        </w:trPr>
        <w:tc>
          <w:tcPr>
            <w:tcW w:w="821" w:type="pct"/>
            <w:vMerge/>
            <w:shd w:val="clear" w:color="auto" w:fill="FFFFFF" w:themeFill="background1"/>
            <w:vAlign w:val="center"/>
            <w:hideMark/>
          </w:tcPr>
          <w:p w14:paraId="73DBDA0A"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tcBorders>
              <w:bottom w:val="dotted" w:sz="4" w:space="0" w:color="auto"/>
            </w:tcBorders>
            <w:shd w:val="clear" w:color="auto" w:fill="FFFFFF" w:themeFill="background1"/>
            <w:vAlign w:val="center"/>
            <w:hideMark/>
          </w:tcPr>
          <w:p w14:paraId="5448A89E" w14:textId="77777777" w:rsidR="00914134" w:rsidRPr="00BD4FC2" w:rsidRDefault="00914134" w:rsidP="0024531A">
            <w:pPr>
              <w:rPr>
                <w:rFonts w:ascii="Arial" w:eastAsia="Times New Roman" w:hAnsi="Arial" w:cs="Arial"/>
                <w:sz w:val="16"/>
                <w:szCs w:val="16"/>
                <w:lang w:val="es-ES" w:eastAsia="es-ES"/>
              </w:rPr>
            </w:pPr>
          </w:p>
        </w:tc>
        <w:tc>
          <w:tcPr>
            <w:tcW w:w="1186" w:type="pct"/>
            <w:tcBorders>
              <w:bottom w:val="dotted" w:sz="4" w:space="0" w:color="auto"/>
            </w:tcBorders>
            <w:shd w:val="clear" w:color="auto" w:fill="FFFFFF" w:themeFill="background1"/>
            <w:vAlign w:val="center"/>
            <w:hideMark/>
          </w:tcPr>
          <w:p w14:paraId="0279A053"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Ras Laffan 3 </w:t>
            </w:r>
          </w:p>
        </w:tc>
        <w:tc>
          <w:tcPr>
            <w:tcW w:w="901" w:type="pct"/>
            <w:gridSpan w:val="2"/>
            <w:vMerge/>
            <w:tcBorders>
              <w:bottom w:val="dotted" w:sz="4" w:space="0" w:color="auto"/>
            </w:tcBorders>
            <w:shd w:val="clear" w:color="auto" w:fill="FFFFFF" w:themeFill="background1"/>
            <w:vAlign w:val="center"/>
            <w:hideMark/>
          </w:tcPr>
          <w:p w14:paraId="0F084B59"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tcBorders>
              <w:bottom w:val="dotted" w:sz="4" w:space="0" w:color="auto"/>
            </w:tcBorders>
            <w:shd w:val="clear" w:color="auto" w:fill="FFFFFF" w:themeFill="background1"/>
            <w:vAlign w:val="center"/>
            <w:hideMark/>
          </w:tcPr>
          <w:p w14:paraId="4C3F5BD7"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tcBorders>
              <w:bottom w:val="dotted" w:sz="4" w:space="0" w:color="auto"/>
            </w:tcBorders>
            <w:shd w:val="clear" w:color="auto" w:fill="FFFFFF" w:themeFill="background1"/>
            <w:vAlign w:val="center"/>
            <w:hideMark/>
          </w:tcPr>
          <w:p w14:paraId="35B33507"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44890946" w14:textId="77777777" w:rsidTr="009B4F36">
        <w:trPr>
          <w:gridAfter w:val="3"/>
          <w:wAfter w:w="74" w:type="pct"/>
          <w:trHeight w:val="397"/>
          <w:jc w:val="center"/>
        </w:trPr>
        <w:tc>
          <w:tcPr>
            <w:tcW w:w="821" w:type="pct"/>
            <w:vMerge/>
            <w:shd w:val="clear" w:color="auto" w:fill="FFFFFF" w:themeFill="background1"/>
            <w:vAlign w:val="center"/>
            <w:hideMark/>
          </w:tcPr>
          <w:p w14:paraId="7F10EF93"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tcBorders>
              <w:top w:val="dotted" w:sz="4" w:space="0" w:color="auto"/>
              <w:bottom w:val="dotted" w:sz="4" w:space="0" w:color="auto"/>
            </w:tcBorders>
            <w:shd w:val="clear" w:color="auto" w:fill="FFFFFF" w:themeFill="background1"/>
            <w:vAlign w:val="center"/>
            <w:hideMark/>
          </w:tcPr>
          <w:p w14:paraId="47C3E6AB"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Yemen </w:t>
            </w:r>
          </w:p>
        </w:tc>
        <w:tc>
          <w:tcPr>
            <w:tcW w:w="1186" w:type="pct"/>
            <w:tcBorders>
              <w:top w:val="dotted" w:sz="4" w:space="0" w:color="auto"/>
              <w:bottom w:val="dotted" w:sz="4" w:space="0" w:color="auto"/>
            </w:tcBorders>
            <w:shd w:val="clear" w:color="auto" w:fill="FFFFFF" w:themeFill="background1"/>
            <w:vAlign w:val="center"/>
            <w:hideMark/>
          </w:tcPr>
          <w:p w14:paraId="41750929"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Balhaf </w:t>
            </w:r>
          </w:p>
        </w:tc>
        <w:tc>
          <w:tcPr>
            <w:tcW w:w="2173" w:type="pct"/>
            <w:gridSpan w:val="5"/>
            <w:tcBorders>
              <w:top w:val="dotted" w:sz="4" w:space="0" w:color="auto"/>
              <w:bottom w:val="dotted" w:sz="4" w:space="0" w:color="auto"/>
            </w:tcBorders>
            <w:shd w:val="clear" w:color="auto" w:fill="FFFFFF" w:themeFill="background1"/>
            <w:vAlign w:val="center"/>
            <w:hideMark/>
          </w:tcPr>
          <w:p w14:paraId="41ED37F8" w14:textId="77777777" w:rsidR="00914134" w:rsidRPr="00BD4FC2" w:rsidRDefault="00914134" w:rsidP="0024531A">
            <w:pPr>
              <w:jc w:val="center"/>
              <w:rPr>
                <w:rFonts w:ascii="Arial" w:eastAsia="Times New Roman" w:hAnsi="Arial" w:cs="Arial"/>
                <w:color w:val="000000"/>
                <w:sz w:val="16"/>
                <w:szCs w:val="16"/>
                <w:lang w:val="es-ES" w:eastAsia="es-ES"/>
              </w:rPr>
            </w:pPr>
            <w:r w:rsidRPr="00504667">
              <w:rPr>
                <w:rFonts w:ascii="Arial" w:eastAsia="Times New Roman" w:hAnsi="Arial" w:cs="Arial"/>
                <w:color w:val="000000"/>
                <w:sz w:val="16"/>
                <w:szCs w:val="16"/>
                <w:lang w:val="es-ES" w:eastAsia="es-ES"/>
              </w:rPr>
              <w:t>No exporto en 2017</w:t>
            </w:r>
          </w:p>
        </w:tc>
      </w:tr>
      <w:tr w:rsidR="00914134" w:rsidRPr="00BD4FC2" w14:paraId="74CC2666" w14:textId="77777777" w:rsidTr="009B4F36">
        <w:trPr>
          <w:gridAfter w:val="2"/>
          <w:wAfter w:w="58" w:type="pct"/>
          <w:trHeight w:val="397"/>
          <w:jc w:val="center"/>
        </w:trPr>
        <w:tc>
          <w:tcPr>
            <w:tcW w:w="821" w:type="pct"/>
            <w:vMerge/>
            <w:shd w:val="clear" w:color="auto" w:fill="FFFFFF" w:themeFill="background1"/>
            <w:vAlign w:val="center"/>
            <w:hideMark/>
          </w:tcPr>
          <w:p w14:paraId="583596A6"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tcBorders>
              <w:top w:val="dotted" w:sz="4" w:space="0" w:color="auto"/>
              <w:bottom w:val="dotted" w:sz="4" w:space="0" w:color="auto"/>
            </w:tcBorders>
            <w:shd w:val="clear" w:color="auto" w:fill="FFFFFF" w:themeFill="background1"/>
            <w:vAlign w:val="center"/>
            <w:hideMark/>
          </w:tcPr>
          <w:p w14:paraId="1AE13E71"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Emiratos Arabes </w:t>
            </w:r>
          </w:p>
        </w:tc>
        <w:tc>
          <w:tcPr>
            <w:tcW w:w="1186" w:type="pct"/>
            <w:tcBorders>
              <w:top w:val="dotted" w:sz="4" w:space="0" w:color="auto"/>
              <w:bottom w:val="dotted" w:sz="4" w:space="0" w:color="auto"/>
            </w:tcBorders>
            <w:shd w:val="clear" w:color="auto" w:fill="FFFFFF" w:themeFill="background1"/>
            <w:vAlign w:val="center"/>
            <w:hideMark/>
          </w:tcPr>
          <w:p w14:paraId="4E252A40"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Das Island </w:t>
            </w:r>
          </w:p>
        </w:tc>
        <w:tc>
          <w:tcPr>
            <w:tcW w:w="901" w:type="pct"/>
            <w:gridSpan w:val="2"/>
            <w:tcBorders>
              <w:top w:val="dotted" w:sz="4" w:space="0" w:color="auto"/>
              <w:bottom w:val="dotted" w:sz="4" w:space="0" w:color="auto"/>
            </w:tcBorders>
            <w:shd w:val="clear" w:color="auto" w:fill="FFFFFF" w:themeFill="background1"/>
            <w:noWrap/>
            <w:vAlign w:val="center"/>
            <w:hideMark/>
          </w:tcPr>
          <w:p w14:paraId="02D2B1BF"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5.59</w:t>
            </w:r>
          </w:p>
        </w:tc>
        <w:tc>
          <w:tcPr>
            <w:tcW w:w="769" w:type="pct"/>
            <w:gridSpan w:val="2"/>
            <w:tcBorders>
              <w:top w:val="dotted" w:sz="4" w:space="0" w:color="auto"/>
              <w:bottom w:val="dotted" w:sz="4" w:space="0" w:color="auto"/>
            </w:tcBorders>
            <w:shd w:val="clear" w:color="auto" w:fill="FFFFFF" w:themeFill="background1"/>
            <w:noWrap/>
            <w:vAlign w:val="center"/>
            <w:hideMark/>
          </w:tcPr>
          <w:p w14:paraId="67F98D5A"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13.09</w:t>
            </w:r>
          </w:p>
        </w:tc>
        <w:tc>
          <w:tcPr>
            <w:tcW w:w="519" w:type="pct"/>
            <w:gridSpan w:val="2"/>
            <w:tcBorders>
              <w:top w:val="dotted" w:sz="4" w:space="0" w:color="auto"/>
              <w:bottom w:val="dotted" w:sz="4" w:space="0" w:color="auto"/>
            </w:tcBorders>
            <w:shd w:val="clear" w:color="auto" w:fill="FFFFFF" w:themeFill="background1"/>
            <w:noWrap/>
            <w:vAlign w:val="center"/>
            <w:hideMark/>
          </w:tcPr>
          <w:p w14:paraId="6BB0B2E7"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0.49</w:t>
            </w:r>
          </w:p>
        </w:tc>
      </w:tr>
      <w:tr w:rsidR="00914134" w:rsidRPr="00BD4FC2" w14:paraId="5166745B" w14:textId="77777777" w:rsidTr="009B4F36">
        <w:trPr>
          <w:gridAfter w:val="2"/>
          <w:wAfter w:w="58" w:type="pct"/>
          <w:trHeight w:val="397"/>
          <w:jc w:val="center"/>
        </w:trPr>
        <w:tc>
          <w:tcPr>
            <w:tcW w:w="821" w:type="pct"/>
            <w:vMerge/>
            <w:tcBorders>
              <w:bottom w:val="single" w:sz="4" w:space="0" w:color="auto"/>
            </w:tcBorders>
            <w:shd w:val="clear" w:color="auto" w:fill="FFFFFF" w:themeFill="background1"/>
            <w:vAlign w:val="center"/>
            <w:hideMark/>
          </w:tcPr>
          <w:p w14:paraId="56EA1934"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tcBorders>
              <w:top w:val="dotted" w:sz="4" w:space="0" w:color="auto"/>
              <w:bottom w:val="single" w:sz="4" w:space="0" w:color="auto"/>
            </w:tcBorders>
            <w:shd w:val="clear" w:color="auto" w:fill="FFFFFF" w:themeFill="background1"/>
            <w:vAlign w:val="center"/>
            <w:hideMark/>
          </w:tcPr>
          <w:p w14:paraId="6DD5CD5C"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Oman </w:t>
            </w:r>
          </w:p>
        </w:tc>
        <w:tc>
          <w:tcPr>
            <w:tcW w:w="1186" w:type="pct"/>
            <w:tcBorders>
              <w:top w:val="dotted" w:sz="4" w:space="0" w:color="auto"/>
              <w:bottom w:val="single" w:sz="4" w:space="0" w:color="auto"/>
            </w:tcBorders>
            <w:shd w:val="clear" w:color="auto" w:fill="FFFFFF" w:themeFill="background1"/>
            <w:vAlign w:val="center"/>
            <w:hideMark/>
          </w:tcPr>
          <w:p w14:paraId="3E342AB9"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Qalhat </w:t>
            </w:r>
          </w:p>
        </w:tc>
        <w:tc>
          <w:tcPr>
            <w:tcW w:w="901" w:type="pct"/>
            <w:gridSpan w:val="2"/>
            <w:tcBorders>
              <w:top w:val="dotted" w:sz="4" w:space="0" w:color="auto"/>
              <w:bottom w:val="single" w:sz="4" w:space="0" w:color="auto"/>
            </w:tcBorders>
            <w:shd w:val="clear" w:color="auto" w:fill="FFFFFF" w:themeFill="background1"/>
            <w:noWrap/>
            <w:vAlign w:val="center"/>
            <w:hideMark/>
          </w:tcPr>
          <w:p w14:paraId="7257CF0D"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8.24</w:t>
            </w:r>
          </w:p>
        </w:tc>
        <w:tc>
          <w:tcPr>
            <w:tcW w:w="769" w:type="pct"/>
            <w:gridSpan w:val="2"/>
            <w:tcBorders>
              <w:top w:val="dotted" w:sz="4" w:space="0" w:color="auto"/>
              <w:bottom w:val="single" w:sz="4" w:space="0" w:color="auto"/>
            </w:tcBorders>
            <w:shd w:val="clear" w:color="auto" w:fill="FFFFFF" w:themeFill="background1"/>
            <w:noWrap/>
            <w:vAlign w:val="center"/>
            <w:hideMark/>
          </w:tcPr>
          <w:p w14:paraId="2DAF0961"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19.29</w:t>
            </w:r>
          </w:p>
        </w:tc>
        <w:tc>
          <w:tcPr>
            <w:tcW w:w="519" w:type="pct"/>
            <w:gridSpan w:val="2"/>
            <w:tcBorders>
              <w:top w:val="dotted" w:sz="4" w:space="0" w:color="auto"/>
              <w:bottom w:val="single" w:sz="4" w:space="0" w:color="auto"/>
            </w:tcBorders>
            <w:shd w:val="clear" w:color="auto" w:fill="FFFFFF" w:themeFill="background1"/>
            <w:noWrap/>
            <w:vAlign w:val="center"/>
            <w:hideMark/>
          </w:tcPr>
          <w:p w14:paraId="2F079832"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5.99</w:t>
            </w:r>
          </w:p>
        </w:tc>
      </w:tr>
      <w:tr w:rsidR="00914134" w:rsidRPr="00BD4FC2" w14:paraId="28FE5C11" w14:textId="77777777" w:rsidTr="009B4F36">
        <w:trPr>
          <w:gridAfter w:val="2"/>
          <w:wAfter w:w="58" w:type="pct"/>
          <w:trHeight w:val="397"/>
          <w:jc w:val="center"/>
        </w:trPr>
        <w:tc>
          <w:tcPr>
            <w:tcW w:w="821" w:type="pct"/>
            <w:vMerge w:val="restart"/>
            <w:tcBorders>
              <w:top w:val="single" w:sz="4" w:space="0" w:color="auto"/>
            </w:tcBorders>
            <w:shd w:val="clear" w:color="auto" w:fill="FFFFFF" w:themeFill="background1"/>
            <w:noWrap/>
            <w:vAlign w:val="center"/>
            <w:hideMark/>
          </w:tcPr>
          <w:p w14:paraId="628A97C1"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Sureste Asiático</w:t>
            </w:r>
          </w:p>
        </w:tc>
        <w:tc>
          <w:tcPr>
            <w:tcW w:w="746" w:type="pct"/>
            <w:tcBorders>
              <w:top w:val="single" w:sz="4" w:space="0" w:color="auto"/>
              <w:bottom w:val="dotted" w:sz="4" w:space="0" w:color="auto"/>
            </w:tcBorders>
            <w:shd w:val="clear" w:color="auto" w:fill="FFFFFF" w:themeFill="background1"/>
            <w:vAlign w:val="center"/>
            <w:hideMark/>
          </w:tcPr>
          <w:p w14:paraId="79ECB900"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Brunei </w:t>
            </w:r>
          </w:p>
        </w:tc>
        <w:tc>
          <w:tcPr>
            <w:tcW w:w="1186" w:type="pct"/>
            <w:tcBorders>
              <w:top w:val="single" w:sz="4" w:space="0" w:color="auto"/>
              <w:bottom w:val="dotted" w:sz="4" w:space="0" w:color="auto"/>
            </w:tcBorders>
            <w:shd w:val="clear" w:color="auto" w:fill="FFFFFF" w:themeFill="background1"/>
            <w:vAlign w:val="center"/>
            <w:hideMark/>
          </w:tcPr>
          <w:p w14:paraId="098238CD"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Lumut </w:t>
            </w:r>
          </w:p>
        </w:tc>
        <w:tc>
          <w:tcPr>
            <w:tcW w:w="901" w:type="pct"/>
            <w:gridSpan w:val="2"/>
            <w:tcBorders>
              <w:top w:val="single" w:sz="4" w:space="0" w:color="auto"/>
              <w:bottom w:val="dotted" w:sz="4" w:space="0" w:color="auto"/>
            </w:tcBorders>
            <w:shd w:val="clear" w:color="auto" w:fill="FFFFFF" w:themeFill="background1"/>
            <w:noWrap/>
            <w:vAlign w:val="center"/>
            <w:hideMark/>
          </w:tcPr>
          <w:p w14:paraId="63C9D76E"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6.88</w:t>
            </w:r>
          </w:p>
        </w:tc>
        <w:tc>
          <w:tcPr>
            <w:tcW w:w="769" w:type="pct"/>
            <w:gridSpan w:val="2"/>
            <w:tcBorders>
              <w:top w:val="single" w:sz="4" w:space="0" w:color="auto"/>
              <w:bottom w:val="dotted" w:sz="4" w:space="0" w:color="auto"/>
            </w:tcBorders>
            <w:shd w:val="clear" w:color="auto" w:fill="FFFFFF" w:themeFill="background1"/>
            <w:noWrap/>
            <w:vAlign w:val="center"/>
            <w:hideMark/>
          </w:tcPr>
          <w:p w14:paraId="515A7153"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16.10</w:t>
            </w:r>
          </w:p>
        </w:tc>
        <w:tc>
          <w:tcPr>
            <w:tcW w:w="519" w:type="pct"/>
            <w:gridSpan w:val="2"/>
            <w:tcBorders>
              <w:top w:val="single" w:sz="4" w:space="0" w:color="auto"/>
              <w:bottom w:val="dotted" w:sz="4" w:space="0" w:color="auto"/>
            </w:tcBorders>
            <w:shd w:val="clear" w:color="auto" w:fill="FFFFFF" w:themeFill="background1"/>
            <w:noWrap/>
            <w:vAlign w:val="center"/>
            <w:hideMark/>
          </w:tcPr>
          <w:p w14:paraId="15BA593E"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0.75</w:t>
            </w:r>
          </w:p>
        </w:tc>
      </w:tr>
      <w:tr w:rsidR="00914134" w:rsidRPr="00BD4FC2" w14:paraId="2CD597F9" w14:textId="77777777" w:rsidTr="009B4F36">
        <w:trPr>
          <w:gridAfter w:val="2"/>
          <w:wAfter w:w="58" w:type="pct"/>
          <w:trHeight w:val="397"/>
          <w:jc w:val="center"/>
        </w:trPr>
        <w:tc>
          <w:tcPr>
            <w:tcW w:w="821" w:type="pct"/>
            <w:vMerge/>
            <w:shd w:val="clear" w:color="auto" w:fill="FFFFFF" w:themeFill="background1"/>
            <w:vAlign w:val="center"/>
            <w:hideMark/>
          </w:tcPr>
          <w:p w14:paraId="411EC906"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val="restart"/>
            <w:tcBorders>
              <w:top w:val="dotted" w:sz="4" w:space="0" w:color="auto"/>
            </w:tcBorders>
            <w:shd w:val="clear" w:color="auto" w:fill="FFFFFF" w:themeFill="background1"/>
            <w:vAlign w:val="center"/>
            <w:hideMark/>
          </w:tcPr>
          <w:p w14:paraId="5512C4A5"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Indonesia </w:t>
            </w:r>
          </w:p>
        </w:tc>
        <w:tc>
          <w:tcPr>
            <w:tcW w:w="1186" w:type="pct"/>
            <w:tcBorders>
              <w:top w:val="dotted" w:sz="4" w:space="0" w:color="auto"/>
            </w:tcBorders>
            <w:shd w:val="clear" w:color="auto" w:fill="FFFFFF" w:themeFill="background1"/>
            <w:vAlign w:val="center"/>
            <w:hideMark/>
          </w:tcPr>
          <w:p w14:paraId="4C0EC322"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Blang Lancang Arun </w:t>
            </w:r>
          </w:p>
        </w:tc>
        <w:tc>
          <w:tcPr>
            <w:tcW w:w="901" w:type="pct"/>
            <w:gridSpan w:val="2"/>
            <w:vMerge w:val="restart"/>
            <w:tcBorders>
              <w:top w:val="dotted" w:sz="4" w:space="0" w:color="auto"/>
            </w:tcBorders>
            <w:shd w:val="clear" w:color="auto" w:fill="FFFFFF" w:themeFill="background1"/>
            <w:noWrap/>
            <w:vAlign w:val="center"/>
            <w:hideMark/>
          </w:tcPr>
          <w:p w14:paraId="6D60DD58"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18.71</w:t>
            </w:r>
          </w:p>
        </w:tc>
        <w:tc>
          <w:tcPr>
            <w:tcW w:w="769" w:type="pct"/>
            <w:gridSpan w:val="2"/>
            <w:vMerge w:val="restart"/>
            <w:tcBorders>
              <w:top w:val="dotted" w:sz="4" w:space="0" w:color="auto"/>
            </w:tcBorders>
            <w:shd w:val="clear" w:color="auto" w:fill="FFFFFF" w:themeFill="background1"/>
            <w:noWrap/>
            <w:vAlign w:val="center"/>
            <w:hideMark/>
          </w:tcPr>
          <w:p w14:paraId="38186BAF"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43.80</w:t>
            </w:r>
          </w:p>
        </w:tc>
        <w:tc>
          <w:tcPr>
            <w:tcW w:w="519" w:type="pct"/>
            <w:gridSpan w:val="2"/>
            <w:vMerge w:val="restart"/>
            <w:tcBorders>
              <w:top w:val="dotted" w:sz="4" w:space="0" w:color="auto"/>
            </w:tcBorders>
            <w:shd w:val="clear" w:color="auto" w:fill="FFFFFF" w:themeFill="background1"/>
            <w:noWrap/>
            <w:vAlign w:val="center"/>
            <w:hideMark/>
          </w:tcPr>
          <w:p w14:paraId="1BE7F603"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5.59</w:t>
            </w:r>
          </w:p>
        </w:tc>
      </w:tr>
      <w:tr w:rsidR="00914134" w:rsidRPr="00BD4FC2" w14:paraId="4F4B797A" w14:textId="77777777" w:rsidTr="009B4F36">
        <w:trPr>
          <w:gridAfter w:val="2"/>
          <w:wAfter w:w="58" w:type="pct"/>
          <w:trHeight w:val="397"/>
          <w:jc w:val="center"/>
        </w:trPr>
        <w:tc>
          <w:tcPr>
            <w:tcW w:w="821" w:type="pct"/>
            <w:vMerge/>
            <w:shd w:val="clear" w:color="auto" w:fill="FFFFFF" w:themeFill="background1"/>
            <w:vAlign w:val="center"/>
            <w:hideMark/>
          </w:tcPr>
          <w:p w14:paraId="1933FEDB"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shd w:val="clear" w:color="auto" w:fill="FFFFFF" w:themeFill="background1"/>
            <w:vAlign w:val="center"/>
            <w:hideMark/>
          </w:tcPr>
          <w:p w14:paraId="7AC4D166" w14:textId="77777777" w:rsidR="00914134" w:rsidRPr="00BD4FC2" w:rsidRDefault="00914134" w:rsidP="0024531A">
            <w:pPr>
              <w:rPr>
                <w:rFonts w:ascii="Arial" w:eastAsia="Times New Roman" w:hAnsi="Arial" w:cs="Arial"/>
                <w:sz w:val="16"/>
                <w:szCs w:val="16"/>
                <w:lang w:val="es-ES" w:eastAsia="es-ES"/>
              </w:rPr>
            </w:pPr>
          </w:p>
        </w:tc>
        <w:tc>
          <w:tcPr>
            <w:tcW w:w="1186" w:type="pct"/>
            <w:shd w:val="clear" w:color="auto" w:fill="FFFFFF" w:themeFill="background1"/>
            <w:vAlign w:val="center"/>
            <w:hideMark/>
          </w:tcPr>
          <w:p w14:paraId="6BA23EF2"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Bontang Badak </w:t>
            </w:r>
          </w:p>
        </w:tc>
        <w:tc>
          <w:tcPr>
            <w:tcW w:w="901" w:type="pct"/>
            <w:gridSpan w:val="2"/>
            <w:vMerge/>
            <w:shd w:val="clear" w:color="auto" w:fill="FFFFFF" w:themeFill="background1"/>
            <w:vAlign w:val="center"/>
            <w:hideMark/>
          </w:tcPr>
          <w:p w14:paraId="4A55C4B9"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shd w:val="clear" w:color="auto" w:fill="FFFFFF" w:themeFill="background1"/>
            <w:vAlign w:val="center"/>
            <w:hideMark/>
          </w:tcPr>
          <w:p w14:paraId="5768BBF5"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shd w:val="clear" w:color="auto" w:fill="FFFFFF" w:themeFill="background1"/>
            <w:vAlign w:val="center"/>
            <w:hideMark/>
          </w:tcPr>
          <w:p w14:paraId="67FF7C2B"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59E86F2C" w14:textId="77777777" w:rsidTr="009B4F36">
        <w:trPr>
          <w:gridAfter w:val="2"/>
          <w:wAfter w:w="58" w:type="pct"/>
          <w:trHeight w:val="397"/>
          <w:jc w:val="center"/>
        </w:trPr>
        <w:tc>
          <w:tcPr>
            <w:tcW w:w="821" w:type="pct"/>
            <w:vMerge/>
            <w:tcBorders>
              <w:bottom w:val="single" w:sz="4" w:space="0" w:color="auto"/>
            </w:tcBorders>
            <w:shd w:val="clear" w:color="auto" w:fill="FFFFFF" w:themeFill="background1"/>
            <w:vAlign w:val="center"/>
            <w:hideMark/>
          </w:tcPr>
          <w:p w14:paraId="1D8020D4"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tcBorders>
              <w:bottom w:val="single" w:sz="4" w:space="0" w:color="auto"/>
            </w:tcBorders>
            <w:shd w:val="clear" w:color="auto" w:fill="FFFFFF" w:themeFill="background1"/>
            <w:vAlign w:val="center"/>
            <w:hideMark/>
          </w:tcPr>
          <w:p w14:paraId="577820E2" w14:textId="77777777" w:rsidR="00914134" w:rsidRPr="00BD4FC2" w:rsidRDefault="00914134" w:rsidP="0024531A">
            <w:pPr>
              <w:rPr>
                <w:rFonts w:ascii="Arial" w:eastAsia="Times New Roman" w:hAnsi="Arial" w:cs="Arial"/>
                <w:sz w:val="16"/>
                <w:szCs w:val="16"/>
                <w:lang w:val="es-ES" w:eastAsia="es-ES"/>
              </w:rPr>
            </w:pPr>
          </w:p>
        </w:tc>
        <w:tc>
          <w:tcPr>
            <w:tcW w:w="1186" w:type="pct"/>
            <w:tcBorders>
              <w:left w:val="nil"/>
            </w:tcBorders>
            <w:shd w:val="clear" w:color="auto" w:fill="FFFFFF" w:themeFill="background1"/>
            <w:vAlign w:val="center"/>
            <w:hideMark/>
          </w:tcPr>
          <w:p w14:paraId="36925CF6"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Donggi-Senoro </w:t>
            </w:r>
          </w:p>
        </w:tc>
        <w:tc>
          <w:tcPr>
            <w:tcW w:w="901" w:type="pct"/>
            <w:gridSpan w:val="2"/>
            <w:vMerge/>
            <w:tcBorders>
              <w:left w:val="nil"/>
              <w:bottom w:val="single" w:sz="4" w:space="0" w:color="auto"/>
            </w:tcBorders>
            <w:shd w:val="clear" w:color="auto" w:fill="FFFFFF" w:themeFill="background1"/>
            <w:vAlign w:val="center"/>
            <w:hideMark/>
          </w:tcPr>
          <w:p w14:paraId="2805218F"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tcBorders>
              <w:bottom w:val="single" w:sz="4" w:space="0" w:color="auto"/>
            </w:tcBorders>
            <w:shd w:val="clear" w:color="auto" w:fill="FFFFFF" w:themeFill="background1"/>
            <w:vAlign w:val="center"/>
            <w:hideMark/>
          </w:tcPr>
          <w:p w14:paraId="67E53CC5"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tcBorders>
              <w:bottom w:val="single" w:sz="4" w:space="0" w:color="auto"/>
            </w:tcBorders>
            <w:shd w:val="clear" w:color="auto" w:fill="FFFFFF" w:themeFill="background1"/>
            <w:vAlign w:val="center"/>
            <w:hideMark/>
          </w:tcPr>
          <w:p w14:paraId="605938E4"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13386471" w14:textId="77777777" w:rsidTr="009B4F36">
        <w:trPr>
          <w:gridAfter w:val="2"/>
          <w:wAfter w:w="58" w:type="pct"/>
          <w:trHeight w:val="397"/>
          <w:jc w:val="center"/>
        </w:trPr>
        <w:tc>
          <w:tcPr>
            <w:tcW w:w="821" w:type="pct"/>
            <w:vMerge/>
            <w:tcBorders>
              <w:top w:val="dotted" w:sz="4" w:space="0" w:color="auto"/>
            </w:tcBorders>
            <w:shd w:val="clear" w:color="auto" w:fill="FFFFFF" w:themeFill="background1"/>
            <w:vAlign w:val="center"/>
            <w:hideMark/>
          </w:tcPr>
          <w:p w14:paraId="44FDDDD9"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tcBorders>
              <w:top w:val="dotted" w:sz="4" w:space="0" w:color="auto"/>
              <w:bottom w:val="dotted" w:sz="4" w:space="0" w:color="auto"/>
            </w:tcBorders>
            <w:shd w:val="clear" w:color="auto" w:fill="FFFFFF" w:themeFill="background1"/>
            <w:vAlign w:val="center"/>
            <w:hideMark/>
          </w:tcPr>
          <w:p w14:paraId="5A34B921" w14:textId="77777777" w:rsidR="00914134" w:rsidRPr="00BD4FC2" w:rsidRDefault="00914134" w:rsidP="0024531A">
            <w:pPr>
              <w:rPr>
                <w:rFonts w:ascii="Arial" w:eastAsia="Times New Roman" w:hAnsi="Arial" w:cs="Arial"/>
                <w:sz w:val="16"/>
                <w:szCs w:val="16"/>
                <w:lang w:val="es-ES" w:eastAsia="es-ES"/>
              </w:rPr>
            </w:pPr>
          </w:p>
        </w:tc>
        <w:tc>
          <w:tcPr>
            <w:tcW w:w="1186" w:type="pct"/>
            <w:tcBorders>
              <w:bottom w:val="dotted" w:sz="4" w:space="0" w:color="auto"/>
            </w:tcBorders>
            <w:shd w:val="clear" w:color="auto" w:fill="FFFFFF" w:themeFill="background1"/>
            <w:vAlign w:val="center"/>
            <w:hideMark/>
          </w:tcPr>
          <w:p w14:paraId="33AF0506"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Tangguh </w:t>
            </w:r>
          </w:p>
        </w:tc>
        <w:tc>
          <w:tcPr>
            <w:tcW w:w="901" w:type="pct"/>
            <w:gridSpan w:val="2"/>
            <w:vMerge/>
            <w:tcBorders>
              <w:top w:val="dotted" w:sz="4" w:space="0" w:color="auto"/>
              <w:bottom w:val="dotted" w:sz="4" w:space="0" w:color="auto"/>
            </w:tcBorders>
            <w:shd w:val="clear" w:color="auto" w:fill="FFFFFF" w:themeFill="background1"/>
            <w:vAlign w:val="center"/>
            <w:hideMark/>
          </w:tcPr>
          <w:p w14:paraId="5C608F72"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tcBorders>
              <w:top w:val="dotted" w:sz="4" w:space="0" w:color="auto"/>
              <w:bottom w:val="dotted" w:sz="4" w:space="0" w:color="auto"/>
            </w:tcBorders>
            <w:shd w:val="clear" w:color="auto" w:fill="FFFFFF" w:themeFill="background1"/>
            <w:vAlign w:val="center"/>
            <w:hideMark/>
          </w:tcPr>
          <w:p w14:paraId="7F6BE133"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tcBorders>
              <w:top w:val="dotted" w:sz="4" w:space="0" w:color="auto"/>
              <w:bottom w:val="dotted" w:sz="4" w:space="0" w:color="auto"/>
            </w:tcBorders>
            <w:shd w:val="clear" w:color="auto" w:fill="FFFFFF" w:themeFill="background1"/>
            <w:vAlign w:val="center"/>
            <w:hideMark/>
          </w:tcPr>
          <w:p w14:paraId="68AB6B18"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67490F46" w14:textId="77777777" w:rsidTr="009B4F36">
        <w:trPr>
          <w:gridAfter w:val="2"/>
          <w:wAfter w:w="58" w:type="pct"/>
          <w:trHeight w:val="397"/>
          <w:jc w:val="center"/>
        </w:trPr>
        <w:tc>
          <w:tcPr>
            <w:tcW w:w="821" w:type="pct"/>
            <w:vMerge/>
            <w:shd w:val="clear" w:color="auto" w:fill="FFFFFF" w:themeFill="background1"/>
            <w:vAlign w:val="center"/>
            <w:hideMark/>
          </w:tcPr>
          <w:p w14:paraId="75720C07"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val="restart"/>
            <w:tcBorders>
              <w:top w:val="dotted" w:sz="4" w:space="0" w:color="auto"/>
            </w:tcBorders>
            <w:shd w:val="clear" w:color="auto" w:fill="FFFFFF" w:themeFill="background1"/>
            <w:vAlign w:val="center"/>
            <w:hideMark/>
          </w:tcPr>
          <w:p w14:paraId="33446599"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Malasia </w:t>
            </w:r>
          </w:p>
        </w:tc>
        <w:tc>
          <w:tcPr>
            <w:tcW w:w="1186" w:type="pct"/>
            <w:tcBorders>
              <w:top w:val="dotted" w:sz="4" w:space="0" w:color="auto"/>
            </w:tcBorders>
            <w:shd w:val="clear" w:color="auto" w:fill="FFFFFF" w:themeFill="background1"/>
            <w:vAlign w:val="center"/>
            <w:hideMark/>
          </w:tcPr>
          <w:p w14:paraId="61FA7E90"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Bintulu MLNG 1 </w:t>
            </w:r>
          </w:p>
        </w:tc>
        <w:tc>
          <w:tcPr>
            <w:tcW w:w="901" w:type="pct"/>
            <w:gridSpan w:val="2"/>
            <w:vMerge w:val="restart"/>
            <w:tcBorders>
              <w:top w:val="dotted" w:sz="4" w:space="0" w:color="auto"/>
            </w:tcBorders>
            <w:shd w:val="clear" w:color="auto" w:fill="FFFFFF" w:themeFill="background1"/>
            <w:noWrap/>
            <w:vAlign w:val="center"/>
            <w:hideMark/>
          </w:tcPr>
          <w:p w14:paraId="61D64E4D"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26.87</w:t>
            </w:r>
          </w:p>
        </w:tc>
        <w:tc>
          <w:tcPr>
            <w:tcW w:w="769" w:type="pct"/>
            <w:gridSpan w:val="2"/>
            <w:vMerge w:val="restart"/>
            <w:tcBorders>
              <w:top w:val="dotted" w:sz="4" w:space="0" w:color="auto"/>
            </w:tcBorders>
            <w:shd w:val="clear" w:color="auto" w:fill="FFFFFF" w:themeFill="background1"/>
            <w:noWrap/>
            <w:vAlign w:val="center"/>
            <w:hideMark/>
          </w:tcPr>
          <w:p w14:paraId="7586C0B4"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62.90</w:t>
            </w:r>
          </w:p>
        </w:tc>
        <w:tc>
          <w:tcPr>
            <w:tcW w:w="519" w:type="pct"/>
            <w:gridSpan w:val="2"/>
            <w:vMerge w:val="restart"/>
            <w:tcBorders>
              <w:top w:val="dotted" w:sz="4" w:space="0" w:color="auto"/>
            </w:tcBorders>
            <w:shd w:val="clear" w:color="auto" w:fill="FFFFFF" w:themeFill="background1"/>
            <w:noWrap/>
            <w:vAlign w:val="center"/>
            <w:hideMark/>
          </w:tcPr>
          <w:p w14:paraId="4D9BA656"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8.50</w:t>
            </w:r>
          </w:p>
        </w:tc>
      </w:tr>
      <w:tr w:rsidR="00914134" w:rsidRPr="00BD4FC2" w14:paraId="36E83C31" w14:textId="77777777" w:rsidTr="009B4F36">
        <w:trPr>
          <w:gridAfter w:val="2"/>
          <w:wAfter w:w="58" w:type="pct"/>
          <w:trHeight w:val="397"/>
          <w:jc w:val="center"/>
        </w:trPr>
        <w:tc>
          <w:tcPr>
            <w:tcW w:w="821" w:type="pct"/>
            <w:vMerge/>
            <w:shd w:val="clear" w:color="auto" w:fill="FFFFFF" w:themeFill="background1"/>
            <w:vAlign w:val="center"/>
            <w:hideMark/>
          </w:tcPr>
          <w:p w14:paraId="78DBEF0E"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shd w:val="clear" w:color="auto" w:fill="FFFFFF" w:themeFill="background1"/>
            <w:vAlign w:val="center"/>
            <w:hideMark/>
          </w:tcPr>
          <w:p w14:paraId="286EEB3E" w14:textId="77777777" w:rsidR="00914134" w:rsidRPr="00BD4FC2" w:rsidRDefault="00914134" w:rsidP="0024531A">
            <w:pPr>
              <w:rPr>
                <w:rFonts w:ascii="Arial" w:eastAsia="Times New Roman" w:hAnsi="Arial" w:cs="Arial"/>
                <w:sz w:val="16"/>
                <w:szCs w:val="16"/>
                <w:lang w:val="es-ES" w:eastAsia="es-ES"/>
              </w:rPr>
            </w:pPr>
          </w:p>
        </w:tc>
        <w:tc>
          <w:tcPr>
            <w:tcW w:w="1186" w:type="pct"/>
            <w:shd w:val="clear" w:color="auto" w:fill="FFFFFF" w:themeFill="background1"/>
            <w:vAlign w:val="center"/>
            <w:hideMark/>
          </w:tcPr>
          <w:p w14:paraId="42436671"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Bintulu MLNG 2 </w:t>
            </w:r>
          </w:p>
        </w:tc>
        <w:tc>
          <w:tcPr>
            <w:tcW w:w="901" w:type="pct"/>
            <w:gridSpan w:val="2"/>
            <w:vMerge/>
            <w:shd w:val="clear" w:color="auto" w:fill="FFFFFF" w:themeFill="background1"/>
            <w:vAlign w:val="center"/>
            <w:hideMark/>
          </w:tcPr>
          <w:p w14:paraId="2EBDCA61"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shd w:val="clear" w:color="auto" w:fill="FFFFFF" w:themeFill="background1"/>
            <w:vAlign w:val="center"/>
            <w:hideMark/>
          </w:tcPr>
          <w:p w14:paraId="4209B019"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shd w:val="clear" w:color="auto" w:fill="FFFFFF" w:themeFill="background1"/>
            <w:vAlign w:val="center"/>
            <w:hideMark/>
          </w:tcPr>
          <w:p w14:paraId="08B58627"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3C5BCA67" w14:textId="77777777" w:rsidTr="009B4F36">
        <w:trPr>
          <w:gridAfter w:val="2"/>
          <w:wAfter w:w="58" w:type="pct"/>
          <w:trHeight w:val="397"/>
          <w:jc w:val="center"/>
        </w:trPr>
        <w:tc>
          <w:tcPr>
            <w:tcW w:w="821" w:type="pct"/>
            <w:vMerge/>
            <w:shd w:val="clear" w:color="auto" w:fill="FFFFFF" w:themeFill="background1"/>
            <w:vAlign w:val="center"/>
            <w:hideMark/>
          </w:tcPr>
          <w:p w14:paraId="0659FC38"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shd w:val="clear" w:color="auto" w:fill="FFFFFF" w:themeFill="background1"/>
            <w:vAlign w:val="center"/>
            <w:hideMark/>
          </w:tcPr>
          <w:p w14:paraId="452DB0B5" w14:textId="77777777" w:rsidR="00914134" w:rsidRPr="00BD4FC2" w:rsidRDefault="00914134" w:rsidP="0024531A">
            <w:pPr>
              <w:rPr>
                <w:rFonts w:ascii="Arial" w:eastAsia="Times New Roman" w:hAnsi="Arial" w:cs="Arial"/>
                <w:sz w:val="16"/>
                <w:szCs w:val="16"/>
                <w:lang w:val="es-ES" w:eastAsia="es-ES"/>
              </w:rPr>
            </w:pPr>
          </w:p>
        </w:tc>
        <w:tc>
          <w:tcPr>
            <w:tcW w:w="1186" w:type="pct"/>
            <w:shd w:val="clear" w:color="auto" w:fill="FFFFFF" w:themeFill="background1"/>
            <w:vAlign w:val="center"/>
            <w:hideMark/>
          </w:tcPr>
          <w:p w14:paraId="04E0EAB9"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Bintulu MLNG 3 </w:t>
            </w:r>
          </w:p>
        </w:tc>
        <w:tc>
          <w:tcPr>
            <w:tcW w:w="901" w:type="pct"/>
            <w:gridSpan w:val="2"/>
            <w:vMerge/>
            <w:shd w:val="clear" w:color="auto" w:fill="FFFFFF" w:themeFill="background1"/>
            <w:vAlign w:val="center"/>
            <w:hideMark/>
          </w:tcPr>
          <w:p w14:paraId="43995BF3"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shd w:val="clear" w:color="auto" w:fill="FFFFFF" w:themeFill="background1"/>
            <w:vAlign w:val="center"/>
            <w:hideMark/>
          </w:tcPr>
          <w:p w14:paraId="6D696193"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shd w:val="clear" w:color="auto" w:fill="FFFFFF" w:themeFill="background1"/>
            <w:vAlign w:val="center"/>
            <w:hideMark/>
          </w:tcPr>
          <w:p w14:paraId="7ED13E9B"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09894F29" w14:textId="77777777" w:rsidTr="009B4F36">
        <w:trPr>
          <w:gridAfter w:val="2"/>
          <w:wAfter w:w="58" w:type="pct"/>
          <w:trHeight w:val="397"/>
          <w:jc w:val="center"/>
        </w:trPr>
        <w:tc>
          <w:tcPr>
            <w:tcW w:w="821" w:type="pct"/>
            <w:tcBorders>
              <w:top w:val="single" w:sz="4" w:space="0" w:color="auto"/>
              <w:bottom w:val="single" w:sz="4" w:space="0" w:color="auto"/>
            </w:tcBorders>
            <w:shd w:val="clear" w:color="auto" w:fill="FFFFFF" w:themeFill="background1"/>
            <w:vAlign w:val="center"/>
            <w:hideMark/>
          </w:tcPr>
          <w:p w14:paraId="2870A244"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Norte de Asia y Europa Oriental</w:t>
            </w:r>
          </w:p>
        </w:tc>
        <w:tc>
          <w:tcPr>
            <w:tcW w:w="746" w:type="pct"/>
            <w:tcBorders>
              <w:top w:val="single" w:sz="4" w:space="0" w:color="auto"/>
              <w:bottom w:val="single" w:sz="4" w:space="0" w:color="auto"/>
            </w:tcBorders>
            <w:shd w:val="clear" w:color="auto" w:fill="FFFFFF" w:themeFill="background1"/>
            <w:vAlign w:val="center"/>
            <w:hideMark/>
          </w:tcPr>
          <w:p w14:paraId="040DE42C"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Rusia </w:t>
            </w:r>
          </w:p>
        </w:tc>
        <w:tc>
          <w:tcPr>
            <w:tcW w:w="1186" w:type="pct"/>
            <w:tcBorders>
              <w:top w:val="single" w:sz="4" w:space="0" w:color="auto"/>
              <w:bottom w:val="single" w:sz="4" w:space="0" w:color="auto"/>
            </w:tcBorders>
            <w:shd w:val="clear" w:color="auto" w:fill="FFFFFF" w:themeFill="background1"/>
            <w:vAlign w:val="center"/>
            <w:hideMark/>
          </w:tcPr>
          <w:p w14:paraId="23F71AD1"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Sakhalin II </w:t>
            </w:r>
          </w:p>
        </w:tc>
        <w:tc>
          <w:tcPr>
            <w:tcW w:w="901" w:type="pct"/>
            <w:gridSpan w:val="2"/>
            <w:tcBorders>
              <w:top w:val="single" w:sz="4" w:space="0" w:color="auto"/>
              <w:bottom w:val="single" w:sz="4" w:space="0" w:color="auto"/>
            </w:tcBorders>
            <w:shd w:val="clear" w:color="auto" w:fill="FFFFFF" w:themeFill="background1"/>
            <w:noWrap/>
            <w:vAlign w:val="center"/>
            <w:hideMark/>
          </w:tcPr>
          <w:p w14:paraId="59CC8B8E"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11.49</w:t>
            </w:r>
          </w:p>
        </w:tc>
        <w:tc>
          <w:tcPr>
            <w:tcW w:w="769" w:type="pct"/>
            <w:gridSpan w:val="2"/>
            <w:tcBorders>
              <w:top w:val="single" w:sz="4" w:space="0" w:color="auto"/>
              <w:bottom w:val="single" w:sz="4" w:space="0" w:color="auto"/>
            </w:tcBorders>
            <w:shd w:val="clear" w:color="auto" w:fill="FFFFFF" w:themeFill="background1"/>
            <w:noWrap/>
            <w:vAlign w:val="center"/>
            <w:hideMark/>
          </w:tcPr>
          <w:p w14:paraId="1712B94E"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26.90</w:t>
            </w:r>
          </w:p>
        </w:tc>
        <w:tc>
          <w:tcPr>
            <w:tcW w:w="519" w:type="pct"/>
            <w:gridSpan w:val="2"/>
            <w:tcBorders>
              <w:top w:val="single" w:sz="4" w:space="0" w:color="auto"/>
              <w:bottom w:val="single" w:sz="4" w:space="0" w:color="auto"/>
            </w:tcBorders>
            <w:shd w:val="clear" w:color="auto" w:fill="FFFFFF" w:themeFill="background1"/>
            <w:noWrap/>
            <w:vAlign w:val="center"/>
            <w:hideMark/>
          </w:tcPr>
          <w:p w14:paraId="445B9C55"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-1.62</w:t>
            </w:r>
          </w:p>
        </w:tc>
      </w:tr>
      <w:tr w:rsidR="00914134" w:rsidRPr="00BD4FC2" w14:paraId="0806DF7B" w14:textId="77777777" w:rsidTr="009B4F36">
        <w:trPr>
          <w:gridAfter w:val="2"/>
          <w:wAfter w:w="58" w:type="pct"/>
          <w:trHeight w:val="397"/>
          <w:jc w:val="center"/>
        </w:trPr>
        <w:tc>
          <w:tcPr>
            <w:tcW w:w="821" w:type="pct"/>
            <w:vMerge w:val="restart"/>
            <w:tcBorders>
              <w:top w:val="single" w:sz="4" w:space="0" w:color="auto"/>
            </w:tcBorders>
            <w:shd w:val="clear" w:color="auto" w:fill="FFFFFF" w:themeFill="background1"/>
            <w:noWrap/>
            <w:vAlign w:val="center"/>
            <w:hideMark/>
          </w:tcPr>
          <w:p w14:paraId="73AE890B"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Oceanía</w:t>
            </w:r>
          </w:p>
        </w:tc>
        <w:tc>
          <w:tcPr>
            <w:tcW w:w="746" w:type="pct"/>
            <w:vMerge w:val="restart"/>
            <w:tcBorders>
              <w:top w:val="single" w:sz="4" w:space="0" w:color="auto"/>
            </w:tcBorders>
            <w:shd w:val="clear" w:color="auto" w:fill="FFFFFF" w:themeFill="background1"/>
            <w:vAlign w:val="center"/>
            <w:hideMark/>
          </w:tcPr>
          <w:p w14:paraId="09CC7132"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Australia </w:t>
            </w:r>
          </w:p>
        </w:tc>
        <w:tc>
          <w:tcPr>
            <w:tcW w:w="1186" w:type="pct"/>
            <w:tcBorders>
              <w:top w:val="single" w:sz="4" w:space="0" w:color="auto"/>
            </w:tcBorders>
            <w:shd w:val="clear" w:color="auto" w:fill="FFFFFF" w:themeFill="background1"/>
            <w:vAlign w:val="center"/>
            <w:hideMark/>
          </w:tcPr>
          <w:p w14:paraId="031F4AEF"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Curtis Island </w:t>
            </w:r>
          </w:p>
        </w:tc>
        <w:tc>
          <w:tcPr>
            <w:tcW w:w="901" w:type="pct"/>
            <w:gridSpan w:val="2"/>
            <w:vMerge w:val="restart"/>
            <w:tcBorders>
              <w:top w:val="single" w:sz="4" w:space="0" w:color="auto"/>
            </w:tcBorders>
            <w:shd w:val="clear" w:color="auto" w:fill="FFFFFF" w:themeFill="background1"/>
            <w:noWrap/>
            <w:vAlign w:val="center"/>
            <w:hideMark/>
          </w:tcPr>
          <w:p w14:paraId="628A560A"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55.56</w:t>
            </w:r>
          </w:p>
        </w:tc>
        <w:tc>
          <w:tcPr>
            <w:tcW w:w="769" w:type="pct"/>
            <w:gridSpan w:val="2"/>
            <w:vMerge w:val="restart"/>
            <w:tcBorders>
              <w:top w:val="single" w:sz="4" w:space="0" w:color="auto"/>
            </w:tcBorders>
            <w:shd w:val="clear" w:color="auto" w:fill="FFFFFF" w:themeFill="background1"/>
            <w:noWrap/>
            <w:vAlign w:val="center"/>
            <w:hideMark/>
          </w:tcPr>
          <w:p w14:paraId="7013A5B5"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130.06</w:t>
            </w:r>
          </w:p>
        </w:tc>
        <w:tc>
          <w:tcPr>
            <w:tcW w:w="519" w:type="pct"/>
            <w:gridSpan w:val="2"/>
            <w:vMerge w:val="restart"/>
            <w:tcBorders>
              <w:top w:val="single" w:sz="4" w:space="0" w:color="auto"/>
            </w:tcBorders>
            <w:shd w:val="clear" w:color="auto" w:fill="FFFFFF" w:themeFill="background1"/>
            <w:noWrap/>
            <w:vAlign w:val="center"/>
            <w:hideMark/>
          </w:tcPr>
          <w:p w14:paraId="3CC90D0F"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22.80</w:t>
            </w:r>
          </w:p>
        </w:tc>
      </w:tr>
      <w:tr w:rsidR="00914134" w:rsidRPr="00BD4FC2" w14:paraId="372B25F1" w14:textId="77777777" w:rsidTr="009B4F36">
        <w:trPr>
          <w:gridAfter w:val="2"/>
          <w:wAfter w:w="58" w:type="pct"/>
          <w:trHeight w:val="397"/>
          <w:jc w:val="center"/>
        </w:trPr>
        <w:tc>
          <w:tcPr>
            <w:tcW w:w="821" w:type="pct"/>
            <w:vMerge/>
            <w:shd w:val="clear" w:color="auto" w:fill="FFFFFF" w:themeFill="background1"/>
            <w:vAlign w:val="center"/>
            <w:hideMark/>
          </w:tcPr>
          <w:p w14:paraId="0AB81BCC"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shd w:val="clear" w:color="auto" w:fill="FFFFFF" w:themeFill="background1"/>
            <w:vAlign w:val="center"/>
            <w:hideMark/>
          </w:tcPr>
          <w:p w14:paraId="540F17BB" w14:textId="77777777" w:rsidR="00914134" w:rsidRPr="00BD4FC2" w:rsidRDefault="00914134" w:rsidP="0024531A">
            <w:pPr>
              <w:rPr>
                <w:rFonts w:ascii="Arial" w:eastAsia="Times New Roman" w:hAnsi="Arial" w:cs="Arial"/>
                <w:sz w:val="16"/>
                <w:szCs w:val="16"/>
                <w:lang w:val="es-ES" w:eastAsia="es-ES"/>
              </w:rPr>
            </w:pPr>
          </w:p>
        </w:tc>
        <w:tc>
          <w:tcPr>
            <w:tcW w:w="1186" w:type="pct"/>
            <w:shd w:val="clear" w:color="auto" w:fill="FFFFFF" w:themeFill="background1"/>
            <w:vAlign w:val="center"/>
            <w:hideMark/>
          </w:tcPr>
          <w:p w14:paraId="620E4ABB"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Darwin </w:t>
            </w:r>
          </w:p>
        </w:tc>
        <w:tc>
          <w:tcPr>
            <w:tcW w:w="901" w:type="pct"/>
            <w:gridSpan w:val="2"/>
            <w:vMerge/>
            <w:shd w:val="clear" w:color="auto" w:fill="FFFFFF" w:themeFill="background1"/>
            <w:vAlign w:val="center"/>
            <w:hideMark/>
          </w:tcPr>
          <w:p w14:paraId="5955D40E"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shd w:val="clear" w:color="auto" w:fill="FFFFFF" w:themeFill="background1"/>
            <w:vAlign w:val="center"/>
            <w:hideMark/>
          </w:tcPr>
          <w:p w14:paraId="4CB4FB0C"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shd w:val="clear" w:color="auto" w:fill="FFFFFF" w:themeFill="background1"/>
            <w:vAlign w:val="center"/>
            <w:hideMark/>
          </w:tcPr>
          <w:p w14:paraId="560FCCA8"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5C3F8C8B" w14:textId="77777777" w:rsidTr="009B4F36">
        <w:trPr>
          <w:gridAfter w:val="2"/>
          <w:wAfter w:w="58" w:type="pct"/>
          <w:trHeight w:val="397"/>
          <w:jc w:val="center"/>
        </w:trPr>
        <w:tc>
          <w:tcPr>
            <w:tcW w:w="821" w:type="pct"/>
            <w:vMerge/>
            <w:shd w:val="clear" w:color="auto" w:fill="FFFFFF" w:themeFill="background1"/>
            <w:vAlign w:val="center"/>
            <w:hideMark/>
          </w:tcPr>
          <w:p w14:paraId="0D5B7162"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shd w:val="clear" w:color="auto" w:fill="FFFFFF" w:themeFill="background1"/>
            <w:vAlign w:val="center"/>
            <w:hideMark/>
          </w:tcPr>
          <w:p w14:paraId="0819867C" w14:textId="77777777" w:rsidR="00914134" w:rsidRPr="00BD4FC2" w:rsidRDefault="00914134" w:rsidP="0024531A">
            <w:pPr>
              <w:rPr>
                <w:rFonts w:ascii="Arial" w:eastAsia="Times New Roman" w:hAnsi="Arial" w:cs="Arial"/>
                <w:sz w:val="16"/>
                <w:szCs w:val="16"/>
                <w:lang w:val="es-ES" w:eastAsia="es-ES"/>
              </w:rPr>
            </w:pPr>
          </w:p>
        </w:tc>
        <w:tc>
          <w:tcPr>
            <w:tcW w:w="1186" w:type="pct"/>
            <w:shd w:val="clear" w:color="auto" w:fill="FFFFFF" w:themeFill="background1"/>
            <w:vAlign w:val="center"/>
            <w:hideMark/>
          </w:tcPr>
          <w:p w14:paraId="5648FA45"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Pluto </w:t>
            </w:r>
          </w:p>
        </w:tc>
        <w:tc>
          <w:tcPr>
            <w:tcW w:w="901" w:type="pct"/>
            <w:gridSpan w:val="2"/>
            <w:vMerge/>
            <w:shd w:val="clear" w:color="auto" w:fill="FFFFFF" w:themeFill="background1"/>
            <w:vAlign w:val="center"/>
            <w:hideMark/>
          </w:tcPr>
          <w:p w14:paraId="48B5FDE3"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shd w:val="clear" w:color="auto" w:fill="FFFFFF" w:themeFill="background1"/>
            <w:vAlign w:val="center"/>
            <w:hideMark/>
          </w:tcPr>
          <w:p w14:paraId="08D9B89F"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shd w:val="clear" w:color="auto" w:fill="FFFFFF" w:themeFill="background1"/>
            <w:vAlign w:val="center"/>
            <w:hideMark/>
          </w:tcPr>
          <w:p w14:paraId="238C665C"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435C68A8" w14:textId="77777777" w:rsidTr="009B4F36">
        <w:trPr>
          <w:gridAfter w:val="2"/>
          <w:wAfter w:w="58" w:type="pct"/>
          <w:trHeight w:val="397"/>
          <w:jc w:val="center"/>
        </w:trPr>
        <w:tc>
          <w:tcPr>
            <w:tcW w:w="821" w:type="pct"/>
            <w:vMerge/>
            <w:shd w:val="clear" w:color="auto" w:fill="FFFFFF" w:themeFill="background1"/>
            <w:vAlign w:val="center"/>
            <w:hideMark/>
          </w:tcPr>
          <w:p w14:paraId="0CFFA863"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shd w:val="clear" w:color="auto" w:fill="FFFFFF" w:themeFill="background1"/>
            <w:vAlign w:val="center"/>
            <w:hideMark/>
          </w:tcPr>
          <w:p w14:paraId="46EB830E" w14:textId="77777777" w:rsidR="00914134" w:rsidRPr="00BD4FC2" w:rsidRDefault="00914134" w:rsidP="0024531A">
            <w:pPr>
              <w:rPr>
                <w:rFonts w:ascii="Arial" w:eastAsia="Times New Roman" w:hAnsi="Arial" w:cs="Arial"/>
                <w:sz w:val="16"/>
                <w:szCs w:val="16"/>
                <w:lang w:val="es-ES" w:eastAsia="es-ES"/>
              </w:rPr>
            </w:pPr>
          </w:p>
        </w:tc>
        <w:tc>
          <w:tcPr>
            <w:tcW w:w="1186" w:type="pct"/>
            <w:shd w:val="clear" w:color="auto" w:fill="FFFFFF" w:themeFill="background1"/>
            <w:vAlign w:val="center"/>
            <w:hideMark/>
          </w:tcPr>
          <w:p w14:paraId="540F868D"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Withnell Bay Traines 1-4 </w:t>
            </w:r>
          </w:p>
        </w:tc>
        <w:tc>
          <w:tcPr>
            <w:tcW w:w="901" w:type="pct"/>
            <w:gridSpan w:val="2"/>
            <w:vMerge/>
            <w:shd w:val="clear" w:color="auto" w:fill="FFFFFF" w:themeFill="background1"/>
            <w:vAlign w:val="center"/>
            <w:hideMark/>
          </w:tcPr>
          <w:p w14:paraId="72A9C096"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shd w:val="clear" w:color="auto" w:fill="FFFFFF" w:themeFill="background1"/>
            <w:vAlign w:val="center"/>
            <w:hideMark/>
          </w:tcPr>
          <w:p w14:paraId="754E33E0"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shd w:val="clear" w:color="auto" w:fill="FFFFFF" w:themeFill="background1"/>
            <w:vAlign w:val="center"/>
            <w:hideMark/>
          </w:tcPr>
          <w:p w14:paraId="5428FC1B"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213EAB41" w14:textId="77777777" w:rsidTr="009B4F36">
        <w:trPr>
          <w:gridAfter w:val="2"/>
          <w:wAfter w:w="58" w:type="pct"/>
          <w:trHeight w:val="397"/>
          <w:jc w:val="center"/>
        </w:trPr>
        <w:tc>
          <w:tcPr>
            <w:tcW w:w="821" w:type="pct"/>
            <w:vMerge/>
            <w:shd w:val="clear" w:color="auto" w:fill="FFFFFF" w:themeFill="background1"/>
            <w:vAlign w:val="center"/>
            <w:hideMark/>
          </w:tcPr>
          <w:p w14:paraId="4B27CE7F"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vMerge/>
            <w:tcBorders>
              <w:bottom w:val="dotted" w:sz="4" w:space="0" w:color="auto"/>
            </w:tcBorders>
            <w:shd w:val="clear" w:color="auto" w:fill="FFFFFF" w:themeFill="background1"/>
            <w:vAlign w:val="center"/>
            <w:hideMark/>
          </w:tcPr>
          <w:p w14:paraId="5129B354" w14:textId="77777777" w:rsidR="00914134" w:rsidRPr="00BD4FC2" w:rsidRDefault="00914134" w:rsidP="0024531A">
            <w:pPr>
              <w:rPr>
                <w:rFonts w:ascii="Arial" w:eastAsia="Times New Roman" w:hAnsi="Arial" w:cs="Arial"/>
                <w:sz w:val="16"/>
                <w:szCs w:val="16"/>
                <w:lang w:val="es-ES" w:eastAsia="es-ES"/>
              </w:rPr>
            </w:pPr>
          </w:p>
        </w:tc>
        <w:tc>
          <w:tcPr>
            <w:tcW w:w="1186" w:type="pct"/>
            <w:tcBorders>
              <w:bottom w:val="dotted" w:sz="4" w:space="0" w:color="auto"/>
            </w:tcBorders>
            <w:shd w:val="clear" w:color="auto" w:fill="FFFFFF" w:themeFill="background1"/>
            <w:vAlign w:val="center"/>
            <w:hideMark/>
          </w:tcPr>
          <w:p w14:paraId="47D18B83"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Withnell Bay Train 5 </w:t>
            </w:r>
          </w:p>
        </w:tc>
        <w:tc>
          <w:tcPr>
            <w:tcW w:w="901" w:type="pct"/>
            <w:gridSpan w:val="2"/>
            <w:vMerge/>
            <w:tcBorders>
              <w:bottom w:val="dotted" w:sz="4" w:space="0" w:color="auto"/>
            </w:tcBorders>
            <w:shd w:val="clear" w:color="auto" w:fill="FFFFFF" w:themeFill="background1"/>
            <w:vAlign w:val="center"/>
            <w:hideMark/>
          </w:tcPr>
          <w:p w14:paraId="4CE1ECF1"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69" w:type="pct"/>
            <w:gridSpan w:val="2"/>
            <w:vMerge/>
            <w:tcBorders>
              <w:bottom w:val="dotted" w:sz="4" w:space="0" w:color="auto"/>
            </w:tcBorders>
            <w:shd w:val="clear" w:color="auto" w:fill="FFFFFF" w:themeFill="background1"/>
            <w:vAlign w:val="center"/>
            <w:hideMark/>
          </w:tcPr>
          <w:p w14:paraId="124BB6EA"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519" w:type="pct"/>
            <w:gridSpan w:val="2"/>
            <w:vMerge/>
            <w:tcBorders>
              <w:bottom w:val="dotted" w:sz="4" w:space="0" w:color="auto"/>
            </w:tcBorders>
            <w:shd w:val="clear" w:color="auto" w:fill="FFFFFF" w:themeFill="background1"/>
            <w:vAlign w:val="center"/>
            <w:hideMark/>
          </w:tcPr>
          <w:p w14:paraId="7DB4EEEB" w14:textId="77777777" w:rsidR="00914134" w:rsidRPr="00BD4FC2" w:rsidRDefault="00914134" w:rsidP="0024531A">
            <w:pPr>
              <w:jc w:val="center"/>
              <w:rPr>
                <w:rFonts w:ascii="Arial" w:eastAsia="Times New Roman" w:hAnsi="Arial" w:cs="Arial"/>
                <w:color w:val="000000"/>
                <w:sz w:val="16"/>
                <w:szCs w:val="16"/>
                <w:lang w:val="es-ES" w:eastAsia="es-ES"/>
              </w:rPr>
            </w:pPr>
          </w:p>
        </w:tc>
      </w:tr>
      <w:tr w:rsidR="00914134" w:rsidRPr="00BD4FC2" w14:paraId="39F2FDE2" w14:textId="77777777" w:rsidTr="009B4F36">
        <w:trPr>
          <w:gridAfter w:val="2"/>
          <w:wAfter w:w="58" w:type="pct"/>
          <w:trHeight w:val="397"/>
          <w:jc w:val="center"/>
        </w:trPr>
        <w:tc>
          <w:tcPr>
            <w:tcW w:w="821" w:type="pct"/>
            <w:vMerge/>
            <w:tcBorders>
              <w:bottom w:val="single" w:sz="4" w:space="0" w:color="auto"/>
            </w:tcBorders>
            <w:shd w:val="clear" w:color="auto" w:fill="FFFFFF" w:themeFill="background1"/>
            <w:vAlign w:val="center"/>
            <w:hideMark/>
          </w:tcPr>
          <w:p w14:paraId="7C3C9614" w14:textId="77777777" w:rsidR="00914134" w:rsidRPr="00BD4FC2" w:rsidRDefault="00914134" w:rsidP="0024531A">
            <w:pPr>
              <w:rPr>
                <w:rFonts w:ascii="Arial" w:eastAsia="Times New Roman" w:hAnsi="Arial" w:cs="Arial"/>
                <w:color w:val="000000"/>
                <w:sz w:val="16"/>
                <w:szCs w:val="16"/>
                <w:lang w:val="es-ES" w:eastAsia="es-ES"/>
              </w:rPr>
            </w:pPr>
          </w:p>
        </w:tc>
        <w:tc>
          <w:tcPr>
            <w:tcW w:w="746" w:type="pct"/>
            <w:tcBorders>
              <w:top w:val="dotted" w:sz="4" w:space="0" w:color="auto"/>
              <w:bottom w:val="single" w:sz="4" w:space="0" w:color="auto"/>
            </w:tcBorders>
            <w:shd w:val="clear" w:color="auto" w:fill="FFFFFF" w:themeFill="background1"/>
            <w:vAlign w:val="center"/>
            <w:hideMark/>
          </w:tcPr>
          <w:p w14:paraId="3B5689AF" w14:textId="77777777" w:rsidR="00914134" w:rsidRPr="00BD4FC2" w:rsidRDefault="00914134" w:rsidP="0024531A">
            <w:pPr>
              <w:jc w:val="center"/>
              <w:rPr>
                <w:rFonts w:ascii="Arial" w:eastAsia="Times New Roman" w:hAnsi="Arial" w:cs="Arial"/>
                <w:sz w:val="16"/>
                <w:szCs w:val="16"/>
                <w:lang w:val="es-ES" w:eastAsia="es-ES"/>
              </w:rPr>
            </w:pPr>
            <w:r w:rsidRPr="00BD4FC2">
              <w:rPr>
                <w:rFonts w:ascii="Arial" w:eastAsia="Times New Roman" w:hAnsi="Arial" w:cs="Arial"/>
                <w:sz w:val="16"/>
                <w:szCs w:val="16"/>
                <w:lang w:val="es-ES" w:eastAsia="es-ES"/>
              </w:rPr>
              <w:t xml:space="preserve"> P N Guinea </w:t>
            </w:r>
          </w:p>
        </w:tc>
        <w:tc>
          <w:tcPr>
            <w:tcW w:w="1186" w:type="pct"/>
            <w:tcBorders>
              <w:top w:val="dotted" w:sz="4" w:space="0" w:color="auto"/>
              <w:bottom w:val="single" w:sz="4" w:space="0" w:color="auto"/>
            </w:tcBorders>
            <w:shd w:val="clear" w:color="auto" w:fill="FFFFFF" w:themeFill="background1"/>
            <w:noWrap/>
            <w:vAlign w:val="center"/>
            <w:hideMark/>
          </w:tcPr>
          <w:p w14:paraId="01ECC157"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PNG</w:t>
            </w:r>
          </w:p>
        </w:tc>
        <w:tc>
          <w:tcPr>
            <w:tcW w:w="901" w:type="pct"/>
            <w:gridSpan w:val="2"/>
            <w:tcBorders>
              <w:top w:val="dotted" w:sz="4" w:space="0" w:color="auto"/>
              <w:bottom w:val="single" w:sz="4" w:space="0" w:color="auto"/>
            </w:tcBorders>
            <w:shd w:val="clear" w:color="auto" w:fill="FFFFFF" w:themeFill="background1"/>
            <w:noWrap/>
            <w:vAlign w:val="center"/>
            <w:hideMark/>
          </w:tcPr>
          <w:p w14:paraId="72C1D402"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8.12</w:t>
            </w:r>
          </w:p>
        </w:tc>
        <w:tc>
          <w:tcPr>
            <w:tcW w:w="769" w:type="pct"/>
            <w:gridSpan w:val="2"/>
            <w:tcBorders>
              <w:top w:val="dotted" w:sz="4" w:space="0" w:color="auto"/>
              <w:bottom w:val="single" w:sz="4" w:space="0" w:color="auto"/>
            </w:tcBorders>
            <w:shd w:val="clear" w:color="auto" w:fill="FFFFFF" w:themeFill="background1"/>
            <w:noWrap/>
            <w:vAlign w:val="center"/>
            <w:hideMark/>
          </w:tcPr>
          <w:p w14:paraId="10EF53C8"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19.01</w:t>
            </w:r>
          </w:p>
        </w:tc>
        <w:tc>
          <w:tcPr>
            <w:tcW w:w="519" w:type="pct"/>
            <w:gridSpan w:val="2"/>
            <w:tcBorders>
              <w:top w:val="dotted" w:sz="4" w:space="0" w:color="auto"/>
              <w:bottom w:val="single" w:sz="4" w:space="0" w:color="auto"/>
            </w:tcBorders>
            <w:shd w:val="clear" w:color="auto" w:fill="FFFFFF" w:themeFill="background1"/>
            <w:noWrap/>
            <w:vAlign w:val="center"/>
            <w:hideMark/>
          </w:tcPr>
          <w:p w14:paraId="486DDE39" w14:textId="77777777" w:rsidR="00914134" w:rsidRPr="00BD4FC2" w:rsidRDefault="00914134" w:rsidP="0024531A">
            <w:pPr>
              <w:jc w:val="center"/>
              <w:rPr>
                <w:rFonts w:ascii="Arial" w:eastAsia="Times New Roman" w:hAnsi="Arial" w:cs="Arial"/>
                <w:color w:val="000000"/>
                <w:sz w:val="16"/>
                <w:szCs w:val="16"/>
                <w:lang w:val="es-ES" w:eastAsia="es-ES"/>
              </w:rPr>
            </w:pPr>
            <w:r w:rsidRPr="00BD4FC2">
              <w:rPr>
                <w:rFonts w:ascii="Arial" w:eastAsia="Times New Roman" w:hAnsi="Arial" w:cs="Arial"/>
                <w:color w:val="000000"/>
                <w:sz w:val="16"/>
                <w:szCs w:val="16"/>
                <w:lang w:val="es-ES" w:eastAsia="es-ES"/>
              </w:rPr>
              <w:t>-2.86</w:t>
            </w:r>
          </w:p>
        </w:tc>
      </w:tr>
      <w:tr w:rsidR="00914134" w:rsidRPr="00BD4FC2" w14:paraId="1C54EAAB" w14:textId="77777777" w:rsidTr="009B4F36">
        <w:trPr>
          <w:gridAfter w:val="2"/>
          <w:wAfter w:w="58" w:type="pct"/>
          <w:trHeight w:val="397"/>
          <w:jc w:val="center"/>
        </w:trPr>
        <w:tc>
          <w:tcPr>
            <w:tcW w:w="821" w:type="pct"/>
            <w:tcBorders>
              <w:top w:val="single" w:sz="4" w:space="0" w:color="auto"/>
              <w:bottom w:val="double" w:sz="4" w:space="0" w:color="auto"/>
            </w:tcBorders>
            <w:shd w:val="clear" w:color="auto" w:fill="FFFFFF" w:themeFill="background1"/>
            <w:noWrap/>
            <w:vAlign w:val="bottom"/>
            <w:hideMark/>
          </w:tcPr>
          <w:p w14:paraId="3A02A463" w14:textId="77777777" w:rsidR="00914134" w:rsidRPr="00BD4FC2" w:rsidRDefault="00914134" w:rsidP="0024531A">
            <w:pPr>
              <w:jc w:val="center"/>
              <w:rPr>
                <w:rFonts w:ascii="Arial" w:eastAsia="Times New Roman" w:hAnsi="Arial" w:cs="Arial"/>
                <w:color w:val="000000"/>
                <w:sz w:val="16"/>
                <w:szCs w:val="16"/>
                <w:lang w:val="es-ES" w:eastAsia="es-ES"/>
              </w:rPr>
            </w:pPr>
          </w:p>
        </w:tc>
        <w:tc>
          <w:tcPr>
            <w:tcW w:w="746" w:type="pct"/>
            <w:tcBorders>
              <w:top w:val="single" w:sz="4" w:space="0" w:color="auto"/>
              <w:bottom w:val="double" w:sz="4" w:space="0" w:color="auto"/>
            </w:tcBorders>
            <w:shd w:val="clear" w:color="auto" w:fill="FFFFFF" w:themeFill="background1"/>
            <w:noWrap/>
            <w:vAlign w:val="bottom"/>
            <w:hideMark/>
          </w:tcPr>
          <w:p w14:paraId="12694947" w14:textId="77777777" w:rsidR="00914134" w:rsidRPr="00BD4FC2" w:rsidRDefault="00914134" w:rsidP="0024531A">
            <w:pPr>
              <w:rPr>
                <w:rFonts w:ascii="Arial" w:eastAsia="Times New Roman" w:hAnsi="Arial" w:cs="Arial"/>
                <w:sz w:val="16"/>
                <w:szCs w:val="16"/>
                <w:lang w:val="es-ES" w:eastAsia="es-ES"/>
              </w:rPr>
            </w:pPr>
          </w:p>
        </w:tc>
        <w:tc>
          <w:tcPr>
            <w:tcW w:w="1186" w:type="pct"/>
            <w:tcBorders>
              <w:top w:val="single" w:sz="4" w:space="0" w:color="auto"/>
              <w:bottom w:val="double" w:sz="4" w:space="0" w:color="auto"/>
            </w:tcBorders>
            <w:shd w:val="clear" w:color="auto" w:fill="FFFFFF" w:themeFill="background1"/>
            <w:noWrap/>
            <w:vAlign w:val="center"/>
            <w:hideMark/>
          </w:tcPr>
          <w:p w14:paraId="6C2CDE11" w14:textId="77777777" w:rsidR="00914134" w:rsidRPr="00BD4FC2" w:rsidRDefault="00914134" w:rsidP="0024531A">
            <w:pPr>
              <w:jc w:val="right"/>
              <w:rPr>
                <w:rFonts w:ascii="Arial" w:eastAsia="Times New Roman" w:hAnsi="Arial" w:cs="Arial"/>
                <w:b/>
                <w:sz w:val="16"/>
                <w:szCs w:val="16"/>
                <w:lang w:val="es-ES" w:eastAsia="es-ES"/>
              </w:rPr>
            </w:pPr>
            <w:r w:rsidRPr="00504667">
              <w:rPr>
                <w:rFonts w:ascii="Arial" w:eastAsia="Times New Roman" w:hAnsi="Arial" w:cs="Arial"/>
                <w:b/>
                <w:sz w:val="16"/>
                <w:szCs w:val="16"/>
                <w:lang w:val="es-ES" w:eastAsia="es-ES"/>
              </w:rPr>
              <w:t>TOTAL</w:t>
            </w:r>
          </w:p>
        </w:tc>
        <w:tc>
          <w:tcPr>
            <w:tcW w:w="901" w:type="pct"/>
            <w:gridSpan w:val="2"/>
            <w:tcBorders>
              <w:top w:val="single" w:sz="4" w:space="0" w:color="auto"/>
              <w:bottom w:val="double" w:sz="4" w:space="0" w:color="auto"/>
            </w:tcBorders>
            <w:shd w:val="clear" w:color="auto" w:fill="FFFFFF" w:themeFill="background1"/>
            <w:noWrap/>
            <w:vAlign w:val="center"/>
            <w:hideMark/>
          </w:tcPr>
          <w:p w14:paraId="105011A3" w14:textId="77777777" w:rsidR="00914134" w:rsidRPr="00BD4FC2" w:rsidRDefault="00914134" w:rsidP="0024531A">
            <w:pPr>
              <w:jc w:val="center"/>
              <w:rPr>
                <w:rFonts w:ascii="Arial" w:eastAsia="Times New Roman" w:hAnsi="Arial" w:cs="Arial"/>
                <w:b/>
                <w:color w:val="000000"/>
                <w:sz w:val="16"/>
                <w:szCs w:val="16"/>
                <w:lang w:val="es-ES" w:eastAsia="es-ES"/>
              </w:rPr>
            </w:pPr>
            <w:r w:rsidRPr="00BD4FC2">
              <w:rPr>
                <w:rFonts w:ascii="Arial" w:eastAsia="Times New Roman" w:hAnsi="Arial" w:cs="Arial"/>
                <w:b/>
                <w:color w:val="000000"/>
                <w:sz w:val="16"/>
                <w:szCs w:val="16"/>
                <w:lang w:val="es-ES" w:eastAsia="es-ES"/>
              </w:rPr>
              <w:t>289.83</w:t>
            </w:r>
          </w:p>
        </w:tc>
        <w:tc>
          <w:tcPr>
            <w:tcW w:w="769" w:type="pct"/>
            <w:gridSpan w:val="2"/>
            <w:tcBorders>
              <w:top w:val="single" w:sz="4" w:space="0" w:color="auto"/>
              <w:bottom w:val="double" w:sz="4" w:space="0" w:color="auto"/>
            </w:tcBorders>
            <w:shd w:val="clear" w:color="auto" w:fill="FFFFFF" w:themeFill="background1"/>
            <w:noWrap/>
            <w:vAlign w:val="center"/>
            <w:hideMark/>
          </w:tcPr>
          <w:p w14:paraId="6AC15D93" w14:textId="77777777" w:rsidR="00914134" w:rsidRPr="00BD4FC2" w:rsidRDefault="00914134" w:rsidP="0024531A">
            <w:pPr>
              <w:jc w:val="center"/>
              <w:rPr>
                <w:rFonts w:ascii="Arial" w:eastAsia="Times New Roman" w:hAnsi="Arial" w:cs="Arial"/>
                <w:b/>
                <w:color w:val="000000"/>
                <w:sz w:val="16"/>
                <w:szCs w:val="16"/>
                <w:lang w:val="es-ES" w:eastAsia="es-ES"/>
              </w:rPr>
            </w:pPr>
            <w:r w:rsidRPr="00BD4FC2">
              <w:rPr>
                <w:rFonts w:ascii="Arial" w:eastAsia="Times New Roman" w:hAnsi="Arial" w:cs="Arial"/>
                <w:b/>
                <w:color w:val="000000"/>
                <w:sz w:val="16"/>
                <w:szCs w:val="16"/>
                <w:lang w:val="es-ES" w:eastAsia="es-ES"/>
              </w:rPr>
              <w:t>678.44</w:t>
            </w:r>
          </w:p>
        </w:tc>
        <w:tc>
          <w:tcPr>
            <w:tcW w:w="519" w:type="pct"/>
            <w:gridSpan w:val="2"/>
            <w:tcBorders>
              <w:top w:val="single" w:sz="4" w:space="0" w:color="auto"/>
              <w:bottom w:val="double" w:sz="4" w:space="0" w:color="auto"/>
            </w:tcBorders>
            <w:shd w:val="clear" w:color="auto" w:fill="FFFFFF" w:themeFill="background1"/>
            <w:noWrap/>
            <w:vAlign w:val="center"/>
            <w:hideMark/>
          </w:tcPr>
          <w:p w14:paraId="172FB58F" w14:textId="77777777" w:rsidR="00914134" w:rsidRPr="00BD4FC2" w:rsidRDefault="00914134" w:rsidP="0024531A">
            <w:pPr>
              <w:jc w:val="center"/>
              <w:rPr>
                <w:rFonts w:ascii="Arial" w:eastAsia="Times New Roman" w:hAnsi="Arial" w:cs="Arial"/>
                <w:b/>
                <w:color w:val="000000"/>
                <w:sz w:val="16"/>
                <w:szCs w:val="16"/>
                <w:lang w:val="es-ES" w:eastAsia="es-ES"/>
              </w:rPr>
            </w:pPr>
            <w:r w:rsidRPr="00BD4FC2">
              <w:rPr>
                <w:rFonts w:ascii="Arial" w:eastAsia="Times New Roman" w:hAnsi="Arial" w:cs="Arial"/>
                <w:b/>
                <w:color w:val="000000"/>
                <w:sz w:val="16"/>
                <w:szCs w:val="16"/>
                <w:lang w:val="es-ES" w:eastAsia="es-ES"/>
              </w:rPr>
              <w:t>135.00</w:t>
            </w:r>
          </w:p>
        </w:tc>
      </w:tr>
    </w:tbl>
    <w:p w14:paraId="00BB730C" w14:textId="363E7D70" w:rsidR="00914134" w:rsidRPr="00AF00D9" w:rsidRDefault="00914134" w:rsidP="00914134">
      <w:pPr>
        <w:jc w:val="center"/>
        <w:rPr>
          <w:rFonts w:ascii="Arial" w:hAnsi="Arial" w:cs="Arial"/>
        </w:rPr>
      </w:pPr>
      <w:r w:rsidRPr="00AF00D9">
        <w:rPr>
          <w:rFonts w:ascii="Arial" w:hAnsi="Arial" w:cs="Arial"/>
          <w:b/>
          <w:color w:val="000000" w:themeColor="text1"/>
          <w:sz w:val="16"/>
        </w:rPr>
        <w:t>Fuente</w:t>
      </w:r>
      <w:r>
        <w:rPr>
          <w:rFonts w:ascii="Arial" w:hAnsi="Arial" w:cs="Arial"/>
          <w:b/>
          <w:color w:val="000000" w:themeColor="text1"/>
          <w:sz w:val="16"/>
        </w:rPr>
        <w:t>:</w:t>
      </w:r>
      <w:r w:rsidRPr="00AF00D9">
        <w:rPr>
          <w:rFonts w:ascii="Arial" w:hAnsi="Arial" w:cs="Arial"/>
          <w:color w:val="000000" w:themeColor="text1"/>
          <w:sz w:val="16"/>
        </w:rPr>
        <w:t xml:space="preserve"> GIIG</w:t>
      </w:r>
      <w:r w:rsidR="005D45DF">
        <w:rPr>
          <w:rFonts w:ascii="Arial" w:hAnsi="Arial" w:cs="Arial"/>
          <w:color w:val="000000" w:themeColor="text1"/>
          <w:sz w:val="16"/>
        </w:rPr>
        <w:t xml:space="preserve">NL </w:t>
      </w:r>
      <w:r w:rsidR="005D45DF">
        <w:rPr>
          <w:rFonts w:ascii="Arial" w:hAnsi="Arial" w:cs="Arial"/>
          <w:color w:val="000000" w:themeColor="text1"/>
          <w:sz w:val="16"/>
        </w:rPr>
        <w:fldChar w:fldCharType="begin"/>
      </w:r>
      <w:r w:rsidR="005D45DF">
        <w:rPr>
          <w:rFonts w:ascii="Arial" w:hAnsi="Arial" w:cs="Arial"/>
          <w:color w:val="000000" w:themeColor="text1"/>
          <w:sz w:val="16"/>
        </w:rPr>
        <w:instrText xml:space="preserve"> REF _Ref529881942 \r \h </w:instrText>
      </w:r>
      <w:r w:rsidR="005D45DF">
        <w:rPr>
          <w:rFonts w:ascii="Arial" w:hAnsi="Arial" w:cs="Arial"/>
          <w:color w:val="000000" w:themeColor="text1"/>
          <w:sz w:val="16"/>
        </w:rPr>
      </w:r>
      <w:r w:rsidR="005D45DF">
        <w:rPr>
          <w:rFonts w:ascii="Arial" w:hAnsi="Arial" w:cs="Arial"/>
          <w:color w:val="000000" w:themeColor="text1"/>
          <w:sz w:val="16"/>
        </w:rPr>
        <w:fldChar w:fldCharType="separate"/>
      </w:r>
      <w:r w:rsidR="00915705">
        <w:rPr>
          <w:rFonts w:ascii="Arial" w:hAnsi="Arial" w:cs="Arial"/>
          <w:color w:val="000000" w:themeColor="text1"/>
          <w:sz w:val="16"/>
        </w:rPr>
        <w:t>[14]</w:t>
      </w:r>
      <w:r w:rsidR="005D45DF">
        <w:rPr>
          <w:rFonts w:ascii="Arial" w:hAnsi="Arial" w:cs="Arial"/>
          <w:color w:val="000000" w:themeColor="text1"/>
          <w:sz w:val="16"/>
        </w:rPr>
        <w:fldChar w:fldCharType="end"/>
      </w:r>
      <w:r w:rsidR="005D45DF">
        <w:rPr>
          <w:rFonts w:ascii="Arial" w:hAnsi="Arial" w:cs="Arial"/>
          <w:color w:val="000000" w:themeColor="text1"/>
          <w:sz w:val="16"/>
        </w:rPr>
        <w:t>, UPME</w:t>
      </w:r>
    </w:p>
    <w:p w14:paraId="219F72EB" w14:textId="77777777" w:rsidR="00A6575F" w:rsidRPr="004321B5" w:rsidRDefault="00A6575F" w:rsidP="00A6575F">
      <w:pPr>
        <w:spacing w:before="240" w:after="240" w:line="276" w:lineRule="auto"/>
        <w:jc w:val="both"/>
        <w:rPr>
          <w:rFonts w:ascii="Arial" w:hAnsi="Arial" w:cs="Arial"/>
          <w:sz w:val="22"/>
          <w:szCs w:val="22"/>
        </w:rPr>
      </w:pPr>
      <w:bookmarkStart w:id="110" w:name="_Toc401316961"/>
      <w:bookmarkStart w:id="111" w:name="_Toc403641000"/>
      <w:bookmarkStart w:id="112" w:name="_Toc403641239"/>
      <w:bookmarkStart w:id="113" w:name="_Toc403641395"/>
      <w:bookmarkStart w:id="114" w:name="_Toc403641947"/>
      <w:bookmarkStart w:id="115" w:name="_Toc403641997"/>
      <w:bookmarkStart w:id="116" w:name="_Toc447097986"/>
      <w:r w:rsidRPr="0037689C">
        <w:rPr>
          <w:rFonts w:ascii="Arial" w:hAnsi="Arial" w:cs="Arial"/>
          <w:sz w:val="22"/>
          <w:szCs w:val="22"/>
        </w:rPr>
        <w:t>En América, los productores de GNL se localizan en Trinidad y Tobago, Perú y Estados Unidos, siendo este último el jugador más grande del negocio en la zona con dos (2) plantas de licuefacción - Sabine Pass y Kenai – y una capacidad de producción de 45.65 millones de metros cúbicos de GNL al año, según el informe de GIIGNL 2018. Adicionalmente, en el año 2017 se construyeron nuevos proyectos en Australia, Malasia, Estados Unidos y Rusia, aportando una capacidad total de licuefacción de 60 Mm</w:t>
      </w:r>
      <w:r w:rsidRPr="00A6575F">
        <w:rPr>
          <w:rFonts w:ascii="Arial" w:hAnsi="Arial" w:cs="Arial"/>
          <w:sz w:val="22"/>
          <w:szCs w:val="22"/>
          <w:vertAlign w:val="superscript"/>
        </w:rPr>
        <w:t>3</w:t>
      </w:r>
      <w:r w:rsidRPr="0037689C">
        <w:rPr>
          <w:rFonts w:ascii="Arial" w:hAnsi="Arial" w:cs="Arial"/>
          <w:sz w:val="22"/>
          <w:szCs w:val="22"/>
        </w:rPr>
        <w:t xml:space="preserve"> GNL </w:t>
      </w:r>
      <w:r w:rsidRPr="004321B5">
        <w:rPr>
          <w:rFonts w:ascii="Arial" w:hAnsi="Arial" w:cs="Arial"/>
          <w:sz w:val="22"/>
          <w:szCs w:val="22"/>
        </w:rPr>
        <w:t>por año.</w:t>
      </w:r>
    </w:p>
    <w:p w14:paraId="7D085DFC" w14:textId="77777777" w:rsidR="00A6575F" w:rsidRDefault="00A6575F" w:rsidP="00A6575F">
      <w:pPr>
        <w:spacing w:before="240" w:after="240" w:line="276" w:lineRule="auto"/>
        <w:jc w:val="both"/>
        <w:rPr>
          <w:rFonts w:ascii="Arial" w:hAnsi="Arial" w:cs="Arial"/>
          <w:sz w:val="22"/>
          <w:szCs w:val="22"/>
        </w:rPr>
      </w:pPr>
      <w:r w:rsidRPr="004321B5">
        <w:rPr>
          <w:rFonts w:ascii="Arial" w:hAnsi="Arial" w:cs="Arial"/>
          <w:sz w:val="22"/>
          <w:szCs w:val="22"/>
        </w:rPr>
        <w:t xml:space="preserve">En Europa el único país que exporta GNL es Noruega. En la región de Asia Pacífico, Malasia, Brunei, Indonesia y Rusia son los exportadores de GNL. En Medio Oriente, Qatar, Omán y Emiratos Árabes Unidos producen GNL y son los responsables del 32% de la exportación mundial, liderados por Qatar, que es el mayor exportador del planeta. </w:t>
      </w:r>
    </w:p>
    <w:p w14:paraId="40B1F81F" w14:textId="536EC02F" w:rsidR="009B4F36" w:rsidRDefault="009B4F36" w:rsidP="009B4F36">
      <w:pPr>
        <w:spacing w:before="240" w:after="240" w:line="276" w:lineRule="auto"/>
        <w:jc w:val="both"/>
        <w:rPr>
          <w:rFonts w:ascii="Arial" w:hAnsi="Arial" w:cs="Arial"/>
          <w:sz w:val="22"/>
          <w:szCs w:val="22"/>
        </w:rPr>
      </w:pPr>
      <w:r w:rsidRPr="00015B1A">
        <w:rPr>
          <w:rFonts w:ascii="Arial" w:hAnsi="Arial" w:cs="Arial"/>
          <w:sz w:val="22"/>
          <w:szCs w:val="22"/>
        </w:rPr>
        <w:t>En África, son Egipto, Argelia, Nigeria, Angola y Guinea Ecuatorial los productores de GNL. Los distintos conflictos geopolíticos vienen generando inconvenientes que no han permitido una operación continua de las distintas plantas, por lo que no se esperan incrementos de capacidad en el corto plazo. Por su parte, en Oceanía, a través de Australia y Papua Nueva Guinea se exportó el 22% del mercado mundial de GNL en el año 2017</w:t>
      </w:r>
      <w:r>
        <w:rPr>
          <w:rFonts w:ascii="Arial" w:hAnsi="Arial" w:cs="Arial"/>
          <w:sz w:val="22"/>
          <w:szCs w:val="22"/>
        </w:rPr>
        <w:t xml:space="preserve">. (Ver </w:t>
      </w:r>
      <w:r w:rsidRPr="009B4F36">
        <w:rPr>
          <w:rFonts w:ascii="Arial" w:hAnsi="Arial" w:cs="Arial"/>
          <w:sz w:val="22"/>
          <w:szCs w:val="22"/>
        </w:rPr>
        <w:fldChar w:fldCharType="begin"/>
      </w:r>
      <w:r w:rsidRPr="009B4F36">
        <w:rPr>
          <w:rFonts w:ascii="Arial" w:hAnsi="Arial" w:cs="Arial"/>
          <w:sz w:val="22"/>
          <w:szCs w:val="22"/>
        </w:rPr>
        <w:instrText xml:space="preserve"> REF _Ref529977566 \h  \* MERGEFORMAT </w:instrText>
      </w:r>
      <w:r w:rsidRPr="009B4F36">
        <w:rPr>
          <w:rFonts w:ascii="Arial" w:hAnsi="Arial" w:cs="Arial"/>
          <w:sz w:val="22"/>
          <w:szCs w:val="22"/>
        </w:rPr>
      </w:r>
      <w:r w:rsidRPr="009B4F36">
        <w:rPr>
          <w:rFonts w:ascii="Arial" w:hAnsi="Arial" w:cs="Arial"/>
          <w:sz w:val="22"/>
          <w:szCs w:val="22"/>
        </w:rPr>
        <w:fldChar w:fldCharType="separate"/>
      </w:r>
      <w:r w:rsidRPr="009B4F36">
        <w:rPr>
          <w:rFonts w:ascii="Arial" w:hAnsi="Arial" w:cs="Arial"/>
          <w:sz w:val="22"/>
          <w:szCs w:val="22"/>
          <w:highlight w:val="yellow"/>
        </w:rPr>
        <w:t xml:space="preserve">Gráfica </w:t>
      </w:r>
      <w:r w:rsidRPr="009B4F36">
        <w:rPr>
          <w:rFonts w:ascii="Arial" w:hAnsi="Arial" w:cs="Arial"/>
          <w:noProof/>
          <w:sz w:val="22"/>
          <w:szCs w:val="22"/>
          <w:highlight w:val="yellow"/>
        </w:rPr>
        <w:t>3</w:t>
      </w:r>
      <w:r w:rsidRPr="009B4F36">
        <w:rPr>
          <w:rFonts w:ascii="Arial" w:hAnsi="Arial" w:cs="Arial"/>
          <w:sz w:val="22"/>
          <w:szCs w:val="22"/>
          <w:highlight w:val="yellow"/>
        </w:rPr>
        <w:noBreakHyphen/>
      </w:r>
      <w:r w:rsidRPr="009B4F36">
        <w:rPr>
          <w:rFonts w:ascii="Arial" w:hAnsi="Arial" w:cs="Arial"/>
          <w:noProof/>
          <w:sz w:val="22"/>
          <w:szCs w:val="22"/>
          <w:highlight w:val="yellow"/>
        </w:rPr>
        <w:t>3</w:t>
      </w:r>
      <w:r w:rsidRPr="009B4F36">
        <w:rPr>
          <w:rFonts w:ascii="Arial" w:hAnsi="Arial" w:cs="Arial"/>
          <w:sz w:val="22"/>
          <w:szCs w:val="22"/>
        </w:rPr>
        <w:fldChar w:fldCharType="end"/>
      </w:r>
      <w:r>
        <w:rPr>
          <w:rFonts w:ascii="Arial" w:hAnsi="Arial" w:cs="Arial"/>
          <w:sz w:val="22"/>
          <w:szCs w:val="22"/>
        </w:rPr>
        <w:t>)</w:t>
      </w:r>
    </w:p>
    <w:p w14:paraId="4B5C30EC" w14:textId="77777777" w:rsidR="009B4F36" w:rsidRPr="00015B1A" w:rsidRDefault="009B4F36" w:rsidP="009B4F36">
      <w:pPr>
        <w:spacing w:before="240" w:after="240" w:line="276" w:lineRule="auto"/>
        <w:jc w:val="both"/>
        <w:rPr>
          <w:rFonts w:ascii="Arial" w:hAnsi="Arial" w:cs="Arial"/>
          <w:sz w:val="22"/>
          <w:szCs w:val="22"/>
        </w:rPr>
      </w:pPr>
    </w:p>
    <w:p w14:paraId="7DF79AC6" w14:textId="367B1DD8" w:rsidR="00914134" w:rsidRDefault="00914134" w:rsidP="00914134">
      <w:pPr>
        <w:pStyle w:val="Descripcin"/>
        <w:spacing w:after="0"/>
        <w:jc w:val="center"/>
        <w:rPr>
          <w:rFonts w:cs="Arial"/>
          <w:i w:val="0"/>
          <w:color w:val="auto"/>
          <w:sz w:val="20"/>
          <w:szCs w:val="20"/>
        </w:rPr>
      </w:pPr>
      <w:bookmarkStart w:id="117" w:name="_Ref529977566"/>
      <w:bookmarkStart w:id="118" w:name="_Toc499799358"/>
      <w:bookmarkStart w:id="119" w:name="_Toc530033406"/>
      <w:r w:rsidRPr="00E97BA4">
        <w:rPr>
          <w:rFonts w:cs="Arial"/>
          <w:b/>
          <w:i w:val="0"/>
          <w:color w:val="auto"/>
          <w:sz w:val="20"/>
          <w:szCs w:val="20"/>
          <w:highlight w:val="yellow"/>
        </w:rPr>
        <w:lastRenderedPageBreak/>
        <w:t xml:space="preserve">Gráfica </w:t>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STYLEREF 1 \s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3</w:t>
      </w:r>
      <w:r w:rsidR="00DA50A5">
        <w:rPr>
          <w:rFonts w:cs="Arial"/>
          <w:b/>
          <w:i w:val="0"/>
          <w:color w:val="auto"/>
          <w:sz w:val="20"/>
          <w:szCs w:val="20"/>
          <w:highlight w:val="yellow"/>
        </w:rPr>
        <w:fldChar w:fldCharType="end"/>
      </w:r>
      <w:r w:rsidR="00DA50A5">
        <w:rPr>
          <w:rFonts w:cs="Arial"/>
          <w:b/>
          <w:i w:val="0"/>
          <w:color w:val="auto"/>
          <w:sz w:val="20"/>
          <w:szCs w:val="20"/>
          <w:highlight w:val="yellow"/>
        </w:rPr>
        <w:noBreakHyphen/>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SEQ Gráfica \* ARABIC \s 1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3</w:t>
      </w:r>
      <w:r w:rsidR="00DA50A5">
        <w:rPr>
          <w:rFonts w:cs="Arial"/>
          <w:b/>
          <w:i w:val="0"/>
          <w:color w:val="auto"/>
          <w:sz w:val="20"/>
          <w:szCs w:val="20"/>
          <w:highlight w:val="yellow"/>
        </w:rPr>
        <w:fldChar w:fldCharType="end"/>
      </w:r>
      <w:bookmarkEnd w:id="117"/>
      <w:r w:rsidRPr="00E97BA4">
        <w:rPr>
          <w:rFonts w:cs="Arial"/>
          <w:b/>
          <w:i w:val="0"/>
          <w:color w:val="auto"/>
          <w:sz w:val="20"/>
          <w:szCs w:val="20"/>
          <w:highlight w:val="yellow"/>
        </w:rPr>
        <w:t xml:space="preserve">. </w:t>
      </w:r>
      <w:r w:rsidRPr="00E97BA4">
        <w:rPr>
          <w:rFonts w:cs="Arial"/>
          <w:i w:val="0"/>
          <w:color w:val="auto"/>
          <w:sz w:val="20"/>
          <w:szCs w:val="20"/>
        </w:rPr>
        <w:t>Histórico de exportaciones de GNL a nivel mundial</w:t>
      </w:r>
      <w:bookmarkEnd w:id="110"/>
      <w:bookmarkEnd w:id="111"/>
      <w:bookmarkEnd w:id="112"/>
      <w:bookmarkEnd w:id="113"/>
      <w:bookmarkEnd w:id="114"/>
      <w:bookmarkEnd w:id="115"/>
      <w:bookmarkEnd w:id="116"/>
      <w:bookmarkEnd w:id="118"/>
      <w:bookmarkEnd w:id="119"/>
    </w:p>
    <w:p w14:paraId="1EF99BD0" w14:textId="77777777" w:rsidR="00914134" w:rsidRPr="00497A7A" w:rsidRDefault="00914134" w:rsidP="00914134">
      <w:pPr>
        <w:jc w:val="center"/>
        <w:rPr>
          <w:highlight w:val="yellow"/>
          <w:lang w:val="es-CO" w:eastAsia="es-ES"/>
        </w:rPr>
      </w:pPr>
      <w:r w:rsidRPr="00497A7A">
        <w:rPr>
          <w:noProof/>
          <w:lang w:val="es-ES" w:eastAsia="es-ES"/>
        </w:rPr>
        <w:drawing>
          <wp:inline distT="0" distB="0" distL="0" distR="0" wp14:anchorId="3662AFFC" wp14:editId="0306351C">
            <wp:extent cx="5401945" cy="3242945"/>
            <wp:effectExtent l="0" t="0" r="8255" b="0"/>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1945" cy="3242945"/>
                    </a:xfrm>
                    <a:prstGeom prst="rect">
                      <a:avLst/>
                    </a:prstGeom>
                    <a:noFill/>
                    <a:ln>
                      <a:noFill/>
                    </a:ln>
                  </pic:spPr>
                </pic:pic>
              </a:graphicData>
            </a:graphic>
          </wp:inline>
        </w:drawing>
      </w:r>
    </w:p>
    <w:p w14:paraId="68DB3408" w14:textId="6EAB1110" w:rsidR="00914134" w:rsidRPr="007A7B04" w:rsidRDefault="00914134" w:rsidP="00914134">
      <w:pPr>
        <w:ind w:left="720" w:hanging="720"/>
        <w:jc w:val="center"/>
        <w:rPr>
          <w:rFonts w:ascii="Arial" w:hAnsi="Arial" w:cs="Arial"/>
          <w:color w:val="000000" w:themeColor="text1"/>
          <w:sz w:val="16"/>
        </w:rPr>
      </w:pPr>
      <w:r w:rsidRPr="007A7B04">
        <w:rPr>
          <w:rFonts w:ascii="Arial" w:hAnsi="Arial" w:cs="Arial"/>
          <w:b/>
          <w:color w:val="000000" w:themeColor="text1"/>
          <w:sz w:val="16"/>
        </w:rPr>
        <w:t>Fuente:</w:t>
      </w:r>
      <w:r w:rsidRPr="007A7B04">
        <w:rPr>
          <w:rFonts w:ascii="Arial" w:hAnsi="Arial" w:cs="Arial"/>
          <w:color w:val="000000" w:themeColor="text1"/>
          <w:sz w:val="16"/>
        </w:rPr>
        <w:t xml:space="preserve"> GIIGNL </w:t>
      </w:r>
      <w:r w:rsidR="005D45DF">
        <w:rPr>
          <w:rFonts w:ascii="Arial" w:hAnsi="Arial" w:cs="Arial"/>
          <w:color w:val="000000" w:themeColor="text1"/>
          <w:sz w:val="16"/>
        </w:rPr>
        <w:fldChar w:fldCharType="begin"/>
      </w:r>
      <w:r w:rsidR="005D45DF">
        <w:rPr>
          <w:rFonts w:ascii="Arial" w:hAnsi="Arial" w:cs="Arial"/>
          <w:color w:val="000000" w:themeColor="text1"/>
          <w:sz w:val="16"/>
        </w:rPr>
        <w:instrText xml:space="preserve"> REF _Ref529881942 \r \h </w:instrText>
      </w:r>
      <w:r w:rsidR="005D45DF">
        <w:rPr>
          <w:rFonts w:ascii="Arial" w:hAnsi="Arial" w:cs="Arial"/>
          <w:color w:val="000000" w:themeColor="text1"/>
          <w:sz w:val="16"/>
        </w:rPr>
      </w:r>
      <w:r w:rsidR="005D45DF">
        <w:rPr>
          <w:rFonts w:ascii="Arial" w:hAnsi="Arial" w:cs="Arial"/>
          <w:color w:val="000000" w:themeColor="text1"/>
          <w:sz w:val="16"/>
        </w:rPr>
        <w:fldChar w:fldCharType="separate"/>
      </w:r>
      <w:r w:rsidR="00915705">
        <w:rPr>
          <w:rFonts w:ascii="Arial" w:hAnsi="Arial" w:cs="Arial"/>
          <w:color w:val="000000" w:themeColor="text1"/>
          <w:sz w:val="16"/>
        </w:rPr>
        <w:t>[14]</w:t>
      </w:r>
      <w:r w:rsidR="005D45DF">
        <w:rPr>
          <w:rFonts w:ascii="Arial" w:hAnsi="Arial" w:cs="Arial"/>
          <w:color w:val="000000" w:themeColor="text1"/>
          <w:sz w:val="16"/>
        </w:rPr>
        <w:fldChar w:fldCharType="end"/>
      </w:r>
      <w:r w:rsidR="005D45DF">
        <w:rPr>
          <w:rFonts w:ascii="Arial" w:hAnsi="Arial" w:cs="Arial"/>
          <w:color w:val="000000" w:themeColor="text1"/>
          <w:sz w:val="16"/>
        </w:rPr>
        <w:t xml:space="preserve"> </w:t>
      </w:r>
      <w:r w:rsidR="005D45DF">
        <w:rPr>
          <w:rFonts w:ascii="Arial" w:hAnsi="Arial" w:cs="Arial"/>
          <w:color w:val="000000" w:themeColor="text1"/>
          <w:sz w:val="16"/>
        </w:rPr>
        <w:fldChar w:fldCharType="begin"/>
      </w:r>
      <w:r w:rsidR="005D45DF">
        <w:rPr>
          <w:rFonts w:ascii="Arial" w:hAnsi="Arial" w:cs="Arial"/>
          <w:color w:val="000000" w:themeColor="text1"/>
          <w:sz w:val="16"/>
        </w:rPr>
        <w:instrText xml:space="preserve"> REF _Ref529882024 \r \h </w:instrText>
      </w:r>
      <w:r w:rsidR="005D45DF">
        <w:rPr>
          <w:rFonts w:ascii="Arial" w:hAnsi="Arial" w:cs="Arial"/>
          <w:color w:val="000000" w:themeColor="text1"/>
          <w:sz w:val="16"/>
        </w:rPr>
      </w:r>
      <w:r w:rsidR="005D45DF">
        <w:rPr>
          <w:rFonts w:ascii="Arial" w:hAnsi="Arial" w:cs="Arial"/>
          <w:color w:val="000000" w:themeColor="text1"/>
          <w:sz w:val="16"/>
        </w:rPr>
        <w:fldChar w:fldCharType="separate"/>
      </w:r>
      <w:r w:rsidR="00915705">
        <w:rPr>
          <w:rFonts w:ascii="Arial" w:hAnsi="Arial" w:cs="Arial"/>
          <w:color w:val="000000" w:themeColor="text1"/>
          <w:sz w:val="16"/>
        </w:rPr>
        <w:t>[15]</w:t>
      </w:r>
      <w:r w:rsidR="005D45DF">
        <w:rPr>
          <w:rFonts w:ascii="Arial" w:hAnsi="Arial" w:cs="Arial"/>
          <w:color w:val="000000" w:themeColor="text1"/>
          <w:sz w:val="16"/>
        </w:rPr>
        <w:fldChar w:fldCharType="end"/>
      </w:r>
      <w:r w:rsidR="005D45DF">
        <w:rPr>
          <w:rFonts w:ascii="Arial" w:hAnsi="Arial" w:cs="Arial"/>
          <w:color w:val="000000" w:themeColor="text1"/>
          <w:sz w:val="16"/>
        </w:rPr>
        <w:t>, UPME</w:t>
      </w:r>
    </w:p>
    <w:p w14:paraId="7C602BFA" w14:textId="5232C696" w:rsidR="00914134" w:rsidRPr="00015B1A" w:rsidRDefault="00914134" w:rsidP="00914134">
      <w:pPr>
        <w:spacing w:before="240" w:after="240" w:line="276" w:lineRule="auto"/>
        <w:jc w:val="both"/>
        <w:rPr>
          <w:rFonts w:ascii="Arial" w:hAnsi="Arial" w:cs="Arial"/>
          <w:sz w:val="22"/>
          <w:szCs w:val="22"/>
        </w:rPr>
      </w:pPr>
      <w:r w:rsidRPr="00015B1A">
        <w:rPr>
          <w:rFonts w:ascii="Arial" w:hAnsi="Arial" w:cs="Arial"/>
          <w:sz w:val="22"/>
          <w:szCs w:val="22"/>
        </w:rPr>
        <w:t xml:space="preserve">A continuación, se muestra en la </w:t>
      </w:r>
      <w:r w:rsidRPr="00790F9B">
        <w:rPr>
          <w:rFonts w:ascii="Arial" w:hAnsi="Arial" w:cs="Arial"/>
          <w:sz w:val="22"/>
          <w:szCs w:val="22"/>
          <w:highlight w:val="yellow"/>
        </w:rPr>
        <w:fldChar w:fldCharType="begin"/>
      </w:r>
      <w:r w:rsidRPr="00790F9B">
        <w:rPr>
          <w:rFonts w:ascii="Arial" w:hAnsi="Arial" w:cs="Arial"/>
          <w:sz w:val="22"/>
          <w:szCs w:val="22"/>
          <w:highlight w:val="yellow"/>
        </w:rPr>
        <w:instrText xml:space="preserve"> REF _Ref401270475 \h  \* MERGEFORMAT </w:instrText>
      </w:r>
      <w:r w:rsidRPr="00790F9B">
        <w:rPr>
          <w:rFonts w:ascii="Arial" w:hAnsi="Arial" w:cs="Arial"/>
          <w:sz w:val="22"/>
          <w:szCs w:val="22"/>
          <w:highlight w:val="yellow"/>
        </w:rPr>
      </w:r>
      <w:r w:rsidRPr="00790F9B">
        <w:rPr>
          <w:rFonts w:ascii="Arial" w:hAnsi="Arial" w:cs="Arial"/>
          <w:sz w:val="22"/>
          <w:szCs w:val="22"/>
          <w:highlight w:val="yellow"/>
        </w:rPr>
        <w:fldChar w:fldCharType="separate"/>
      </w:r>
      <w:r w:rsidR="00A6575F" w:rsidRPr="00790F9B">
        <w:rPr>
          <w:rFonts w:ascii="Arial" w:hAnsi="Arial" w:cs="Arial"/>
          <w:sz w:val="22"/>
          <w:szCs w:val="22"/>
          <w:highlight w:val="yellow"/>
        </w:rPr>
        <w:t>Gráfica 3</w:t>
      </w:r>
      <w:r w:rsidR="00A6575F" w:rsidRPr="00790F9B">
        <w:rPr>
          <w:rFonts w:ascii="Arial" w:hAnsi="Arial" w:cs="Arial"/>
          <w:sz w:val="22"/>
          <w:szCs w:val="22"/>
          <w:highlight w:val="yellow"/>
        </w:rPr>
        <w:noBreakHyphen/>
        <w:t>4</w:t>
      </w:r>
      <w:r w:rsidRPr="00790F9B">
        <w:rPr>
          <w:rFonts w:ascii="Arial" w:hAnsi="Arial" w:cs="Arial"/>
          <w:sz w:val="22"/>
          <w:szCs w:val="22"/>
          <w:highlight w:val="yellow"/>
        </w:rPr>
        <w:fldChar w:fldCharType="end"/>
      </w:r>
      <w:r w:rsidRPr="00015B1A">
        <w:rPr>
          <w:rFonts w:ascii="Arial" w:hAnsi="Arial" w:cs="Arial"/>
          <w:sz w:val="22"/>
          <w:szCs w:val="22"/>
        </w:rPr>
        <w:t xml:space="preserve"> la producción de GNL a nivel mundial en el año 201</w:t>
      </w:r>
      <w:r w:rsidR="00015B1A" w:rsidRPr="00015B1A">
        <w:rPr>
          <w:rFonts w:ascii="Arial" w:hAnsi="Arial" w:cs="Arial"/>
          <w:sz w:val="22"/>
          <w:szCs w:val="22"/>
        </w:rPr>
        <w:t>7</w:t>
      </w:r>
      <w:r w:rsidRPr="00015B1A">
        <w:rPr>
          <w:rFonts w:ascii="Arial" w:hAnsi="Arial" w:cs="Arial"/>
          <w:sz w:val="22"/>
          <w:szCs w:val="22"/>
        </w:rPr>
        <w:t xml:space="preserve">, igualmente se organizan los países que componen cerca del 80% del total de esta producción y por ende, los más relevantes a futuro para un proyecto de importación desde nuestro país. </w:t>
      </w:r>
    </w:p>
    <w:p w14:paraId="334E3862" w14:textId="6DC4B2DB" w:rsidR="00914134" w:rsidRDefault="00914134" w:rsidP="00914134">
      <w:pPr>
        <w:jc w:val="center"/>
        <w:rPr>
          <w:rFonts w:ascii="Arial" w:eastAsia="Times New Roman" w:hAnsi="Arial" w:cs="Arial"/>
          <w:iCs/>
          <w:sz w:val="20"/>
          <w:szCs w:val="20"/>
          <w:lang w:val="es-CO" w:eastAsia="es-ES"/>
        </w:rPr>
      </w:pPr>
      <w:bookmarkStart w:id="120" w:name="_Ref401270475"/>
      <w:bookmarkStart w:id="121" w:name="_Toc401316962"/>
      <w:bookmarkStart w:id="122" w:name="_Toc403641001"/>
      <w:bookmarkStart w:id="123" w:name="_Toc403641240"/>
      <w:bookmarkStart w:id="124" w:name="_Toc403641396"/>
      <w:bookmarkStart w:id="125" w:name="_Toc403641948"/>
      <w:bookmarkStart w:id="126" w:name="_Toc403641998"/>
      <w:bookmarkStart w:id="127" w:name="_Toc447097987"/>
      <w:bookmarkStart w:id="128" w:name="_Toc499799359"/>
      <w:bookmarkStart w:id="129" w:name="_Toc530033407"/>
      <w:r w:rsidRPr="00A54A98">
        <w:rPr>
          <w:rFonts w:ascii="Arial" w:eastAsia="Times New Roman" w:hAnsi="Arial" w:cs="Arial"/>
          <w:b/>
          <w:iCs/>
          <w:sz w:val="20"/>
          <w:szCs w:val="20"/>
          <w:highlight w:val="yellow"/>
          <w:lang w:val="es-CO" w:eastAsia="es-ES"/>
        </w:rPr>
        <w:t xml:space="preserve">Gráfica </w:t>
      </w:r>
      <w:r w:rsidR="00DA50A5">
        <w:rPr>
          <w:rFonts w:ascii="Arial" w:eastAsia="Times New Roman" w:hAnsi="Arial" w:cs="Arial"/>
          <w:b/>
          <w:iCs/>
          <w:sz w:val="20"/>
          <w:szCs w:val="20"/>
          <w:highlight w:val="yellow"/>
          <w:lang w:val="es-CO" w:eastAsia="es-ES"/>
        </w:rPr>
        <w:fldChar w:fldCharType="begin"/>
      </w:r>
      <w:r w:rsidR="00DA50A5">
        <w:rPr>
          <w:rFonts w:ascii="Arial" w:eastAsia="Times New Roman" w:hAnsi="Arial" w:cs="Arial"/>
          <w:b/>
          <w:iCs/>
          <w:sz w:val="20"/>
          <w:szCs w:val="20"/>
          <w:highlight w:val="yellow"/>
          <w:lang w:val="es-CO" w:eastAsia="es-ES"/>
        </w:rPr>
        <w:instrText xml:space="preserve"> STYLEREF 1 \s </w:instrText>
      </w:r>
      <w:r w:rsidR="00DA50A5">
        <w:rPr>
          <w:rFonts w:ascii="Arial" w:eastAsia="Times New Roman" w:hAnsi="Arial" w:cs="Arial"/>
          <w:b/>
          <w:iCs/>
          <w:sz w:val="20"/>
          <w:szCs w:val="20"/>
          <w:highlight w:val="yellow"/>
          <w:lang w:val="es-CO" w:eastAsia="es-ES"/>
        </w:rPr>
        <w:fldChar w:fldCharType="separate"/>
      </w:r>
      <w:r w:rsidR="00DA50A5">
        <w:rPr>
          <w:rFonts w:ascii="Arial" w:eastAsia="Times New Roman" w:hAnsi="Arial" w:cs="Arial"/>
          <w:b/>
          <w:iCs/>
          <w:noProof/>
          <w:sz w:val="20"/>
          <w:szCs w:val="20"/>
          <w:highlight w:val="yellow"/>
          <w:lang w:val="es-CO" w:eastAsia="es-ES"/>
        </w:rPr>
        <w:t>3</w:t>
      </w:r>
      <w:r w:rsidR="00DA50A5">
        <w:rPr>
          <w:rFonts w:ascii="Arial" w:eastAsia="Times New Roman" w:hAnsi="Arial" w:cs="Arial"/>
          <w:b/>
          <w:iCs/>
          <w:sz w:val="20"/>
          <w:szCs w:val="20"/>
          <w:highlight w:val="yellow"/>
          <w:lang w:val="es-CO" w:eastAsia="es-ES"/>
        </w:rPr>
        <w:fldChar w:fldCharType="end"/>
      </w:r>
      <w:r w:rsidR="00DA50A5">
        <w:rPr>
          <w:rFonts w:ascii="Arial" w:eastAsia="Times New Roman" w:hAnsi="Arial" w:cs="Arial"/>
          <w:b/>
          <w:iCs/>
          <w:sz w:val="20"/>
          <w:szCs w:val="20"/>
          <w:highlight w:val="yellow"/>
          <w:lang w:val="es-CO" w:eastAsia="es-ES"/>
        </w:rPr>
        <w:noBreakHyphen/>
      </w:r>
      <w:r w:rsidR="00DA50A5">
        <w:rPr>
          <w:rFonts w:ascii="Arial" w:eastAsia="Times New Roman" w:hAnsi="Arial" w:cs="Arial"/>
          <w:b/>
          <w:iCs/>
          <w:sz w:val="20"/>
          <w:szCs w:val="20"/>
          <w:highlight w:val="yellow"/>
          <w:lang w:val="es-CO" w:eastAsia="es-ES"/>
        </w:rPr>
        <w:fldChar w:fldCharType="begin"/>
      </w:r>
      <w:r w:rsidR="00DA50A5">
        <w:rPr>
          <w:rFonts w:ascii="Arial" w:eastAsia="Times New Roman" w:hAnsi="Arial" w:cs="Arial"/>
          <w:b/>
          <w:iCs/>
          <w:sz w:val="20"/>
          <w:szCs w:val="20"/>
          <w:highlight w:val="yellow"/>
          <w:lang w:val="es-CO" w:eastAsia="es-ES"/>
        </w:rPr>
        <w:instrText xml:space="preserve"> SEQ Gráfica \* ARABIC \s 1 </w:instrText>
      </w:r>
      <w:r w:rsidR="00DA50A5">
        <w:rPr>
          <w:rFonts w:ascii="Arial" w:eastAsia="Times New Roman" w:hAnsi="Arial" w:cs="Arial"/>
          <w:b/>
          <w:iCs/>
          <w:sz w:val="20"/>
          <w:szCs w:val="20"/>
          <w:highlight w:val="yellow"/>
          <w:lang w:val="es-CO" w:eastAsia="es-ES"/>
        </w:rPr>
        <w:fldChar w:fldCharType="separate"/>
      </w:r>
      <w:r w:rsidR="00DA50A5">
        <w:rPr>
          <w:rFonts w:ascii="Arial" w:eastAsia="Times New Roman" w:hAnsi="Arial" w:cs="Arial"/>
          <w:b/>
          <w:iCs/>
          <w:noProof/>
          <w:sz w:val="20"/>
          <w:szCs w:val="20"/>
          <w:highlight w:val="yellow"/>
          <w:lang w:val="es-CO" w:eastAsia="es-ES"/>
        </w:rPr>
        <w:t>4</w:t>
      </w:r>
      <w:r w:rsidR="00DA50A5">
        <w:rPr>
          <w:rFonts w:ascii="Arial" w:eastAsia="Times New Roman" w:hAnsi="Arial" w:cs="Arial"/>
          <w:b/>
          <w:iCs/>
          <w:sz w:val="20"/>
          <w:szCs w:val="20"/>
          <w:highlight w:val="yellow"/>
          <w:lang w:val="es-CO" w:eastAsia="es-ES"/>
        </w:rPr>
        <w:fldChar w:fldCharType="end"/>
      </w:r>
      <w:bookmarkEnd w:id="120"/>
      <w:r w:rsidRPr="00A54A98">
        <w:rPr>
          <w:rFonts w:ascii="Arial" w:eastAsia="Times New Roman" w:hAnsi="Arial" w:cs="Arial"/>
          <w:b/>
          <w:iCs/>
          <w:sz w:val="20"/>
          <w:szCs w:val="20"/>
          <w:highlight w:val="yellow"/>
          <w:lang w:val="es-CO" w:eastAsia="es-ES"/>
        </w:rPr>
        <w:t xml:space="preserve">. </w:t>
      </w:r>
      <w:r w:rsidRPr="00A54A98">
        <w:rPr>
          <w:rFonts w:ascii="Arial" w:eastAsia="Times New Roman" w:hAnsi="Arial" w:cs="Arial"/>
          <w:iCs/>
          <w:sz w:val="20"/>
          <w:szCs w:val="20"/>
          <w:lang w:val="es-CO" w:eastAsia="es-ES"/>
        </w:rPr>
        <w:t>Capacidad de licuefacción de GNL a nivel mundial (Pareto)</w:t>
      </w:r>
      <w:bookmarkEnd w:id="121"/>
      <w:bookmarkEnd w:id="122"/>
      <w:bookmarkEnd w:id="123"/>
      <w:bookmarkEnd w:id="124"/>
      <w:bookmarkEnd w:id="125"/>
      <w:bookmarkEnd w:id="126"/>
      <w:bookmarkEnd w:id="127"/>
      <w:bookmarkEnd w:id="128"/>
      <w:bookmarkEnd w:id="129"/>
    </w:p>
    <w:p w14:paraId="5ACFBB8A" w14:textId="4F624A1B" w:rsidR="009B4F36" w:rsidRPr="00A54A98" w:rsidRDefault="009B4F36" w:rsidP="00914134">
      <w:pPr>
        <w:jc w:val="center"/>
        <w:rPr>
          <w:rFonts w:ascii="Arial" w:eastAsia="Times New Roman" w:hAnsi="Arial" w:cs="Arial"/>
          <w:b/>
          <w:iCs/>
          <w:sz w:val="20"/>
          <w:szCs w:val="20"/>
          <w:highlight w:val="yellow"/>
          <w:lang w:val="es-CO" w:eastAsia="es-ES"/>
        </w:rPr>
      </w:pPr>
      <w:r w:rsidRPr="009B4F36">
        <w:rPr>
          <w:noProof/>
          <w:lang w:val="es-ES" w:eastAsia="es-ES"/>
        </w:rPr>
        <w:drawing>
          <wp:inline distT="0" distB="0" distL="0" distR="0" wp14:anchorId="775AC2A9" wp14:editId="5DD1A98C">
            <wp:extent cx="5400040" cy="3243580"/>
            <wp:effectExtent l="0" t="0" r="0" b="0"/>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40" cy="3243580"/>
                    </a:xfrm>
                    <a:prstGeom prst="rect">
                      <a:avLst/>
                    </a:prstGeom>
                    <a:noFill/>
                    <a:ln>
                      <a:noFill/>
                    </a:ln>
                  </pic:spPr>
                </pic:pic>
              </a:graphicData>
            </a:graphic>
          </wp:inline>
        </w:drawing>
      </w:r>
    </w:p>
    <w:p w14:paraId="5850B394" w14:textId="611D2273" w:rsidR="00914134" w:rsidRPr="007A7B04" w:rsidRDefault="00914134" w:rsidP="00914134">
      <w:pPr>
        <w:jc w:val="center"/>
        <w:rPr>
          <w:rFonts w:ascii="Arial" w:hAnsi="Arial" w:cs="Arial"/>
        </w:rPr>
      </w:pPr>
      <w:r w:rsidRPr="007A7B04">
        <w:rPr>
          <w:rFonts w:ascii="Arial" w:hAnsi="Arial" w:cs="Arial"/>
          <w:b/>
          <w:color w:val="000000" w:themeColor="text1"/>
          <w:sz w:val="16"/>
        </w:rPr>
        <w:t>Fuente:</w:t>
      </w:r>
      <w:r w:rsidRPr="007A7B04">
        <w:rPr>
          <w:rFonts w:ascii="Arial" w:hAnsi="Arial" w:cs="Arial"/>
        </w:rPr>
        <w:t xml:space="preserve"> </w:t>
      </w:r>
      <w:r w:rsidRPr="007A7B04">
        <w:rPr>
          <w:rFonts w:ascii="Arial" w:hAnsi="Arial" w:cs="Arial"/>
          <w:color w:val="000000" w:themeColor="text1"/>
          <w:sz w:val="16"/>
        </w:rPr>
        <w:t xml:space="preserve">GIIGNL </w:t>
      </w:r>
      <w:r w:rsidR="005D45DF">
        <w:rPr>
          <w:rFonts w:ascii="Arial" w:hAnsi="Arial" w:cs="Arial"/>
          <w:color w:val="000000" w:themeColor="text1"/>
          <w:sz w:val="16"/>
        </w:rPr>
        <w:fldChar w:fldCharType="begin"/>
      </w:r>
      <w:r w:rsidR="005D45DF">
        <w:rPr>
          <w:rFonts w:ascii="Arial" w:hAnsi="Arial" w:cs="Arial"/>
          <w:color w:val="000000" w:themeColor="text1"/>
          <w:sz w:val="16"/>
        </w:rPr>
        <w:instrText xml:space="preserve"> REF _Ref529881942 \r \h </w:instrText>
      </w:r>
      <w:r w:rsidR="005D45DF">
        <w:rPr>
          <w:rFonts w:ascii="Arial" w:hAnsi="Arial" w:cs="Arial"/>
          <w:color w:val="000000" w:themeColor="text1"/>
          <w:sz w:val="16"/>
        </w:rPr>
      </w:r>
      <w:r w:rsidR="005D45DF">
        <w:rPr>
          <w:rFonts w:ascii="Arial" w:hAnsi="Arial" w:cs="Arial"/>
          <w:color w:val="000000" w:themeColor="text1"/>
          <w:sz w:val="16"/>
        </w:rPr>
        <w:fldChar w:fldCharType="separate"/>
      </w:r>
      <w:r w:rsidR="00915705">
        <w:rPr>
          <w:rFonts w:ascii="Arial" w:hAnsi="Arial" w:cs="Arial"/>
          <w:color w:val="000000" w:themeColor="text1"/>
          <w:sz w:val="16"/>
        </w:rPr>
        <w:t>[14]</w:t>
      </w:r>
      <w:r w:rsidR="005D45DF">
        <w:rPr>
          <w:rFonts w:ascii="Arial" w:hAnsi="Arial" w:cs="Arial"/>
          <w:color w:val="000000" w:themeColor="text1"/>
          <w:sz w:val="16"/>
        </w:rPr>
        <w:fldChar w:fldCharType="end"/>
      </w:r>
      <w:r w:rsidR="00F46246">
        <w:rPr>
          <w:rFonts w:ascii="Arial" w:hAnsi="Arial" w:cs="Arial"/>
          <w:color w:val="000000" w:themeColor="text1"/>
          <w:sz w:val="16"/>
        </w:rPr>
        <w:t>,</w:t>
      </w:r>
      <w:r w:rsidR="005D45DF">
        <w:rPr>
          <w:rFonts w:ascii="Arial" w:hAnsi="Arial" w:cs="Arial"/>
          <w:color w:val="000000" w:themeColor="text1"/>
          <w:sz w:val="16"/>
        </w:rPr>
        <w:t xml:space="preserve"> </w:t>
      </w:r>
      <w:r>
        <w:rPr>
          <w:rFonts w:ascii="Arial" w:hAnsi="Arial" w:cs="Arial"/>
          <w:color w:val="000000" w:themeColor="text1"/>
          <w:sz w:val="16"/>
        </w:rPr>
        <w:t>UPME</w:t>
      </w:r>
    </w:p>
    <w:p w14:paraId="3A8AE2FB" w14:textId="77777777" w:rsidR="009B4F36" w:rsidRPr="00B842AC" w:rsidRDefault="009B4F36" w:rsidP="009B4F36">
      <w:pPr>
        <w:spacing w:before="240" w:after="240" w:line="276" w:lineRule="auto"/>
        <w:jc w:val="both"/>
        <w:rPr>
          <w:rFonts w:ascii="Arial" w:hAnsi="Arial" w:cs="Arial"/>
          <w:sz w:val="22"/>
          <w:szCs w:val="22"/>
        </w:rPr>
      </w:pPr>
      <w:r w:rsidRPr="00B842AC">
        <w:rPr>
          <w:rFonts w:ascii="Arial" w:hAnsi="Arial" w:cs="Arial"/>
          <w:sz w:val="22"/>
          <w:szCs w:val="22"/>
        </w:rPr>
        <w:lastRenderedPageBreak/>
        <w:t>Las principales regiones productoras según el Pareto considerado en la gráfica anterior son: Medio Oriente (Qatar) con una capacidad de 180.2 Mm</w:t>
      </w:r>
      <w:r w:rsidRPr="00B842AC">
        <w:rPr>
          <w:rFonts w:ascii="Arial" w:hAnsi="Arial" w:cs="Arial"/>
          <w:sz w:val="22"/>
          <w:szCs w:val="22"/>
          <w:vertAlign w:val="superscript"/>
        </w:rPr>
        <w:t>3</w:t>
      </w:r>
      <w:r w:rsidRPr="00B842AC">
        <w:rPr>
          <w:rFonts w:ascii="Arial" w:hAnsi="Arial" w:cs="Arial"/>
          <w:sz w:val="22"/>
          <w:szCs w:val="22"/>
        </w:rPr>
        <w:t xml:space="preserve"> de GNL al año, Australia (Oceanía) con una capacidad de 152.9 Mm</w:t>
      </w:r>
      <w:r w:rsidRPr="00B842AC">
        <w:rPr>
          <w:rFonts w:ascii="Arial" w:hAnsi="Arial" w:cs="Arial"/>
          <w:sz w:val="22"/>
          <w:szCs w:val="22"/>
          <w:vertAlign w:val="superscript"/>
        </w:rPr>
        <w:t>3</w:t>
      </w:r>
      <w:r w:rsidRPr="00B842AC">
        <w:rPr>
          <w:rFonts w:ascii="Arial" w:hAnsi="Arial" w:cs="Arial"/>
          <w:sz w:val="22"/>
          <w:szCs w:val="22"/>
        </w:rPr>
        <w:t xml:space="preserve"> de GNL al año, Asia (Indonesia y Malasia) con una capacidad de 120.8 Mm</w:t>
      </w:r>
      <w:r w:rsidRPr="00B842AC">
        <w:rPr>
          <w:rFonts w:ascii="Arial" w:hAnsi="Arial" w:cs="Arial"/>
          <w:sz w:val="22"/>
          <w:szCs w:val="22"/>
          <w:vertAlign w:val="superscript"/>
        </w:rPr>
        <w:t>3</w:t>
      </w:r>
      <w:r w:rsidRPr="00B842AC">
        <w:rPr>
          <w:rFonts w:ascii="Arial" w:hAnsi="Arial" w:cs="Arial"/>
          <w:sz w:val="22"/>
          <w:szCs w:val="22"/>
        </w:rPr>
        <w:t xml:space="preserve"> de GNL al año, África (Argelia, Nigeria) con una capacidad de 111.2 Mm</w:t>
      </w:r>
      <w:r w:rsidRPr="00B842AC">
        <w:rPr>
          <w:rFonts w:ascii="Arial" w:hAnsi="Arial" w:cs="Arial"/>
          <w:sz w:val="22"/>
          <w:szCs w:val="22"/>
          <w:vertAlign w:val="superscript"/>
        </w:rPr>
        <w:t>3</w:t>
      </w:r>
      <w:r w:rsidRPr="00B842AC">
        <w:rPr>
          <w:rFonts w:ascii="Arial" w:hAnsi="Arial" w:cs="Arial"/>
          <w:sz w:val="22"/>
          <w:szCs w:val="22"/>
        </w:rPr>
        <w:t xml:space="preserve"> de GNL al año y América (Estados Unidos y Trinidad y Tobago) con una capacidad de 81.5 Mm</w:t>
      </w:r>
      <w:r w:rsidRPr="00B842AC">
        <w:rPr>
          <w:rFonts w:ascii="Arial" w:hAnsi="Arial" w:cs="Arial"/>
          <w:sz w:val="22"/>
          <w:szCs w:val="22"/>
          <w:vertAlign w:val="superscript"/>
        </w:rPr>
        <w:t>3</w:t>
      </w:r>
      <w:r w:rsidRPr="00B842AC">
        <w:rPr>
          <w:rFonts w:ascii="Arial" w:hAnsi="Arial" w:cs="Arial"/>
          <w:sz w:val="22"/>
          <w:szCs w:val="22"/>
        </w:rPr>
        <w:t xml:space="preserve"> de GNL al año. En el continente Americano, hay tres (3) países Estados Unidos, Trinidad y Tobago y Perú. De éstos países Perú es el único que no tiene potencial de exportación para Colombia. Teniendo en cuenta que las posibilidad de compra de GNL para Colombia en el mercado americano son mayores que hace unos años, aumenta la posibilidad de comprar GNL a precios más bajo optimizando el costo del transporte. </w:t>
      </w:r>
    </w:p>
    <w:p w14:paraId="2B061413" w14:textId="15630257" w:rsidR="00914134" w:rsidRPr="00E618CA" w:rsidRDefault="00914134" w:rsidP="00914134">
      <w:pPr>
        <w:spacing w:before="240" w:after="240" w:line="276" w:lineRule="auto"/>
        <w:jc w:val="both"/>
        <w:rPr>
          <w:rFonts w:ascii="Arial" w:hAnsi="Arial" w:cs="Arial"/>
          <w:sz w:val="22"/>
          <w:szCs w:val="22"/>
        </w:rPr>
      </w:pPr>
      <w:r w:rsidRPr="00E618CA">
        <w:rPr>
          <w:rFonts w:ascii="Arial" w:hAnsi="Arial" w:cs="Arial"/>
          <w:sz w:val="22"/>
          <w:szCs w:val="22"/>
        </w:rPr>
        <w:t xml:space="preserve">Asimismo, en la </w:t>
      </w:r>
      <w:r w:rsidRPr="00790F9B">
        <w:rPr>
          <w:rFonts w:ascii="Arial" w:hAnsi="Arial" w:cs="Arial"/>
          <w:sz w:val="22"/>
          <w:szCs w:val="22"/>
          <w:highlight w:val="yellow"/>
        </w:rPr>
        <w:fldChar w:fldCharType="begin"/>
      </w:r>
      <w:r w:rsidRPr="00790F9B">
        <w:rPr>
          <w:rFonts w:ascii="Arial" w:hAnsi="Arial" w:cs="Arial"/>
          <w:sz w:val="22"/>
          <w:szCs w:val="22"/>
          <w:highlight w:val="yellow"/>
        </w:rPr>
        <w:instrText xml:space="preserve"> REF _Ref401270525 \h  \* MERGEFORMAT </w:instrText>
      </w:r>
      <w:r w:rsidRPr="00790F9B">
        <w:rPr>
          <w:rFonts w:ascii="Arial" w:hAnsi="Arial" w:cs="Arial"/>
          <w:sz w:val="22"/>
          <w:szCs w:val="22"/>
          <w:highlight w:val="yellow"/>
        </w:rPr>
      </w:r>
      <w:r w:rsidRPr="00790F9B">
        <w:rPr>
          <w:rFonts w:ascii="Arial" w:hAnsi="Arial" w:cs="Arial"/>
          <w:sz w:val="22"/>
          <w:szCs w:val="22"/>
          <w:highlight w:val="yellow"/>
        </w:rPr>
        <w:fldChar w:fldCharType="separate"/>
      </w:r>
      <w:r w:rsidR="00915705" w:rsidRPr="00790F9B">
        <w:rPr>
          <w:rFonts w:ascii="Arial" w:hAnsi="Arial" w:cs="Arial"/>
          <w:sz w:val="22"/>
          <w:szCs w:val="22"/>
          <w:highlight w:val="yellow"/>
        </w:rPr>
        <w:t>Gráfica 3</w:t>
      </w:r>
      <w:r w:rsidR="00915705" w:rsidRPr="00790F9B">
        <w:rPr>
          <w:rFonts w:ascii="Arial" w:hAnsi="Arial" w:cs="Arial"/>
          <w:sz w:val="22"/>
          <w:szCs w:val="22"/>
          <w:highlight w:val="yellow"/>
        </w:rPr>
        <w:noBreakHyphen/>
        <w:t>5</w:t>
      </w:r>
      <w:r w:rsidRPr="00790F9B">
        <w:rPr>
          <w:rFonts w:ascii="Arial" w:hAnsi="Arial" w:cs="Arial"/>
          <w:sz w:val="22"/>
          <w:szCs w:val="22"/>
          <w:highlight w:val="yellow"/>
        </w:rPr>
        <w:fldChar w:fldCharType="end"/>
      </w:r>
      <w:r w:rsidRPr="00E618CA">
        <w:rPr>
          <w:rFonts w:ascii="Arial" w:hAnsi="Arial" w:cs="Arial"/>
          <w:sz w:val="22"/>
          <w:szCs w:val="22"/>
        </w:rPr>
        <w:t xml:space="preserve"> se muestran las exportaciones de GNL para el año 2017 y se organiza de tal manera que se muestran los países que representan el 80% de las exportaciones a niv</w:t>
      </w:r>
      <w:r w:rsidR="009B4F36">
        <w:rPr>
          <w:rFonts w:ascii="Arial" w:hAnsi="Arial" w:cs="Arial"/>
          <w:sz w:val="22"/>
          <w:szCs w:val="22"/>
        </w:rPr>
        <w:t>e</w:t>
      </w:r>
      <w:r w:rsidRPr="00E618CA">
        <w:rPr>
          <w:rFonts w:ascii="Arial" w:hAnsi="Arial" w:cs="Arial"/>
          <w:sz w:val="22"/>
          <w:szCs w:val="22"/>
        </w:rPr>
        <w:t>l mundial.</w:t>
      </w:r>
    </w:p>
    <w:p w14:paraId="1237428B" w14:textId="6A791B59" w:rsidR="00914134" w:rsidRDefault="00914134" w:rsidP="00914134">
      <w:pPr>
        <w:pStyle w:val="Descripcin"/>
        <w:spacing w:after="0"/>
        <w:jc w:val="center"/>
        <w:rPr>
          <w:rFonts w:cs="Arial"/>
          <w:i w:val="0"/>
          <w:color w:val="auto"/>
          <w:sz w:val="20"/>
          <w:szCs w:val="20"/>
        </w:rPr>
      </w:pPr>
      <w:bookmarkStart w:id="130" w:name="_Ref401270525"/>
      <w:bookmarkStart w:id="131" w:name="_Toc401316963"/>
      <w:bookmarkStart w:id="132" w:name="_Toc403641002"/>
      <w:bookmarkStart w:id="133" w:name="_Toc403641241"/>
      <w:bookmarkStart w:id="134" w:name="_Toc403641397"/>
      <w:bookmarkStart w:id="135" w:name="_Toc403641949"/>
      <w:bookmarkStart w:id="136" w:name="_Toc403641999"/>
      <w:bookmarkStart w:id="137" w:name="_Toc447097988"/>
      <w:bookmarkStart w:id="138" w:name="_Toc499799360"/>
      <w:bookmarkStart w:id="139" w:name="_Toc530033408"/>
      <w:r w:rsidRPr="00A54A98">
        <w:rPr>
          <w:rFonts w:cs="Arial"/>
          <w:b/>
          <w:i w:val="0"/>
          <w:color w:val="auto"/>
          <w:sz w:val="20"/>
          <w:szCs w:val="20"/>
          <w:highlight w:val="yellow"/>
        </w:rPr>
        <w:t xml:space="preserve">Gráfica </w:t>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STYLEREF 1 \s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3</w:t>
      </w:r>
      <w:r w:rsidR="00DA50A5">
        <w:rPr>
          <w:rFonts w:cs="Arial"/>
          <w:b/>
          <w:i w:val="0"/>
          <w:color w:val="auto"/>
          <w:sz w:val="20"/>
          <w:szCs w:val="20"/>
          <w:highlight w:val="yellow"/>
        </w:rPr>
        <w:fldChar w:fldCharType="end"/>
      </w:r>
      <w:r w:rsidR="00DA50A5">
        <w:rPr>
          <w:rFonts w:cs="Arial"/>
          <w:b/>
          <w:i w:val="0"/>
          <w:color w:val="auto"/>
          <w:sz w:val="20"/>
          <w:szCs w:val="20"/>
          <w:highlight w:val="yellow"/>
        </w:rPr>
        <w:noBreakHyphen/>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SEQ Gráfica \* ARABIC \s 1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5</w:t>
      </w:r>
      <w:r w:rsidR="00DA50A5">
        <w:rPr>
          <w:rFonts w:cs="Arial"/>
          <w:b/>
          <w:i w:val="0"/>
          <w:color w:val="auto"/>
          <w:sz w:val="20"/>
          <w:szCs w:val="20"/>
          <w:highlight w:val="yellow"/>
        </w:rPr>
        <w:fldChar w:fldCharType="end"/>
      </w:r>
      <w:bookmarkEnd w:id="130"/>
      <w:r w:rsidRPr="00A54A98">
        <w:rPr>
          <w:rFonts w:cs="Arial"/>
          <w:b/>
          <w:i w:val="0"/>
          <w:color w:val="auto"/>
          <w:sz w:val="20"/>
          <w:szCs w:val="20"/>
          <w:highlight w:val="yellow"/>
        </w:rPr>
        <w:t xml:space="preserve">. </w:t>
      </w:r>
      <w:r w:rsidRPr="00A54A98">
        <w:rPr>
          <w:rFonts w:cs="Arial"/>
          <w:i w:val="0"/>
          <w:color w:val="auto"/>
          <w:sz w:val="20"/>
          <w:szCs w:val="20"/>
        </w:rPr>
        <w:t>Exportación de GNL a nivel mundial (Pareto)</w:t>
      </w:r>
      <w:bookmarkEnd w:id="131"/>
      <w:bookmarkEnd w:id="132"/>
      <w:bookmarkEnd w:id="133"/>
      <w:bookmarkEnd w:id="134"/>
      <w:bookmarkEnd w:id="135"/>
      <w:bookmarkEnd w:id="136"/>
      <w:bookmarkEnd w:id="137"/>
      <w:bookmarkEnd w:id="138"/>
      <w:bookmarkEnd w:id="139"/>
    </w:p>
    <w:p w14:paraId="533079FB" w14:textId="41721C7A" w:rsidR="00790F9B" w:rsidRPr="00790F9B" w:rsidRDefault="00790F9B" w:rsidP="00790F9B">
      <w:pPr>
        <w:jc w:val="center"/>
        <w:rPr>
          <w:highlight w:val="yellow"/>
          <w:lang w:val="es-CO" w:eastAsia="es-ES"/>
        </w:rPr>
      </w:pPr>
      <w:r w:rsidRPr="00790F9B">
        <w:rPr>
          <w:noProof/>
          <w:lang w:val="es-ES" w:eastAsia="es-ES"/>
        </w:rPr>
        <w:drawing>
          <wp:inline distT="0" distB="0" distL="0" distR="0" wp14:anchorId="62B5B0AA" wp14:editId="4C1AF692">
            <wp:extent cx="5400040" cy="3243580"/>
            <wp:effectExtent l="0" t="0" r="0" b="0"/>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40" cy="3243580"/>
                    </a:xfrm>
                    <a:prstGeom prst="rect">
                      <a:avLst/>
                    </a:prstGeom>
                    <a:noFill/>
                    <a:ln>
                      <a:noFill/>
                    </a:ln>
                  </pic:spPr>
                </pic:pic>
              </a:graphicData>
            </a:graphic>
          </wp:inline>
        </w:drawing>
      </w:r>
    </w:p>
    <w:p w14:paraId="4B35D4B6" w14:textId="41409F3A" w:rsidR="00914134" w:rsidRPr="007A7B04" w:rsidRDefault="00914134" w:rsidP="00914134">
      <w:pPr>
        <w:jc w:val="center"/>
        <w:rPr>
          <w:rFonts w:ascii="Arial" w:hAnsi="Arial" w:cs="Arial"/>
        </w:rPr>
      </w:pPr>
      <w:r w:rsidRPr="007A7B04">
        <w:rPr>
          <w:rFonts w:ascii="Arial" w:hAnsi="Arial" w:cs="Arial"/>
          <w:b/>
          <w:color w:val="000000" w:themeColor="text1"/>
          <w:sz w:val="16"/>
        </w:rPr>
        <w:t>Fuente:</w:t>
      </w:r>
      <w:r w:rsidRPr="007A7B04">
        <w:rPr>
          <w:rFonts w:ascii="Arial" w:hAnsi="Arial" w:cs="Arial"/>
        </w:rPr>
        <w:t xml:space="preserve"> </w:t>
      </w:r>
      <w:r w:rsidR="00F46246" w:rsidRPr="007A7B04">
        <w:rPr>
          <w:rFonts w:ascii="Arial" w:hAnsi="Arial" w:cs="Arial"/>
          <w:color w:val="000000" w:themeColor="text1"/>
          <w:sz w:val="16"/>
        </w:rPr>
        <w:t xml:space="preserve">GIIGNL </w:t>
      </w:r>
      <w:r w:rsidR="00F46246">
        <w:rPr>
          <w:rFonts w:ascii="Arial" w:hAnsi="Arial" w:cs="Arial"/>
          <w:color w:val="000000" w:themeColor="text1"/>
          <w:sz w:val="16"/>
        </w:rPr>
        <w:fldChar w:fldCharType="begin"/>
      </w:r>
      <w:r w:rsidR="00F46246">
        <w:rPr>
          <w:rFonts w:ascii="Arial" w:hAnsi="Arial" w:cs="Arial"/>
          <w:color w:val="000000" w:themeColor="text1"/>
          <w:sz w:val="16"/>
        </w:rPr>
        <w:instrText xml:space="preserve"> REF _Ref529881942 \r \h </w:instrText>
      </w:r>
      <w:r w:rsidR="00F46246">
        <w:rPr>
          <w:rFonts w:ascii="Arial" w:hAnsi="Arial" w:cs="Arial"/>
          <w:color w:val="000000" w:themeColor="text1"/>
          <w:sz w:val="16"/>
        </w:rPr>
      </w:r>
      <w:r w:rsidR="00F46246">
        <w:rPr>
          <w:rFonts w:ascii="Arial" w:hAnsi="Arial" w:cs="Arial"/>
          <w:color w:val="000000" w:themeColor="text1"/>
          <w:sz w:val="16"/>
        </w:rPr>
        <w:fldChar w:fldCharType="separate"/>
      </w:r>
      <w:r w:rsidR="00915705">
        <w:rPr>
          <w:rFonts w:ascii="Arial" w:hAnsi="Arial" w:cs="Arial"/>
          <w:color w:val="000000" w:themeColor="text1"/>
          <w:sz w:val="16"/>
        </w:rPr>
        <w:t>[14]</w:t>
      </w:r>
      <w:r w:rsidR="00F46246">
        <w:rPr>
          <w:rFonts w:ascii="Arial" w:hAnsi="Arial" w:cs="Arial"/>
          <w:color w:val="000000" w:themeColor="text1"/>
          <w:sz w:val="16"/>
        </w:rPr>
        <w:fldChar w:fldCharType="end"/>
      </w:r>
      <w:r w:rsidR="00F46246">
        <w:rPr>
          <w:rFonts w:ascii="Arial" w:hAnsi="Arial" w:cs="Arial"/>
          <w:color w:val="000000" w:themeColor="text1"/>
          <w:sz w:val="16"/>
        </w:rPr>
        <w:t>, UPME</w:t>
      </w:r>
    </w:p>
    <w:p w14:paraId="6B2E1AAA" w14:textId="77960C85" w:rsidR="00914134" w:rsidRPr="00A74F90" w:rsidRDefault="00E618CA" w:rsidP="00914134">
      <w:pPr>
        <w:spacing w:before="240" w:after="240" w:line="276" w:lineRule="auto"/>
        <w:jc w:val="both"/>
        <w:rPr>
          <w:rFonts w:ascii="Arial" w:hAnsi="Arial" w:cs="Arial"/>
          <w:sz w:val="22"/>
          <w:szCs w:val="22"/>
        </w:rPr>
      </w:pPr>
      <w:r w:rsidRPr="00A74F90">
        <w:rPr>
          <w:rFonts w:ascii="Arial" w:hAnsi="Arial" w:cs="Arial"/>
          <w:sz w:val="22"/>
          <w:szCs w:val="22"/>
        </w:rPr>
        <w:t xml:space="preserve">Los </w:t>
      </w:r>
      <w:r w:rsidR="00914134" w:rsidRPr="00A74F90">
        <w:rPr>
          <w:rFonts w:ascii="Arial" w:hAnsi="Arial" w:cs="Arial"/>
          <w:sz w:val="22"/>
          <w:szCs w:val="22"/>
        </w:rPr>
        <w:t>principales productores constituyen el grupo de los principales exportadores</w:t>
      </w:r>
      <w:r w:rsidRPr="00A74F90">
        <w:rPr>
          <w:rFonts w:ascii="Arial" w:hAnsi="Arial" w:cs="Arial"/>
          <w:sz w:val="22"/>
          <w:szCs w:val="22"/>
        </w:rPr>
        <w:t xml:space="preserve"> de GNL</w:t>
      </w:r>
      <w:r w:rsidR="00914134" w:rsidRPr="00A74F90">
        <w:rPr>
          <w:rFonts w:ascii="Arial" w:hAnsi="Arial" w:cs="Arial"/>
          <w:sz w:val="22"/>
          <w:szCs w:val="22"/>
        </w:rPr>
        <w:t xml:space="preserve"> a nivel mundial, comenzando por Medio Oriente (Qatar) cuyas exportaciones son en promedio de 1</w:t>
      </w:r>
      <w:r w:rsidR="003749A3" w:rsidRPr="00A74F90">
        <w:rPr>
          <w:rFonts w:ascii="Arial" w:hAnsi="Arial" w:cs="Arial"/>
          <w:sz w:val="22"/>
          <w:szCs w:val="22"/>
        </w:rPr>
        <w:t>8</w:t>
      </w:r>
      <w:r w:rsidR="00914134" w:rsidRPr="00A74F90">
        <w:rPr>
          <w:rFonts w:ascii="Arial" w:hAnsi="Arial" w:cs="Arial"/>
          <w:sz w:val="22"/>
          <w:szCs w:val="22"/>
        </w:rPr>
        <w:t>1</w:t>
      </w:r>
      <w:r w:rsidR="003749A3" w:rsidRPr="00A74F90">
        <w:rPr>
          <w:rFonts w:ascii="Arial" w:hAnsi="Arial" w:cs="Arial"/>
          <w:sz w:val="22"/>
          <w:szCs w:val="22"/>
        </w:rPr>
        <w:t>.4</w:t>
      </w:r>
      <w:r w:rsidR="00914134" w:rsidRPr="00A74F90">
        <w:rPr>
          <w:rFonts w:ascii="Arial" w:hAnsi="Arial" w:cs="Arial"/>
          <w:sz w:val="22"/>
          <w:szCs w:val="22"/>
        </w:rPr>
        <w:t xml:space="preserve"> Mm</w:t>
      </w:r>
      <w:r w:rsidR="00914134" w:rsidRPr="00A74F90">
        <w:rPr>
          <w:rFonts w:ascii="Arial" w:hAnsi="Arial" w:cs="Arial"/>
          <w:sz w:val="22"/>
          <w:szCs w:val="22"/>
          <w:vertAlign w:val="superscript"/>
        </w:rPr>
        <w:t>3</w:t>
      </w:r>
      <w:r w:rsidR="00914134" w:rsidRPr="00A74F90">
        <w:rPr>
          <w:rFonts w:ascii="Arial" w:hAnsi="Arial" w:cs="Arial"/>
          <w:sz w:val="22"/>
          <w:szCs w:val="22"/>
        </w:rPr>
        <w:t xml:space="preserve"> de GNL al año, correspondientes al 2</w:t>
      </w:r>
      <w:r w:rsidR="003749A3" w:rsidRPr="00A74F90">
        <w:rPr>
          <w:rFonts w:ascii="Arial" w:hAnsi="Arial" w:cs="Arial"/>
          <w:sz w:val="22"/>
          <w:szCs w:val="22"/>
        </w:rPr>
        <w:t>6.7</w:t>
      </w:r>
      <w:r w:rsidR="00914134" w:rsidRPr="00A74F90">
        <w:rPr>
          <w:rFonts w:ascii="Arial" w:hAnsi="Arial" w:cs="Arial"/>
          <w:sz w:val="22"/>
          <w:szCs w:val="22"/>
        </w:rPr>
        <w:t>% de las exportaciones a nivel mundial. Le siguen el mercado de</w:t>
      </w:r>
      <w:r w:rsidR="003749A3" w:rsidRPr="00A74F90">
        <w:rPr>
          <w:rFonts w:ascii="Arial" w:hAnsi="Arial" w:cs="Arial"/>
          <w:sz w:val="22"/>
          <w:szCs w:val="22"/>
        </w:rPr>
        <w:t xml:space="preserve"> </w:t>
      </w:r>
      <w:r w:rsidR="00A74F90" w:rsidRPr="00A74F90">
        <w:rPr>
          <w:rFonts w:ascii="Arial" w:hAnsi="Arial" w:cs="Arial"/>
          <w:sz w:val="22"/>
          <w:szCs w:val="22"/>
        </w:rPr>
        <w:t>Oceanía (</w:t>
      </w:r>
      <w:r w:rsidR="003749A3" w:rsidRPr="00A74F90">
        <w:rPr>
          <w:rFonts w:ascii="Arial" w:hAnsi="Arial" w:cs="Arial"/>
          <w:sz w:val="22"/>
          <w:szCs w:val="22"/>
        </w:rPr>
        <w:t>Australia</w:t>
      </w:r>
      <w:r w:rsidR="00A74F90" w:rsidRPr="00A74F90">
        <w:rPr>
          <w:rFonts w:ascii="Arial" w:hAnsi="Arial" w:cs="Arial"/>
          <w:sz w:val="22"/>
          <w:szCs w:val="22"/>
        </w:rPr>
        <w:t>)</w:t>
      </w:r>
      <w:r w:rsidR="003749A3" w:rsidRPr="00A74F90">
        <w:rPr>
          <w:rFonts w:ascii="Arial" w:hAnsi="Arial" w:cs="Arial"/>
          <w:sz w:val="22"/>
          <w:szCs w:val="22"/>
        </w:rPr>
        <w:t xml:space="preserve"> con exportaciones de 130 Mm</w:t>
      </w:r>
      <w:r w:rsidR="003749A3" w:rsidRPr="00790F9B">
        <w:rPr>
          <w:rFonts w:ascii="Arial" w:hAnsi="Arial" w:cs="Arial"/>
          <w:sz w:val="22"/>
          <w:szCs w:val="22"/>
          <w:vertAlign w:val="superscript"/>
        </w:rPr>
        <w:t>3</w:t>
      </w:r>
      <w:r w:rsidR="003749A3" w:rsidRPr="00A74F90">
        <w:rPr>
          <w:rFonts w:ascii="Arial" w:hAnsi="Arial" w:cs="Arial"/>
          <w:sz w:val="22"/>
          <w:szCs w:val="22"/>
        </w:rPr>
        <w:t xml:space="preserve"> de GNL al año, </w:t>
      </w:r>
      <w:r w:rsidR="00914134" w:rsidRPr="00A74F90">
        <w:rPr>
          <w:rFonts w:ascii="Arial" w:hAnsi="Arial" w:cs="Arial"/>
          <w:sz w:val="22"/>
          <w:szCs w:val="22"/>
        </w:rPr>
        <w:t xml:space="preserve">Asia (Indonesia y Malasia) con exportaciones de </w:t>
      </w:r>
      <w:r w:rsidR="003749A3" w:rsidRPr="00A74F90">
        <w:rPr>
          <w:rFonts w:ascii="Arial" w:hAnsi="Arial" w:cs="Arial"/>
          <w:sz w:val="22"/>
          <w:szCs w:val="22"/>
        </w:rPr>
        <w:t>106.7</w:t>
      </w:r>
      <w:r w:rsidR="00914134" w:rsidRPr="00A74F90">
        <w:rPr>
          <w:rFonts w:ascii="Arial" w:hAnsi="Arial" w:cs="Arial"/>
          <w:sz w:val="22"/>
          <w:szCs w:val="22"/>
        </w:rPr>
        <w:t xml:space="preserve"> Mm</w:t>
      </w:r>
      <w:r w:rsidR="00914134" w:rsidRPr="00790F9B">
        <w:rPr>
          <w:rFonts w:ascii="Arial" w:hAnsi="Arial" w:cs="Arial"/>
          <w:sz w:val="22"/>
          <w:szCs w:val="22"/>
          <w:vertAlign w:val="superscript"/>
        </w:rPr>
        <w:t>3</w:t>
      </w:r>
      <w:r w:rsidR="00914134" w:rsidRPr="00A74F90">
        <w:rPr>
          <w:rFonts w:ascii="Arial" w:hAnsi="Arial" w:cs="Arial"/>
          <w:sz w:val="22"/>
          <w:szCs w:val="22"/>
        </w:rPr>
        <w:t xml:space="preserve"> de GNL al año,</w:t>
      </w:r>
      <w:r w:rsidR="00A74F90" w:rsidRPr="00A74F90">
        <w:rPr>
          <w:rFonts w:ascii="Arial" w:hAnsi="Arial" w:cs="Arial"/>
          <w:sz w:val="22"/>
          <w:szCs w:val="22"/>
        </w:rPr>
        <w:t xml:space="preserve"> África (Nigeria) con exportaciones de 47.6 Mm3 de GNL al año</w:t>
      </w:r>
      <w:r w:rsidR="00914134" w:rsidRPr="00A74F90">
        <w:rPr>
          <w:rFonts w:ascii="Arial" w:hAnsi="Arial" w:cs="Arial"/>
          <w:sz w:val="22"/>
          <w:szCs w:val="22"/>
        </w:rPr>
        <w:t xml:space="preserve"> América (Estados Unidos) con exportaciones de </w:t>
      </w:r>
      <w:r w:rsidR="00A74F90" w:rsidRPr="00A74F90">
        <w:rPr>
          <w:rFonts w:ascii="Arial" w:hAnsi="Arial" w:cs="Arial"/>
          <w:sz w:val="22"/>
          <w:szCs w:val="22"/>
        </w:rPr>
        <w:t>28.65</w:t>
      </w:r>
      <w:r w:rsidR="00A74F90">
        <w:rPr>
          <w:rFonts w:ascii="Arial" w:hAnsi="Arial" w:cs="Arial"/>
          <w:sz w:val="22"/>
          <w:szCs w:val="22"/>
        </w:rPr>
        <w:t xml:space="preserve"> Mm</w:t>
      </w:r>
      <w:r w:rsidR="00A74F90" w:rsidRPr="00790F9B">
        <w:rPr>
          <w:rFonts w:ascii="Arial" w:hAnsi="Arial" w:cs="Arial"/>
          <w:sz w:val="22"/>
          <w:szCs w:val="22"/>
          <w:vertAlign w:val="superscript"/>
        </w:rPr>
        <w:t>3</w:t>
      </w:r>
      <w:r w:rsidR="00A74F90">
        <w:rPr>
          <w:rFonts w:ascii="Arial" w:hAnsi="Arial" w:cs="Arial"/>
          <w:sz w:val="22"/>
          <w:szCs w:val="22"/>
        </w:rPr>
        <w:t xml:space="preserve"> de GNL al año.</w:t>
      </w:r>
    </w:p>
    <w:p w14:paraId="62C1CFB6" w14:textId="77777777" w:rsidR="00914134" w:rsidRPr="003B2A02" w:rsidRDefault="00914134" w:rsidP="00914134">
      <w:pPr>
        <w:pStyle w:val="Ttulo2"/>
      </w:pPr>
      <w:bookmarkStart w:id="140" w:name="_Toc403636380"/>
      <w:bookmarkStart w:id="141" w:name="_Toc403637346"/>
      <w:bookmarkStart w:id="142" w:name="_Toc403637941"/>
      <w:bookmarkStart w:id="143" w:name="_Toc403638046"/>
      <w:bookmarkStart w:id="144" w:name="_Toc403638290"/>
      <w:bookmarkStart w:id="145" w:name="_Toc530045833"/>
      <w:r w:rsidRPr="00A74F90">
        <w:lastRenderedPageBreak/>
        <w:t xml:space="preserve">Demanda mundial de </w:t>
      </w:r>
      <w:r w:rsidRPr="003B2A02">
        <w:t>gas natural licuado</w:t>
      </w:r>
      <w:bookmarkEnd w:id="140"/>
      <w:bookmarkEnd w:id="141"/>
      <w:bookmarkEnd w:id="142"/>
      <w:bookmarkEnd w:id="143"/>
      <w:bookmarkEnd w:id="144"/>
      <w:bookmarkEnd w:id="145"/>
    </w:p>
    <w:p w14:paraId="404A5EF2" w14:textId="61BEA438" w:rsidR="00914134" w:rsidRPr="00127A88" w:rsidRDefault="00914134" w:rsidP="00914134">
      <w:pPr>
        <w:spacing w:before="240" w:after="240" w:line="276" w:lineRule="auto"/>
        <w:jc w:val="both"/>
        <w:rPr>
          <w:rFonts w:ascii="Arial" w:hAnsi="Arial" w:cs="Arial"/>
          <w:sz w:val="22"/>
          <w:szCs w:val="22"/>
          <w:highlight w:val="yellow"/>
        </w:rPr>
      </w:pPr>
      <w:r w:rsidRPr="003B2A02">
        <w:rPr>
          <w:rFonts w:ascii="Arial" w:hAnsi="Arial" w:cs="Arial"/>
          <w:sz w:val="22"/>
          <w:szCs w:val="22"/>
        </w:rPr>
        <w:t xml:space="preserve">Desde la perspectiva de la demanda son </w:t>
      </w:r>
      <w:r w:rsidR="00A74F90" w:rsidRPr="003B2A02">
        <w:rPr>
          <w:rFonts w:ascii="Arial" w:hAnsi="Arial" w:cs="Arial"/>
          <w:sz w:val="22"/>
          <w:szCs w:val="22"/>
        </w:rPr>
        <w:t>39</w:t>
      </w:r>
      <w:r w:rsidRPr="003B2A02">
        <w:rPr>
          <w:rFonts w:ascii="Arial" w:hAnsi="Arial" w:cs="Arial"/>
          <w:sz w:val="22"/>
          <w:szCs w:val="22"/>
        </w:rPr>
        <w:t xml:space="preserve"> los países importadores</w:t>
      </w:r>
      <w:r w:rsidR="00A74F90" w:rsidRPr="003B2A02">
        <w:rPr>
          <w:rFonts w:ascii="Arial" w:hAnsi="Arial" w:cs="Arial"/>
          <w:sz w:val="22"/>
          <w:szCs w:val="22"/>
        </w:rPr>
        <w:t xml:space="preserve"> según el informe del GIIGNL 2018</w:t>
      </w:r>
      <w:r w:rsidRPr="003B2A02">
        <w:rPr>
          <w:rFonts w:ascii="Arial" w:hAnsi="Arial" w:cs="Arial"/>
          <w:sz w:val="22"/>
          <w:szCs w:val="22"/>
        </w:rPr>
        <w:t>, los cuales en su mayoría se localizan en</w:t>
      </w:r>
      <w:r w:rsidR="003B2A02" w:rsidRPr="003B2A02">
        <w:rPr>
          <w:rFonts w:ascii="Arial" w:hAnsi="Arial" w:cs="Arial"/>
          <w:sz w:val="22"/>
          <w:szCs w:val="22"/>
        </w:rPr>
        <w:t xml:space="preserve"> Asia,</w:t>
      </w:r>
      <w:r w:rsidRPr="003B2A02">
        <w:rPr>
          <w:rFonts w:ascii="Arial" w:hAnsi="Arial" w:cs="Arial"/>
          <w:sz w:val="22"/>
          <w:szCs w:val="22"/>
        </w:rPr>
        <w:t xml:space="preserve"> Europa y América. </w:t>
      </w:r>
    </w:p>
    <w:p w14:paraId="493BBEBE" w14:textId="7A78D01D" w:rsidR="00914134" w:rsidRPr="00127A88" w:rsidRDefault="00914134" w:rsidP="00914134">
      <w:pPr>
        <w:spacing w:before="240" w:after="240" w:line="276" w:lineRule="auto"/>
        <w:jc w:val="both"/>
        <w:rPr>
          <w:rFonts w:ascii="Arial" w:hAnsi="Arial" w:cs="Arial"/>
          <w:sz w:val="22"/>
          <w:szCs w:val="22"/>
          <w:highlight w:val="yellow"/>
        </w:rPr>
      </w:pPr>
      <w:r w:rsidRPr="00CD75F4">
        <w:rPr>
          <w:rFonts w:ascii="Arial" w:hAnsi="Arial" w:cs="Arial"/>
          <w:sz w:val="22"/>
          <w:szCs w:val="22"/>
        </w:rPr>
        <w:t xml:space="preserve">En el continente americano, los países importadores de GNL son Argentina, Brasil, Canadá, </w:t>
      </w:r>
      <w:r w:rsidR="00CD75F4" w:rsidRPr="00CD75F4">
        <w:rPr>
          <w:rFonts w:ascii="Arial" w:hAnsi="Arial" w:cs="Arial"/>
          <w:sz w:val="22"/>
          <w:szCs w:val="22"/>
        </w:rPr>
        <w:t xml:space="preserve">Colombia, </w:t>
      </w:r>
      <w:r w:rsidRPr="00CD75F4">
        <w:rPr>
          <w:rFonts w:ascii="Arial" w:hAnsi="Arial" w:cs="Arial"/>
          <w:sz w:val="22"/>
          <w:szCs w:val="22"/>
        </w:rPr>
        <w:t xml:space="preserve">Chile, Estados Unidos, </w:t>
      </w:r>
      <w:r w:rsidR="00CD75F4" w:rsidRPr="00CD75F4">
        <w:rPr>
          <w:rFonts w:ascii="Arial" w:hAnsi="Arial" w:cs="Arial"/>
          <w:sz w:val="22"/>
          <w:szCs w:val="22"/>
        </w:rPr>
        <w:t xml:space="preserve">Jamaica, </w:t>
      </w:r>
      <w:r w:rsidRPr="00CD75F4">
        <w:rPr>
          <w:rFonts w:ascii="Arial" w:hAnsi="Arial" w:cs="Arial"/>
          <w:sz w:val="22"/>
          <w:szCs w:val="22"/>
        </w:rPr>
        <w:t xml:space="preserve">México, Puerto Rico y República Dominicana. La </w:t>
      </w:r>
      <w:r w:rsidRPr="00CD75F4">
        <w:rPr>
          <w:rFonts w:ascii="Arial" w:hAnsi="Arial" w:cs="Arial"/>
          <w:sz w:val="22"/>
          <w:szCs w:val="22"/>
        </w:rPr>
        <w:fldChar w:fldCharType="begin"/>
      </w:r>
      <w:r w:rsidRPr="00CD75F4">
        <w:rPr>
          <w:rFonts w:ascii="Arial" w:hAnsi="Arial" w:cs="Arial"/>
          <w:sz w:val="22"/>
          <w:szCs w:val="22"/>
        </w:rPr>
        <w:instrText xml:space="preserve"> REF _Ref401270622 \h  \* MERGEFORMAT </w:instrText>
      </w:r>
      <w:r w:rsidRPr="00CD75F4">
        <w:rPr>
          <w:rFonts w:ascii="Arial" w:hAnsi="Arial" w:cs="Arial"/>
          <w:sz w:val="22"/>
          <w:szCs w:val="22"/>
        </w:rPr>
      </w:r>
      <w:r w:rsidRPr="00CD75F4">
        <w:rPr>
          <w:rFonts w:ascii="Arial" w:hAnsi="Arial" w:cs="Arial"/>
          <w:sz w:val="22"/>
          <w:szCs w:val="22"/>
        </w:rPr>
        <w:fldChar w:fldCharType="separate"/>
      </w:r>
      <w:r w:rsidR="00915705" w:rsidRPr="00CD75F4">
        <w:rPr>
          <w:rFonts w:ascii="Arial" w:hAnsi="Arial" w:cs="Arial"/>
          <w:sz w:val="22"/>
          <w:szCs w:val="22"/>
        </w:rPr>
        <w:t>Gráfica 3</w:t>
      </w:r>
      <w:r w:rsidR="00915705" w:rsidRPr="00CD75F4">
        <w:rPr>
          <w:rFonts w:ascii="Arial" w:hAnsi="Arial" w:cs="Arial"/>
          <w:sz w:val="22"/>
          <w:szCs w:val="22"/>
        </w:rPr>
        <w:noBreakHyphen/>
        <w:t>6</w:t>
      </w:r>
      <w:r w:rsidRPr="00CD75F4">
        <w:rPr>
          <w:rFonts w:ascii="Arial" w:hAnsi="Arial" w:cs="Arial"/>
          <w:sz w:val="22"/>
          <w:szCs w:val="22"/>
        </w:rPr>
        <w:fldChar w:fldCharType="end"/>
      </w:r>
      <w:r w:rsidRPr="00CD75F4">
        <w:rPr>
          <w:rFonts w:ascii="Arial" w:hAnsi="Arial" w:cs="Arial"/>
          <w:sz w:val="22"/>
          <w:szCs w:val="22"/>
        </w:rPr>
        <w:t xml:space="preserve"> muestra las importaciones del continente americano según la fuente de suministro. </w:t>
      </w:r>
    </w:p>
    <w:p w14:paraId="7A094524" w14:textId="21AFC3D4" w:rsidR="00914134" w:rsidRDefault="00914134" w:rsidP="00914134">
      <w:pPr>
        <w:pStyle w:val="Descripcin"/>
        <w:spacing w:after="0"/>
        <w:jc w:val="center"/>
        <w:rPr>
          <w:rFonts w:cs="Arial"/>
          <w:i w:val="0"/>
          <w:color w:val="auto"/>
          <w:sz w:val="20"/>
          <w:szCs w:val="20"/>
        </w:rPr>
      </w:pPr>
      <w:bookmarkStart w:id="146" w:name="_Ref401270622"/>
      <w:bookmarkStart w:id="147" w:name="_Toc401316964"/>
      <w:bookmarkStart w:id="148" w:name="_Toc403641003"/>
      <w:bookmarkStart w:id="149" w:name="_Toc403641242"/>
      <w:bookmarkStart w:id="150" w:name="_Toc403641398"/>
      <w:bookmarkStart w:id="151" w:name="_Toc403641950"/>
      <w:bookmarkStart w:id="152" w:name="_Toc403642000"/>
      <w:bookmarkStart w:id="153" w:name="_Toc447097989"/>
      <w:bookmarkStart w:id="154" w:name="_Toc499799361"/>
      <w:bookmarkStart w:id="155" w:name="_Toc530033409"/>
      <w:r w:rsidRPr="00485FC3">
        <w:rPr>
          <w:rFonts w:cs="Arial"/>
          <w:b/>
          <w:i w:val="0"/>
          <w:color w:val="auto"/>
          <w:sz w:val="20"/>
          <w:szCs w:val="20"/>
          <w:highlight w:val="yellow"/>
        </w:rPr>
        <w:t xml:space="preserve">Gráfica </w:t>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STYLEREF 1 \s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3</w:t>
      </w:r>
      <w:r w:rsidR="00DA50A5">
        <w:rPr>
          <w:rFonts w:cs="Arial"/>
          <w:b/>
          <w:i w:val="0"/>
          <w:color w:val="auto"/>
          <w:sz w:val="20"/>
          <w:szCs w:val="20"/>
          <w:highlight w:val="yellow"/>
        </w:rPr>
        <w:fldChar w:fldCharType="end"/>
      </w:r>
      <w:r w:rsidR="00DA50A5">
        <w:rPr>
          <w:rFonts w:cs="Arial"/>
          <w:b/>
          <w:i w:val="0"/>
          <w:color w:val="auto"/>
          <w:sz w:val="20"/>
          <w:szCs w:val="20"/>
          <w:highlight w:val="yellow"/>
        </w:rPr>
        <w:noBreakHyphen/>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SEQ Gráfica \* ARABIC \s 1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6</w:t>
      </w:r>
      <w:r w:rsidR="00DA50A5">
        <w:rPr>
          <w:rFonts w:cs="Arial"/>
          <w:b/>
          <w:i w:val="0"/>
          <w:color w:val="auto"/>
          <w:sz w:val="20"/>
          <w:szCs w:val="20"/>
          <w:highlight w:val="yellow"/>
        </w:rPr>
        <w:fldChar w:fldCharType="end"/>
      </w:r>
      <w:bookmarkEnd w:id="146"/>
      <w:r w:rsidRPr="00485FC3">
        <w:rPr>
          <w:rFonts w:cs="Arial"/>
          <w:b/>
          <w:i w:val="0"/>
          <w:color w:val="auto"/>
          <w:sz w:val="20"/>
          <w:szCs w:val="20"/>
          <w:highlight w:val="yellow"/>
        </w:rPr>
        <w:t xml:space="preserve">. </w:t>
      </w:r>
      <w:r w:rsidRPr="00485FC3">
        <w:rPr>
          <w:rFonts w:cs="Arial"/>
          <w:i w:val="0"/>
          <w:color w:val="auto"/>
          <w:sz w:val="20"/>
          <w:szCs w:val="20"/>
        </w:rPr>
        <w:t>Demanda de GNL en América</w:t>
      </w:r>
      <w:bookmarkEnd w:id="147"/>
      <w:bookmarkEnd w:id="148"/>
      <w:bookmarkEnd w:id="149"/>
      <w:bookmarkEnd w:id="150"/>
      <w:bookmarkEnd w:id="151"/>
      <w:bookmarkEnd w:id="152"/>
      <w:bookmarkEnd w:id="153"/>
      <w:bookmarkEnd w:id="154"/>
      <w:bookmarkEnd w:id="155"/>
    </w:p>
    <w:p w14:paraId="0C05BE26" w14:textId="292D1801" w:rsidR="0090753A" w:rsidRDefault="0090753A" w:rsidP="0090753A">
      <w:pPr>
        <w:jc w:val="center"/>
        <w:rPr>
          <w:lang w:val="es-CO" w:eastAsia="es-ES"/>
        </w:rPr>
      </w:pPr>
      <w:r w:rsidRPr="0090753A">
        <w:rPr>
          <w:noProof/>
          <w:lang w:val="es-ES" w:eastAsia="es-ES"/>
        </w:rPr>
        <w:drawing>
          <wp:inline distT="0" distB="0" distL="0" distR="0" wp14:anchorId="503D7DB5" wp14:editId="79FE3B12">
            <wp:extent cx="5400675" cy="32385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03DBB084" w14:textId="77777777" w:rsidR="008F39CF" w:rsidRPr="0090753A" w:rsidRDefault="008F39CF" w:rsidP="008F39CF">
      <w:pPr>
        <w:jc w:val="center"/>
        <w:rPr>
          <w:rFonts w:ascii="Arial" w:hAnsi="Arial" w:cs="Arial"/>
          <w:color w:val="000000" w:themeColor="text1"/>
          <w:sz w:val="16"/>
        </w:rPr>
      </w:pPr>
      <w:r w:rsidRPr="0090753A">
        <w:rPr>
          <w:rFonts w:ascii="Arial" w:hAnsi="Arial" w:cs="Arial"/>
          <w:b/>
          <w:color w:val="000000" w:themeColor="text1"/>
          <w:sz w:val="16"/>
        </w:rPr>
        <w:t>Fuente:</w:t>
      </w:r>
      <w:r w:rsidRPr="0090753A">
        <w:rPr>
          <w:rFonts w:ascii="Arial" w:hAnsi="Arial" w:cs="Arial"/>
          <w:color w:val="000000" w:themeColor="text1"/>
          <w:sz w:val="16"/>
        </w:rPr>
        <w:t xml:space="preserve"> GIIGNL </w:t>
      </w:r>
      <w:r w:rsidRPr="0090753A">
        <w:rPr>
          <w:rFonts w:ascii="Arial" w:hAnsi="Arial" w:cs="Arial"/>
          <w:color w:val="000000" w:themeColor="text1"/>
          <w:sz w:val="16"/>
        </w:rPr>
        <w:fldChar w:fldCharType="begin"/>
      </w:r>
      <w:r w:rsidRPr="0090753A">
        <w:rPr>
          <w:rFonts w:ascii="Arial" w:hAnsi="Arial" w:cs="Arial"/>
          <w:color w:val="000000" w:themeColor="text1"/>
          <w:sz w:val="16"/>
        </w:rPr>
        <w:instrText xml:space="preserve"> REF _Ref529881942 \r \h  \* MERGEFORMAT </w:instrText>
      </w:r>
      <w:r w:rsidRPr="0090753A">
        <w:rPr>
          <w:rFonts w:ascii="Arial" w:hAnsi="Arial" w:cs="Arial"/>
          <w:color w:val="000000" w:themeColor="text1"/>
          <w:sz w:val="16"/>
        </w:rPr>
      </w:r>
      <w:r w:rsidRPr="0090753A">
        <w:rPr>
          <w:rFonts w:ascii="Arial" w:hAnsi="Arial" w:cs="Arial"/>
          <w:color w:val="000000" w:themeColor="text1"/>
          <w:sz w:val="16"/>
        </w:rPr>
        <w:fldChar w:fldCharType="separate"/>
      </w:r>
      <w:r w:rsidRPr="0090753A">
        <w:rPr>
          <w:rFonts w:ascii="Arial" w:hAnsi="Arial" w:cs="Arial"/>
          <w:color w:val="000000" w:themeColor="text1"/>
          <w:sz w:val="16"/>
        </w:rPr>
        <w:t>[14]</w:t>
      </w:r>
      <w:r w:rsidRPr="0090753A">
        <w:rPr>
          <w:rFonts w:ascii="Arial" w:hAnsi="Arial" w:cs="Arial"/>
          <w:color w:val="000000" w:themeColor="text1"/>
          <w:sz w:val="16"/>
        </w:rPr>
        <w:fldChar w:fldCharType="end"/>
      </w:r>
      <w:r w:rsidRPr="0090753A">
        <w:rPr>
          <w:rFonts w:ascii="Arial" w:hAnsi="Arial" w:cs="Arial"/>
          <w:color w:val="000000" w:themeColor="text1"/>
          <w:sz w:val="16"/>
        </w:rPr>
        <w:t>, UPME.</w:t>
      </w:r>
    </w:p>
    <w:p w14:paraId="07D4EC0A" w14:textId="1E0F6F1B" w:rsidR="008F39CF" w:rsidRPr="008F39CF" w:rsidRDefault="008F39CF" w:rsidP="00914134">
      <w:pPr>
        <w:spacing w:before="240" w:after="240" w:line="276" w:lineRule="auto"/>
        <w:jc w:val="both"/>
        <w:rPr>
          <w:rFonts w:ascii="Arial" w:hAnsi="Arial" w:cs="Arial"/>
          <w:sz w:val="22"/>
          <w:szCs w:val="22"/>
          <w:highlight w:val="yellow"/>
        </w:rPr>
      </w:pPr>
      <w:r w:rsidRPr="00CD75F4">
        <w:rPr>
          <w:rFonts w:ascii="Arial" w:hAnsi="Arial" w:cs="Arial"/>
          <w:sz w:val="22"/>
          <w:szCs w:val="22"/>
        </w:rPr>
        <w:t>Esta gráfica muestra que es el mismo continente americano el que ha suministrado un acumulado de 189 Mm</w:t>
      </w:r>
      <w:r w:rsidRPr="00CD75F4">
        <w:rPr>
          <w:rFonts w:ascii="Arial" w:hAnsi="Arial" w:cs="Arial"/>
          <w:sz w:val="22"/>
          <w:szCs w:val="22"/>
          <w:vertAlign w:val="superscript"/>
        </w:rPr>
        <w:t>3</w:t>
      </w:r>
      <w:r w:rsidRPr="00CD75F4">
        <w:rPr>
          <w:rFonts w:ascii="Arial" w:hAnsi="Arial" w:cs="Arial"/>
          <w:sz w:val="22"/>
          <w:szCs w:val="22"/>
        </w:rPr>
        <w:t xml:space="preserve"> de GNL entre los años 2010 y 2017, obedeciendo a la optimización del transporte para minimizar los costos y escoger al importador adecuado, mientras que Asia y África son responsables de un suministro acumulado de 123.8 Mm</w:t>
      </w:r>
      <w:r w:rsidRPr="00CD75F4">
        <w:rPr>
          <w:rFonts w:ascii="Arial" w:hAnsi="Arial" w:cs="Arial"/>
          <w:sz w:val="22"/>
          <w:szCs w:val="22"/>
          <w:vertAlign w:val="superscript"/>
        </w:rPr>
        <w:t>3</w:t>
      </w:r>
      <w:r w:rsidRPr="00CD75F4">
        <w:rPr>
          <w:rFonts w:ascii="Arial" w:hAnsi="Arial" w:cs="Arial"/>
          <w:sz w:val="22"/>
          <w:szCs w:val="22"/>
        </w:rPr>
        <w:t xml:space="preserve"> de GNL entre los años 2010 y 2017, y en menor escala Europa con un suministro acumulado de 13 Mm</w:t>
      </w:r>
      <w:r w:rsidRPr="00CD75F4">
        <w:rPr>
          <w:rFonts w:ascii="Arial" w:hAnsi="Arial" w:cs="Arial"/>
          <w:sz w:val="22"/>
          <w:szCs w:val="22"/>
          <w:vertAlign w:val="superscript"/>
        </w:rPr>
        <w:t>3</w:t>
      </w:r>
      <w:r w:rsidRPr="00CD75F4">
        <w:rPr>
          <w:rFonts w:ascii="Arial" w:hAnsi="Arial" w:cs="Arial"/>
          <w:sz w:val="22"/>
          <w:szCs w:val="22"/>
        </w:rPr>
        <w:t xml:space="preserve"> de GNL, en el mismo periodo de tiempo, sobre el total demandado. </w:t>
      </w:r>
      <w:r w:rsidRPr="00F44002">
        <w:rPr>
          <w:rFonts w:ascii="Arial" w:hAnsi="Arial" w:cs="Arial"/>
          <w:sz w:val="22"/>
          <w:szCs w:val="22"/>
        </w:rPr>
        <w:t>Cabe mencionar,</w:t>
      </w:r>
      <w:r>
        <w:rPr>
          <w:rFonts w:ascii="Arial" w:hAnsi="Arial" w:cs="Arial"/>
          <w:sz w:val="22"/>
          <w:szCs w:val="22"/>
        </w:rPr>
        <w:t xml:space="preserve"> que para el año 2017</w:t>
      </w:r>
      <w:r w:rsidRPr="00F44002">
        <w:rPr>
          <w:rFonts w:ascii="Arial" w:hAnsi="Arial" w:cs="Arial"/>
          <w:sz w:val="22"/>
          <w:szCs w:val="22"/>
        </w:rPr>
        <w:t xml:space="preserve"> el principal exportador para América es Trinidad y Tobago, con una participación acumulada del 39.25% sobre el total demandado.</w:t>
      </w:r>
    </w:p>
    <w:p w14:paraId="12A5927D" w14:textId="1F663A4C" w:rsidR="00F44002" w:rsidRDefault="00F44002" w:rsidP="00914134">
      <w:pPr>
        <w:spacing w:before="240" w:after="240" w:line="276" w:lineRule="auto"/>
        <w:jc w:val="both"/>
        <w:rPr>
          <w:rFonts w:ascii="Arial" w:hAnsi="Arial" w:cs="Arial"/>
          <w:sz w:val="22"/>
          <w:szCs w:val="22"/>
          <w:highlight w:val="yellow"/>
        </w:rPr>
      </w:pPr>
      <w:r w:rsidRPr="00F44002">
        <w:rPr>
          <w:rFonts w:ascii="Arial" w:hAnsi="Arial" w:cs="Arial"/>
          <w:sz w:val="22"/>
          <w:szCs w:val="22"/>
        </w:rPr>
        <w:t xml:space="preserve">De acuerdo a la </w:t>
      </w:r>
      <w:r w:rsidRPr="00F44002">
        <w:rPr>
          <w:rFonts w:ascii="Arial" w:hAnsi="Arial" w:cs="Arial"/>
          <w:sz w:val="22"/>
          <w:szCs w:val="22"/>
        </w:rPr>
        <w:fldChar w:fldCharType="begin"/>
      </w:r>
      <w:r w:rsidRPr="00F44002">
        <w:rPr>
          <w:rFonts w:ascii="Arial" w:hAnsi="Arial" w:cs="Arial"/>
          <w:sz w:val="22"/>
          <w:szCs w:val="22"/>
        </w:rPr>
        <w:instrText xml:space="preserve"> REF _Ref497922364 \h  \* MERGEFORMAT </w:instrText>
      </w:r>
      <w:r w:rsidRPr="00F44002">
        <w:rPr>
          <w:rFonts w:ascii="Arial" w:hAnsi="Arial" w:cs="Arial"/>
          <w:sz w:val="22"/>
          <w:szCs w:val="22"/>
        </w:rPr>
      </w:r>
      <w:r w:rsidRPr="00F44002">
        <w:rPr>
          <w:rFonts w:ascii="Arial" w:hAnsi="Arial" w:cs="Arial"/>
          <w:sz w:val="22"/>
          <w:szCs w:val="22"/>
        </w:rPr>
        <w:fldChar w:fldCharType="separate"/>
      </w:r>
      <w:r w:rsidRPr="00F44002">
        <w:rPr>
          <w:rFonts w:ascii="Arial" w:hAnsi="Arial" w:cs="Arial"/>
          <w:sz w:val="22"/>
          <w:szCs w:val="22"/>
        </w:rPr>
        <w:t>Gráfica 3</w:t>
      </w:r>
      <w:r w:rsidRPr="00F44002">
        <w:rPr>
          <w:rFonts w:ascii="Arial" w:hAnsi="Arial" w:cs="Arial"/>
          <w:sz w:val="22"/>
          <w:szCs w:val="22"/>
        </w:rPr>
        <w:noBreakHyphen/>
        <w:t>7</w:t>
      </w:r>
      <w:r w:rsidRPr="00F44002">
        <w:rPr>
          <w:rFonts w:ascii="Arial" w:hAnsi="Arial" w:cs="Arial"/>
          <w:sz w:val="22"/>
          <w:szCs w:val="22"/>
        </w:rPr>
        <w:fldChar w:fldCharType="end"/>
      </w:r>
      <w:r w:rsidRPr="00F44002">
        <w:rPr>
          <w:rFonts w:ascii="Arial" w:hAnsi="Arial" w:cs="Arial"/>
          <w:sz w:val="22"/>
          <w:szCs w:val="22"/>
        </w:rPr>
        <w:t xml:space="preserve">, éste continente importa principalmente de países </w:t>
      </w:r>
      <w:r w:rsidR="00F97965" w:rsidRPr="00F44002">
        <w:rPr>
          <w:rFonts w:ascii="Arial" w:hAnsi="Arial" w:cs="Arial"/>
          <w:sz w:val="22"/>
          <w:szCs w:val="22"/>
        </w:rPr>
        <w:t>asiáticos</w:t>
      </w:r>
      <w:r w:rsidRPr="00F44002">
        <w:rPr>
          <w:rFonts w:ascii="Arial" w:hAnsi="Arial" w:cs="Arial"/>
          <w:sz w:val="22"/>
          <w:szCs w:val="22"/>
        </w:rPr>
        <w:t>, un acumulado entre 2010 y 2017 de 367.3 Mm</w:t>
      </w:r>
      <w:r w:rsidRPr="00F44002">
        <w:rPr>
          <w:rFonts w:ascii="Arial" w:hAnsi="Arial" w:cs="Arial"/>
          <w:sz w:val="22"/>
          <w:szCs w:val="22"/>
          <w:vertAlign w:val="superscript"/>
        </w:rPr>
        <w:t>3</w:t>
      </w:r>
      <w:r w:rsidRPr="00F44002">
        <w:rPr>
          <w:rFonts w:ascii="Arial" w:hAnsi="Arial" w:cs="Arial"/>
          <w:sz w:val="22"/>
          <w:szCs w:val="22"/>
        </w:rPr>
        <w:t xml:space="preserve"> de GNL, y africanos, un acumulado entre 2010 y 2017 de 356.7 Mm</w:t>
      </w:r>
      <w:r w:rsidRPr="00F44002">
        <w:rPr>
          <w:rFonts w:ascii="Arial" w:hAnsi="Arial" w:cs="Arial"/>
          <w:sz w:val="22"/>
          <w:szCs w:val="22"/>
          <w:vertAlign w:val="superscript"/>
        </w:rPr>
        <w:t>3</w:t>
      </w:r>
      <w:r w:rsidRPr="00F44002">
        <w:rPr>
          <w:rFonts w:ascii="Arial" w:hAnsi="Arial" w:cs="Arial"/>
          <w:sz w:val="22"/>
          <w:szCs w:val="22"/>
        </w:rPr>
        <w:t xml:space="preserve"> de GNL, siendo el único continente donde el mayor porcentaje de las importaciones no proviene de sus mismos países. Como se mencionó anteriormente, durante 2017 los mayores proveedores de GNL a Europa fueron África y Asia que de manera conjunta </w:t>
      </w:r>
      <w:r w:rsidRPr="00F97965">
        <w:rPr>
          <w:rFonts w:ascii="Arial" w:hAnsi="Arial" w:cs="Arial"/>
          <w:sz w:val="22"/>
          <w:szCs w:val="22"/>
        </w:rPr>
        <w:t xml:space="preserve">entregaron el 80.6%, y entre América y la misma Europa son responsables del remanente de </w:t>
      </w:r>
      <w:r w:rsidRPr="00F97965">
        <w:rPr>
          <w:rFonts w:ascii="Arial" w:hAnsi="Arial" w:cs="Arial"/>
          <w:sz w:val="22"/>
          <w:szCs w:val="22"/>
        </w:rPr>
        <w:lastRenderedPageBreak/>
        <w:t>consumo</w:t>
      </w:r>
      <w:r w:rsidR="00F97965" w:rsidRPr="00F97965">
        <w:rPr>
          <w:rFonts w:ascii="Arial" w:hAnsi="Arial" w:cs="Arial"/>
          <w:sz w:val="22"/>
          <w:szCs w:val="22"/>
        </w:rPr>
        <w:t>.</w:t>
      </w:r>
      <w:r w:rsidRPr="00F97965">
        <w:rPr>
          <w:rFonts w:ascii="Arial" w:hAnsi="Arial" w:cs="Arial"/>
          <w:sz w:val="22"/>
          <w:szCs w:val="22"/>
        </w:rPr>
        <w:t xml:space="preserve"> El </w:t>
      </w:r>
      <w:r w:rsidR="00F97965" w:rsidRPr="00F97965">
        <w:rPr>
          <w:rFonts w:ascii="Arial" w:hAnsi="Arial" w:cs="Arial"/>
          <w:sz w:val="22"/>
          <w:szCs w:val="22"/>
        </w:rPr>
        <w:t>principal exportador, entre 2010 y 2017</w:t>
      </w:r>
      <w:r w:rsidRPr="00F97965">
        <w:rPr>
          <w:rFonts w:ascii="Arial" w:hAnsi="Arial" w:cs="Arial"/>
          <w:sz w:val="22"/>
          <w:szCs w:val="22"/>
        </w:rPr>
        <w:t>, para Europa fue Qatar, con u</w:t>
      </w:r>
      <w:r w:rsidR="00F97965" w:rsidRPr="00F97965">
        <w:rPr>
          <w:rFonts w:ascii="Arial" w:hAnsi="Arial" w:cs="Arial"/>
          <w:sz w:val="22"/>
          <w:szCs w:val="22"/>
        </w:rPr>
        <w:t>na participación promedio del 37.9</w:t>
      </w:r>
      <w:r w:rsidRPr="00F97965">
        <w:rPr>
          <w:rFonts w:ascii="Arial" w:hAnsi="Arial" w:cs="Arial"/>
          <w:sz w:val="22"/>
          <w:szCs w:val="22"/>
        </w:rPr>
        <w:t>% sobre el total demandado.</w:t>
      </w:r>
    </w:p>
    <w:p w14:paraId="2432A2CA" w14:textId="4B300A41" w:rsidR="00914134" w:rsidRDefault="00914134" w:rsidP="00914134">
      <w:pPr>
        <w:pStyle w:val="Descripcin"/>
        <w:spacing w:after="0"/>
        <w:jc w:val="center"/>
        <w:rPr>
          <w:rFonts w:cs="Arial"/>
          <w:i w:val="0"/>
          <w:color w:val="auto"/>
          <w:sz w:val="20"/>
          <w:szCs w:val="20"/>
        </w:rPr>
      </w:pPr>
      <w:bookmarkStart w:id="156" w:name="_Ref497922364"/>
      <w:bookmarkStart w:id="157" w:name="_Toc401316965"/>
      <w:bookmarkStart w:id="158" w:name="_Toc403641004"/>
      <w:bookmarkStart w:id="159" w:name="_Toc403641243"/>
      <w:bookmarkStart w:id="160" w:name="_Toc403641399"/>
      <w:bookmarkStart w:id="161" w:name="_Toc403641951"/>
      <w:bookmarkStart w:id="162" w:name="_Toc403642001"/>
      <w:bookmarkStart w:id="163" w:name="_Toc447097990"/>
      <w:bookmarkStart w:id="164" w:name="_Toc499799362"/>
      <w:bookmarkStart w:id="165" w:name="_Toc530033410"/>
      <w:r w:rsidRPr="00485FC3">
        <w:rPr>
          <w:rFonts w:cs="Arial"/>
          <w:b/>
          <w:i w:val="0"/>
          <w:color w:val="auto"/>
          <w:sz w:val="20"/>
          <w:szCs w:val="20"/>
          <w:highlight w:val="yellow"/>
        </w:rPr>
        <w:t xml:space="preserve">Gráfica </w:t>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STYLEREF 1 \s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3</w:t>
      </w:r>
      <w:r w:rsidR="00DA50A5">
        <w:rPr>
          <w:rFonts w:cs="Arial"/>
          <w:b/>
          <w:i w:val="0"/>
          <w:color w:val="auto"/>
          <w:sz w:val="20"/>
          <w:szCs w:val="20"/>
          <w:highlight w:val="yellow"/>
        </w:rPr>
        <w:fldChar w:fldCharType="end"/>
      </w:r>
      <w:r w:rsidR="00DA50A5">
        <w:rPr>
          <w:rFonts w:cs="Arial"/>
          <w:b/>
          <w:i w:val="0"/>
          <w:color w:val="auto"/>
          <w:sz w:val="20"/>
          <w:szCs w:val="20"/>
          <w:highlight w:val="yellow"/>
        </w:rPr>
        <w:noBreakHyphen/>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SEQ Gráfica \* ARABIC \s 1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7</w:t>
      </w:r>
      <w:r w:rsidR="00DA50A5">
        <w:rPr>
          <w:rFonts w:cs="Arial"/>
          <w:b/>
          <w:i w:val="0"/>
          <w:color w:val="auto"/>
          <w:sz w:val="20"/>
          <w:szCs w:val="20"/>
          <w:highlight w:val="yellow"/>
        </w:rPr>
        <w:fldChar w:fldCharType="end"/>
      </w:r>
      <w:bookmarkEnd w:id="156"/>
      <w:r w:rsidRPr="00485FC3">
        <w:rPr>
          <w:rFonts w:cs="Arial"/>
          <w:b/>
          <w:i w:val="0"/>
          <w:color w:val="auto"/>
          <w:sz w:val="20"/>
          <w:szCs w:val="20"/>
          <w:highlight w:val="yellow"/>
        </w:rPr>
        <w:t xml:space="preserve">. </w:t>
      </w:r>
      <w:r w:rsidRPr="00485FC3">
        <w:rPr>
          <w:rFonts w:cs="Arial"/>
          <w:i w:val="0"/>
          <w:color w:val="auto"/>
          <w:sz w:val="20"/>
          <w:szCs w:val="20"/>
        </w:rPr>
        <w:t>Demanda de GNL en Europa</w:t>
      </w:r>
      <w:bookmarkEnd w:id="157"/>
      <w:bookmarkEnd w:id="158"/>
      <w:bookmarkEnd w:id="159"/>
      <w:bookmarkEnd w:id="160"/>
      <w:bookmarkEnd w:id="161"/>
      <w:bookmarkEnd w:id="162"/>
      <w:bookmarkEnd w:id="163"/>
      <w:bookmarkEnd w:id="164"/>
      <w:bookmarkEnd w:id="165"/>
    </w:p>
    <w:p w14:paraId="5F306B23" w14:textId="65E2867E" w:rsidR="0090753A" w:rsidRPr="0090753A" w:rsidRDefault="0090753A" w:rsidP="0090753A">
      <w:pPr>
        <w:jc w:val="center"/>
        <w:rPr>
          <w:lang w:val="es-CO" w:eastAsia="es-ES"/>
        </w:rPr>
      </w:pPr>
      <w:r w:rsidRPr="0090753A">
        <w:rPr>
          <w:noProof/>
          <w:lang w:val="es-ES" w:eastAsia="es-ES"/>
        </w:rPr>
        <w:drawing>
          <wp:inline distT="0" distB="0" distL="0" distR="0" wp14:anchorId="6B9D7E38" wp14:editId="77C54484">
            <wp:extent cx="5400675" cy="32385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6C8AFFE7" w14:textId="23D2A40C" w:rsidR="00F46246" w:rsidRPr="0090753A" w:rsidRDefault="00F46246" w:rsidP="00F46246">
      <w:pPr>
        <w:spacing w:after="240" w:line="276" w:lineRule="auto"/>
        <w:jc w:val="center"/>
        <w:rPr>
          <w:rFonts w:ascii="Arial" w:hAnsi="Arial" w:cs="Arial"/>
          <w:sz w:val="22"/>
          <w:szCs w:val="22"/>
        </w:rPr>
      </w:pPr>
      <w:r w:rsidRPr="0090753A">
        <w:rPr>
          <w:rFonts w:ascii="Arial" w:hAnsi="Arial" w:cs="Arial"/>
          <w:b/>
          <w:color w:val="000000" w:themeColor="text1"/>
          <w:sz w:val="16"/>
        </w:rPr>
        <w:t>Fuente:</w:t>
      </w:r>
      <w:r w:rsidRPr="0090753A">
        <w:rPr>
          <w:rFonts w:ascii="Arial" w:hAnsi="Arial" w:cs="Arial"/>
          <w:color w:val="000000" w:themeColor="text1"/>
          <w:sz w:val="16"/>
        </w:rPr>
        <w:t xml:space="preserve"> GIIGNL </w:t>
      </w:r>
      <w:r w:rsidRPr="0090753A">
        <w:rPr>
          <w:rFonts w:ascii="Arial" w:hAnsi="Arial" w:cs="Arial"/>
          <w:color w:val="000000" w:themeColor="text1"/>
          <w:sz w:val="16"/>
        </w:rPr>
        <w:fldChar w:fldCharType="begin"/>
      </w:r>
      <w:r w:rsidRPr="0090753A">
        <w:rPr>
          <w:rFonts w:ascii="Arial" w:hAnsi="Arial" w:cs="Arial"/>
          <w:color w:val="000000" w:themeColor="text1"/>
          <w:sz w:val="16"/>
        </w:rPr>
        <w:instrText xml:space="preserve"> REF _Ref529881942 \r \h  \* MERGEFORMAT </w:instrText>
      </w:r>
      <w:r w:rsidRPr="0090753A">
        <w:rPr>
          <w:rFonts w:ascii="Arial" w:hAnsi="Arial" w:cs="Arial"/>
          <w:color w:val="000000" w:themeColor="text1"/>
          <w:sz w:val="16"/>
        </w:rPr>
      </w:r>
      <w:r w:rsidRPr="0090753A">
        <w:rPr>
          <w:rFonts w:ascii="Arial" w:hAnsi="Arial" w:cs="Arial"/>
          <w:color w:val="000000" w:themeColor="text1"/>
          <w:sz w:val="16"/>
        </w:rPr>
        <w:fldChar w:fldCharType="separate"/>
      </w:r>
      <w:r w:rsidR="00915705" w:rsidRPr="0090753A">
        <w:rPr>
          <w:rFonts w:ascii="Arial" w:hAnsi="Arial" w:cs="Arial"/>
          <w:color w:val="000000" w:themeColor="text1"/>
          <w:sz w:val="16"/>
        </w:rPr>
        <w:t>[14]</w:t>
      </w:r>
      <w:r w:rsidRPr="0090753A">
        <w:rPr>
          <w:rFonts w:ascii="Arial" w:hAnsi="Arial" w:cs="Arial"/>
          <w:color w:val="000000" w:themeColor="text1"/>
          <w:sz w:val="16"/>
        </w:rPr>
        <w:fldChar w:fldCharType="end"/>
      </w:r>
      <w:r w:rsidRPr="0090753A">
        <w:rPr>
          <w:rFonts w:ascii="Arial" w:hAnsi="Arial" w:cs="Arial"/>
          <w:color w:val="000000" w:themeColor="text1"/>
          <w:sz w:val="16"/>
        </w:rPr>
        <w:t>, UPME</w:t>
      </w:r>
    </w:p>
    <w:p w14:paraId="5C94B992" w14:textId="29293E12" w:rsidR="00914134" w:rsidRPr="00127A88" w:rsidRDefault="00914134" w:rsidP="00914134">
      <w:pPr>
        <w:spacing w:before="240" w:after="240" w:line="276" w:lineRule="auto"/>
        <w:jc w:val="both"/>
        <w:rPr>
          <w:rFonts w:ascii="Arial" w:hAnsi="Arial" w:cs="Arial"/>
          <w:sz w:val="22"/>
          <w:szCs w:val="22"/>
          <w:highlight w:val="yellow"/>
        </w:rPr>
      </w:pPr>
      <w:r w:rsidRPr="00F97965">
        <w:rPr>
          <w:rFonts w:ascii="Arial" w:hAnsi="Arial" w:cs="Arial"/>
          <w:sz w:val="22"/>
          <w:szCs w:val="22"/>
        </w:rPr>
        <w:t xml:space="preserve">La </w:t>
      </w:r>
      <w:r w:rsidRPr="00790F9B">
        <w:rPr>
          <w:rFonts w:ascii="Arial" w:hAnsi="Arial" w:cs="Arial"/>
          <w:sz w:val="22"/>
          <w:szCs w:val="22"/>
          <w:highlight w:val="yellow"/>
        </w:rPr>
        <w:fldChar w:fldCharType="begin"/>
      </w:r>
      <w:r w:rsidRPr="00790F9B">
        <w:rPr>
          <w:rFonts w:ascii="Arial" w:hAnsi="Arial" w:cs="Arial"/>
          <w:sz w:val="22"/>
          <w:szCs w:val="22"/>
          <w:highlight w:val="yellow"/>
        </w:rPr>
        <w:instrText xml:space="preserve"> REF _Ref401270720 \h  \* MERGEFORMAT </w:instrText>
      </w:r>
      <w:r w:rsidRPr="00790F9B">
        <w:rPr>
          <w:rFonts w:ascii="Arial" w:hAnsi="Arial" w:cs="Arial"/>
          <w:sz w:val="22"/>
          <w:szCs w:val="22"/>
          <w:highlight w:val="yellow"/>
        </w:rPr>
      </w:r>
      <w:r w:rsidRPr="00790F9B">
        <w:rPr>
          <w:rFonts w:ascii="Arial" w:hAnsi="Arial" w:cs="Arial"/>
          <w:sz w:val="22"/>
          <w:szCs w:val="22"/>
          <w:highlight w:val="yellow"/>
        </w:rPr>
        <w:fldChar w:fldCharType="separate"/>
      </w:r>
      <w:r w:rsidR="00915705" w:rsidRPr="00790F9B">
        <w:rPr>
          <w:rFonts w:ascii="Arial" w:hAnsi="Arial" w:cs="Arial"/>
          <w:sz w:val="22"/>
          <w:szCs w:val="22"/>
          <w:highlight w:val="yellow"/>
        </w:rPr>
        <w:t>Gráfica 3</w:t>
      </w:r>
      <w:r w:rsidR="00915705" w:rsidRPr="00790F9B">
        <w:rPr>
          <w:rFonts w:ascii="Arial" w:hAnsi="Arial" w:cs="Arial"/>
          <w:sz w:val="22"/>
          <w:szCs w:val="22"/>
          <w:highlight w:val="yellow"/>
        </w:rPr>
        <w:noBreakHyphen/>
        <w:t>8</w:t>
      </w:r>
      <w:r w:rsidRPr="00790F9B">
        <w:rPr>
          <w:rFonts w:ascii="Arial" w:hAnsi="Arial" w:cs="Arial"/>
          <w:sz w:val="22"/>
          <w:szCs w:val="22"/>
          <w:highlight w:val="yellow"/>
        </w:rPr>
        <w:fldChar w:fldCharType="end"/>
      </w:r>
      <w:r w:rsidRPr="00F97965">
        <w:rPr>
          <w:rFonts w:ascii="Arial" w:hAnsi="Arial" w:cs="Arial"/>
          <w:sz w:val="22"/>
          <w:szCs w:val="22"/>
        </w:rPr>
        <w:t xml:space="preserve"> presenta la evolución de fuentes de suministro de GNL al continente asiático. Japón es el mayor importador de GNL del mundo</w:t>
      </w:r>
      <w:r w:rsidR="00F97965">
        <w:rPr>
          <w:rFonts w:ascii="Arial" w:hAnsi="Arial" w:cs="Arial"/>
          <w:sz w:val="22"/>
          <w:szCs w:val="22"/>
        </w:rPr>
        <w:t xml:space="preserve"> con un volumen de 195.1Mm</w:t>
      </w:r>
      <w:r w:rsidR="00F97965" w:rsidRPr="00F97965">
        <w:rPr>
          <w:rFonts w:ascii="Arial" w:hAnsi="Arial" w:cs="Arial"/>
          <w:sz w:val="22"/>
          <w:szCs w:val="22"/>
          <w:vertAlign w:val="superscript"/>
        </w:rPr>
        <w:t>3</w:t>
      </w:r>
      <w:r w:rsidRPr="00F97965">
        <w:rPr>
          <w:rFonts w:ascii="Arial" w:hAnsi="Arial" w:cs="Arial"/>
          <w:sz w:val="22"/>
          <w:szCs w:val="22"/>
        </w:rPr>
        <w:t xml:space="preserve"> y depende de este energético para satisfacer su creciente demanda</w:t>
      </w:r>
      <w:r w:rsidR="00F97965" w:rsidRPr="00501CDE">
        <w:rPr>
          <w:rFonts w:ascii="Arial" w:hAnsi="Arial" w:cs="Arial"/>
          <w:sz w:val="22"/>
          <w:szCs w:val="22"/>
        </w:rPr>
        <w:t>. Entre los años 2010 y 2017</w:t>
      </w:r>
      <w:r w:rsidR="00501CDE" w:rsidRPr="00501CDE">
        <w:rPr>
          <w:rFonts w:ascii="Arial" w:hAnsi="Arial" w:cs="Arial"/>
          <w:sz w:val="22"/>
          <w:szCs w:val="22"/>
        </w:rPr>
        <w:t>, los</w:t>
      </w:r>
      <w:r w:rsidRPr="00501CDE">
        <w:rPr>
          <w:rFonts w:ascii="Arial" w:hAnsi="Arial" w:cs="Arial"/>
          <w:sz w:val="22"/>
          <w:szCs w:val="22"/>
        </w:rPr>
        <w:t xml:space="preserve"> principal</w:t>
      </w:r>
      <w:r w:rsidR="00501CDE" w:rsidRPr="00501CDE">
        <w:rPr>
          <w:rFonts w:ascii="Arial" w:hAnsi="Arial" w:cs="Arial"/>
          <w:sz w:val="22"/>
          <w:szCs w:val="22"/>
        </w:rPr>
        <w:t>es</w:t>
      </w:r>
      <w:r w:rsidRPr="00501CDE">
        <w:rPr>
          <w:rFonts w:ascii="Arial" w:hAnsi="Arial" w:cs="Arial"/>
          <w:sz w:val="22"/>
          <w:szCs w:val="22"/>
        </w:rPr>
        <w:t xml:space="preserve"> exportador en este período para Asia fue</w:t>
      </w:r>
      <w:r w:rsidR="00501CDE" w:rsidRPr="00501CDE">
        <w:rPr>
          <w:rFonts w:ascii="Arial" w:hAnsi="Arial" w:cs="Arial"/>
          <w:sz w:val="22"/>
          <w:szCs w:val="22"/>
        </w:rPr>
        <w:t>ron</w:t>
      </w:r>
      <w:r w:rsidRPr="00501CDE">
        <w:rPr>
          <w:rFonts w:ascii="Arial" w:hAnsi="Arial" w:cs="Arial"/>
          <w:sz w:val="22"/>
          <w:szCs w:val="22"/>
        </w:rPr>
        <w:t xml:space="preserve"> Qatar</w:t>
      </w:r>
      <w:r w:rsidR="00501CDE">
        <w:rPr>
          <w:rFonts w:ascii="Arial" w:hAnsi="Arial" w:cs="Arial"/>
          <w:sz w:val="22"/>
          <w:szCs w:val="22"/>
        </w:rPr>
        <w:t xml:space="preserve"> y A</w:t>
      </w:r>
      <w:r w:rsidR="00501CDE" w:rsidRPr="00501CDE">
        <w:rPr>
          <w:rFonts w:ascii="Arial" w:hAnsi="Arial" w:cs="Arial"/>
          <w:sz w:val="22"/>
          <w:szCs w:val="22"/>
        </w:rPr>
        <w:t>u</w:t>
      </w:r>
      <w:r w:rsidR="00501CDE">
        <w:rPr>
          <w:rFonts w:ascii="Arial" w:hAnsi="Arial" w:cs="Arial"/>
          <w:sz w:val="22"/>
          <w:szCs w:val="22"/>
        </w:rPr>
        <w:t>s</w:t>
      </w:r>
      <w:r w:rsidR="00501CDE" w:rsidRPr="00501CDE">
        <w:rPr>
          <w:rFonts w:ascii="Arial" w:hAnsi="Arial" w:cs="Arial"/>
          <w:sz w:val="22"/>
          <w:szCs w:val="22"/>
        </w:rPr>
        <w:t>tralia</w:t>
      </w:r>
      <w:r w:rsidRPr="00501CDE">
        <w:rPr>
          <w:rFonts w:ascii="Arial" w:hAnsi="Arial" w:cs="Arial"/>
          <w:sz w:val="22"/>
          <w:szCs w:val="22"/>
        </w:rPr>
        <w:t>, con una participación promedio del 26.</w:t>
      </w:r>
      <w:r w:rsidR="00501CDE" w:rsidRPr="00501CDE">
        <w:rPr>
          <w:rFonts w:ascii="Arial" w:hAnsi="Arial" w:cs="Arial"/>
          <w:sz w:val="22"/>
          <w:szCs w:val="22"/>
        </w:rPr>
        <w:t>1</w:t>
      </w:r>
      <w:r w:rsidRPr="00501CDE">
        <w:rPr>
          <w:rFonts w:ascii="Arial" w:hAnsi="Arial" w:cs="Arial"/>
          <w:sz w:val="22"/>
          <w:szCs w:val="22"/>
        </w:rPr>
        <w:t>%</w:t>
      </w:r>
      <w:r w:rsidR="00501CDE" w:rsidRPr="00501CDE">
        <w:rPr>
          <w:rFonts w:ascii="Arial" w:hAnsi="Arial" w:cs="Arial"/>
          <w:sz w:val="22"/>
          <w:szCs w:val="22"/>
        </w:rPr>
        <w:t xml:space="preserve"> y 24.9% respectivamente</w:t>
      </w:r>
      <w:r w:rsidRPr="00501CDE">
        <w:rPr>
          <w:rFonts w:ascii="Arial" w:hAnsi="Arial" w:cs="Arial"/>
          <w:sz w:val="22"/>
          <w:szCs w:val="22"/>
        </w:rPr>
        <w:t xml:space="preserve"> sobre el total demandado.</w:t>
      </w:r>
    </w:p>
    <w:p w14:paraId="480A4E43" w14:textId="10FA2D82" w:rsidR="00914134" w:rsidRDefault="00914134" w:rsidP="00914134">
      <w:pPr>
        <w:spacing w:before="240" w:after="240" w:line="276" w:lineRule="auto"/>
        <w:jc w:val="both"/>
        <w:rPr>
          <w:rFonts w:ascii="Arial" w:hAnsi="Arial" w:cs="Arial"/>
          <w:sz w:val="22"/>
          <w:szCs w:val="22"/>
        </w:rPr>
      </w:pPr>
      <w:r w:rsidRPr="008F39CF">
        <w:rPr>
          <w:rFonts w:ascii="Arial" w:hAnsi="Arial" w:cs="Arial"/>
          <w:sz w:val="22"/>
          <w:szCs w:val="22"/>
        </w:rPr>
        <w:t>La mayor parte de las importaciones de Asia son realizadas por el mismo continente, reflejando un comportamiento cada vez más consolidado. Como consecuencia de esta dinámica, las exportaciones a Asia de mercados como el de África y América se reducen considerablemente y las de Europa no tienen ninguna participación.</w:t>
      </w:r>
    </w:p>
    <w:p w14:paraId="4A8F801C" w14:textId="4154D875" w:rsidR="008F39CF" w:rsidRDefault="008F39CF" w:rsidP="008F39CF">
      <w:pPr>
        <w:spacing w:before="240" w:after="240" w:line="276" w:lineRule="auto"/>
        <w:jc w:val="both"/>
        <w:rPr>
          <w:rFonts w:ascii="Arial" w:hAnsi="Arial" w:cs="Arial"/>
          <w:sz w:val="22"/>
          <w:szCs w:val="22"/>
          <w:highlight w:val="yellow"/>
        </w:rPr>
      </w:pPr>
      <w:r w:rsidRPr="008F39CF">
        <w:rPr>
          <w:rFonts w:ascii="Arial" w:hAnsi="Arial" w:cs="Arial"/>
          <w:sz w:val="22"/>
          <w:szCs w:val="22"/>
        </w:rPr>
        <w:t>India también es un gran importador de GNL después de Japón, China y Corea del Sur, ya que es  uno de los mercados con mayor crecimiento e importancia en la futura industria del planeta, según estimaciones de los expertos. Aunque este país dispone de producción de gas natural y una red nacional de abastecimiento, el inesperado aumento de su demanda y la declinación de su producción de gas llevaron a la India</w:t>
      </w:r>
      <w:r w:rsidR="00067E50">
        <w:rPr>
          <w:rFonts w:ascii="Arial" w:hAnsi="Arial" w:cs="Arial"/>
          <w:sz w:val="22"/>
          <w:szCs w:val="22"/>
        </w:rPr>
        <w:t xml:space="preserve"> a iniciar importaciones de </w:t>
      </w:r>
      <w:r w:rsidR="00067E50" w:rsidRPr="00067E50">
        <w:rPr>
          <w:rFonts w:ascii="Arial" w:hAnsi="Arial" w:cs="Arial"/>
          <w:sz w:val="22"/>
          <w:szCs w:val="22"/>
        </w:rPr>
        <w:t>GNL</w:t>
      </w:r>
      <w:r w:rsidRPr="00067E50">
        <w:rPr>
          <w:rFonts w:ascii="Arial" w:hAnsi="Arial" w:cs="Arial"/>
          <w:sz w:val="22"/>
          <w:szCs w:val="22"/>
        </w:rPr>
        <w:t xml:space="preserve"> y hoy se</w:t>
      </w:r>
      <w:r w:rsidRPr="008F39CF">
        <w:rPr>
          <w:rFonts w:ascii="Arial" w:hAnsi="Arial" w:cs="Arial"/>
          <w:sz w:val="22"/>
          <w:szCs w:val="22"/>
        </w:rPr>
        <w:t xml:space="preserve"> encuentra dentro del grupo de los cinco más grandes importadores del mundo</w:t>
      </w:r>
    </w:p>
    <w:p w14:paraId="7E3280C5" w14:textId="76F13FA8" w:rsidR="008F39CF" w:rsidRDefault="008F39CF" w:rsidP="008F39CF">
      <w:pPr>
        <w:spacing w:before="240" w:after="240" w:line="276" w:lineRule="auto"/>
        <w:jc w:val="both"/>
        <w:rPr>
          <w:rFonts w:ascii="Arial" w:hAnsi="Arial" w:cs="Arial"/>
          <w:sz w:val="22"/>
          <w:szCs w:val="22"/>
        </w:rPr>
      </w:pPr>
      <w:r w:rsidRPr="00030ED0">
        <w:rPr>
          <w:rFonts w:ascii="Arial" w:hAnsi="Arial" w:cs="Arial"/>
          <w:sz w:val="22"/>
          <w:szCs w:val="22"/>
        </w:rPr>
        <w:t>A futuro se estima que nuevos consumidor</w:t>
      </w:r>
      <w:r w:rsidR="00030ED0" w:rsidRPr="00030ED0">
        <w:rPr>
          <w:rFonts w:ascii="Arial" w:hAnsi="Arial" w:cs="Arial"/>
          <w:sz w:val="22"/>
          <w:szCs w:val="22"/>
        </w:rPr>
        <w:t>es ingresarán al grupo de los 39</w:t>
      </w:r>
      <w:r w:rsidRPr="00030ED0">
        <w:rPr>
          <w:rFonts w:ascii="Arial" w:hAnsi="Arial" w:cs="Arial"/>
          <w:sz w:val="22"/>
          <w:szCs w:val="22"/>
        </w:rPr>
        <w:t xml:space="preserve"> países importadores, originando mayor impulso al desarrollo de la industria de GNL en la medida en que la capacidad de regasificación se incremente en países de Europa y Sudamérica. En este último continente se </w:t>
      </w:r>
      <w:r w:rsidRPr="00030ED0">
        <w:rPr>
          <w:rFonts w:ascii="Arial" w:hAnsi="Arial" w:cs="Arial"/>
          <w:sz w:val="22"/>
          <w:szCs w:val="22"/>
        </w:rPr>
        <w:lastRenderedPageBreak/>
        <w:t>presume un incremento de la demanda futura por la escasez de suministro e interrupciones por sequias y razones medioambientales.</w:t>
      </w:r>
    </w:p>
    <w:p w14:paraId="4E694CFC" w14:textId="4110C484" w:rsidR="00914134" w:rsidRDefault="008F39CF" w:rsidP="00914134">
      <w:pPr>
        <w:pStyle w:val="Descripcin"/>
        <w:spacing w:after="0"/>
        <w:jc w:val="center"/>
        <w:rPr>
          <w:rFonts w:cs="Arial"/>
          <w:i w:val="0"/>
          <w:color w:val="auto"/>
          <w:sz w:val="20"/>
          <w:szCs w:val="20"/>
        </w:rPr>
      </w:pPr>
      <w:bookmarkStart w:id="166" w:name="_Ref401270720"/>
      <w:bookmarkStart w:id="167" w:name="_Toc401316966"/>
      <w:bookmarkStart w:id="168" w:name="_Toc403641005"/>
      <w:bookmarkStart w:id="169" w:name="_Toc403641244"/>
      <w:bookmarkStart w:id="170" w:name="_Toc403641400"/>
      <w:bookmarkStart w:id="171" w:name="_Toc403641952"/>
      <w:bookmarkStart w:id="172" w:name="_Toc403642002"/>
      <w:bookmarkStart w:id="173" w:name="_Toc447097991"/>
      <w:bookmarkStart w:id="174" w:name="_Toc499799363"/>
      <w:bookmarkStart w:id="175" w:name="_Toc530033411"/>
      <w:r>
        <w:rPr>
          <w:rFonts w:cs="Arial"/>
          <w:b/>
          <w:i w:val="0"/>
          <w:color w:val="auto"/>
          <w:sz w:val="20"/>
          <w:szCs w:val="20"/>
          <w:highlight w:val="yellow"/>
        </w:rPr>
        <w:t>G</w:t>
      </w:r>
      <w:r w:rsidR="00914134" w:rsidRPr="003F539E">
        <w:rPr>
          <w:rFonts w:cs="Arial"/>
          <w:b/>
          <w:i w:val="0"/>
          <w:color w:val="auto"/>
          <w:sz w:val="20"/>
          <w:szCs w:val="20"/>
          <w:highlight w:val="yellow"/>
        </w:rPr>
        <w:t xml:space="preserve">ráfica </w:t>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STYLEREF 1 \s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3</w:t>
      </w:r>
      <w:r w:rsidR="00DA50A5">
        <w:rPr>
          <w:rFonts w:cs="Arial"/>
          <w:b/>
          <w:i w:val="0"/>
          <w:color w:val="auto"/>
          <w:sz w:val="20"/>
          <w:szCs w:val="20"/>
          <w:highlight w:val="yellow"/>
        </w:rPr>
        <w:fldChar w:fldCharType="end"/>
      </w:r>
      <w:r w:rsidR="00DA50A5">
        <w:rPr>
          <w:rFonts w:cs="Arial"/>
          <w:b/>
          <w:i w:val="0"/>
          <w:color w:val="auto"/>
          <w:sz w:val="20"/>
          <w:szCs w:val="20"/>
          <w:highlight w:val="yellow"/>
        </w:rPr>
        <w:noBreakHyphen/>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SEQ Gráfica \* ARABIC \s 1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8</w:t>
      </w:r>
      <w:r w:rsidR="00DA50A5">
        <w:rPr>
          <w:rFonts w:cs="Arial"/>
          <w:b/>
          <w:i w:val="0"/>
          <w:color w:val="auto"/>
          <w:sz w:val="20"/>
          <w:szCs w:val="20"/>
          <w:highlight w:val="yellow"/>
        </w:rPr>
        <w:fldChar w:fldCharType="end"/>
      </w:r>
      <w:bookmarkEnd w:id="166"/>
      <w:r w:rsidR="00914134" w:rsidRPr="003F539E">
        <w:rPr>
          <w:rFonts w:cs="Arial"/>
          <w:b/>
          <w:i w:val="0"/>
          <w:color w:val="auto"/>
          <w:sz w:val="20"/>
          <w:szCs w:val="20"/>
        </w:rPr>
        <w:t xml:space="preserve">. </w:t>
      </w:r>
      <w:r w:rsidR="00914134" w:rsidRPr="003F539E">
        <w:rPr>
          <w:rFonts w:cs="Arial"/>
          <w:i w:val="0"/>
          <w:color w:val="auto"/>
          <w:sz w:val="20"/>
          <w:szCs w:val="20"/>
        </w:rPr>
        <w:t>Demanda de GNL en Asia</w:t>
      </w:r>
      <w:bookmarkEnd w:id="167"/>
      <w:bookmarkEnd w:id="168"/>
      <w:bookmarkEnd w:id="169"/>
      <w:bookmarkEnd w:id="170"/>
      <w:bookmarkEnd w:id="171"/>
      <w:bookmarkEnd w:id="172"/>
      <w:bookmarkEnd w:id="173"/>
      <w:bookmarkEnd w:id="174"/>
      <w:bookmarkEnd w:id="175"/>
    </w:p>
    <w:p w14:paraId="37ABF691" w14:textId="034AFDBF" w:rsidR="00482FFD" w:rsidRPr="00482FFD" w:rsidRDefault="00482FFD" w:rsidP="00482FFD">
      <w:pPr>
        <w:jc w:val="center"/>
        <w:rPr>
          <w:lang w:val="es-CO" w:eastAsia="es-ES"/>
        </w:rPr>
      </w:pPr>
      <w:r w:rsidRPr="00482FFD">
        <w:rPr>
          <w:noProof/>
          <w:lang w:val="es-ES" w:eastAsia="es-ES"/>
        </w:rPr>
        <w:drawing>
          <wp:inline distT="0" distB="0" distL="0" distR="0" wp14:anchorId="4515AB3B" wp14:editId="0B096A98">
            <wp:extent cx="5400675" cy="32385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03C3038D" w14:textId="6588F074" w:rsidR="00914134" w:rsidRPr="00482FFD" w:rsidRDefault="00F46246" w:rsidP="008F39CF">
      <w:pPr>
        <w:pStyle w:val="Prrafodelista"/>
        <w:numPr>
          <w:ilvl w:val="0"/>
          <w:numId w:val="0"/>
        </w:numPr>
        <w:spacing w:before="0"/>
        <w:jc w:val="center"/>
        <w:rPr>
          <w:rFonts w:cs="Arial"/>
          <w:b w:val="0"/>
          <w:color w:val="000000" w:themeColor="text1"/>
          <w:sz w:val="18"/>
        </w:rPr>
      </w:pPr>
      <w:r w:rsidRPr="00482FFD">
        <w:rPr>
          <w:rFonts w:cs="Arial"/>
          <w:color w:val="000000" w:themeColor="text1"/>
          <w:sz w:val="16"/>
        </w:rPr>
        <w:t>Fuente:</w:t>
      </w:r>
      <w:r w:rsidRPr="00482FFD">
        <w:rPr>
          <w:rFonts w:cs="Arial"/>
          <w:b w:val="0"/>
          <w:color w:val="000000" w:themeColor="text1"/>
          <w:sz w:val="16"/>
        </w:rPr>
        <w:t xml:space="preserve"> GIIGNL </w:t>
      </w:r>
      <w:r w:rsidRPr="00482FFD">
        <w:rPr>
          <w:rFonts w:cs="Arial"/>
          <w:b w:val="0"/>
          <w:color w:val="000000" w:themeColor="text1"/>
          <w:sz w:val="16"/>
        </w:rPr>
        <w:fldChar w:fldCharType="begin"/>
      </w:r>
      <w:r w:rsidRPr="00482FFD">
        <w:rPr>
          <w:rFonts w:cs="Arial"/>
          <w:b w:val="0"/>
          <w:color w:val="000000" w:themeColor="text1"/>
          <w:sz w:val="16"/>
        </w:rPr>
        <w:instrText xml:space="preserve"> REF _Ref529881942 \r \h  \* MERGEFORMAT </w:instrText>
      </w:r>
      <w:r w:rsidRPr="00482FFD">
        <w:rPr>
          <w:rFonts w:cs="Arial"/>
          <w:b w:val="0"/>
          <w:color w:val="000000" w:themeColor="text1"/>
          <w:sz w:val="16"/>
        </w:rPr>
      </w:r>
      <w:r w:rsidRPr="00482FFD">
        <w:rPr>
          <w:rFonts w:cs="Arial"/>
          <w:b w:val="0"/>
          <w:color w:val="000000" w:themeColor="text1"/>
          <w:sz w:val="16"/>
        </w:rPr>
        <w:fldChar w:fldCharType="separate"/>
      </w:r>
      <w:r w:rsidR="00915705" w:rsidRPr="00482FFD">
        <w:rPr>
          <w:rFonts w:cs="Arial"/>
          <w:b w:val="0"/>
          <w:color w:val="000000" w:themeColor="text1"/>
          <w:sz w:val="16"/>
        </w:rPr>
        <w:t>[14]</w:t>
      </w:r>
      <w:r w:rsidRPr="00482FFD">
        <w:rPr>
          <w:rFonts w:cs="Arial"/>
          <w:b w:val="0"/>
          <w:color w:val="000000" w:themeColor="text1"/>
          <w:sz w:val="16"/>
        </w:rPr>
        <w:fldChar w:fldCharType="end"/>
      </w:r>
      <w:r w:rsidRPr="00482FFD">
        <w:rPr>
          <w:rFonts w:cs="Arial"/>
          <w:b w:val="0"/>
          <w:color w:val="000000" w:themeColor="text1"/>
          <w:sz w:val="16"/>
        </w:rPr>
        <w:t xml:space="preserve">, UPME </w:t>
      </w:r>
    </w:p>
    <w:p w14:paraId="271879DF" w14:textId="77777777" w:rsidR="00914134" w:rsidRPr="00DE47F5" w:rsidRDefault="00914134" w:rsidP="00914134">
      <w:pPr>
        <w:pStyle w:val="Ttulo2"/>
      </w:pPr>
      <w:bookmarkStart w:id="176" w:name="_Toc403636378"/>
      <w:bookmarkStart w:id="177" w:name="_Toc403637344"/>
      <w:bookmarkStart w:id="178" w:name="_Toc403637939"/>
      <w:bookmarkStart w:id="179" w:name="_Toc403638044"/>
      <w:bookmarkStart w:id="180" w:name="_Toc403638288"/>
      <w:bookmarkStart w:id="181" w:name="_Toc530045834"/>
      <w:bookmarkStart w:id="182" w:name="_Toc403636381"/>
      <w:bookmarkStart w:id="183" w:name="_Toc403637347"/>
      <w:bookmarkStart w:id="184" w:name="_Toc403637942"/>
      <w:bookmarkStart w:id="185" w:name="_Toc403638047"/>
      <w:bookmarkStart w:id="186" w:name="_Toc403638291"/>
      <w:bookmarkStart w:id="187" w:name="_Toc499539624"/>
      <w:r w:rsidRPr="00DE47F5">
        <w:t>Perspectivas del Gas Natural Licuado</w:t>
      </w:r>
      <w:bookmarkEnd w:id="176"/>
      <w:bookmarkEnd w:id="177"/>
      <w:bookmarkEnd w:id="178"/>
      <w:bookmarkEnd w:id="179"/>
      <w:bookmarkEnd w:id="180"/>
      <w:r w:rsidRPr="00DE47F5">
        <w:t xml:space="preserve"> en Colombia</w:t>
      </w:r>
      <w:bookmarkEnd w:id="181"/>
      <w:r w:rsidRPr="00DE47F5">
        <w:t xml:space="preserve"> </w:t>
      </w:r>
    </w:p>
    <w:p w14:paraId="71083341" w14:textId="7C0304BC" w:rsidR="00914134" w:rsidRPr="00DE47F5" w:rsidRDefault="00914134" w:rsidP="00914134">
      <w:pPr>
        <w:spacing w:before="240" w:after="240" w:line="276" w:lineRule="auto"/>
        <w:jc w:val="both"/>
        <w:rPr>
          <w:rFonts w:ascii="Arial" w:hAnsi="Arial" w:cs="Arial"/>
          <w:sz w:val="22"/>
          <w:szCs w:val="22"/>
        </w:rPr>
      </w:pPr>
      <w:r w:rsidRPr="00DE47F5">
        <w:rPr>
          <w:rFonts w:ascii="Arial" w:hAnsi="Arial" w:cs="Arial"/>
          <w:sz w:val="22"/>
          <w:szCs w:val="22"/>
        </w:rPr>
        <w:t>La UPME, posterior a desarrollar la etapa de análisis sobre la disponibilidad de gas natural frente a la demanda estimada, considera necesario establecer alternativas para incrementar el suministro de gas natural y fortalecer el sistema de oferta, permitiendo resolver las dificultades de abastecimiento relacionadas con esa actividad para el mediano y largo plazo en caso de no incorporar nuevas reservas de gas</w:t>
      </w:r>
      <w:r>
        <w:rPr>
          <w:rFonts w:ascii="Arial" w:hAnsi="Arial" w:cs="Arial"/>
          <w:sz w:val="22"/>
          <w:szCs w:val="22"/>
        </w:rPr>
        <w:t xml:space="preserve"> natural, sin importar u origen con el fin de </w:t>
      </w:r>
      <w:r w:rsidRPr="00B35E14">
        <w:rPr>
          <w:rFonts w:ascii="Arial" w:hAnsi="Arial" w:cs="Arial"/>
          <w:sz w:val="22"/>
          <w:szCs w:val="22"/>
        </w:rPr>
        <w:t>garantizar la seguridad de abastecimiento y la confiabilidad del servicio de gas natural</w:t>
      </w:r>
      <w:r>
        <w:rPr>
          <w:rFonts w:ascii="Arial" w:hAnsi="Arial" w:cs="Arial"/>
          <w:sz w:val="22"/>
          <w:szCs w:val="22"/>
        </w:rPr>
        <w:t xml:space="preserve"> (Decreto 2345 y </w:t>
      </w:r>
      <w:r w:rsidRPr="00B35E14">
        <w:rPr>
          <w:rFonts w:ascii="Arial" w:hAnsi="Arial" w:cs="Arial"/>
          <w:sz w:val="22"/>
          <w:szCs w:val="22"/>
        </w:rPr>
        <w:t>Decreto 1073 de 2015</w:t>
      </w:r>
      <w:r>
        <w:rPr>
          <w:rFonts w:ascii="Arial" w:hAnsi="Arial" w:cs="Arial"/>
          <w:sz w:val="22"/>
          <w:szCs w:val="22"/>
        </w:rPr>
        <w:t>)</w:t>
      </w:r>
      <w:r w:rsidR="00A27405">
        <w:rPr>
          <w:rFonts w:ascii="Arial" w:hAnsi="Arial" w:cs="Arial"/>
          <w:sz w:val="22"/>
          <w:szCs w:val="22"/>
        </w:rPr>
        <w:t>.</w:t>
      </w:r>
    </w:p>
    <w:p w14:paraId="62A33D3F" w14:textId="08356AF6" w:rsidR="00914134" w:rsidRDefault="00914134" w:rsidP="00914134">
      <w:pPr>
        <w:spacing w:before="240" w:after="240" w:line="276" w:lineRule="auto"/>
        <w:jc w:val="both"/>
        <w:rPr>
          <w:rFonts w:ascii="Arial" w:hAnsi="Arial" w:cs="Arial"/>
          <w:sz w:val="22"/>
          <w:szCs w:val="22"/>
        </w:rPr>
      </w:pPr>
      <w:r>
        <w:rPr>
          <w:rFonts w:ascii="Arial" w:hAnsi="Arial" w:cs="Arial"/>
          <w:sz w:val="22"/>
          <w:szCs w:val="22"/>
        </w:rPr>
        <w:t xml:space="preserve">En este contexto, actualmente Colombia cuenta por una parte, con una planta de regasificación ubicada en la costa atlántica la cual opera bajo tecnología </w:t>
      </w:r>
      <w:r w:rsidRPr="00DD56F2">
        <w:rPr>
          <w:rFonts w:ascii="Arial" w:hAnsi="Arial" w:cs="Arial"/>
          <w:sz w:val="22"/>
          <w:szCs w:val="22"/>
        </w:rPr>
        <w:t>FSRU (Floating Storage Regasification Unit), que consiste en un barco que contiene tanto el almacenamiento como la planta de regasificación</w:t>
      </w:r>
      <w:r w:rsidR="00080006">
        <w:rPr>
          <w:rFonts w:ascii="Arial" w:hAnsi="Arial" w:cs="Arial"/>
          <w:sz w:val="22"/>
          <w:szCs w:val="22"/>
        </w:rPr>
        <w:t>,</w:t>
      </w:r>
      <w:r w:rsidRPr="00DD56F2">
        <w:rPr>
          <w:rFonts w:ascii="Arial" w:hAnsi="Arial" w:cs="Arial"/>
          <w:sz w:val="22"/>
          <w:szCs w:val="22"/>
        </w:rPr>
        <w:t xml:space="preserve"> y en donde se hace el proceso de convertir el gas de estado líquido a gaseoso. Así mismo, este gas es posteriormente enviado a los sistemas de transporte por gasoducto y finalmente al mercado de gas colombiano. El nombre del Barco es el HOEGH GRACE, y los dueños son en un 49% la empresa Hoegh LNG y por el 51% restante el Hoegh LNG Partners LP, siendo el primero el administrador del barco. </w:t>
      </w:r>
      <w:r>
        <w:rPr>
          <w:rFonts w:ascii="Arial" w:hAnsi="Arial" w:cs="Arial"/>
          <w:sz w:val="22"/>
          <w:szCs w:val="22"/>
        </w:rPr>
        <w:t xml:space="preserve">Es importante mencionar que este tipo de contrato tiene </w:t>
      </w:r>
      <w:r w:rsidRPr="00DD56F2">
        <w:rPr>
          <w:rFonts w:ascii="Arial" w:hAnsi="Arial" w:cs="Arial"/>
          <w:sz w:val="22"/>
          <w:szCs w:val="22"/>
        </w:rPr>
        <w:t xml:space="preserve">una duración de 20 años </w:t>
      </w:r>
      <w:r>
        <w:rPr>
          <w:rFonts w:ascii="Arial" w:hAnsi="Arial" w:cs="Arial"/>
          <w:sz w:val="22"/>
          <w:szCs w:val="22"/>
        </w:rPr>
        <w:t xml:space="preserve">contados </w:t>
      </w:r>
      <w:r w:rsidRPr="00DD56F2">
        <w:rPr>
          <w:rFonts w:ascii="Arial" w:hAnsi="Arial" w:cs="Arial"/>
          <w:sz w:val="22"/>
          <w:szCs w:val="22"/>
        </w:rPr>
        <w:t xml:space="preserve">a partir de Diciembre de 2016. </w:t>
      </w:r>
    </w:p>
    <w:p w14:paraId="2B7184D0" w14:textId="77777777" w:rsidR="00914134" w:rsidRDefault="00914134" w:rsidP="00914134">
      <w:pPr>
        <w:spacing w:before="240" w:after="240" w:line="276" w:lineRule="auto"/>
        <w:jc w:val="both"/>
        <w:rPr>
          <w:rFonts w:ascii="Arial" w:hAnsi="Arial" w:cs="Arial"/>
          <w:sz w:val="22"/>
          <w:szCs w:val="22"/>
        </w:rPr>
      </w:pPr>
      <w:r>
        <w:rPr>
          <w:rFonts w:ascii="Arial" w:hAnsi="Arial" w:cs="Arial"/>
          <w:sz w:val="22"/>
          <w:szCs w:val="22"/>
        </w:rPr>
        <w:t xml:space="preserve">Ahora bien, a continuación se presentan las especificaciones técnicas bajo las cuales opera la planta de regasificación del atlántico colombiano: </w:t>
      </w:r>
    </w:p>
    <w:p w14:paraId="3D00DAC2" w14:textId="77777777" w:rsidR="00914134" w:rsidRPr="00A4545D" w:rsidRDefault="00914134" w:rsidP="00914134">
      <w:pPr>
        <w:pStyle w:val="Descripcin"/>
        <w:spacing w:after="0"/>
        <w:jc w:val="center"/>
        <w:rPr>
          <w:rFonts w:eastAsiaTheme="minorHAnsi" w:cs="Arial"/>
          <w:i w:val="0"/>
          <w:iCs w:val="0"/>
          <w:color w:val="auto"/>
          <w:sz w:val="20"/>
          <w:szCs w:val="22"/>
          <w:lang w:val="es-ES_tradnl" w:eastAsia="en-US"/>
        </w:rPr>
      </w:pPr>
      <w:bookmarkStart w:id="188" w:name="_Ref529522285"/>
      <w:bookmarkStart w:id="189" w:name="_Ref487623244"/>
      <w:bookmarkStart w:id="190" w:name="_Toc490148314"/>
      <w:bookmarkStart w:id="191" w:name="_Toc529889746"/>
      <w:r w:rsidRPr="00A4545D">
        <w:rPr>
          <w:rFonts w:eastAsiaTheme="minorHAnsi" w:cs="Arial"/>
          <w:b/>
          <w:i w:val="0"/>
          <w:iCs w:val="0"/>
          <w:color w:val="auto"/>
          <w:sz w:val="20"/>
          <w:szCs w:val="22"/>
          <w:highlight w:val="yellow"/>
          <w:lang w:val="es-ES_tradnl" w:eastAsia="en-US"/>
        </w:rPr>
        <w:lastRenderedPageBreak/>
        <w:t xml:space="preserve">Tabla </w:t>
      </w:r>
      <w:r>
        <w:rPr>
          <w:rFonts w:eastAsiaTheme="minorHAnsi" w:cs="Arial"/>
          <w:b/>
          <w:i w:val="0"/>
          <w:iCs w:val="0"/>
          <w:color w:val="auto"/>
          <w:sz w:val="20"/>
          <w:szCs w:val="22"/>
          <w:highlight w:val="yellow"/>
          <w:lang w:val="es-ES_tradnl" w:eastAsia="en-US"/>
        </w:rPr>
        <w:fldChar w:fldCharType="begin"/>
      </w:r>
      <w:r>
        <w:rPr>
          <w:rFonts w:eastAsiaTheme="minorHAnsi" w:cs="Arial"/>
          <w:b/>
          <w:i w:val="0"/>
          <w:iCs w:val="0"/>
          <w:color w:val="auto"/>
          <w:sz w:val="20"/>
          <w:szCs w:val="22"/>
          <w:highlight w:val="yellow"/>
          <w:lang w:val="es-ES_tradnl" w:eastAsia="en-US"/>
        </w:rPr>
        <w:instrText xml:space="preserve"> STYLEREF 1 \s </w:instrText>
      </w:r>
      <w:r>
        <w:rPr>
          <w:rFonts w:eastAsiaTheme="minorHAnsi" w:cs="Arial"/>
          <w:b/>
          <w:i w:val="0"/>
          <w:iCs w:val="0"/>
          <w:color w:val="auto"/>
          <w:sz w:val="20"/>
          <w:szCs w:val="22"/>
          <w:highlight w:val="yellow"/>
          <w:lang w:val="es-ES_tradnl" w:eastAsia="en-US"/>
        </w:rPr>
        <w:fldChar w:fldCharType="separate"/>
      </w:r>
      <w:r w:rsidR="00915705">
        <w:rPr>
          <w:rFonts w:eastAsiaTheme="minorHAnsi" w:cs="Arial"/>
          <w:b/>
          <w:i w:val="0"/>
          <w:iCs w:val="0"/>
          <w:noProof/>
          <w:color w:val="auto"/>
          <w:sz w:val="20"/>
          <w:szCs w:val="22"/>
          <w:highlight w:val="yellow"/>
          <w:lang w:val="es-ES_tradnl" w:eastAsia="en-US"/>
        </w:rPr>
        <w:t>3</w:t>
      </w:r>
      <w:r>
        <w:rPr>
          <w:rFonts w:eastAsiaTheme="minorHAnsi" w:cs="Arial"/>
          <w:b/>
          <w:i w:val="0"/>
          <w:iCs w:val="0"/>
          <w:color w:val="auto"/>
          <w:sz w:val="20"/>
          <w:szCs w:val="22"/>
          <w:highlight w:val="yellow"/>
          <w:lang w:val="es-ES_tradnl" w:eastAsia="en-US"/>
        </w:rPr>
        <w:fldChar w:fldCharType="end"/>
      </w:r>
      <w:r>
        <w:rPr>
          <w:rFonts w:eastAsiaTheme="minorHAnsi" w:cs="Arial"/>
          <w:b/>
          <w:i w:val="0"/>
          <w:iCs w:val="0"/>
          <w:color w:val="auto"/>
          <w:sz w:val="20"/>
          <w:szCs w:val="22"/>
          <w:highlight w:val="yellow"/>
          <w:lang w:val="es-ES_tradnl" w:eastAsia="en-US"/>
        </w:rPr>
        <w:noBreakHyphen/>
      </w:r>
      <w:r>
        <w:rPr>
          <w:rFonts w:eastAsiaTheme="minorHAnsi" w:cs="Arial"/>
          <w:b/>
          <w:i w:val="0"/>
          <w:iCs w:val="0"/>
          <w:color w:val="auto"/>
          <w:sz w:val="20"/>
          <w:szCs w:val="22"/>
          <w:highlight w:val="yellow"/>
          <w:lang w:val="es-ES_tradnl" w:eastAsia="en-US"/>
        </w:rPr>
        <w:fldChar w:fldCharType="begin"/>
      </w:r>
      <w:r>
        <w:rPr>
          <w:rFonts w:eastAsiaTheme="minorHAnsi" w:cs="Arial"/>
          <w:b/>
          <w:i w:val="0"/>
          <w:iCs w:val="0"/>
          <w:color w:val="auto"/>
          <w:sz w:val="20"/>
          <w:szCs w:val="22"/>
          <w:highlight w:val="yellow"/>
          <w:lang w:val="es-ES_tradnl" w:eastAsia="en-US"/>
        </w:rPr>
        <w:instrText xml:space="preserve"> SEQ Tabla \* ARABIC \s 1 </w:instrText>
      </w:r>
      <w:r>
        <w:rPr>
          <w:rFonts w:eastAsiaTheme="minorHAnsi" w:cs="Arial"/>
          <w:b/>
          <w:i w:val="0"/>
          <w:iCs w:val="0"/>
          <w:color w:val="auto"/>
          <w:sz w:val="20"/>
          <w:szCs w:val="22"/>
          <w:highlight w:val="yellow"/>
          <w:lang w:val="es-ES_tradnl" w:eastAsia="en-US"/>
        </w:rPr>
        <w:fldChar w:fldCharType="separate"/>
      </w:r>
      <w:r w:rsidR="00915705">
        <w:rPr>
          <w:rFonts w:eastAsiaTheme="minorHAnsi" w:cs="Arial"/>
          <w:b/>
          <w:i w:val="0"/>
          <w:iCs w:val="0"/>
          <w:noProof/>
          <w:color w:val="auto"/>
          <w:sz w:val="20"/>
          <w:szCs w:val="22"/>
          <w:highlight w:val="yellow"/>
          <w:lang w:val="es-ES_tradnl" w:eastAsia="en-US"/>
        </w:rPr>
        <w:t>2</w:t>
      </w:r>
      <w:r>
        <w:rPr>
          <w:rFonts w:eastAsiaTheme="minorHAnsi" w:cs="Arial"/>
          <w:b/>
          <w:i w:val="0"/>
          <w:iCs w:val="0"/>
          <w:color w:val="auto"/>
          <w:sz w:val="20"/>
          <w:szCs w:val="22"/>
          <w:highlight w:val="yellow"/>
          <w:lang w:val="es-ES_tradnl" w:eastAsia="en-US"/>
        </w:rPr>
        <w:fldChar w:fldCharType="end"/>
      </w:r>
      <w:bookmarkEnd w:id="188"/>
      <w:r w:rsidRPr="00A4545D">
        <w:rPr>
          <w:rFonts w:eastAsiaTheme="minorHAnsi" w:cs="Arial"/>
          <w:b/>
          <w:i w:val="0"/>
          <w:iCs w:val="0"/>
          <w:color w:val="auto"/>
          <w:sz w:val="20"/>
          <w:szCs w:val="22"/>
          <w:lang w:val="es-ES_tradnl" w:eastAsia="en-US"/>
        </w:rPr>
        <w:t>:</w:t>
      </w:r>
      <w:r w:rsidRPr="00A4545D">
        <w:rPr>
          <w:rFonts w:eastAsiaTheme="minorHAnsi" w:cs="Arial"/>
          <w:i w:val="0"/>
          <w:iCs w:val="0"/>
          <w:color w:val="auto"/>
          <w:sz w:val="20"/>
          <w:szCs w:val="22"/>
          <w:lang w:val="es-ES_tradnl" w:eastAsia="en-US"/>
        </w:rPr>
        <w:t xml:space="preserve"> Especificaciones del FSRU en Cartagena</w:t>
      </w:r>
      <w:bookmarkEnd w:id="189"/>
      <w:bookmarkEnd w:id="190"/>
      <w:bookmarkEnd w:id="191"/>
    </w:p>
    <w:tbl>
      <w:tblPr>
        <w:tblStyle w:val="Tabladecuadrcula1clar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969"/>
      </w:tblGrid>
      <w:tr w:rsidR="00914134" w14:paraId="5C133C76" w14:textId="77777777" w:rsidTr="0024531A">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7937" w:type="dxa"/>
            <w:gridSpan w:val="2"/>
            <w:tcBorders>
              <w:top w:val="single" w:sz="4" w:space="0" w:color="auto"/>
              <w:bottom w:val="single" w:sz="4" w:space="0" w:color="auto"/>
            </w:tcBorders>
            <w:vAlign w:val="center"/>
          </w:tcPr>
          <w:p w14:paraId="64D50AFB" w14:textId="77777777" w:rsidR="00914134" w:rsidRPr="00A4545D" w:rsidRDefault="00914134" w:rsidP="0024531A">
            <w:pPr>
              <w:spacing w:line="276" w:lineRule="auto"/>
              <w:jc w:val="center"/>
              <w:rPr>
                <w:rFonts w:ascii="Arial" w:hAnsi="Arial" w:cs="Arial"/>
                <w:sz w:val="20"/>
                <w:szCs w:val="20"/>
              </w:rPr>
            </w:pPr>
            <w:r w:rsidRPr="00A4545D">
              <w:rPr>
                <w:rFonts w:ascii="Arial" w:hAnsi="Arial" w:cs="Arial"/>
                <w:sz w:val="20"/>
                <w:szCs w:val="20"/>
              </w:rPr>
              <w:t>HOEGH GRACE (FSRU EN CARTAGENA COLOMBIA)</w:t>
            </w:r>
          </w:p>
        </w:tc>
      </w:tr>
      <w:tr w:rsidR="00914134" w14:paraId="0E0B98A1" w14:textId="77777777" w:rsidTr="003E788A">
        <w:trPr>
          <w:trHeight w:val="454"/>
          <w:jc w:val="center"/>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bottom w:val="dotted" w:sz="4" w:space="0" w:color="auto"/>
            </w:tcBorders>
            <w:vAlign w:val="center"/>
          </w:tcPr>
          <w:p w14:paraId="69036FAE" w14:textId="77777777" w:rsidR="00914134" w:rsidRPr="00A4545D" w:rsidRDefault="00914134" w:rsidP="0024531A">
            <w:pPr>
              <w:spacing w:line="276" w:lineRule="auto"/>
              <w:rPr>
                <w:rFonts w:ascii="Arial" w:hAnsi="Arial" w:cs="Arial"/>
                <w:b w:val="0"/>
                <w:bCs w:val="0"/>
                <w:sz w:val="20"/>
                <w:szCs w:val="20"/>
              </w:rPr>
            </w:pPr>
            <w:r w:rsidRPr="00A4545D">
              <w:rPr>
                <w:rFonts w:ascii="Arial" w:hAnsi="Arial" w:cs="Arial"/>
                <w:b w:val="0"/>
                <w:bCs w:val="0"/>
                <w:sz w:val="20"/>
                <w:szCs w:val="20"/>
              </w:rPr>
              <w:t>Tipo de Barco</w:t>
            </w:r>
          </w:p>
        </w:tc>
        <w:tc>
          <w:tcPr>
            <w:tcW w:w="3969" w:type="dxa"/>
            <w:tcBorders>
              <w:top w:val="single" w:sz="4" w:space="0" w:color="auto"/>
              <w:bottom w:val="dotted" w:sz="4" w:space="0" w:color="auto"/>
            </w:tcBorders>
            <w:vAlign w:val="center"/>
          </w:tcPr>
          <w:p w14:paraId="43E046DE" w14:textId="77777777" w:rsidR="00914134" w:rsidRPr="00A4545D" w:rsidRDefault="00914134" w:rsidP="0024531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545D">
              <w:rPr>
                <w:rFonts w:ascii="Arial" w:hAnsi="Arial" w:cs="Arial"/>
                <w:sz w:val="20"/>
                <w:szCs w:val="20"/>
              </w:rPr>
              <w:t>FSRU</w:t>
            </w:r>
          </w:p>
        </w:tc>
      </w:tr>
      <w:tr w:rsidR="00914134" w14:paraId="5F7A62F7" w14:textId="77777777" w:rsidTr="003E788A">
        <w:trPr>
          <w:trHeight w:val="454"/>
          <w:jc w:val="center"/>
        </w:trPr>
        <w:tc>
          <w:tcPr>
            <w:cnfStyle w:val="001000000000" w:firstRow="0" w:lastRow="0" w:firstColumn="1" w:lastColumn="0" w:oddVBand="0" w:evenVBand="0" w:oddHBand="0" w:evenHBand="0" w:firstRowFirstColumn="0" w:firstRowLastColumn="0" w:lastRowFirstColumn="0" w:lastRowLastColumn="0"/>
            <w:tcW w:w="3969" w:type="dxa"/>
            <w:tcBorders>
              <w:top w:val="dotted" w:sz="4" w:space="0" w:color="auto"/>
              <w:bottom w:val="dotted" w:sz="4" w:space="0" w:color="auto"/>
            </w:tcBorders>
            <w:vAlign w:val="center"/>
          </w:tcPr>
          <w:p w14:paraId="6DEB1421" w14:textId="77777777" w:rsidR="00914134" w:rsidRPr="00A4545D" w:rsidRDefault="00914134" w:rsidP="0024531A">
            <w:pPr>
              <w:spacing w:line="276" w:lineRule="auto"/>
              <w:rPr>
                <w:rFonts w:ascii="Arial" w:hAnsi="Arial" w:cs="Arial"/>
                <w:b w:val="0"/>
                <w:bCs w:val="0"/>
                <w:sz w:val="20"/>
                <w:szCs w:val="20"/>
              </w:rPr>
            </w:pPr>
            <w:r w:rsidRPr="00A4545D">
              <w:rPr>
                <w:rFonts w:ascii="Arial" w:hAnsi="Arial" w:cs="Arial"/>
                <w:b w:val="0"/>
                <w:bCs w:val="0"/>
                <w:sz w:val="20"/>
                <w:szCs w:val="20"/>
              </w:rPr>
              <w:t>Año de construido</w:t>
            </w:r>
          </w:p>
        </w:tc>
        <w:tc>
          <w:tcPr>
            <w:tcW w:w="3969" w:type="dxa"/>
            <w:tcBorders>
              <w:top w:val="dotted" w:sz="4" w:space="0" w:color="auto"/>
              <w:bottom w:val="dotted" w:sz="4" w:space="0" w:color="auto"/>
            </w:tcBorders>
            <w:vAlign w:val="center"/>
          </w:tcPr>
          <w:p w14:paraId="6E70264E" w14:textId="77777777" w:rsidR="00914134" w:rsidRPr="00A4545D" w:rsidRDefault="00914134" w:rsidP="0024531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545D">
              <w:rPr>
                <w:rFonts w:ascii="Arial" w:hAnsi="Arial" w:cs="Arial"/>
                <w:sz w:val="20"/>
                <w:szCs w:val="20"/>
              </w:rPr>
              <w:t>2015</w:t>
            </w:r>
          </w:p>
        </w:tc>
      </w:tr>
      <w:tr w:rsidR="00914134" w14:paraId="5ABEA3B7" w14:textId="77777777" w:rsidTr="003E788A">
        <w:trPr>
          <w:trHeight w:val="454"/>
          <w:jc w:val="center"/>
        </w:trPr>
        <w:tc>
          <w:tcPr>
            <w:cnfStyle w:val="001000000000" w:firstRow="0" w:lastRow="0" w:firstColumn="1" w:lastColumn="0" w:oddVBand="0" w:evenVBand="0" w:oddHBand="0" w:evenHBand="0" w:firstRowFirstColumn="0" w:firstRowLastColumn="0" w:lastRowFirstColumn="0" w:lastRowLastColumn="0"/>
            <w:tcW w:w="3969" w:type="dxa"/>
            <w:tcBorders>
              <w:top w:val="dotted" w:sz="4" w:space="0" w:color="auto"/>
              <w:bottom w:val="dotted" w:sz="4" w:space="0" w:color="auto"/>
            </w:tcBorders>
            <w:vAlign w:val="center"/>
          </w:tcPr>
          <w:p w14:paraId="75337578" w14:textId="77777777" w:rsidR="00914134" w:rsidRPr="00A4545D" w:rsidRDefault="00914134" w:rsidP="0024531A">
            <w:pPr>
              <w:spacing w:line="276" w:lineRule="auto"/>
              <w:rPr>
                <w:rFonts w:ascii="Arial" w:hAnsi="Arial" w:cs="Arial"/>
                <w:b w:val="0"/>
                <w:bCs w:val="0"/>
                <w:sz w:val="20"/>
                <w:szCs w:val="20"/>
              </w:rPr>
            </w:pPr>
            <w:r w:rsidRPr="00A4545D">
              <w:rPr>
                <w:rFonts w:ascii="Arial" w:hAnsi="Arial" w:cs="Arial"/>
                <w:b w:val="0"/>
                <w:bCs w:val="0"/>
                <w:sz w:val="20"/>
                <w:szCs w:val="20"/>
              </w:rPr>
              <w:t>Constructor</w:t>
            </w:r>
          </w:p>
        </w:tc>
        <w:tc>
          <w:tcPr>
            <w:tcW w:w="3969" w:type="dxa"/>
            <w:tcBorders>
              <w:top w:val="dotted" w:sz="4" w:space="0" w:color="auto"/>
              <w:bottom w:val="dotted" w:sz="4" w:space="0" w:color="auto"/>
            </w:tcBorders>
            <w:vAlign w:val="center"/>
          </w:tcPr>
          <w:p w14:paraId="522E7155" w14:textId="77777777" w:rsidR="00914134" w:rsidRPr="00A4545D" w:rsidRDefault="00914134" w:rsidP="0024531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545D">
              <w:rPr>
                <w:rFonts w:ascii="Arial" w:hAnsi="Arial" w:cs="Arial"/>
                <w:sz w:val="20"/>
                <w:szCs w:val="20"/>
              </w:rPr>
              <w:t>Hiunday Heavy Industries CO.</w:t>
            </w:r>
          </w:p>
        </w:tc>
      </w:tr>
      <w:tr w:rsidR="00914134" w14:paraId="1C762E32" w14:textId="77777777" w:rsidTr="003E788A">
        <w:trPr>
          <w:trHeight w:val="454"/>
          <w:jc w:val="center"/>
        </w:trPr>
        <w:tc>
          <w:tcPr>
            <w:cnfStyle w:val="001000000000" w:firstRow="0" w:lastRow="0" w:firstColumn="1" w:lastColumn="0" w:oddVBand="0" w:evenVBand="0" w:oddHBand="0" w:evenHBand="0" w:firstRowFirstColumn="0" w:firstRowLastColumn="0" w:lastRowFirstColumn="0" w:lastRowLastColumn="0"/>
            <w:tcW w:w="3969" w:type="dxa"/>
            <w:tcBorders>
              <w:top w:val="dotted" w:sz="4" w:space="0" w:color="auto"/>
              <w:bottom w:val="dotted" w:sz="4" w:space="0" w:color="auto"/>
            </w:tcBorders>
            <w:vAlign w:val="center"/>
          </w:tcPr>
          <w:p w14:paraId="5E9B9B84" w14:textId="77777777" w:rsidR="00914134" w:rsidRPr="00A4545D" w:rsidRDefault="00914134" w:rsidP="0024531A">
            <w:pPr>
              <w:spacing w:line="276" w:lineRule="auto"/>
              <w:rPr>
                <w:rFonts w:ascii="Arial" w:hAnsi="Arial" w:cs="Arial"/>
                <w:b w:val="0"/>
                <w:bCs w:val="0"/>
                <w:sz w:val="20"/>
                <w:szCs w:val="20"/>
              </w:rPr>
            </w:pPr>
            <w:r w:rsidRPr="00A4545D">
              <w:rPr>
                <w:rFonts w:ascii="Arial" w:hAnsi="Arial" w:cs="Arial"/>
                <w:b w:val="0"/>
                <w:bCs w:val="0"/>
                <w:sz w:val="20"/>
                <w:szCs w:val="20"/>
              </w:rPr>
              <w:t>Sistema de Almacenamiento</w:t>
            </w:r>
          </w:p>
        </w:tc>
        <w:tc>
          <w:tcPr>
            <w:tcW w:w="3969" w:type="dxa"/>
            <w:tcBorders>
              <w:top w:val="dotted" w:sz="4" w:space="0" w:color="auto"/>
              <w:bottom w:val="dotted" w:sz="4" w:space="0" w:color="auto"/>
            </w:tcBorders>
            <w:vAlign w:val="center"/>
          </w:tcPr>
          <w:p w14:paraId="12A9F058" w14:textId="77777777" w:rsidR="00914134" w:rsidRPr="00A4545D" w:rsidRDefault="00914134" w:rsidP="0024531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545D">
              <w:rPr>
                <w:rFonts w:ascii="Arial" w:hAnsi="Arial" w:cs="Arial"/>
                <w:sz w:val="20"/>
                <w:szCs w:val="20"/>
              </w:rPr>
              <w:t>Mark III-Membrana</w:t>
            </w:r>
          </w:p>
        </w:tc>
      </w:tr>
      <w:tr w:rsidR="00914134" w14:paraId="1C0E855E" w14:textId="77777777" w:rsidTr="003E788A">
        <w:trPr>
          <w:trHeight w:val="454"/>
          <w:jc w:val="center"/>
        </w:trPr>
        <w:tc>
          <w:tcPr>
            <w:cnfStyle w:val="001000000000" w:firstRow="0" w:lastRow="0" w:firstColumn="1" w:lastColumn="0" w:oddVBand="0" w:evenVBand="0" w:oddHBand="0" w:evenHBand="0" w:firstRowFirstColumn="0" w:firstRowLastColumn="0" w:lastRowFirstColumn="0" w:lastRowLastColumn="0"/>
            <w:tcW w:w="3969" w:type="dxa"/>
            <w:tcBorders>
              <w:top w:val="dotted" w:sz="4" w:space="0" w:color="auto"/>
              <w:bottom w:val="dotted" w:sz="4" w:space="0" w:color="auto"/>
            </w:tcBorders>
            <w:vAlign w:val="center"/>
          </w:tcPr>
          <w:p w14:paraId="7CD6FFEA" w14:textId="77777777" w:rsidR="00914134" w:rsidRPr="00A4545D" w:rsidRDefault="00914134" w:rsidP="0024531A">
            <w:pPr>
              <w:spacing w:line="276" w:lineRule="auto"/>
              <w:rPr>
                <w:rFonts w:ascii="Arial" w:hAnsi="Arial" w:cs="Arial"/>
                <w:b w:val="0"/>
                <w:bCs w:val="0"/>
                <w:sz w:val="20"/>
                <w:szCs w:val="20"/>
              </w:rPr>
            </w:pPr>
            <w:r w:rsidRPr="00A4545D">
              <w:rPr>
                <w:rFonts w:ascii="Arial" w:hAnsi="Arial" w:cs="Arial"/>
                <w:b w:val="0"/>
                <w:bCs w:val="0"/>
                <w:sz w:val="20"/>
                <w:szCs w:val="20"/>
              </w:rPr>
              <w:t>Capacidad de Carga</w:t>
            </w:r>
          </w:p>
        </w:tc>
        <w:tc>
          <w:tcPr>
            <w:tcW w:w="3969" w:type="dxa"/>
            <w:tcBorders>
              <w:top w:val="dotted" w:sz="4" w:space="0" w:color="auto"/>
              <w:bottom w:val="dotted" w:sz="4" w:space="0" w:color="auto"/>
            </w:tcBorders>
            <w:vAlign w:val="center"/>
          </w:tcPr>
          <w:p w14:paraId="5F24A659" w14:textId="77777777" w:rsidR="00914134" w:rsidRPr="00A4545D" w:rsidRDefault="00914134" w:rsidP="0024531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545D">
              <w:rPr>
                <w:rFonts w:ascii="Arial" w:hAnsi="Arial" w:cs="Arial"/>
                <w:sz w:val="20"/>
                <w:szCs w:val="20"/>
              </w:rPr>
              <w:t>170.000 m</w:t>
            </w:r>
            <w:r w:rsidRPr="00080006">
              <w:rPr>
                <w:rFonts w:ascii="Arial" w:hAnsi="Arial" w:cs="Arial"/>
                <w:sz w:val="20"/>
                <w:szCs w:val="20"/>
                <w:vertAlign w:val="superscript"/>
              </w:rPr>
              <w:t>3</w:t>
            </w:r>
            <w:r w:rsidRPr="00A4545D">
              <w:rPr>
                <w:rFonts w:ascii="Arial" w:hAnsi="Arial" w:cs="Arial"/>
                <w:sz w:val="20"/>
                <w:szCs w:val="20"/>
              </w:rPr>
              <w:t xml:space="preserve"> de GNL</w:t>
            </w:r>
          </w:p>
        </w:tc>
      </w:tr>
      <w:tr w:rsidR="00914134" w14:paraId="7FEA25FF" w14:textId="77777777" w:rsidTr="003E788A">
        <w:trPr>
          <w:trHeight w:val="454"/>
          <w:jc w:val="center"/>
        </w:trPr>
        <w:tc>
          <w:tcPr>
            <w:cnfStyle w:val="001000000000" w:firstRow="0" w:lastRow="0" w:firstColumn="1" w:lastColumn="0" w:oddVBand="0" w:evenVBand="0" w:oddHBand="0" w:evenHBand="0" w:firstRowFirstColumn="0" w:firstRowLastColumn="0" w:lastRowFirstColumn="0" w:lastRowLastColumn="0"/>
            <w:tcW w:w="3969" w:type="dxa"/>
            <w:tcBorders>
              <w:top w:val="dotted" w:sz="4" w:space="0" w:color="auto"/>
              <w:bottom w:val="dotted" w:sz="4" w:space="0" w:color="auto"/>
            </w:tcBorders>
            <w:vAlign w:val="center"/>
          </w:tcPr>
          <w:p w14:paraId="741F233D" w14:textId="77777777" w:rsidR="00914134" w:rsidRPr="00A4545D" w:rsidRDefault="00914134" w:rsidP="0024531A">
            <w:pPr>
              <w:spacing w:line="276" w:lineRule="auto"/>
              <w:rPr>
                <w:rFonts w:ascii="Arial" w:hAnsi="Arial" w:cs="Arial"/>
                <w:b w:val="0"/>
                <w:bCs w:val="0"/>
                <w:sz w:val="20"/>
                <w:szCs w:val="20"/>
              </w:rPr>
            </w:pPr>
            <w:r w:rsidRPr="00A4545D">
              <w:rPr>
                <w:rFonts w:ascii="Arial" w:hAnsi="Arial" w:cs="Arial"/>
                <w:b w:val="0"/>
                <w:bCs w:val="0"/>
                <w:sz w:val="20"/>
                <w:szCs w:val="20"/>
              </w:rPr>
              <w:t>Capacidad de Regasificación</w:t>
            </w:r>
          </w:p>
        </w:tc>
        <w:tc>
          <w:tcPr>
            <w:tcW w:w="3969" w:type="dxa"/>
            <w:tcBorders>
              <w:top w:val="dotted" w:sz="4" w:space="0" w:color="auto"/>
              <w:bottom w:val="dotted" w:sz="4" w:space="0" w:color="auto"/>
            </w:tcBorders>
            <w:vAlign w:val="center"/>
          </w:tcPr>
          <w:p w14:paraId="6997CEEC" w14:textId="77777777" w:rsidR="00914134" w:rsidRPr="00A4545D" w:rsidRDefault="00914134" w:rsidP="0024531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545D">
              <w:rPr>
                <w:rFonts w:ascii="Arial" w:hAnsi="Arial" w:cs="Arial"/>
                <w:sz w:val="20"/>
                <w:szCs w:val="20"/>
              </w:rPr>
              <w:t>400 MPCD</w:t>
            </w:r>
          </w:p>
        </w:tc>
      </w:tr>
      <w:tr w:rsidR="00914134" w14:paraId="77B17992" w14:textId="77777777" w:rsidTr="003E788A">
        <w:trPr>
          <w:trHeight w:val="454"/>
          <w:jc w:val="center"/>
        </w:trPr>
        <w:tc>
          <w:tcPr>
            <w:cnfStyle w:val="001000000000" w:firstRow="0" w:lastRow="0" w:firstColumn="1" w:lastColumn="0" w:oddVBand="0" w:evenVBand="0" w:oddHBand="0" w:evenHBand="0" w:firstRowFirstColumn="0" w:firstRowLastColumn="0" w:lastRowFirstColumn="0" w:lastRowLastColumn="0"/>
            <w:tcW w:w="3969" w:type="dxa"/>
            <w:tcBorders>
              <w:top w:val="dotted" w:sz="4" w:space="0" w:color="auto"/>
              <w:bottom w:val="dotted" w:sz="4" w:space="0" w:color="auto"/>
            </w:tcBorders>
            <w:vAlign w:val="center"/>
          </w:tcPr>
          <w:p w14:paraId="54C0A7EA" w14:textId="77777777" w:rsidR="00914134" w:rsidRPr="00A4545D" w:rsidRDefault="00914134" w:rsidP="0024531A">
            <w:pPr>
              <w:spacing w:line="276" w:lineRule="auto"/>
              <w:rPr>
                <w:rFonts w:ascii="Arial" w:hAnsi="Arial" w:cs="Arial"/>
                <w:b w:val="0"/>
                <w:bCs w:val="0"/>
                <w:sz w:val="20"/>
                <w:szCs w:val="20"/>
              </w:rPr>
            </w:pPr>
            <w:r w:rsidRPr="00A4545D">
              <w:rPr>
                <w:rFonts w:ascii="Arial" w:hAnsi="Arial" w:cs="Arial"/>
                <w:b w:val="0"/>
                <w:bCs w:val="0"/>
                <w:sz w:val="20"/>
                <w:szCs w:val="20"/>
              </w:rPr>
              <w:t>Velocidad</w:t>
            </w:r>
          </w:p>
        </w:tc>
        <w:tc>
          <w:tcPr>
            <w:tcW w:w="3969" w:type="dxa"/>
            <w:tcBorders>
              <w:top w:val="dotted" w:sz="4" w:space="0" w:color="auto"/>
              <w:bottom w:val="dotted" w:sz="4" w:space="0" w:color="auto"/>
            </w:tcBorders>
            <w:vAlign w:val="center"/>
          </w:tcPr>
          <w:p w14:paraId="7DF694A5" w14:textId="77777777" w:rsidR="00914134" w:rsidRPr="00A4545D" w:rsidRDefault="00914134" w:rsidP="0024531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545D">
              <w:rPr>
                <w:rFonts w:ascii="Arial" w:hAnsi="Arial" w:cs="Arial"/>
                <w:sz w:val="20"/>
                <w:szCs w:val="20"/>
              </w:rPr>
              <w:t>18 Nodos</w:t>
            </w:r>
          </w:p>
        </w:tc>
      </w:tr>
      <w:tr w:rsidR="00914134" w14:paraId="1F1131AF" w14:textId="77777777" w:rsidTr="003E788A">
        <w:trPr>
          <w:trHeight w:val="454"/>
          <w:jc w:val="center"/>
        </w:trPr>
        <w:tc>
          <w:tcPr>
            <w:cnfStyle w:val="001000000000" w:firstRow="0" w:lastRow="0" w:firstColumn="1" w:lastColumn="0" w:oddVBand="0" w:evenVBand="0" w:oddHBand="0" w:evenHBand="0" w:firstRowFirstColumn="0" w:firstRowLastColumn="0" w:lastRowFirstColumn="0" w:lastRowLastColumn="0"/>
            <w:tcW w:w="3969" w:type="dxa"/>
            <w:tcBorders>
              <w:top w:val="dotted" w:sz="4" w:space="0" w:color="auto"/>
              <w:bottom w:val="dotted" w:sz="4" w:space="0" w:color="auto"/>
            </w:tcBorders>
            <w:vAlign w:val="center"/>
          </w:tcPr>
          <w:p w14:paraId="6E91CB26" w14:textId="77777777" w:rsidR="00914134" w:rsidRPr="00A4545D" w:rsidRDefault="00914134" w:rsidP="0024531A">
            <w:pPr>
              <w:spacing w:line="276" w:lineRule="auto"/>
              <w:rPr>
                <w:rFonts w:ascii="Arial" w:hAnsi="Arial" w:cs="Arial"/>
                <w:b w:val="0"/>
                <w:bCs w:val="0"/>
                <w:sz w:val="20"/>
                <w:szCs w:val="20"/>
              </w:rPr>
            </w:pPr>
            <w:r w:rsidRPr="00A4545D">
              <w:rPr>
                <w:rFonts w:ascii="Arial" w:hAnsi="Arial" w:cs="Arial"/>
                <w:b w:val="0"/>
                <w:bCs w:val="0"/>
                <w:sz w:val="20"/>
                <w:szCs w:val="20"/>
              </w:rPr>
              <w:t>Tiempo de descargue</w:t>
            </w:r>
          </w:p>
        </w:tc>
        <w:tc>
          <w:tcPr>
            <w:tcW w:w="3969" w:type="dxa"/>
            <w:tcBorders>
              <w:top w:val="dotted" w:sz="4" w:space="0" w:color="auto"/>
              <w:bottom w:val="dotted" w:sz="4" w:space="0" w:color="auto"/>
            </w:tcBorders>
            <w:vAlign w:val="center"/>
          </w:tcPr>
          <w:p w14:paraId="6A2B6D68" w14:textId="77777777" w:rsidR="00914134" w:rsidRPr="00A4545D" w:rsidRDefault="00914134" w:rsidP="0024531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545D">
              <w:rPr>
                <w:rFonts w:ascii="Arial" w:hAnsi="Arial" w:cs="Arial"/>
                <w:sz w:val="20"/>
                <w:szCs w:val="20"/>
              </w:rPr>
              <w:t>9 días</w:t>
            </w:r>
          </w:p>
        </w:tc>
      </w:tr>
      <w:tr w:rsidR="00914134" w14:paraId="5EA74DE5" w14:textId="77777777" w:rsidTr="003E788A">
        <w:trPr>
          <w:trHeight w:val="454"/>
          <w:jc w:val="center"/>
        </w:trPr>
        <w:tc>
          <w:tcPr>
            <w:cnfStyle w:val="001000000000" w:firstRow="0" w:lastRow="0" w:firstColumn="1" w:lastColumn="0" w:oddVBand="0" w:evenVBand="0" w:oddHBand="0" w:evenHBand="0" w:firstRowFirstColumn="0" w:firstRowLastColumn="0" w:lastRowFirstColumn="0" w:lastRowLastColumn="0"/>
            <w:tcW w:w="3969" w:type="dxa"/>
            <w:tcBorders>
              <w:top w:val="dotted" w:sz="4" w:space="0" w:color="auto"/>
              <w:bottom w:val="double" w:sz="4" w:space="0" w:color="auto"/>
            </w:tcBorders>
            <w:vAlign w:val="center"/>
          </w:tcPr>
          <w:p w14:paraId="71ABC68F" w14:textId="77777777" w:rsidR="00914134" w:rsidRPr="00A4545D" w:rsidRDefault="00914134" w:rsidP="0024531A">
            <w:pPr>
              <w:spacing w:line="276" w:lineRule="auto"/>
              <w:rPr>
                <w:rFonts w:ascii="Arial" w:hAnsi="Arial" w:cs="Arial"/>
                <w:b w:val="0"/>
                <w:bCs w:val="0"/>
                <w:sz w:val="20"/>
                <w:szCs w:val="20"/>
              </w:rPr>
            </w:pPr>
            <w:r w:rsidRPr="00A4545D">
              <w:rPr>
                <w:rFonts w:ascii="Arial" w:hAnsi="Arial" w:cs="Arial"/>
                <w:b w:val="0"/>
                <w:bCs w:val="0"/>
                <w:sz w:val="20"/>
                <w:szCs w:val="20"/>
              </w:rPr>
              <w:t>Tiempo del Contrato</w:t>
            </w:r>
          </w:p>
        </w:tc>
        <w:tc>
          <w:tcPr>
            <w:tcW w:w="3969" w:type="dxa"/>
            <w:tcBorders>
              <w:top w:val="dotted" w:sz="4" w:space="0" w:color="auto"/>
              <w:bottom w:val="double" w:sz="4" w:space="0" w:color="auto"/>
            </w:tcBorders>
            <w:vAlign w:val="center"/>
          </w:tcPr>
          <w:p w14:paraId="65ED60CC" w14:textId="77777777" w:rsidR="00914134" w:rsidRPr="00A4545D" w:rsidRDefault="00914134" w:rsidP="0024531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545D">
              <w:rPr>
                <w:rFonts w:ascii="Arial" w:hAnsi="Arial" w:cs="Arial"/>
                <w:sz w:val="20"/>
                <w:szCs w:val="20"/>
              </w:rPr>
              <w:t>20 años</w:t>
            </w:r>
          </w:p>
        </w:tc>
      </w:tr>
    </w:tbl>
    <w:p w14:paraId="53643796" w14:textId="6BF83953" w:rsidR="00914134" w:rsidRPr="00F46246" w:rsidRDefault="00914134" w:rsidP="00914134">
      <w:pPr>
        <w:spacing w:line="276" w:lineRule="auto"/>
        <w:jc w:val="center"/>
        <w:rPr>
          <w:rFonts w:ascii="Arial" w:hAnsi="Arial" w:cs="Arial"/>
          <w:b/>
          <w:sz w:val="16"/>
        </w:rPr>
      </w:pPr>
      <w:r w:rsidRPr="002D0DF7">
        <w:rPr>
          <w:rFonts w:ascii="Arial" w:hAnsi="Arial" w:cs="Arial"/>
          <w:b/>
          <w:sz w:val="16"/>
        </w:rPr>
        <w:t xml:space="preserve">Fuente: </w:t>
      </w:r>
      <w:r w:rsidR="00F46246" w:rsidRPr="002D0DF7">
        <w:rPr>
          <w:rFonts w:ascii="Arial" w:hAnsi="Arial" w:cs="Arial"/>
          <w:sz w:val="16"/>
        </w:rPr>
        <w:t xml:space="preserve">HÖEGH </w:t>
      </w:r>
      <w:r w:rsidR="00F46246" w:rsidRPr="002D0DF7">
        <w:rPr>
          <w:rFonts w:ascii="Arial" w:hAnsi="Arial" w:cs="Arial"/>
          <w:sz w:val="16"/>
        </w:rPr>
        <w:fldChar w:fldCharType="begin"/>
      </w:r>
      <w:r w:rsidR="00F46246" w:rsidRPr="002D0DF7">
        <w:rPr>
          <w:rFonts w:ascii="Arial" w:hAnsi="Arial" w:cs="Arial"/>
          <w:sz w:val="16"/>
        </w:rPr>
        <w:instrText xml:space="preserve"> REF _Ref529882230 \r \h  \* MERGEFORMAT </w:instrText>
      </w:r>
      <w:r w:rsidR="00F46246" w:rsidRPr="002D0DF7">
        <w:rPr>
          <w:rFonts w:ascii="Arial" w:hAnsi="Arial" w:cs="Arial"/>
          <w:sz w:val="16"/>
        </w:rPr>
      </w:r>
      <w:r w:rsidR="00F46246" w:rsidRPr="002D0DF7">
        <w:rPr>
          <w:rFonts w:ascii="Arial" w:hAnsi="Arial" w:cs="Arial"/>
          <w:sz w:val="16"/>
        </w:rPr>
        <w:fldChar w:fldCharType="separate"/>
      </w:r>
      <w:r w:rsidR="00915705" w:rsidRPr="002D0DF7">
        <w:rPr>
          <w:rFonts w:ascii="Arial" w:hAnsi="Arial" w:cs="Arial"/>
          <w:sz w:val="16"/>
        </w:rPr>
        <w:t>[16]</w:t>
      </w:r>
      <w:r w:rsidR="00F46246" w:rsidRPr="002D0DF7">
        <w:rPr>
          <w:rFonts w:ascii="Arial" w:hAnsi="Arial" w:cs="Arial"/>
          <w:sz w:val="16"/>
        </w:rPr>
        <w:fldChar w:fldCharType="end"/>
      </w:r>
    </w:p>
    <w:p w14:paraId="46B556D3" w14:textId="64D2E6E9" w:rsidR="00914134" w:rsidRDefault="00CC699C" w:rsidP="00914134">
      <w:pPr>
        <w:spacing w:before="240" w:after="240" w:line="276" w:lineRule="auto"/>
        <w:jc w:val="both"/>
        <w:rPr>
          <w:rFonts w:ascii="Arial" w:hAnsi="Arial" w:cs="Arial"/>
          <w:sz w:val="22"/>
          <w:szCs w:val="22"/>
        </w:rPr>
      </w:pPr>
      <w:r>
        <w:rPr>
          <w:rFonts w:ascii="Arial" w:hAnsi="Arial" w:cs="Arial"/>
          <w:sz w:val="22"/>
          <w:szCs w:val="22"/>
        </w:rPr>
        <w:t>De igual forma</w:t>
      </w:r>
      <w:r w:rsidR="006C3AA1">
        <w:rPr>
          <w:rFonts w:ascii="Arial" w:hAnsi="Arial" w:cs="Arial"/>
          <w:sz w:val="22"/>
          <w:szCs w:val="22"/>
        </w:rPr>
        <w:t xml:space="preserve">, dentro de los </w:t>
      </w:r>
      <w:r w:rsidR="006C3AA1" w:rsidRPr="006C3AA1">
        <w:rPr>
          <w:rFonts w:ascii="Arial" w:hAnsi="Arial" w:cs="Arial"/>
          <w:sz w:val="22"/>
          <w:szCs w:val="22"/>
        </w:rPr>
        <w:t xml:space="preserve">proyectos adoptados por el Ministerio de Minas y Energía e identificados en el Plan Transitorio de Abastecimiento de Gas Natural </w:t>
      </w:r>
      <w:r w:rsidR="00AF131D">
        <w:rPr>
          <w:rFonts w:ascii="Arial" w:hAnsi="Arial" w:cs="Arial"/>
          <w:sz w:val="22"/>
          <w:szCs w:val="22"/>
        </w:rPr>
        <w:t xml:space="preserve">se considera la entrada de una </w:t>
      </w:r>
      <w:r w:rsidR="006C3AA1">
        <w:rPr>
          <w:rFonts w:ascii="Arial" w:hAnsi="Arial" w:cs="Arial"/>
          <w:sz w:val="22"/>
          <w:szCs w:val="22"/>
        </w:rPr>
        <w:t>nueva planta de regasificación ubicada en el pacifico colombiano</w:t>
      </w:r>
      <w:r w:rsidR="00AF131D">
        <w:rPr>
          <w:rFonts w:ascii="Arial" w:hAnsi="Arial" w:cs="Arial"/>
          <w:sz w:val="22"/>
          <w:szCs w:val="22"/>
        </w:rPr>
        <w:t xml:space="preserve">. </w:t>
      </w:r>
      <w:r w:rsidR="00252AAD">
        <w:rPr>
          <w:rFonts w:ascii="Arial" w:hAnsi="Arial" w:cs="Arial"/>
          <w:sz w:val="22"/>
          <w:szCs w:val="22"/>
        </w:rPr>
        <w:t xml:space="preserve">Así pues y en </w:t>
      </w:r>
      <w:r w:rsidR="006C3AA1">
        <w:rPr>
          <w:rFonts w:ascii="Arial" w:hAnsi="Arial" w:cs="Arial"/>
          <w:sz w:val="22"/>
          <w:szCs w:val="22"/>
        </w:rPr>
        <w:t xml:space="preserve">cumplimento de los </w:t>
      </w:r>
      <w:r w:rsidR="006C3AA1" w:rsidRPr="006C3AA1">
        <w:rPr>
          <w:rFonts w:ascii="Arial" w:hAnsi="Arial" w:cs="Arial"/>
          <w:sz w:val="22"/>
          <w:szCs w:val="22"/>
        </w:rPr>
        <w:t xml:space="preserve">establecido en el Decreto 2345 de 2015, la UPME se encuentra </w:t>
      </w:r>
      <w:r w:rsidR="006C3AA1">
        <w:rPr>
          <w:rFonts w:ascii="Arial" w:hAnsi="Arial" w:cs="Arial"/>
          <w:sz w:val="22"/>
          <w:szCs w:val="22"/>
        </w:rPr>
        <w:t xml:space="preserve">actualmente </w:t>
      </w:r>
      <w:r w:rsidR="006C3AA1" w:rsidRPr="006C3AA1">
        <w:rPr>
          <w:rFonts w:ascii="Arial" w:hAnsi="Arial" w:cs="Arial"/>
          <w:sz w:val="22"/>
          <w:szCs w:val="22"/>
        </w:rPr>
        <w:t xml:space="preserve">en proceso de estructuración de la convocatoria para seleccionar el adjudicatario que diseñe, construya, opere y administre la Planta de Regasificación del Pacífico y el </w:t>
      </w:r>
      <w:r w:rsidR="006C3AA1">
        <w:rPr>
          <w:rFonts w:ascii="Arial" w:hAnsi="Arial" w:cs="Arial"/>
          <w:sz w:val="22"/>
          <w:szCs w:val="22"/>
        </w:rPr>
        <w:t>Gasoducto Buenaventura – Yumbo</w:t>
      </w:r>
      <w:r w:rsidR="00AF131D">
        <w:rPr>
          <w:rFonts w:ascii="Arial" w:hAnsi="Arial" w:cs="Arial"/>
          <w:sz w:val="22"/>
          <w:szCs w:val="22"/>
        </w:rPr>
        <w:t xml:space="preserve">, </w:t>
      </w:r>
      <w:r w:rsidR="006C3AA1">
        <w:rPr>
          <w:rFonts w:ascii="Arial" w:hAnsi="Arial" w:cs="Arial"/>
          <w:sz w:val="22"/>
          <w:szCs w:val="22"/>
        </w:rPr>
        <w:t xml:space="preserve"> </w:t>
      </w:r>
      <w:r w:rsidR="00252AAD">
        <w:rPr>
          <w:rFonts w:ascii="Arial" w:hAnsi="Arial" w:cs="Arial"/>
          <w:sz w:val="22"/>
          <w:szCs w:val="22"/>
        </w:rPr>
        <w:t>la cual prestará</w:t>
      </w:r>
      <w:r w:rsidR="00914134">
        <w:rPr>
          <w:rFonts w:ascii="Arial" w:hAnsi="Arial" w:cs="Arial"/>
          <w:sz w:val="22"/>
          <w:szCs w:val="22"/>
        </w:rPr>
        <w:t xml:space="preserve"> servicios de d</w:t>
      </w:r>
      <w:r w:rsidR="00914134" w:rsidRPr="00AF632F">
        <w:rPr>
          <w:rFonts w:ascii="Arial" w:hAnsi="Arial" w:cs="Arial"/>
          <w:sz w:val="22"/>
          <w:szCs w:val="22"/>
        </w:rPr>
        <w:t>escargue y reci</w:t>
      </w:r>
      <w:r w:rsidR="00914134">
        <w:rPr>
          <w:rFonts w:ascii="Arial" w:hAnsi="Arial" w:cs="Arial"/>
          <w:sz w:val="22"/>
          <w:szCs w:val="22"/>
        </w:rPr>
        <w:t>bo de gas licuado,</w:t>
      </w:r>
      <w:r w:rsidR="00914134" w:rsidRPr="00AF632F">
        <w:rPr>
          <w:rFonts w:ascii="Arial" w:hAnsi="Arial" w:cs="Arial"/>
          <w:sz w:val="22"/>
          <w:szCs w:val="22"/>
        </w:rPr>
        <w:t xml:space="preserve"> alma</w:t>
      </w:r>
      <w:r w:rsidR="00914134">
        <w:rPr>
          <w:rFonts w:ascii="Arial" w:hAnsi="Arial" w:cs="Arial"/>
          <w:sz w:val="22"/>
          <w:szCs w:val="22"/>
        </w:rPr>
        <w:t>cenamiento de gas licuado,</w:t>
      </w:r>
      <w:r w:rsidR="00914134" w:rsidRPr="00AF632F">
        <w:rPr>
          <w:rFonts w:ascii="Arial" w:hAnsi="Arial" w:cs="Arial"/>
          <w:sz w:val="22"/>
          <w:szCs w:val="22"/>
        </w:rPr>
        <w:t xml:space="preserve"> carga de cister</w:t>
      </w:r>
      <w:r w:rsidR="00914134">
        <w:rPr>
          <w:rFonts w:ascii="Arial" w:hAnsi="Arial" w:cs="Arial"/>
          <w:sz w:val="22"/>
          <w:szCs w:val="22"/>
        </w:rPr>
        <w:t xml:space="preserve">nas de gas natural licuado, </w:t>
      </w:r>
      <w:r w:rsidR="00914134" w:rsidRPr="00AF632F">
        <w:rPr>
          <w:rFonts w:ascii="Arial" w:hAnsi="Arial" w:cs="Arial"/>
          <w:sz w:val="22"/>
          <w:szCs w:val="22"/>
        </w:rPr>
        <w:t>trasvase de gas natural licuado a buques metaneros y puesta en frio</w:t>
      </w:r>
      <w:r w:rsidR="00AF131D">
        <w:rPr>
          <w:rFonts w:ascii="Arial" w:hAnsi="Arial" w:cs="Arial"/>
          <w:sz w:val="22"/>
          <w:szCs w:val="22"/>
        </w:rPr>
        <w:t>. A</w:t>
      </w:r>
      <w:r w:rsidR="00914134">
        <w:rPr>
          <w:rFonts w:ascii="Arial" w:hAnsi="Arial" w:cs="Arial"/>
          <w:sz w:val="22"/>
          <w:szCs w:val="22"/>
        </w:rPr>
        <w:t xml:space="preserve"> continuación se presentan las especificaciones técnicas del proyecto: </w:t>
      </w:r>
    </w:p>
    <w:p w14:paraId="35D0B49E" w14:textId="77777777" w:rsidR="00914134" w:rsidRPr="00A4545D" w:rsidRDefault="00914134" w:rsidP="00914134">
      <w:pPr>
        <w:pStyle w:val="Descripcin"/>
        <w:spacing w:after="0"/>
        <w:jc w:val="center"/>
        <w:rPr>
          <w:rFonts w:eastAsiaTheme="minorHAnsi" w:cs="Arial"/>
          <w:i w:val="0"/>
          <w:iCs w:val="0"/>
          <w:color w:val="auto"/>
          <w:sz w:val="20"/>
          <w:szCs w:val="22"/>
          <w:lang w:val="es-ES_tradnl" w:eastAsia="en-US"/>
        </w:rPr>
      </w:pPr>
      <w:bookmarkStart w:id="192" w:name="_Toc529889747"/>
      <w:r w:rsidRPr="00A4545D">
        <w:rPr>
          <w:rFonts w:eastAsiaTheme="minorHAnsi" w:cs="Arial"/>
          <w:b/>
          <w:i w:val="0"/>
          <w:iCs w:val="0"/>
          <w:color w:val="auto"/>
          <w:sz w:val="20"/>
          <w:szCs w:val="22"/>
          <w:highlight w:val="yellow"/>
          <w:lang w:val="es-ES_tradnl" w:eastAsia="en-US"/>
        </w:rPr>
        <w:t xml:space="preserve">Tabla </w:t>
      </w:r>
      <w:r>
        <w:rPr>
          <w:rFonts w:eastAsiaTheme="minorHAnsi" w:cs="Arial"/>
          <w:b/>
          <w:i w:val="0"/>
          <w:iCs w:val="0"/>
          <w:color w:val="auto"/>
          <w:sz w:val="20"/>
          <w:szCs w:val="22"/>
          <w:highlight w:val="yellow"/>
          <w:lang w:val="es-ES_tradnl" w:eastAsia="en-US"/>
        </w:rPr>
        <w:fldChar w:fldCharType="begin"/>
      </w:r>
      <w:r>
        <w:rPr>
          <w:rFonts w:eastAsiaTheme="minorHAnsi" w:cs="Arial"/>
          <w:b/>
          <w:i w:val="0"/>
          <w:iCs w:val="0"/>
          <w:color w:val="auto"/>
          <w:sz w:val="20"/>
          <w:szCs w:val="22"/>
          <w:highlight w:val="yellow"/>
          <w:lang w:val="es-ES_tradnl" w:eastAsia="en-US"/>
        </w:rPr>
        <w:instrText xml:space="preserve"> STYLEREF 1 \s </w:instrText>
      </w:r>
      <w:r>
        <w:rPr>
          <w:rFonts w:eastAsiaTheme="minorHAnsi" w:cs="Arial"/>
          <w:b/>
          <w:i w:val="0"/>
          <w:iCs w:val="0"/>
          <w:color w:val="auto"/>
          <w:sz w:val="20"/>
          <w:szCs w:val="22"/>
          <w:highlight w:val="yellow"/>
          <w:lang w:val="es-ES_tradnl" w:eastAsia="en-US"/>
        </w:rPr>
        <w:fldChar w:fldCharType="separate"/>
      </w:r>
      <w:r w:rsidR="00915705">
        <w:rPr>
          <w:rFonts w:eastAsiaTheme="minorHAnsi" w:cs="Arial"/>
          <w:b/>
          <w:i w:val="0"/>
          <w:iCs w:val="0"/>
          <w:noProof/>
          <w:color w:val="auto"/>
          <w:sz w:val="20"/>
          <w:szCs w:val="22"/>
          <w:highlight w:val="yellow"/>
          <w:lang w:val="es-ES_tradnl" w:eastAsia="en-US"/>
        </w:rPr>
        <w:t>3</w:t>
      </w:r>
      <w:r>
        <w:rPr>
          <w:rFonts w:eastAsiaTheme="minorHAnsi" w:cs="Arial"/>
          <w:b/>
          <w:i w:val="0"/>
          <w:iCs w:val="0"/>
          <w:color w:val="auto"/>
          <w:sz w:val="20"/>
          <w:szCs w:val="22"/>
          <w:highlight w:val="yellow"/>
          <w:lang w:val="es-ES_tradnl" w:eastAsia="en-US"/>
        </w:rPr>
        <w:fldChar w:fldCharType="end"/>
      </w:r>
      <w:r>
        <w:rPr>
          <w:rFonts w:eastAsiaTheme="minorHAnsi" w:cs="Arial"/>
          <w:b/>
          <w:i w:val="0"/>
          <w:iCs w:val="0"/>
          <w:color w:val="auto"/>
          <w:sz w:val="20"/>
          <w:szCs w:val="22"/>
          <w:highlight w:val="yellow"/>
          <w:lang w:val="es-ES_tradnl" w:eastAsia="en-US"/>
        </w:rPr>
        <w:noBreakHyphen/>
      </w:r>
      <w:r>
        <w:rPr>
          <w:rFonts w:eastAsiaTheme="minorHAnsi" w:cs="Arial"/>
          <w:b/>
          <w:i w:val="0"/>
          <w:iCs w:val="0"/>
          <w:color w:val="auto"/>
          <w:sz w:val="20"/>
          <w:szCs w:val="22"/>
          <w:highlight w:val="yellow"/>
          <w:lang w:val="es-ES_tradnl" w:eastAsia="en-US"/>
        </w:rPr>
        <w:fldChar w:fldCharType="begin"/>
      </w:r>
      <w:r>
        <w:rPr>
          <w:rFonts w:eastAsiaTheme="minorHAnsi" w:cs="Arial"/>
          <w:b/>
          <w:i w:val="0"/>
          <w:iCs w:val="0"/>
          <w:color w:val="auto"/>
          <w:sz w:val="20"/>
          <w:szCs w:val="22"/>
          <w:highlight w:val="yellow"/>
          <w:lang w:val="es-ES_tradnl" w:eastAsia="en-US"/>
        </w:rPr>
        <w:instrText xml:space="preserve"> SEQ Tabla \* ARABIC \s 1 </w:instrText>
      </w:r>
      <w:r>
        <w:rPr>
          <w:rFonts w:eastAsiaTheme="minorHAnsi" w:cs="Arial"/>
          <w:b/>
          <w:i w:val="0"/>
          <w:iCs w:val="0"/>
          <w:color w:val="auto"/>
          <w:sz w:val="20"/>
          <w:szCs w:val="22"/>
          <w:highlight w:val="yellow"/>
          <w:lang w:val="es-ES_tradnl" w:eastAsia="en-US"/>
        </w:rPr>
        <w:fldChar w:fldCharType="separate"/>
      </w:r>
      <w:r w:rsidR="00915705">
        <w:rPr>
          <w:rFonts w:eastAsiaTheme="minorHAnsi" w:cs="Arial"/>
          <w:b/>
          <w:i w:val="0"/>
          <w:iCs w:val="0"/>
          <w:noProof/>
          <w:color w:val="auto"/>
          <w:sz w:val="20"/>
          <w:szCs w:val="22"/>
          <w:highlight w:val="yellow"/>
          <w:lang w:val="es-ES_tradnl" w:eastAsia="en-US"/>
        </w:rPr>
        <w:t>3</w:t>
      </w:r>
      <w:r>
        <w:rPr>
          <w:rFonts w:eastAsiaTheme="minorHAnsi" w:cs="Arial"/>
          <w:b/>
          <w:i w:val="0"/>
          <w:iCs w:val="0"/>
          <w:color w:val="auto"/>
          <w:sz w:val="20"/>
          <w:szCs w:val="22"/>
          <w:highlight w:val="yellow"/>
          <w:lang w:val="es-ES_tradnl" w:eastAsia="en-US"/>
        </w:rPr>
        <w:fldChar w:fldCharType="end"/>
      </w:r>
      <w:r w:rsidRPr="00A4545D">
        <w:rPr>
          <w:rFonts w:eastAsiaTheme="minorHAnsi" w:cs="Arial"/>
          <w:i w:val="0"/>
          <w:iCs w:val="0"/>
          <w:color w:val="auto"/>
          <w:sz w:val="20"/>
          <w:szCs w:val="22"/>
          <w:lang w:val="es-ES_tradnl" w:eastAsia="en-US"/>
        </w:rPr>
        <w:t>: Especificaciones del proyecto planta de regasificación del pacífico colombiano</w:t>
      </w:r>
      <w:bookmarkEnd w:id="192"/>
    </w:p>
    <w:tbl>
      <w:tblPr>
        <w:tblStyle w:val="Tabladecuadrcula1clar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969"/>
      </w:tblGrid>
      <w:tr w:rsidR="00914134" w14:paraId="0690848A" w14:textId="77777777" w:rsidTr="0024531A">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7937" w:type="dxa"/>
            <w:gridSpan w:val="2"/>
            <w:tcBorders>
              <w:top w:val="single" w:sz="4" w:space="0" w:color="auto"/>
              <w:bottom w:val="single" w:sz="4" w:space="0" w:color="auto"/>
            </w:tcBorders>
            <w:vAlign w:val="center"/>
          </w:tcPr>
          <w:p w14:paraId="22ADF4AE" w14:textId="77777777" w:rsidR="00914134" w:rsidRPr="00AD39C7" w:rsidRDefault="00914134" w:rsidP="0024531A">
            <w:pPr>
              <w:spacing w:line="276" w:lineRule="auto"/>
              <w:jc w:val="center"/>
              <w:rPr>
                <w:rFonts w:ascii="Arial" w:hAnsi="Arial" w:cs="Arial"/>
                <w:sz w:val="20"/>
                <w:szCs w:val="20"/>
              </w:rPr>
            </w:pPr>
            <w:r w:rsidRPr="002D0DF7">
              <w:rPr>
                <w:rFonts w:ascii="Arial" w:hAnsi="Arial" w:cs="Arial"/>
                <w:sz w:val="20"/>
                <w:szCs w:val="20"/>
              </w:rPr>
              <w:t>PLANTA DE REGASIFICACIÓN DEL PACÍFICO</w:t>
            </w:r>
          </w:p>
        </w:tc>
      </w:tr>
      <w:tr w:rsidR="00914134" w14:paraId="6B40E724" w14:textId="77777777" w:rsidTr="003E788A">
        <w:trPr>
          <w:trHeight w:val="454"/>
          <w:jc w:val="center"/>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bottom w:val="dotted" w:sz="4" w:space="0" w:color="auto"/>
            </w:tcBorders>
            <w:vAlign w:val="center"/>
          </w:tcPr>
          <w:p w14:paraId="713966FD" w14:textId="77777777" w:rsidR="00914134" w:rsidRPr="00AD39C7" w:rsidRDefault="00914134" w:rsidP="0024531A">
            <w:pPr>
              <w:spacing w:line="276" w:lineRule="auto"/>
              <w:rPr>
                <w:rFonts w:ascii="Arial" w:hAnsi="Arial" w:cs="Arial"/>
                <w:b w:val="0"/>
                <w:bCs w:val="0"/>
                <w:sz w:val="20"/>
                <w:szCs w:val="20"/>
              </w:rPr>
            </w:pPr>
            <w:r w:rsidRPr="00AD39C7">
              <w:rPr>
                <w:rFonts w:ascii="Arial" w:hAnsi="Arial" w:cs="Arial"/>
                <w:b w:val="0"/>
                <w:bCs w:val="0"/>
                <w:sz w:val="20"/>
                <w:szCs w:val="20"/>
              </w:rPr>
              <w:t xml:space="preserve">Ubicación </w:t>
            </w:r>
          </w:p>
        </w:tc>
        <w:tc>
          <w:tcPr>
            <w:tcW w:w="3969" w:type="dxa"/>
            <w:tcBorders>
              <w:top w:val="single" w:sz="4" w:space="0" w:color="auto"/>
              <w:bottom w:val="dotted" w:sz="4" w:space="0" w:color="auto"/>
            </w:tcBorders>
            <w:vAlign w:val="center"/>
          </w:tcPr>
          <w:p w14:paraId="4230F557" w14:textId="77777777" w:rsidR="00914134" w:rsidRPr="00AD39C7" w:rsidRDefault="00914134" w:rsidP="0024531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D39C7">
              <w:rPr>
                <w:rFonts w:ascii="Arial" w:hAnsi="Arial" w:cs="Arial"/>
                <w:sz w:val="20"/>
                <w:szCs w:val="20"/>
              </w:rPr>
              <w:t>Bahía de Buenaventura</w:t>
            </w:r>
          </w:p>
        </w:tc>
      </w:tr>
      <w:tr w:rsidR="00914134" w14:paraId="39A1C8DE" w14:textId="77777777" w:rsidTr="003E788A">
        <w:trPr>
          <w:trHeight w:val="454"/>
          <w:jc w:val="center"/>
        </w:trPr>
        <w:tc>
          <w:tcPr>
            <w:cnfStyle w:val="001000000000" w:firstRow="0" w:lastRow="0" w:firstColumn="1" w:lastColumn="0" w:oddVBand="0" w:evenVBand="0" w:oddHBand="0" w:evenHBand="0" w:firstRowFirstColumn="0" w:firstRowLastColumn="0" w:lastRowFirstColumn="0" w:lastRowLastColumn="0"/>
            <w:tcW w:w="3969" w:type="dxa"/>
            <w:tcBorders>
              <w:top w:val="dotted" w:sz="4" w:space="0" w:color="auto"/>
              <w:bottom w:val="dotted" w:sz="4" w:space="0" w:color="auto"/>
            </w:tcBorders>
            <w:vAlign w:val="center"/>
          </w:tcPr>
          <w:p w14:paraId="33F0366E" w14:textId="77777777" w:rsidR="00914134" w:rsidRPr="00AD39C7" w:rsidRDefault="00914134" w:rsidP="0024531A">
            <w:pPr>
              <w:spacing w:line="276" w:lineRule="auto"/>
              <w:rPr>
                <w:rFonts w:ascii="Arial" w:hAnsi="Arial" w:cs="Arial"/>
                <w:b w:val="0"/>
                <w:bCs w:val="0"/>
                <w:sz w:val="20"/>
                <w:szCs w:val="20"/>
              </w:rPr>
            </w:pPr>
            <w:r w:rsidRPr="00AD39C7">
              <w:rPr>
                <w:rFonts w:ascii="Arial" w:hAnsi="Arial" w:cs="Arial"/>
                <w:b w:val="0"/>
                <w:bCs w:val="0"/>
                <w:sz w:val="20"/>
                <w:szCs w:val="20"/>
              </w:rPr>
              <w:t xml:space="preserve">Tecnología </w:t>
            </w:r>
          </w:p>
        </w:tc>
        <w:tc>
          <w:tcPr>
            <w:tcW w:w="3969" w:type="dxa"/>
            <w:tcBorders>
              <w:top w:val="dotted" w:sz="4" w:space="0" w:color="auto"/>
              <w:bottom w:val="dotted" w:sz="4" w:space="0" w:color="auto"/>
            </w:tcBorders>
            <w:vAlign w:val="center"/>
          </w:tcPr>
          <w:p w14:paraId="2164F899" w14:textId="77777777" w:rsidR="00914134" w:rsidRPr="00AD39C7" w:rsidRDefault="00914134" w:rsidP="0024531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D39C7">
              <w:rPr>
                <w:rFonts w:ascii="Arial" w:hAnsi="Arial" w:cs="Arial"/>
                <w:sz w:val="20"/>
                <w:szCs w:val="20"/>
              </w:rPr>
              <w:t>Abierta</w:t>
            </w:r>
          </w:p>
        </w:tc>
      </w:tr>
      <w:tr w:rsidR="00914134" w14:paraId="422CABAD" w14:textId="77777777" w:rsidTr="003E788A">
        <w:trPr>
          <w:trHeight w:val="454"/>
          <w:jc w:val="center"/>
        </w:trPr>
        <w:tc>
          <w:tcPr>
            <w:cnfStyle w:val="001000000000" w:firstRow="0" w:lastRow="0" w:firstColumn="1" w:lastColumn="0" w:oddVBand="0" w:evenVBand="0" w:oddHBand="0" w:evenHBand="0" w:firstRowFirstColumn="0" w:firstRowLastColumn="0" w:lastRowFirstColumn="0" w:lastRowLastColumn="0"/>
            <w:tcW w:w="3969" w:type="dxa"/>
            <w:tcBorders>
              <w:top w:val="dotted" w:sz="4" w:space="0" w:color="auto"/>
              <w:bottom w:val="dotted" w:sz="4" w:space="0" w:color="auto"/>
            </w:tcBorders>
            <w:vAlign w:val="center"/>
          </w:tcPr>
          <w:p w14:paraId="0EA3CAD6" w14:textId="77777777" w:rsidR="00914134" w:rsidRPr="00AD39C7" w:rsidRDefault="00914134" w:rsidP="0024531A">
            <w:pPr>
              <w:spacing w:line="276" w:lineRule="auto"/>
              <w:rPr>
                <w:rFonts w:ascii="Arial" w:hAnsi="Arial" w:cs="Arial"/>
                <w:b w:val="0"/>
                <w:bCs w:val="0"/>
                <w:sz w:val="20"/>
                <w:szCs w:val="20"/>
              </w:rPr>
            </w:pPr>
            <w:r w:rsidRPr="00AD39C7">
              <w:rPr>
                <w:rFonts w:ascii="Arial" w:hAnsi="Arial" w:cs="Arial"/>
                <w:b w:val="0"/>
                <w:bCs w:val="0"/>
                <w:sz w:val="20"/>
                <w:szCs w:val="20"/>
              </w:rPr>
              <w:t>Constructor</w:t>
            </w:r>
          </w:p>
        </w:tc>
        <w:tc>
          <w:tcPr>
            <w:tcW w:w="3969" w:type="dxa"/>
            <w:tcBorders>
              <w:top w:val="dotted" w:sz="4" w:space="0" w:color="auto"/>
              <w:bottom w:val="dotted" w:sz="4" w:space="0" w:color="auto"/>
            </w:tcBorders>
            <w:vAlign w:val="center"/>
          </w:tcPr>
          <w:p w14:paraId="3CA93395" w14:textId="77777777" w:rsidR="00914134" w:rsidRPr="00AD39C7" w:rsidRDefault="00914134" w:rsidP="0024531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D39C7">
              <w:rPr>
                <w:rFonts w:ascii="Arial" w:hAnsi="Arial" w:cs="Arial"/>
                <w:sz w:val="20"/>
                <w:szCs w:val="20"/>
              </w:rPr>
              <w:t>En proceso de selección</w:t>
            </w:r>
            <w:r w:rsidRPr="00AD39C7">
              <w:rPr>
                <w:rStyle w:val="Refdenotaalpie"/>
                <w:rFonts w:ascii="Arial" w:hAnsi="Arial" w:cs="Arial"/>
                <w:sz w:val="20"/>
                <w:szCs w:val="20"/>
              </w:rPr>
              <w:footnoteReference w:id="4"/>
            </w:r>
          </w:p>
        </w:tc>
      </w:tr>
      <w:tr w:rsidR="00914134" w14:paraId="3DDFAB4D" w14:textId="77777777" w:rsidTr="003E788A">
        <w:trPr>
          <w:trHeight w:val="454"/>
          <w:jc w:val="center"/>
        </w:trPr>
        <w:tc>
          <w:tcPr>
            <w:cnfStyle w:val="001000000000" w:firstRow="0" w:lastRow="0" w:firstColumn="1" w:lastColumn="0" w:oddVBand="0" w:evenVBand="0" w:oddHBand="0" w:evenHBand="0" w:firstRowFirstColumn="0" w:firstRowLastColumn="0" w:lastRowFirstColumn="0" w:lastRowLastColumn="0"/>
            <w:tcW w:w="3969" w:type="dxa"/>
            <w:tcBorders>
              <w:top w:val="dotted" w:sz="4" w:space="0" w:color="auto"/>
              <w:bottom w:val="dotted" w:sz="4" w:space="0" w:color="auto"/>
            </w:tcBorders>
            <w:vAlign w:val="center"/>
          </w:tcPr>
          <w:p w14:paraId="46C2EFCD" w14:textId="77777777" w:rsidR="00914134" w:rsidRPr="00AD39C7" w:rsidRDefault="00914134" w:rsidP="0024531A">
            <w:pPr>
              <w:spacing w:line="276" w:lineRule="auto"/>
              <w:rPr>
                <w:rFonts w:ascii="Arial" w:hAnsi="Arial" w:cs="Arial"/>
                <w:b w:val="0"/>
                <w:bCs w:val="0"/>
                <w:sz w:val="20"/>
                <w:szCs w:val="20"/>
              </w:rPr>
            </w:pPr>
            <w:r w:rsidRPr="00AD39C7">
              <w:rPr>
                <w:rFonts w:ascii="Arial" w:hAnsi="Arial" w:cs="Arial"/>
                <w:b w:val="0"/>
                <w:bCs w:val="0"/>
                <w:sz w:val="20"/>
                <w:szCs w:val="20"/>
              </w:rPr>
              <w:t>Capacidad de Carga</w:t>
            </w:r>
          </w:p>
        </w:tc>
        <w:tc>
          <w:tcPr>
            <w:tcW w:w="3969" w:type="dxa"/>
            <w:tcBorders>
              <w:top w:val="dotted" w:sz="4" w:space="0" w:color="auto"/>
              <w:bottom w:val="dotted" w:sz="4" w:space="0" w:color="auto"/>
            </w:tcBorders>
            <w:vAlign w:val="center"/>
          </w:tcPr>
          <w:p w14:paraId="3F767127" w14:textId="77777777" w:rsidR="00914134" w:rsidRPr="00AD39C7" w:rsidRDefault="00914134" w:rsidP="0024531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D39C7">
              <w:rPr>
                <w:rFonts w:ascii="Arial" w:hAnsi="Arial" w:cs="Arial"/>
                <w:sz w:val="20"/>
                <w:szCs w:val="20"/>
              </w:rPr>
              <w:t>170.000 m</w:t>
            </w:r>
            <w:r w:rsidRPr="00AD39C7">
              <w:rPr>
                <w:rFonts w:ascii="Arial" w:hAnsi="Arial" w:cs="Arial"/>
                <w:sz w:val="20"/>
                <w:szCs w:val="20"/>
                <w:vertAlign w:val="superscript"/>
              </w:rPr>
              <w:t>3</w:t>
            </w:r>
            <w:r w:rsidRPr="00AD39C7">
              <w:rPr>
                <w:rFonts w:ascii="Arial" w:hAnsi="Arial" w:cs="Arial"/>
                <w:sz w:val="20"/>
                <w:szCs w:val="20"/>
              </w:rPr>
              <w:t xml:space="preserve"> de GNL</w:t>
            </w:r>
          </w:p>
        </w:tc>
      </w:tr>
      <w:tr w:rsidR="00914134" w14:paraId="7C05214F" w14:textId="77777777" w:rsidTr="003E788A">
        <w:trPr>
          <w:trHeight w:val="454"/>
          <w:jc w:val="center"/>
        </w:trPr>
        <w:tc>
          <w:tcPr>
            <w:cnfStyle w:val="001000000000" w:firstRow="0" w:lastRow="0" w:firstColumn="1" w:lastColumn="0" w:oddVBand="0" w:evenVBand="0" w:oddHBand="0" w:evenHBand="0" w:firstRowFirstColumn="0" w:firstRowLastColumn="0" w:lastRowFirstColumn="0" w:lastRowLastColumn="0"/>
            <w:tcW w:w="3969" w:type="dxa"/>
            <w:tcBorders>
              <w:top w:val="dotted" w:sz="4" w:space="0" w:color="auto"/>
              <w:bottom w:val="dotted" w:sz="4" w:space="0" w:color="auto"/>
            </w:tcBorders>
            <w:vAlign w:val="center"/>
          </w:tcPr>
          <w:p w14:paraId="48BB8369" w14:textId="77777777" w:rsidR="00914134" w:rsidRPr="00AD39C7" w:rsidRDefault="00914134" w:rsidP="0024531A">
            <w:pPr>
              <w:spacing w:line="276" w:lineRule="auto"/>
              <w:rPr>
                <w:rFonts w:ascii="Arial" w:hAnsi="Arial" w:cs="Arial"/>
                <w:b w:val="0"/>
                <w:bCs w:val="0"/>
                <w:sz w:val="20"/>
                <w:szCs w:val="20"/>
              </w:rPr>
            </w:pPr>
            <w:r w:rsidRPr="00AD39C7">
              <w:rPr>
                <w:rFonts w:ascii="Arial" w:hAnsi="Arial" w:cs="Arial"/>
                <w:b w:val="0"/>
                <w:bCs w:val="0"/>
                <w:sz w:val="20"/>
                <w:szCs w:val="20"/>
              </w:rPr>
              <w:t>Capacidad de Regasificación</w:t>
            </w:r>
          </w:p>
        </w:tc>
        <w:tc>
          <w:tcPr>
            <w:tcW w:w="3969" w:type="dxa"/>
            <w:tcBorders>
              <w:top w:val="dotted" w:sz="4" w:space="0" w:color="auto"/>
              <w:bottom w:val="dotted" w:sz="4" w:space="0" w:color="auto"/>
            </w:tcBorders>
            <w:vAlign w:val="center"/>
          </w:tcPr>
          <w:p w14:paraId="5CAD3633" w14:textId="77777777" w:rsidR="00914134" w:rsidRPr="00AD39C7" w:rsidRDefault="00914134" w:rsidP="0024531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D39C7">
              <w:rPr>
                <w:rFonts w:ascii="Arial" w:hAnsi="Arial" w:cs="Arial"/>
                <w:sz w:val="20"/>
                <w:szCs w:val="20"/>
              </w:rPr>
              <w:t>400 MPCD</w:t>
            </w:r>
          </w:p>
        </w:tc>
      </w:tr>
      <w:tr w:rsidR="00914134" w14:paraId="6396E6E4" w14:textId="77777777" w:rsidTr="003E788A">
        <w:trPr>
          <w:trHeight w:val="454"/>
          <w:jc w:val="center"/>
        </w:trPr>
        <w:tc>
          <w:tcPr>
            <w:cnfStyle w:val="001000000000" w:firstRow="0" w:lastRow="0" w:firstColumn="1" w:lastColumn="0" w:oddVBand="0" w:evenVBand="0" w:oddHBand="0" w:evenHBand="0" w:firstRowFirstColumn="0" w:firstRowLastColumn="0" w:lastRowFirstColumn="0" w:lastRowLastColumn="0"/>
            <w:tcW w:w="3969" w:type="dxa"/>
            <w:tcBorders>
              <w:top w:val="dotted" w:sz="4" w:space="0" w:color="auto"/>
              <w:bottom w:val="double" w:sz="4" w:space="0" w:color="auto"/>
            </w:tcBorders>
            <w:vAlign w:val="center"/>
          </w:tcPr>
          <w:p w14:paraId="6BDBCB48" w14:textId="77777777" w:rsidR="00914134" w:rsidRPr="00AD39C7" w:rsidRDefault="00914134" w:rsidP="0024531A">
            <w:pPr>
              <w:spacing w:line="276" w:lineRule="auto"/>
              <w:rPr>
                <w:rFonts w:ascii="Arial" w:hAnsi="Arial" w:cs="Arial"/>
                <w:b w:val="0"/>
                <w:bCs w:val="0"/>
                <w:sz w:val="20"/>
                <w:szCs w:val="20"/>
              </w:rPr>
            </w:pPr>
            <w:r w:rsidRPr="00AD39C7">
              <w:rPr>
                <w:rFonts w:ascii="Arial" w:hAnsi="Arial" w:cs="Arial"/>
                <w:b w:val="0"/>
                <w:bCs w:val="0"/>
                <w:sz w:val="20"/>
                <w:szCs w:val="20"/>
              </w:rPr>
              <w:t>Tiempo del Contrato</w:t>
            </w:r>
          </w:p>
        </w:tc>
        <w:tc>
          <w:tcPr>
            <w:tcW w:w="3969" w:type="dxa"/>
            <w:tcBorders>
              <w:top w:val="dotted" w:sz="4" w:space="0" w:color="auto"/>
              <w:bottom w:val="double" w:sz="4" w:space="0" w:color="auto"/>
            </w:tcBorders>
            <w:vAlign w:val="center"/>
          </w:tcPr>
          <w:p w14:paraId="6A128576" w14:textId="77777777" w:rsidR="00914134" w:rsidRPr="00AD39C7" w:rsidRDefault="00914134" w:rsidP="0024531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D39C7">
              <w:rPr>
                <w:rFonts w:ascii="Arial" w:hAnsi="Arial" w:cs="Arial"/>
                <w:sz w:val="20"/>
                <w:szCs w:val="20"/>
              </w:rPr>
              <w:t>20 años</w:t>
            </w:r>
          </w:p>
        </w:tc>
      </w:tr>
    </w:tbl>
    <w:p w14:paraId="2F24AFAA" w14:textId="77777777" w:rsidR="00914134" w:rsidRDefault="00914134" w:rsidP="00914134">
      <w:pPr>
        <w:spacing w:after="240" w:line="276" w:lineRule="auto"/>
        <w:jc w:val="center"/>
        <w:rPr>
          <w:rFonts w:ascii="Arial" w:hAnsi="Arial" w:cs="Arial"/>
          <w:sz w:val="16"/>
          <w:szCs w:val="16"/>
        </w:rPr>
      </w:pPr>
      <w:r w:rsidRPr="00AD39C7">
        <w:rPr>
          <w:rFonts w:ascii="Arial" w:hAnsi="Arial" w:cs="Arial"/>
          <w:b/>
          <w:sz w:val="16"/>
          <w:szCs w:val="16"/>
        </w:rPr>
        <w:t>Fuente:</w:t>
      </w:r>
      <w:r w:rsidRPr="00AD39C7">
        <w:rPr>
          <w:rFonts w:ascii="Arial" w:hAnsi="Arial" w:cs="Arial"/>
          <w:sz w:val="16"/>
          <w:szCs w:val="16"/>
        </w:rPr>
        <w:t xml:space="preserve"> UPME</w:t>
      </w:r>
    </w:p>
    <w:p w14:paraId="2D73E9BF" w14:textId="3B90C16E" w:rsidR="00914134" w:rsidRDefault="00CC699C" w:rsidP="00914134">
      <w:pPr>
        <w:spacing w:before="240" w:after="240" w:line="276" w:lineRule="auto"/>
        <w:jc w:val="both"/>
        <w:rPr>
          <w:rFonts w:ascii="Arial" w:hAnsi="Arial" w:cs="Arial"/>
          <w:sz w:val="22"/>
          <w:szCs w:val="22"/>
        </w:rPr>
      </w:pPr>
      <w:r>
        <w:rPr>
          <w:rFonts w:ascii="Arial" w:hAnsi="Arial" w:cs="Arial"/>
          <w:sz w:val="22"/>
          <w:szCs w:val="22"/>
        </w:rPr>
        <w:lastRenderedPageBreak/>
        <w:t xml:space="preserve">Ahora bien, en </w:t>
      </w:r>
      <w:r w:rsidR="00914134">
        <w:rPr>
          <w:rFonts w:ascii="Arial" w:hAnsi="Arial" w:cs="Arial"/>
          <w:sz w:val="22"/>
          <w:szCs w:val="22"/>
        </w:rPr>
        <w:t xml:space="preserve">el  </w:t>
      </w:r>
      <w:r w:rsidR="00914134" w:rsidRPr="00760BA0">
        <w:rPr>
          <w:rFonts w:ascii="Arial" w:hAnsi="Arial" w:cs="Arial"/>
          <w:sz w:val="22"/>
          <w:szCs w:val="22"/>
        </w:rPr>
        <w:t xml:space="preserve">documento </w:t>
      </w:r>
      <w:r w:rsidR="00914134" w:rsidRPr="00760BA0">
        <w:rPr>
          <w:rFonts w:ascii="Arial" w:hAnsi="Arial" w:cs="Arial"/>
          <w:i/>
          <w:sz w:val="22"/>
          <w:szCs w:val="22"/>
        </w:rPr>
        <w:t>“Análisis de abastecimiento y confiabilidad del sector gas natural</w:t>
      </w:r>
      <w:r w:rsidR="00914134">
        <w:rPr>
          <w:rFonts w:ascii="Arial" w:hAnsi="Arial" w:cs="Arial"/>
          <w:i/>
          <w:sz w:val="22"/>
          <w:szCs w:val="22"/>
        </w:rPr>
        <w:t xml:space="preserve"> 2018</w:t>
      </w:r>
      <w:r w:rsidR="00914134" w:rsidRPr="00760BA0">
        <w:rPr>
          <w:rFonts w:ascii="Arial" w:hAnsi="Arial" w:cs="Arial"/>
          <w:i/>
          <w:sz w:val="22"/>
          <w:szCs w:val="22"/>
        </w:rPr>
        <w:t>”</w:t>
      </w:r>
      <w:r w:rsidR="00914134">
        <w:rPr>
          <w:rFonts w:ascii="Arial" w:hAnsi="Arial" w:cs="Arial"/>
          <w:sz w:val="22"/>
          <w:szCs w:val="22"/>
        </w:rPr>
        <w:t xml:space="preserve"> </w:t>
      </w:r>
      <w:r w:rsidR="00914134">
        <w:rPr>
          <w:rStyle w:val="Refdenotaalpie"/>
          <w:rFonts w:ascii="Arial" w:hAnsi="Arial" w:cs="Arial"/>
          <w:sz w:val="22"/>
          <w:szCs w:val="22"/>
        </w:rPr>
        <w:footnoteReference w:id="5"/>
      </w:r>
      <w:r w:rsidR="00914134" w:rsidRPr="00760BA0">
        <w:rPr>
          <w:rFonts w:ascii="Arial" w:hAnsi="Arial" w:cs="Arial"/>
          <w:sz w:val="22"/>
          <w:szCs w:val="22"/>
        </w:rPr>
        <w:t xml:space="preserve"> elaborado por la UPME</w:t>
      </w:r>
      <w:r w:rsidR="00914134">
        <w:rPr>
          <w:rFonts w:ascii="Arial" w:hAnsi="Arial" w:cs="Arial"/>
          <w:sz w:val="22"/>
          <w:szCs w:val="22"/>
        </w:rPr>
        <w:t xml:space="preserve"> establece que bajo un escenario medio de demanda y considerando que algunos </w:t>
      </w:r>
      <w:r w:rsidR="00914134" w:rsidRPr="00760BA0">
        <w:rPr>
          <w:rFonts w:ascii="Arial" w:hAnsi="Arial" w:cs="Arial"/>
          <w:sz w:val="22"/>
          <w:szCs w:val="22"/>
        </w:rPr>
        <w:t xml:space="preserve">campos que tradicionalmente han abastecido </w:t>
      </w:r>
      <w:r w:rsidR="00914134">
        <w:rPr>
          <w:rFonts w:ascii="Arial" w:hAnsi="Arial" w:cs="Arial"/>
          <w:sz w:val="22"/>
          <w:szCs w:val="22"/>
        </w:rPr>
        <w:t xml:space="preserve">el país se encuentran en </w:t>
      </w:r>
      <w:r w:rsidR="00914134" w:rsidRPr="00760BA0">
        <w:rPr>
          <w:rFonts w:ascii="Arial" w:hAnsi="Arial" w:cs="Arial"/>
          <w:sz w:val="22"/>
          <w:szCs w:val="22"/>
        </w:rPr>
        <w:t xml:space="preserve">declinación </w:t>
      </w:r>
      <w:r w:rsidR="00914134">
        <w:rPr>
          <w:rFonts w:ascii="Arial" w:hAnsi="Arial" w:cs="Arial"/>
          <w:sz w:val="22"/>
          <w:szCs w:val="22"/>
        </w:rPr>
        <w:t xml:space="preserve">se </w:t>
      </w:r>
      <w:r w:rsidR="00914134" w:rsidRPr="00760BA0">
        <w:rPr>
          <w:rFonts w:ascii="Arial" w:hAnsi="Arial" w:cs="Arial"/>
          <w:sz w:val="22"/>
          <w:szCs w:val="22"/>
        </w:rPr>
        <w:t xml:space="preserve">debe adicionar </w:t>
      </w:r>
      <w:r w:rsidR="00914134">
        <w:rPr>
          <w:rFonts w:ascii="Arial" w:hAnsi="Arial" w:cs="Arial"/>
          <w:sz w:val="22"/>
          <w:szCs w:val="22"/>
        </w:rPr>
        <w:t>un nuevo punto de</w:t>
      </w:r>
      <w:r w:rsidR="00914134" w:rsidRPr="00760BA0">
        <w:rPr>
          <w:rFonts w:ascii="Arial" w:hAnsi="Arial" w:cs="Arial"/>
          <w:sz w:val="22"/>
          <w:szCs w:val="22"/>
        </w:rPr>
        <w:t xml:space="preserve"> importac</w:t>
      </w:r>
      <w:r w:rsidR="00914134">
        <w:rPr>
          <w:rFonts w:ascii="Arial" w:hAnsi="Arial" w:cs="Arial"/>
          <w:sz w:val="22"/>
          <w:szCs w:val="22"/>
        </w:rPr>
        <w:t>ión ubicado en</w:t>
      </w:r>
      <w:r w:rsidR="00914134" w:rsidRPr="00760BA0">
        <w:rPr>
          <w:rFonts w:ascii="Arial" w:hAnsi="Arial" w:cs="Arial"/>
          <w:sz w:val="22"/>
          <w:szCs w:val="22"/>
        </w:rPr>
        <w:t xml:space="preserve"> La </w:t>
      </w:r>
      <w:r w:rsidR="00914134">
        <w:rPr>
          <w:rFonts w:ascii="Arial" w:hAnsi="Arial" w:cs="Arial"/>
          <w:sz w:val="22"/>
          <w:szCs w:val="22"/>
        </w:rPr>
        <w:t>Guajira con una capacidad de</w:t>
      </w:r>
      <w:r w:rsidR="00914134" w:rsidRPr="00760BA0">
        <w:rPr>
          <w:rFonts w:ascii="Arial" w:hAnsi="Arial" w:cs="Arial"/>
          <w:sz w:val="22"/>
          <w:szCs w:val="22"/>
        </w:rPr>
        <w:t xml:space="preserve"> 400 MPCD en el año 2028</w:t>
      </w:r>
      <w:r w:rsidR="00914134">
        <w:rPr>
          <w:rFonts w:ascii="Arial" w:hAnsi="Arial" w:cs="Arial"/>
          <w:sz w:val="22"/>
          <w:szCs w:val="22"/>
        </w:rPr>
        <w:t>.</w:t>
      </w:r>
    </w:p>
    <w:p w14:paraId="52DB07D2" w14:textId="77777777" w:rsidR="00914134" w:rsidRPr="009273C0" w:rsidRDefault="00914134" w:rsidP="00914134">
      <w:pPr>
        <w:spacing w:before="240" w:after="240" w:line="276" w:lineRule="auto"/>
        <w:jc w:val="both"/>
        <w:rPr>
          <w:rFonts w:ascii="Arial" w:hAnsi="Arial" w:cs="Arial"/>
          <w:sz w:val="22"/>
          <w:szCs w:val="22"/>
        </w:rPr>
      </w:pPr>
      <w:r w:rsidRPr="006F2B7C">
        <w:rPr>
          <w:rFonts w:ascii="Arial" w:hAnsi="Arial" w:cs="Arial"/>
          <w:sz w:val="22"/>
          <w:szCs w:val="22"/>
        </w:rPr>
        <w:t>E</w:t>
      </w:r>
      <w:r w:rsidRPr="00DE47F5">
        <w:rPr>
          <w:rFonts w:ascii="Arial" w:hAnsi="Arial" w:cs="Arial"/>
          <w:sz w:val="22"/>
          <w:szCs w:val="22"/>
        </w:rPr>
        <w:t>s claro que un suministro adicional vía GNL otorga alta certidumbre de abastecimiento, y requiere de la presencia de agentes interesados y dispuestos a pactar acuerdos de largo plazo para asegurar el financiamiento de la infraestructura de regasificación desde el lado de la demanda. No obstante, la creciente exigencia de fuentes energéticas menos contaminantes, más económicas y confiables está llevando a que el GNL sea una fuente de gran relevancia para el futuro de muchos países, como garantía de abastecimiento y como prenda de operaciones menos contaminantes frente a los fósiles tradicionales.</w:t>
      </w:r>
    </w:p>
    <w:p w14:paraId="37C7EF69" w14:textId="77777777" w:rsidR="00914134" w:rsidRPr="00166696" w:rsidRDefault="00914134" w:rsidP="00914134">
      <w:pPr>
        <w:pStyle w:val="Ttulo2"/>
      </w:pPr>
      <w:r w:rsidRPr="00166696">
        <w:t xml:space="preserve"> </w:t>
      </w:r>
      <w:bookmarkStart w:id="193" w:name="_Toc530045835"/>
      <w:r w:rsidRPr="00166696">
        <w:t>Escenario de importación en Colombia</w:t>
      </w:r>
      <w:bookmarkEnd w:id="182"/>
      <w:bookmarkEnd w:id="183"/>
      <w:bookmarkEnd w:id="184"/>
      <w:bookmarkEnd w:id="185"/>
      <w:bookmarkEnd w:id="186"/>
      <w:bookmarkEnd w:id="187"/>
      <w:bookmarkEnd w:id="193"/>
      <w:r w:rsidRPr="00166696">
        <w:t xml:space="preserve"> </w:t>
      </w:r>
    </w:p>
    <w:p w14:paraId="6BBE761A" w14:textId="312D6CAF" w:rsidR="00914134" w:rsidRPr="00127A88" w:rsidRDefault="00544DA1" w:rsidP="00914134">
      <w:pPr>
        <w:spacing w:before="240" w:after="240" w:line="276" w:lineRule="auto"/>
        <w:jc w:val="both"/>
        <w:rPr>
          <w:rFonts w:ascii="Arial" w:hAnsi="Arial" w:cs="Arial"/>
          <w:sz w:val="22"/>
          <w:szCs w:val="22"/>
          <w:highlight w:val="yellow"/>
        </w:rPr>
      </w:pPr>
      <w:r w:rsidRPr="00166696">
        <w:rPr>
          <w:rFonts w:ascii="Arial" w:hAnsi="Arial" w:cs="Arial"/>
          <w:sz w:val="22"/>
          <w:szCs w:val="22"/>
        </w:rPr>
        <w:t>A partir</w:t>
      </w:r>
      <w:r w:rsidR="00914134" w:rsidRPr="00166696">
        <w:rPr>
          <w:rFonts w:ascii="Arial" w:hAnsi="Arial" w:cs="Arial"/>
          <w:sz w:val="22"/>
          <w:szCs w:val="22"/>
        </w:rPr>
        <w:t xml:space="preserve"> del escenario de demanda media de la UPME y oferta correspondiente al </w:t>
      </w:r>
      <w:r w:rsidR="00166696" w:rsidRPr="00166696">
        <w:rPr>
          <w:rFonts w:ascii="Arial" w:hAnsi="Arial" w:cs="Arial"/>
          <w:sz w:val="22"/>
          <w:szCs w:val="22"/>
        </w:rPr>
        <w:t>“Análisis de abastecimiento y confiabilidad del sector gas natural</w:t>
      </w:r>
      <w:r w:rsidR="00166696" w:rsidRPr="00A343A6">
        <w:rPr>
          <w:rFonts w:ascii="Arial" w:hAnsi="Arial" w:cs="Arial"/>
          <w:sz w:val="22"/>
          <w:szCs w:val="22"/>
        </w:rPr>
        <w:t>”</w:t>
      </w:r>
      <w:r w:rsidR="00914134" w:rsidRPr="00A343A6">
        <w:rPr>
          <w:rFonts w:ascii="Arial" w:hAnsi="Arial" w:cs="Arial"/>
          <w:sz w:val="22"/>
          <w:szCs w:val="22"/>
        </w:rPr>
        <w:t xml:space="preserve">, se generan un desequilibrio </w:t>
      </w:r>
      <w:r w:rsidR="00A343A6">
        <w:rPr>
          <w:rFonts w:ascii="Arial" w:hAnsi="Arial" w:cs="Arial"/>
          <w:sz w:val="22"/>
          <w:szCs w:val="22"/>
        </w:rPr>
        <w:t xml:space="preserve">de </w:t>
      </w:r>
      <w:r w:rsidR="00914134" w:rsidRPr="00A343A6">
        <w:rPr>
          <w:rFonts w:ascii="Arial" w:hAnsi="Arial" w:cs="Arial"/>
          <w:sz w:val="22"/>
          <w:szCs w:val="22"/>
        </w:rPr>
        <w:t>abast</w:t>
      </w:r>
      <w:r w:rsidR="00166696" w:rsidRPr="00A343A6">
        <w:rPr>
          <w:rFonts w:ascii="Arial" w:hAnsi="Arial" w:cs="Arial"/>
          <w:sz w:val="22"/>
          <w:szCs w:val="22"/>
        </w:rPr>
        <w:t>ecimiento desde el año 2022</w:t>
      </w:r>
      <w:r w:rsidR="00914134" w:rsidRPr="00A343A6">
        <w:rPr>
          <w:rFonts w:ascii="Arial" w:hAnsi="Arial" w:cs="Arial"/>
          <w:sz w:val="22"/>
          <w:szCs w:val="22"/>
        </w:rPr>
        <w:t xml:space="preserve">, donde se estima necesaria la importación de gas natural para </w:t>
      </w:r>
      <w:r w:rsidR="00A343A6" w:rsidRPr="00A343A6">
        <w:rPr>
          <w:rFonts w:ascii="Arial" w:hAnsi="Arial" w:cs="Arial"/>
          <w:sz w:val="22"/>
          <w:szCs w:val="22"/>
        </w:rPr>
        <w:t xml:space="preserve">de brindar seguridad en el abastecimiento y confiabilidad al sistema de gas </w:t>
      </w:r>
      <w:r w:rsidR="00080006">
        <w:rPr>
          <w:rFonts w:ascii="Arial" w:hAnsi="Arial" w:cs="Arial"/>
          <w:sz w:val="22"/>
          <w:szCs w:val="22"/>
        </w:rPr>
        <w:t>en el p</w:t>
      </w:r>
      <w:r w:rsidR="00A343A6" w:rsidRPr="00A343A6">
        <w:rPr>
          <w:rFonts w:ascii="Arial" w:hAnsi="Arial" w:cs="Arial"/>
          <w:sz w:val="22"/>
          <w:szCs w:val="22"/>
        </w:rPr>
        <w:t>aís</w:t>
      </w:r>
      <w:r w:rsidR="00A343A6">
        <w:rPr>
          <w:rFonts w:ascii="Arial" w:hAnsi="Arial" w:cs="Arial"/>
          <w:sz w:val="22"/>
          <w:szCs w:val="22"/>
        </w:rPr>
        <w:t xml:space="preserve">. </w:t>
      </w:r>
    </w:p>
    <w:p w14:paraId="04C5C6B9" w14:textId="77777777" w:rsidR="00914134" w:rsidRPr="00127A88" w:rsidRDefault="00914134" w:rsidP="00914134">
      <w:pPr>
        <w:spacing w:before="240" w:after="240" w:line="276" w:lineRule="auto"/>
        <w:jc w:val="both"/>
        <w:rPr>
          <w:rFonts w:ascii="Arial" w:hAnsi="Arial" w:cs="Arial"/>
          <w:sz w:val="22"/>
          <w:szCs w:val="22"/>
          <w:highlight w:val="yellow"/>
        </w:rPr>
      </w:pPr>
      <w:r w:rsidRPr="008D00DE">
        <w:rPr>
          <w:rFonts w:ascii="Arial" w:hAnsi="Arial" w:cs="Arial"/>
          <w:sz w:val="22"/>
          <w:szCs w:val="22"/>
        </w:rPr>
        <w:t xml:space="preserve">En la medida que las exigencias de importación son crecientes, es necesaria una evaluación de los diferentes potenciales exportadores a nivel mundial que puedan suplir los requerimientos del posible desabastecimiento. Por otra parte, considerando la información sobre capacidad de licuefacción y las exportaciones de GNL </w:t>
      </w:r>
      <w:r w:rsidRPr="00080006">
        <w:rPr>
          <w:rFonts w:ascii="Arial" w:hAnsi="Arial" w:cs="Arial"/>
          <w:sz w:val="22"/>
          <w:szCs w:val="22"/>
        </w:rPr>
        <w:t xml:space="preserve">presentados en la </w:t>
      </w:r>
      <w:r w:rsidRPr="003E788A">
        <w:rPr>
          <w:rFonts w:ascii="Arial" w:hAnsi="Arial" w:cs="Arial"/>
          <w:sz w:val="22"/>
          <w:szCs w:val="22"/>
          <w:highlight w:val="yellow"/>
        </w:rPr>
        <w:fldChar w:fldCharType="begin"/>
      </w:r>
      <w:r w:rsidRPr="003E788A">
        <w:rPr>
          <w:rFonts w:ascii="Arial" w:hAnsi="Arial" w:cs="Arial"/>
          <w:sz w:val="22"/>
          <w:szCs w:val="22"/>
          <w:highlight w:val="yellow"/>
        </w:rPr>
        <w:instrText xml:space="preserve"> REF _Ref445912368 \h  \* MERGEFORMAT </w:instrText>
      </w:r>
      <w:r w:rsidRPr="003E788A">
        <w:rPr>
          <w:rFonts w:ascii="Arial" w:hAnsi="Arial" w:cs="Arial"/>
          <w:sz w:val="22"/>
          <w:szCs w:val="22"/>
          <w:highlight w:val="yellow"/>
        </w:rPr>
      </w:r>
      <w:r w:rsidRPr="003E788A">
        <w:rPr>
          <w:rFonts w:ascii="Arial" w:hAnsi="Arial" w:cs="Arial"/>
          <w:sz w:val="22"/>
          <w:szCs w:val="22"/>
          <w:highlight w:val="yellow"/>
        </w:rPr>
        <w:fldChar w:fldCharType="separate"/>
      </w:r>
      <w:r w:rsidR="00915705" w:rsidRPr="003E788A">
        <w:rPr>
          <w:rFonts w:ascii="Arial" w:hAnsi="Arial" w:cs="Arial"/>
          <w:sz w:val="22"/>
          <w:szCs w:val="22"/>
          <w:highlight w:val="yellow"/>
        </w:rPr>
        <w:t>Tabla 3</w:t>
      </w:r>
      <w:r w:rsidR="00915705" w:rsidRPr="003E788A">
        <w:rPr>
          <w:rFonts w:ascii="Arial" w:hAnsi="Arial" w:cs="Arial"/>
          <w:sz w:val="22"/>
          <w:szCs w:val="22"/>
          <w:highlight w:val="yellow"/>
        </w:rPr>
        <w:noBreakHyphen/>
        <w:t>1</w:t>
      </w:r>
      <w:r w:rsidRPr="003E788A">
        <w:rPr>
          <w:rFonts w:ascii="Arial" w:hAnsi="Arial" w:cs="Arial"/>
          <w:sz w:val="22"/>
          <w:szCs w:val="22"/>
          <w:highlight w:val="yellow"/>
        </w:rPr>
        <w:fldChar w:fldCharType="end"/>
      </w:r>
      <w:r w:rsidRPr="00080006">
        <w:rPr>
          <w:rFonts w:ascii="Arial" w:hAnsi="Arial" w:cs="Arial"/>
          <w:sz w:val="22"/>
          <w:szCs w:val="22"/>
        </w:rPr>
        <w:t xml:space="preserve"> y según el comportamiento de la demanda en América mencionada en la sección anterior, los criterios para escoger los potenciales exportadores de gas a Colombia se establecen buscando un equilibrio entre la capacidad de exportación de los mismos y la optimización de costos de la cadena de GNL. </w:t>
      </w:r>
    </w:p>
    <w:p w14:paraId="326563AD" w14:textId="77777777" w:rsidR="00914134" w:rsidRPr="00127A88" w:rsidRDefault="00914134" w:rsidP="00914134">
      <w:pPr>
        <w:spacing w:before="240" w:after="240" w:line="276" w:lineRule="auto"/>
        <w:jc w:val="both"/>
        <w:rPr>
          <w:rFonts w:ascii="Arial" w:hAnsi="Arial" w:cs="Arial"/>
          <w:sz w:val="22"/>
          <w:szCs w:val="22"/>
          <w:highlight w:val="yellow"/>
        </w:rPr>
      </w:pPr>
      <w:r w:rsidRPr="00080006">
        <w:rPr>
          <w:rFonts w:ascii="Arial" w:hAnsi="Arial" w:cs="Arial"/>
          <w:sz w:val="22"/>
          <w:szCs w:val="22"/>
        </w:rPr>
        <w:t xml:space="preserve">Con base en lo anterior, los países que podrían ser potenciales proveedores de GNL a Colombia, según las proyecciones de demanda y oferta, serían los que se localizan actualmente en la cuenca del Atlántico particularmente en América y África y la cuenca del Pacífico los localizados en Asia Occidental y en menor medida los ubicados en el Este Asiático y el norte de </w:t>
      </w:r>
      <w:r w:rsidRPr="003E788A">
        <w:rPr>
          <w:rFonts w:ascii="Arial" w:hAnsi="Arial" w:cs="Arial"/>
          <w:sz w:val="22"/>
          <w:szCs w:val="22"/>
        </w:rPr>
        <w:t xml:space="preserve">Europa. </w:t>
      </w:r>
    </w:p>
    <w:p w14:paraId="76ADADB9" w14:textId="76B5F7BB" w:rsidR="00914134" w:rsidRDefault="00914134" w:rsidP="00914134">
      <w:pPr>
        <w:pStyle w:val="Descripcin"/>
        <w:keepNext/>
        <w:spacing w:after="0"/>
        <w:jc w:val="center"/>
        <w:rPr>
          <w:rFonts w:cs="Arial"/>
          <w:i w:val="0"/>
          <w:color w:val="auto"/>
          <w:sz w:val="20"/>
          <w:szCs w:val="20"/>
        </w:rPr>
      </w:pPr>
      <w:bookmarkStart w:id="194" w:name="_Ref447011883"/>
      <w:bookmarkStart w:id="195" w:name="_Toc447097992"/>
      <w:bookmarkStart w:id="196" w:name="_Toc499799364"/>
      <w:bookmarkStart w:id="197" w:name="_Toc530033412"/>
      <w:r w:rsidRPr="003F539E">
        <w:rPr>
          <w:rFonts w:cs="Arial"/>
          <w:b/>
          <w:i w:val="0"/>
          <w:color w:val="auto"/>
          <w:sz w:val="20"/>
          <w:szCs w:val="20"/>
          <w:highlight w:val="yellow"/>
        </w:rPr>
        <w:lastRenderedPageBreak/>
        <w:t xml:space="preserve">Gráfica </w:t>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STYLEREF 1 \s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3</w:t>
      </w:r>
      <w:r w:rsidR="00DA50A5">
        <w:rPr>
          <w:rFonts w:cs="Arial"/>
          <w:b/>
          <w:i w:val="0"/>
          <w:color w:val="auto"/>
          <w:sz w:val="20"/>
          <w:szCs w:val="20"/>
          <w:highlight w:val="yellow"/>
        </w:rPr>
        <w:fldChar w:fldCharType="end"/>
      </w:r>
      <w:r w:rsidR="00DA50A5">
        <w:rPr>
          <w:rFonts w:cs="Arial"/>
          <w:b/>
          <w:i w:val="0"/>
          <w:color w:val="auto"/>
          <w:sz w:val="20"/>
          <w:szCs w:val="20"/>
          <w:highlight w:val="yellow"/>
        </w:rPr>
        <w:noBreakHyphen/>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SEQ Gráfica \* ARABIC \s 1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9</w:t>
      </w:r>
      <w:r w:rsidR="00DA50A5">
        <w:rPr>
          <w:rFonts w:cs="Arial"/>
          <w:b/>
          <w:i w:val="0"/>
          <w:color w:val="auto"/>
          <w:sz w:val="20"/>
          <w:szCs w:val="20"/>
          <w:highlight w:val="yellow"/>
        </w:rPr>
        <w:fldChar w:fldCharType="end"/>
      </w:r>
      <w:bookmarkEnd w:id="194"/>
      <w:r w:rsidRPr="003F539E">
        <w:rPr>
          <w:rFonts w:cs="Arial"/>
          <w:b/>
          <w:i w:val="0"/>
          <w:color w:val="auto"/>
          <w:sz w:val="20"/>
          <w:szCs w:val="20"/>
          <w:highlight w:val="yellow"/>
        </w:rPr>
        <w:t xml:space="preserve">. </w:t>
      </w:r>
      <w:r w:rsidRPr="003F539E">
        <w:rPr>
          <w:rFonts w:cs="Arial"/>
          <w:i w:val="0"/>
          <w:color w:val="auto"/>
          <w:sz w:val="20"/>
          <w:szCs w:val="20"/>
        </w:rPr>
        <w:t>Distribución de importaciones en Latinoamérica</w:t>
      </w:r>
      <w:bookmarkEnd w:id="195"/>
      <w:bookmarkEnd w:id="196"/>
      <w:bookmarkEnd w:id="197"/>
    </w:p>
    <w:p w14:paraId="66A5FD6F" w14:textId="41F87B1D" w:rsidR="0026050A" w:rsidRPr="0026050A" w:rsidRDefault="0026050A" w:rsidP="0026050A">
      <w:pPr>
        <w:rPr>
          <w:lang w:val="es-CO" w:eastAsia="es-ES"/>
        </w:rPr>
      </w:pPr>
      <w:r w:rsidRPr="0026050A">
        <w:rPr>
          <w:noProof/>
          <w:lang w:val="es-ES" w:eastAsia="es-ES"/>
        </w:rPr>
        <w:drawing>
          <wp:inline distT="0" distB="0" distL="0" distR="0" wp14:anchorId="150CF842" wp14:editId="402C07B7">
            <wp:extent cx="6120765" cy="4425001"/>
            <wp:effectExtent l="0" t="0" r="0" b="0"/>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765" cy="4425001"/>
                    </a:xfrm>
                    <a:prstGeom prst="rect">
                      <a:avLst/>
                    </a:prstGeom>
                    <a:noFill/>
                    <a:ln>
                      <a:noFill/>
                    </a:ln>
                  </pic:spPr>
                </pic:pic>
              </a:graphicData>
            </a:graphic>
          </wp:inline>
        </w:drawing>
      </w:r>
    </w:p>
    <w:p w14:paraId="570F735D" w14:textId="77777777" w:rsidR="00F46246" w:rsidRPr="003E788A" w:rsidRDefault="00F46246" w:rsidP="00F46246">
      <w:pPr>
        <w:pStyle w:val="Prrafodelista"/>
        <w:numPr>
          <w:ilvl w:val="0"/>
          <w:numId w:val="0"/>
        </w:numPr>
        <w:spacing w:before="0" w:after="0"/>
        <w:jc w:val="center"/>
        <w:rPr>
          <w:rFonts w:cs="Arial"/>
          <w:b w:val="0"/>
          <w:color w:val="000000" w:themeColor="text1"/>
          <w:sz w:val="18"/>
        </w:rPr>
      </w:pPr>
      <w:r w:rsidRPr="003E788A">
        <w:rPr>
          <w:rFonts w:cs="Arial"/>
          <w:color w:val="000000" w:themeColor="text1"/>
          <w:sz w:val="16"/>
        </w:rPr>
        <w:t>Fuente:</w:t>
      </w:r>
      <w:r w:rsidRPr="003E788A">
        <w:rPr>
          <w:rFonts w:cs="Arial"/>
          <w:b w:val="0"/>
          <w:color w:val="000000" w:themeColor="text1"/>
          <w:sz w:val="16"/>
        </w:rPr>
        <w:t xml:space="preserve"> GIIGNL </w:t>
      </w:r>
      <w:r w:rsidRPr="003E788A">
        <w:rPr>
          <w:rFonts w:cs="Arial"/>
          <w:b w:val="0"/>
          <w:color w:val="000000" w:themeColor="text1"/>
          <w:sz w:val="16"/>
        </w:rPr>
        <w:fldChar w:fldCharType="begin"/>
      </w:r>
      <w:r w:rsidRPr="003E788A">
        <w:rPr>
          <w:rFonts w:cs="Arial"/>
          <w:b w:val="0"/>
          <w:color w:val="000000" w:themeColor="text1"/>
          <w:sz w:val="16"/>
        </w:rPr>
        <w:instrText xml:space="preserve"> REF _Ref529881942 \r \h  \* MERGEFORMAT </w:instrText>
      </w:r>
      <w:r w:rsidRPr="003E788A">
        <w:rPr>
          <w:rFonts w:cs="Arial"/>
          <w:b w:val="0"/>
          <w:color w:val="000000" w:themeColor="text1"/>
          <w:sz w:val="16"/>
        </w:rPr>
      </w:r>
      <w:r w:rsidRPr="003E788A">
        <w:rPr>
          <w:rFonts w:cs="Arial"/>
          <w:b w:val="0"/>
          <w:color w:val="000000" w:themeColor="text1"/>
          <w:sz w:val="16"/>
        </w:rPr>
        <w:fldChar w:fldCharType="separate"/>
      </w:r>
      <w:r w:rsidR="00915705" w:rsidRPr="003E788A">
        <w:rPr>
          <w:rFonts w:cs="Arial"/>
          <w:b w:val="0"/>
          <w:color w:val="000000" w:themeColor="text1"/>
          <w:sz w:val="16"/>
        </w:rPr>
        <w:t>[14]</w:t>
      </w:r>
      <w:r w:rsidRPr="003E788A">
        <w:rPr>
          <w:rFonts w:cs="Arial"/>
          <w:b w:val="0"/>
          <w:color w:val="000000" w:themeColor="text1"/>
          <w:sz w:val="16"/>
        </w:rPr>
        <w:fldChar w:fldCharType="end"/>
      </w:r>
      <w:r w:rsidRPr="003E788A">
        <w:rPr>
          <w:rFonts w:cs="Arial"/>
          <w:b w:val="0"/>
          <w:color w:val="000000" w:themeColor="text1"/>
          <w:sz w:val="16"/>
        </w:rPr>
        <w:t xml:space="preserve">, UPME </w:t>
      </w:r>
    </w:p>
    <w:p w14:paraId="3D5794CB" w14:textId="7C0DF01E" w:rsidR="00914134" w:rsidRPr="00127A88" w:rsidRDefault="00914134" w:rsidP="00914134">
      <w:pPr>
        <w:spacing w:before="240" w:after="240" w:line="276" w:lineRule="auto"/>
        <w:jc w:val="both"/>
        <w:rPr>
          <w:rFonts w:ascii="Arial" w:hAnsi="Arial" w:cs="Arial"/>
          <w:sz w:val="22"/>
          <w:szCs w:val="22"/>
          <w:highlight w:val="yellow"/>
        </w:rPr>
      </w:pPr>
      <w:r w:rsidRPr="003E788A">
        <w:rPr>
          <w:rFonts w:ascii="Arial" w:hAnsi="Arial" w:cs="Arial"/>
          <w:sz w:val="22"/>
          <w:szCs w:val="22"/>
        </w:rPr>
        <w:t xml:space="preserve">Lo anterior se refleja en la </w:t>
      </w:r>
      <w:r w:rsidRPr="003E788A">
        <w:rPr>
          <w:rFonts w:ascii="Arial" w:hAnsi="Arial" w:cs="Arial"/>
          <w:sz w:val="22"/>
          <w:szCs w:val="22"/>
          <w:highlight w:val="yellow"/>
        </w:rPr>
        <w:fldChar w:fldCharType="begin"/>
      </w:r>
      <w:r w:rsidRPr="003E788A">
        <w:rPr>
          <w:rFonts w:ascii="Arial" w:hAnsi="Arial" w:cs="Arial"/>
          <w:sz w:val="22"/>
          <w:szCs w:val="22"/>
          <w:highlight w:val="yellow"/>
        </w:rPr>
        <w:instrText xml:space="preserve"> REF _Ref447011883 \h  \* MERGEFORMAT </w:instrText>
      </w:r>
      <w:r w:rsidRPr="003E788A">
        <w:rPr>
          <w:rFonts w:ascii="Arial" w:hAnsi="Arial" w:cs="Arial"/>
          <w:sz w:val="22"/>
          <w:szCs w:val="22"/>
          <w:highlight w:val="yellow"/>
        </w:rPr>
      </w:r>
      <w:r w:rsidRPr="003E788A">
        <w:rPr>
          <w:rFonts w:ascii="Arial" w:hAnsi="Arial" w:cs="Arial"/>
          <w:sz w:val="22"/>
          <w:szCs w:val="22"/>
          <w:highlight w:val="yellow"/>
        </w:rPr>
        <w:fldChar w:fldCharType="separate"/>
      </w:r>
      <w:r w:rsidR="00915705" w:rsidRPr="003E788A">
        <w:rPr>
          <w:rFonts w:ascii="Arial" w:hAnsi="Arial" w:cs="Arial"/>
          <w:sz w:val="22"/>
          <w:szCs w:val="22"/>
          <w:highlight w:val="yellow"/>
        </w:rPr>
        <w:t>Gráfica 3</w:t>
      </w:r>
      <w:r w:rsidR="00915705" w:rsidRPr="003E788A">
        <w:rPr>
          <w:rFonts w:ascii="Arial" w:hAnsi="Arial" w:cs="Arial"/>
          <w:sz w:val="22"/>
          <w:szCs w:val="22"/>
          <w:highlight w:val="yellow"/>
        </w:rPr>
        <w:noBreakHyphen/>
        <w:t>9</w:t>
      </w:r>
      <w:r w:rsidRPr="003E788A">
        <w:rPr>
          <w:rFonts w:ascii="Arial" w:hAnsi="Arial" w:cs="Arial"/>
          <w:sz w:val="22"/>
          <w:szCs w:val="22"/>
          <w:highlight w:val="yellow"/>
        </w:rPr>
        <w:fldChar w:fldCharType="end"/>
      </w:r>
      <w:r w:rsidRPr="003E788A">
        <w:rPr>
          <w:rFonts w:ascii="Arial" w:hAnsi="Arial" w:cs="Arial"/>
          <w:sz w:val="22"/>
          <w:szCs w:val="22"/>
        </w:rPr>
        <w:t>, la cual muestra a Trinidad y Tobago como el principal exportador para la zona de Sur América, seguido por</w:t>
      </w:r>
      <w:r w:rsidR="003E788A">
        <w:rPr>
          <w:rFonts w:ascii="Arial" w:hAnsi="Arial" w:cs="Arial"/>
          <w:sz w:val="22"/>
          <w:szCs w:val="22"/>
        </w:rPr>
        <w:t xml:space="preserve"> Qatar, </w:t>
      </w:r>
      <w:r w:rsidR="003E788A" w:rsidRPr="003E788A">
        <w:rPr>
          <w:rFonts w:ascii="Arial" w:hAnsi="Arial" w:cs="Arial"/>
          <w:sz w:val="22"/>
          <w:szCs w:val="22"/>
        </w:rPr>
        <w:t>Nigeria, Estados Unidos</w:t>
      </w:r>
      <w:r w:rsidRPr="003E788A">
        <w:rPr>
          <w:rFonts w:ascii="Arial" w:hAnsi="Arial" w:cs="Arial"/>
          <w:sz w:val="22"/>
          <w:szCs w:val="22"/>
        </w:rPr>
        <w:t xml:space="preserve"> y Noruega. Estados Unidos entró como participante en el 2014, y se espera que su participación sea mucho mayor, siendo que ya tiene contratos importantes con Chile y, como se mencionó antes, es una fuente importante para la optimización de costos de transporte. </w:t>
      </w:r>
    </w:p>
    <w:p w14:paraId="25A1BFD6" w14:textId="7396B018" w:rsidR="00914134" w:rsidRPr="00080006" w:rsidRDefault="00914134" w:rsidP="00914134">
      <w:pPr>
        <w:spacing w:before="240" w:after="240" w:line="276" w:lineRule="auto"/>
        <w:jc w:val="both"/>
        <w:rPr>
          <w:rFonts w:ascii="Arial" w:hAnsi="Arial" w:cs="Arial"/>
          <w:sz w:val="22"/>
          <w:szCs w:val="22"/>
        </w:rPr>
      </w:pPr>
      <w:r w:rsidRPr="00080006">
        <w:rPr>
          <w:rFonts w:ascii="Arial" w:hAnsi="Arial" w:cs="Arial"/>
          <w:sz w:val="22"/>
          <w:szCs w:val="22"/>
        </w:rPr>
        <w:t xml:space="preserve">Para evaluar la capacidad de exportación se calcula la diferencia entre los niveles de producción y exportación actuales tomados de la </w:t>
      </w:r>
      <w:r w:rsidRPr="008D5184">
        <w:rPr>
          <w:rFonts w:ascii="Arial" w:hAnsi="Arial" w:cs="Arial"/>
          <w:sz w:val="22"/>
          <w:szCs w:val="22"/>
          <w:highlight w:val="yellow"/>
        </w:rPr>
        <w:fldChar w:fldCharType="begin"/>
      </w:r>
      <w:r w:rsidRPr="008D5184">
        <w:rPr>
          <w:rFonts w:ascii="Arial" w:hAnsi="Arial" w:cs="Arial"/>
          <w:sz w:val="22"/>
          <w:szCs w:val="22"/>
          <w:highlight w:val="yellow"/>
        </w:rPr>
        <w:instrText xml:space="preserve"> REF _Ref401270475 \h  \* MERGEFORMAT </w:instrText>
      </w:r>
      <w:r w:rsidRPr="008D5184">
        <w:rPr>
          <w:rFonts w:ascii="Arial" w:hAnsi="Arial" w:cs="Arial"/>
          <w:sz w:val="22"/>
          <w:szCs w:val="22"/>
          <w:highlight w:val="yellow"/>
        </w:rPr>
      </w:r>
      <w:r w:rsidRPr="008D5184">
        <w:rPr>
          <w:rFonts w:ascii="Arial" w:hAnsi="Arial" w:cs="Arial"/>
          <w:sz w:val="22"/>
          <w:szCs w:val="22"/>
          <w:highlight w:val="yellow"/>
        </w:rPr>
        <w:fldChar w:fldCharType="separate"/>
      </w:r>
      <w:r w:rsidR="00915705" w:rsidRPr="008D5184">
        <w:rPr>
          <w:rFonts w:ascii="Arial" w:hAnsi="Arial" w:cs="Arial"/>
          <w:sz w:val="22"/>
          <w:szCs w:val="22"/>
          <w:highlight w:val="yellow"/>
        </w:rPr>
        <w:t>Gráfica 3</w:t>
      </w:r>
      <w:r w:rsidR="00915705" w:rsidRPr="008D5184">
        <w:rPr>
          <w:rFonts w:ascii="Arial" w:hAnsi="Arial" w:cs="Arial"/>
          <w:sz w:val="22"/>
          <w:szCs w:val="22"/>
          <w:highlight w:val="yellow"/>
        </w:rPr>
        <w:noBreakHyphen/>
        <w:t>4</w:t>
      </w:r>
      <w:r w:rsidRPr="008D5184">
        <w:rPr>
          <w:rFonts w:ascii="Arial" w:hAnsi="Arial" w:cs="Arial"/>
          <w:sz w:val="22"/>
          <w:szCs w:val="22"/>
          <w:highlight w:val="yellow"/>
        </w:rPr>
        <w:fldChar w:fldCharType="end"/>
      </w:r>
      <w:r w:rsidRPr="008D5184">
        <w:rPr>
          <w:rFonts w:ascii="Arial" w:hAnsi="Arial" w:cs="Arial"/>
          <w:sz w:val="22"/>
          <w:szCs w:val="22"/>
          <w:highlight w:val="yellow"/>
        </w:rPr>
        <w:t xml:space="preserve"> y </w:t>
      </w:r>
      <w:r w:rsidRPr="008D5184">
        <w:rPr>
          <w:rFonts w:ascii="Arial" w:hAnsi="Arial" w:cs="Arial"/>
          <w:sz w:val="22"/>
          <w:szCs w:val="22"/>
          <w:highlight w:val="yellow"/>
        </w:rPr>
        <w:fldChar w:fldCharType="begin"/>
      </w:r>
      <w:r w:rsidRPr="008D5184">
        <w:rPr>
          <w:rFonts w:ascii="Arial" w:hAnsi="Arial" w:cs="Arial"/>
          <w:sz w:val="22"/>
          <w:szCs w:val="22"/>
          <w:highlight w:val="yellow"/>
        </w:rPr>
        <w:instrText xml:space="preserve"> REF _Ref401270525 \h  \* MERGEFORMAT </w:instrText>
      </w:r>
      <w:r w:rsidRPr="008D5184">
        <w:rPr>
          <w:rFonts w:ascii="Arial" w:hAnsi="Arial" w:cs="Arial"/>
          <w:sz w:val="22"/>
          <w:szCs w:val="22"/>
          <w:highlight w:val="yellow"/>
        </w:rPr>
      </w:r>
      <w:r w:rsidRPr="008D5184">
        <w:rPr>
          <w:rFonts w:ascii="Arial" w:hAnsi="Arial" w:cs="Arial"/>
          <w:sz w:val="22"/>
          <w:szCs w:val="22"/>
          <w:highlight w:val="yellow"/>
        </w:rPr>
        <w:fldChar w:fldCharType="separate"/>
      </w:r>
      <w:r w:rsidR="00915705" w:rsidRPr="008D5184">
        <w:rPr>
          <w:rFonts w:ascii="Arial" w:hAnsi="Arial" w:cs="Arial"/>
          <w:sz w:val="22"/>
          <w:szCs w:val="22"/>
          <w:highlight w:val="yellow"/>
        </w:rPr>
        <w:t>Gráfica 3</w:t>
      </w:r>
      <w:r w:rsidR="00915705" w:rsidRPr="008D5184">
        <w:rPr>
          <w:rFonts w:ascii="Arial" w:hAnsi="Arial" w:cs="Arial"/>
          <w:sz w:val="22"/>
          <w:szCs w:val="22"/>
          <w:highlight w:val="yellow"/>
        </w:rPr>
        <w:noBreakHyphen/>
        <w:t>5</w:t>
      </w:r>
      <w:r w:rsidRPr="008D5184">
        <w:rPr>
          <w:rFonts w:ascii="Arial" w:hAnsi="Arial" w:cs="Arial"/>
          <w:sz w:val="22"/>
          <w:szCs w:val="22"/>
          <w:highlight w:val="yellow"/>
        </w:rPr>
        <w:fldChar w:fldCharType="end"/>
      </w:r>
      <w:r w:rsidRPr="00080006">
        <w:rPr>
          <w:rFonts w:ascii="Arial" w:hAnsi="Arial" w:cs="Arial"/>
          <w:sz w:val="22"/>
          <w:szCs w:val="22"/>
        </w:rPr>
        <w:t xml:space="preserve">. En la </w:t>
      </w:r>
      <w:r w:rsidRPr="00080006">
        <w:rPr>
          <w:rFonts w:ascii="Arial" w:hAnsi="Arial" w:cs="Arial"/>
          <w:sz w:val="22"/>
          <w:szCs w:val="22"/>
        </w:rPr>
        <w:fldChar w:fldCharType="begin"/>
      </w:r>
      <w:r w:rsidRPr="00080006">
        <w:rPr>
          <w:rFonts w:ascii="Arial" w:hAnsi="Arial" w:cs="Arial"/>
          <w:sz w:val="22"/>
          <w:szCs w:val="22"/>
        </w:rPr>
        <w:instrText xml:space="preserve"> REF _Ref401271157 \h  \* MERGEFORMAT </w:instrText>
      </w:r>
      <w:r w:rsidRPr="00080006">
        <w:rPr>
          <w:rFonts w:ascii="Arial" w:hAnsi="Arial" w:cs="Arial"/>
          <w:sz w:val="22"/>
          <w:szCs w:val="22"/>
        </w:rPr>
      </w:r>
      <w:r w:rsidRPr="00080006">
        <w:rPr>
          <w:rFonts w:ascii="Arial" w:hAnsi="Arial" w:cs="Arial"/>
          <w:sz w:val="22"/>
          <w:szCs w:val="22"/>
        </w:rPr>
        <w:fldChar w:fldCharType="separate"/>
      </w:r>
      <w:r w:rsidR="00915705" w:rsidRPr="008D5184">
        <w:rPr>
          <w:rFonts w:ascii="Arial" w:hAnsi="Arial" w:cs="Arial"/>
          <w:sz w:val="22"/>
          <w:szCs w:val="22"/>
          <w:highlight w:val="yellow"/>
        </w:rPr>
        <w:t>Gráfica 3</w:t>
      </w:r>
      <w:r w:rsidR="00915705" w:rsidRPr="008D5184">
        <w:rPr>
          <w:rFonts w:ascii="Arial" w:hAnsi="Arial" w:cs="Arial"/>
          <w:sz w:val="22"/>
          <w:szCs w:val="22"/>
          <w:highlight w:val="yellow"/>
        </w:rPr>
        <w:noBreakHyphen/>
        <w:t>1</w:t>
      </w:r>
      <w:r w:rsidR="00915705" w:rsidRPr="00080006">
        <w:rPr>
          <w:rFonts w:ascii="Arial" w:hAnsi="Arial" w:cs="Arial"/>
          <w:sz w:val="22"/>
          <w:szCs w:val="22"/>
        </w:rPr>
        <w:t>0</w:t>
      </w:r>
      <w:r w:rsidRPr="00080006">
        <w:rPr>
          <w:rFonts w:ascii="Arial" w:hAnsi="Arial" w:cs="Arial"/>
          <w:sz w:val="22"/>
          <w:szCs w:val="22"/>
        </w:rPr>
        <w:fldChar w:fldCharType="end"/>
      </w:r>
      <w:r w:rsidRPr="00080006">
        <w:rPr>
          <w:rFonts w:ascii="Arial" w:hAnsi="Arial" w:cs="Arial"/>
          <w:sz w:val="22"/>
          <w:szCs w:val="22"/>
        </w:rPr>
        <w:t xml:space="preserve"> se puede observar, mediante una organización Pareto, la capacidad de exportación mundial entre los pa</w:t>
      </w:r>
      <w:r w:rsidR="00080006" w:rsidRPr="00080006">
        <w:rPr>
          <w:rFonts w:ascii="Arial" w:hAnsi="Arial" w:cs="Arial"/>
          <w:sz w:val="22"/>
          <w:szCs w:val="22"/>
        </w:rPr>
        <w:t>íses que representan cerca del 8</w:t>
      </w:r>
      <w:r w:rsidRPr="00080006">
        <w:rPr>
          <w:rFonts w:ascii="Arial" w:hAnsi="Arial" w:cs="Arial"/>
          <w:sz w:val="22"/>
          <w:szCs w:val="22"/>
        </w:rPr>
        <w:t>0% del potencial de exportación actual, entre los cuales se encuentran Trinidad y Tobago y Estados Unidos dentro de las primeras opciones para Colombia en importación.</w:t>
      </w:r>
    </w:p>
    <w:p w14:paraId="364BCDEE" w14:textId="77777777" w:rsidR="00790F9B" w:rsidRDefault="00790F9B" w:rsidP="00914134">
      <w:pPr>
        <w:spacing w:before="240" w:after="240" w:line="276" w:lineRule="auto"/>
        <w:jc w:val="both"/>
        <w:rPr>
          <w:rFonts w:cs="Arial"/>
          <w:szCs w:val="22"/>
          <w:highlight w:val="yellow"/>
        </w:rPr>
      </w:pPr>
    </w:p>
    <w:p w14:paraId="7FE558D3" w14:textId="77777777" w:rsidR="003E788A" w:rsidRDefault="003E788A" w:rsidP="00914134">
      <w:pPr>
        <w:spacing w:before="240" w:after="240" w:line="276" w:lineRule="auto"/>
        <w:jc w:val="both"/>
        <w:rPr>
          <w:rFonts w:cs="Arial"/>
          <w:szCs w:val="22"/>
          <w:highlight w:val="yellow"/>
        </w:rPr>
      </w:pPr>
    </w:p>
    <w:p w14:paraId="1C8D918A" w14:textId="77777777" w:rsidR="003E788A" w:rsidRPr="00A35DD2" w:rsidRDefault="003E788A" w:rsidP="00914134">
      <w:pPr>
        <w:spacing w:before="240" w:after="240" w:line="276" w:lineRule="auto"/>
        <w:jc w:val="both"/>
        <w:rPr>
          <w:rFonts w:cs="Arial"/>
          <w:szCs w:val="22"/>
          <w:highlight w:val="yellow"/>
        </w:rPr>
      </w:pPr>
    </w:p>
    <w:p w14:paraId="1A0296B4" w14:textId="16D66F0A" w:rsidR="00914134" w:rsidRDefault="00914134" w:rsidP="00914134">
      <w:pPr>
        <w:pStyle w:val="Descripcin"/>
        <w:spacing w:after="0"/>
        <w:jc w:val="center"/>
        <w:rPr>
          <w:rFonts w:eastAsiaTheme="minorHAnsi" w:cs="Arial"/>
          <w:i w:val="0"/>
          <w:iCs w:val="0"/>
          <w:color w:val="auto"/>
          <w:sz w:val="20"/>
          <w:szCs w:val="22"/>
          <w:lang w:val="es-ES_tradnl" w:eastAsia="en-US"/>
        </w:rPr>
      </w:pPr>
      <w:bookmarkStart w:id="198" w:name="_Ref401271157"/>
      <w:bookmarkStart w:id="199" w:name="_Toc401316968"/>
      <w:bookmarkStart w:id="200" w:name="_Toc403641007"/>
      <w:bookmarkStart w:id="201" w:name="_Toc403641246"/>
      <w:bookmarkStart w:id="202" w:name="_Toc403641402"/>
      <w:bookmarkStart w:id="203" w:name="_Toc403641954"/>
      <w:bookmarkStart w:id="204" w:name="_Toc403642004"/>
      <w:bookmarkStart w:id="205" w:name="_Toc447097993"/>
      <w:bookmarkStart w:id="206" w:name="_Toc499799365"/>
      <w:bookmarkStart w:id="207" w:name="_Toc530033413"/>
      <w:r w:rsidRPr="00A4545D">
        <w:rPr>
          <w:rFonts w:eastAsiaTheme="minorHAnsi" w:cs="Arial"/>
          <w:b/>
          <w:i w:val="0"/>
          <w:iCs w:val="0"/>
          <w:color w:val="auto"/>
          <w:sz w:val="20"/>
          <w:szCs w:val="22"/>
          <w:highlight w:val="yellow"/>
          <w:lang w:val="es-ES_tradnl" w:eastAsia="en-US"/>
        </w:rPr>
        <w:lastRenderedPageBreak/>
        <w:t xml:space="preserve">Gráfica </w:t>
      </w:r>
      <w:r w:rsidR="00DA50A5">
        <w:rPr>
          <w:rFonts w:eastAsiaTheme="minorHAnsi" w:cs="Arial"/>
          <w:b/>
          <w:i w:val="0"/>
          <w:iCs w:val="0"/>
          <w:color w:val="auto"/>
          <w:sz w:val="20"/>
          <w:szCs w:val="22"/>
          <w:highlight w:val="yellow"/>
          <w:lang w:val="es-ES_tradnl" w:eastAsia="en-US"/>
        </w:rPr>
        <w:fldChar w:fldCharType="begin"/>
      </w:r>
      <w:r w:rsidR="00DA50A5">
        <w:rPr>
          <w:rFonts w:eastAsiaTheme="minorHAnsi" w:cs="Arial"/>
          <w:b/>
          <w:i w:val="0"/>
          <w:iCs w:val="0"/>
          <w:color w:val="auto"/>
          <w:sz w:val="20"/>
          <w:szCs w:val="22"/>
          <w:highlight w:val="yellow"/>
          <w:lang w:val="es-ES_tradnl" w:eastAsia="en-US"/>
        </w:rPr>
        <w:instrText xml:space="preserve"> STYLEREF 1 \s </w:instrText>
      </w:r>
      <w:r w:rsidR="00DA50A5">
        <w:rPr>
          <w:rFonts w:eastAsiaTheme="minorHAnsi" w:cs="Arial"/>
          <w:b/>
          <w:i w:val="0"/>
          <w:iCs w:val="0"/>
          <w:color w:val="auto"/>
          <w:sz w:val="20"/>
          <w:szCs w:val="22"/>
          <w:highlight w:val="yellow"/>
          <w:lang w:val="es-ES_tradnl" w:eastAsia="en-US"/>
        </w:rPr>
        <w:fldChar w:fldCharType="separate"/>
      </w:r>
      <w:r w:rsidR="00DA50A5">
        <w:rPr>
          <w:rFonts w:eastAsiaTheme="minorHAnsi" w:cs="Arial"/>
          <w:b/>
          <w:i w:val="0"/>
          <w:iCs w:val="0"/>
          <w:noProof/>
          <w:color w:val="auto"/>
          <w:sz w:val="20"/>
          <w:szCs w:val="22"/>
          <w:highlight w:val="yellow"/>
          <w:lang w:val="es-ES_tradnl" w:eastAsia="en-US"/>
        </w:rPr>
        <w:t>3</w:t>
      </w:r>
      <w:r w:rsidR="00DA50A5">
        <w:rPr>
          <w:rFonts w:eastAsiaTheme="minorHAnsi" w:cs="Arial"/>
          <w:b/>
          <w:i w:val="0"/>
          <w:iCs w:val="0"/>
          <w:color w:val="auto"/>
          <w:sz w:val="20"/>
          <w:szCs w:val="22"/>
          <w:highlight w:val="yellow"/>
          <w:lang w:val="es-ES_tradnl" w:eastAsia="en-US"/>
        </w:rPr>
        <w:fldChar w:fldCharType="end"/>
      </w:r>
      <w:r w:rsidR="00DA50A5">
        <w:rPr>
          <w:rFonts w:eastAsiaTheme="minorHAnsi" w:cs="Arial"/>
          <w:b/>
          <w:i w:val="0"/>
          <w:iCs w:val="0"/>
          <w:color w:val="auto"/>
          <w:sz w:val="20"/>
          <w:szCs w:val="22"/>
          <w:highlight w:val="yellow"/>
          <w:lang w:val="es-ES_tradnl" w:eastAsia="en-US"/>
        </w:rPr>
        <w:noBreakHyphen/>
      </w:r>
      <w:r w:rsidR="00DA50A5">
        <w:rPr>
          <w:rFonts w:eastAsiaTheme="minorHAnsi" w:cs="Arial"/>
          <w:b/>
          <w:i w:val="0"/>
          <w:iCs w:val="0"/>
          <w:color w:val="auto"/>
          <w:sz w:val="20"/>
          <w:szCs w:val="22"/>
          <w:highlight w:val="yellow"/>
          <w:lang w:val="es-ES_tradnl" w:eastAsia="en-US"/>
        </w:rPr>
        <w:fldChar w:fldCharType="begin"/>
      </w:r>
      <w:r w:rsidR="00DA50A5">
        <w:rPr>
          <w:rFonts w:eastAsiaTheme="minorHAnsi" w:cs="Arial"/>
          <w:b/>
          <w:i w:val="0"/>
          <w:iCs w:val="0"/>
          <w:color w:val="auto"/>
          <w:sz w:val="20"/>
          <w:szCs w:val="22"/>
          <w:highlight w:val="yellow"/>
          <w:lang w:val="es-ES_tradnl" w:eastAsia="en-US"/>
        </w:rPr>
        <w:instrText xml:space="preserve"> SEQ Gráfica \* ARABIC \s 1 </w:instrText>
      </w:r>
      <w:r w:rsidR="00DA50A5">
        <w:rPr>
          <w:rFonts w:eastAsiaTheme="minorHAnsi" w:cs="Arial"/>
          <w:b/>
          <w:i w:val="0"/>
          <w:iCs w:val="0"/>
          <w:color w:val="auto"/>
          <w:sz w:val="20"/>
          <w:szCs w:val="22"/>
          <w:highlight w:val="yellow"/>
          <w:lang w:val="es-ES_tradnl" w:eastAsia="en-US"/>
        </w:rPr>
        <w:fldChar w:fldCharType="separate"/>
      </w:r>
      <w:r w:rsidR="00DA50A5">
        <w:rPr>
          <w:rFonts w:eastAsiaTheme="minorHAnsi" w:cs="Arial"/>
          <w:b/>
          <w:i w:val="0"/>
          <w:iCs w:val="0"/>
          <w:noProof/>
          <w:color w:val="auto"/>
          <w:sz w:val="20"/>
          <w:szCs w:val="22"/>
          <w:highlight w:val="yellow"/>
          <w:lang w:val="es-ES_tradnl" w:eastAsia="en-US"/>
        </w:rPr>
        <w:t>10</w:t>
      </w:r>
      <w:r w:rsidR="00DA50A5">
        <w:rPr>
          <w:rFonts w:eastAsiaTheme="minorHAnsi" w:cs="Arial"/>
          <w:b/>
          <w:i w:val="0"/>
          <w:iCs w:val="0"/>
          <w:color w:val="auto"/>
          <w:sz w:val="20"/>
          <w:szCs w:val="22"/>
          <w:highlight w:val="yellow"/>
          <w:lang w:val="es-ES_tradnl" w:eastAsia="en-US"/>
        </w:rPr>
        <w:fldChar w:fldCharType="end"/>
      </w:r>
      <w:bookmarkEnd w:id="198"/>
      <w:r w:rsidRPr="00A4545D">
        <w:rPr>
          <w:rFonts w:eastAsiaTheme="minorHAnsi" w:cs="Arial"/>
          <w:b/>
          <w:i w:val="0"/>
          <w:iCs w:val="0"/>
          <w:color w:val="auto"/>
          <w:sz w:val="20"/>
          <w:szCs w:val="22"/>
          <w:highlight w:val="yellow"/>
          <w:lang w:val="es-ES_tradnl" w:eastAsia="en-US"/>
        </w:rPr>
        <w:t xml:space="preserve">. </w:t>
      </w:r>
      <w:r w:rsidRPr="007A34A8">
        <w:rPr>
          <w:rFonts w:eastAsiaTheme="minorHAnsi" w:cs="Arial"/>
          <w:i w:val="0"/>
          <w:iCs w:val="0"/>
          <w:color w:val="auto"/>
          <w:sz w:val="20"/>
          <w:szCs w:val="22"/>
          <w:lang w:val="es-ES_tradnl" w:eastAsia="en-US"/>
        </w:rPr>
        <w:t>Potencial de exportación de GNL a nivel mundial (Pareto)</w:t>
      </w:r>
      <w:bookmarkEnd w:id="199"/>
      <w:bookmarkEnd w:id="200"/>
      <w:bookmarkEnd w:id="201"/>
      <w:bookmarkEnd w:id="202"/>
      <w:bookmarkEnd w:id="203"/>
      <w:bookmarkEnd w:id="204"/>
      <w:bookmarkEnd w:id="205"/>
      <w:bookmarkEnd w:id="206"/>
      <w:bookmarkEnd w:id="207"/>
    </w:p>
    <w:p w14:paraId="7C32907E" w14:textId="3FCAF08F" w:rsidR="00790F9B" w:rsidRPr="00790F9B" w:rsidRDefault="00790F9B" w:rsidP="00790F9B">
      <w:pPr>
        <w:jc w:val="center"/>
      </w:pPr>
      <w:r w:rsidRPr="00790F9B">
        <w:rPr>
          <w:noProof/>
          <w:lang w:val="es-ES" w:eastAsia="es-ES"/>
        </w:rPr>
        <w:drawing>
          <wp:inline distT="0" distB="0" distL="0" distR="0" wp14:anchorId="0828E19F" wp14:editId="0BEDE084">
            <wp:extent cx="5400040" cy="3243580"/>
            <wp:effectExtent l="0" t="0" r="0" b="0"/>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40" cy="3243580"/>
                    </a:xfrm>
                    <a:prstGeom prst="rect">
                      <a:avLst/>
                    </a:prstGeom>
                    <a:noFill/>
                    <a:ln>
                      <a:noFill/>
                    </a:ln>
                  </pic:spPr>
                </pic:pic>
              </a:graphicData>
            </a:graphic>
          </wp:inline>
        </w:drawing>
      </w:r>
    </w:p>
    <w:p w14:paraId="7FC0A4A5" w14:textId="77777777" w:rsidR="00F46246" w:rsidRPr="00F46246" w:rsidRDefault="00F46246" w:rsidP="00F46246">
      <w:pPr>
        <w:pStyle w:val="Prrafodelista"/>
        <w:numPr>
          <w:ilvl w:val="0"/>
          <w:numId w:val="0"/>
        </w:numPr>
        <w:spacing w:before="0" w:after="0"/>
        <w:jc w:val="center"/>
        <w:rPr>
          <w:rFonts w:cs="Arial"/>
          <w:b w:val="0"/>
          <w:color w:val="000000" w:themeColor="text1"/>
          <w:sz w:val="18"/>
        </w:rPr>
      </w:pPr>
      <w:r w:rsidRPr="00F46246">
        <w:rPr>
          <w:rFonts w:cs="Arial"/>
          <w:color w:val="000000" w:themeColor="text1"/>
          <w:sz w:val="16"/>
        </w:rPr>
        <w:t>Fuente:</w:t>
      </w:r>
      <w:r w:rsidRPr="00F46246">
        <w:rPr>
          <w:rFonts w:cs="Arial"/>
          <w:b w:val="0"/>
          <w:color w:val="000000" w:themeColor="text1"/>
          <w:sz w:val="16"/>
        </w:rPr>
        <w:t xml:space="preserve"> GIIGNL </w:t>
      </w:r>
      <w:r w:rsidRPr="00F46246">
        <w:rPr>
          <w:rFonts w:cs="Arial"/>
          <w:b w:val="0"/>
          <w:color w:val="000000" w:themeColor="text1"/>
          <w:sz w:val="16"/>
        </w:rPr>
        <w:fldChar w:fldCharType="begin"/>
      </w:r>
      <w:r w:rsidRPr="00F46246">
        <w:rPr>
          <w:rFonts w:cs="Arial"/>
          <w:b w:val="0"/>
          <w:color w:val="000000" w:themeColor="text1"/>
          <w:sz w:val="16"/>
        </w:rPr>
        <w:instrText xml:space="preserve"> REF _Ref529881942 \r \h  \* MERGEFORMAT </w:instrText>
      </w:r>
      <w:r w:rsidRPr="00F46246">
        <w:rPr>
          <w:rFonts w:cs="Arial"/>
          <w:b w:val="0"/>
          <w:color w:val="000000" w:themeColor="text1"/>
          <w:sz w:val="16"/>
        </w:rPr>
      </w:r>
      <w:r w:rsidRPr="00F46246">
        <w:rPr>
          <w:rFonts w:cs="Arial"/>
          <w:b w:val="0"/>
          <w:color w:val="000000" w:themeColor="text1"/>
          <w:sz w:val="16"/>
        </w:rPr>
        <w:fldChar w:fldCharType="separate"/>
      </w:r>
      <w:r w:rsidR="00915705">
        <w:rPr>
          <w:rFonts w:cs="Arial"/>
          <w:b w:val="0"/>
          <w:color w:val="000000" w:themeColor="text1"/>
          <w:sz w:val="16"/>
        </w:rPr>
        <w:t>[14]</w:t>
      </w:r>
      <w:r w:rsidRPr="00F46246">
        <w:rPr>
          <w:rFonts w:cs="Arial"/>
          <w:b w:val="0"/>
          <w:color w:val="000000" w:themeColor="text1"/>
          <w:sz w:val="16"/>
        </w:rPr>
        <w:fldChar w:fldCharType="end"/>
      </w:r>
      <w:r w:rsidRPr="00F46246">
        <w:rPr>
          <w:rFonts w:cs="Arial"/>
          <w:b w:val="0"/>
          <w:color w:val="000000" w:themeColor="text1"/>
          <w:sz w:val="16"/>
        </w:rPr>
        <w:t xml:space="preserve">, UPME </w:t>
      </w:r>
    </w:p>
    <w:p w14:paraId="263C6C98" w14:textId="76EE8BC4" w:rsidR="00914134" w:rsidRPr="00080006" w:rsidRDefault="00914134" w:rsidP="00914134">
      <w:pPr>
        <w:spacing w:before="240" w:after="240" w:line="276" w:lineRule="auto"/>
        <w:jc w:val="both"/>
        <w:rPr>
          <w:rFonts w:ascii="Arial" w:hAnsi="Arial" w:cs="Arial"/>
          <w:sz w:val="22"/>
          <w:szCs w:val="22"/>
        </w:rPr>
      </w:pPr>
      <w:r w:rsidRPr="00080006">
        <w:rPr>
          <w:rFonts w:ascii="Arial" w:hAnsi="Arial" w:cs="Arial"/>
          <w:sz w:val="22"/>
          <w:szCs w:val="22"/>
        </w:rPr>
        <w:t>De la selección anterior, se destaca de nuevo Estados Unidos con la planta de licuefacción Sabine Pass y la disponibilidad actual que tiene por la construcción de sus trenes 5 y 6. Dentro de los países restantes, se destacan Qatar como el mayor exportador a nivel mundial y Trinidad y Tobago, como las fuentes más cercanas de suministro.</w:t>
      </w:r>
    </w:p>
    <w:p w14:paraId="771EC467" w14:textId="77777777" w:rsidR="00914134" w:rsidRPr="00080006" w:rsidRDefault="00914134" w:rsidP="00914134">
      <w:pPr>
        <w:spacing w:before="240" w:after="240" w:line="276" w:lineRule="auto"/>
        <w:jc w:val="both"/>
        <w:rPr>
          <w:rFonts w:ascii="Arial" w:hAnsi="Arial" w:cs="Arial"/>
          <w:sz w:val="22"/>
          <w:szCs w:val="22"/>
        </w:rPr>
      </w:pPr>
      <w:r w:rsidRPr="00080006">
        <w:rPr>
          <w:rFonts w:ascii="Arial" w:hAnsi="Arial" w:cs="Arial"/>
          <w:sz w:val="22"/>
          <w:szCs w:val="22"/>
        </w:rPr>
        <w:t>Ya conociendo los diferentes escenarios posibles de importación, a continuación se analizará la cadena del Gas Natural Licuado cuyo fin último es determinar cuál es el punto óptimo para la adquisición de GNL con destino a Colombia.</w:t>
      </w:r>
    </w:p>
    <w:p w14:paraId="7261A4AB" w14:textId="77777777" w:rsidR="00914134" w:rsidRPr="003C5802" w:rsidRDefault="00914134" w:rsidP="00006B6F">
      <w:pPr>
        <w:pStyle w:val="Ttulo3"/>
      </w:pPr>
      <w:bookmarkStart w:id="208" w:name="_Toc403636382"/>
      <w:bookmarkStart w:id="209" w:name="_Toc403637348"/>
      <w:bookmarkStart w:id="210" w:name="_Toc403637943"/>
      <w:bookmarkStart w:id="211" w:name="_Toc403638048"/>
      <w:bookmarkStart w:id="212" w:name="_Toc403638292"/>
      <w:bookmarkStart w:id="213" w:name="_Toc530045836"/>
      <w:r w:rsidRPr="003C5802">
        <w:t>Cadena y costos del Gas Natural Licuado</w:t>
      </w:r>
      <w:bookmarkEnd w:id="208"/>
      <w:bookmarkEnd w:id="209"/>
      <w:bookmarkEnd w:id="210"/>
      <w:bookmarkEnd w:id="211"/>
      <w:bookmarkEnd w:id="212"/>
      <w:bookmarkEnd w:id="213"/>
      <w:r w:rsidRPr="003C5802">
        <w:t xml:space="preserve"> </w:t>
      </w:r>
    </w:p>
    <w:p w14:paraId="26F71AB3" w14:textId="77777777" w:rsidR="00914134" w:rsidRPr="00080006" w:rsidRDefault="00914134" w:rsidP="00914134">
      <w:pPr>
        <w:spacing w:before="240" w:after="240" w:line="276" w:lineRule="auto"/>
        <w:jc w:val="both"/>
        <w:rPr>
          <w:rFonts w:ascii="Arial" w:hAnsi="Arial" w:cs="Arial"/>
          <w:sz w:val="22"/>
          <w:szCs w:val="22"/>
        </w:rPr>
      </w:pPr>
      <w:r w:rsidRPr="00080006">
        <w:rPr>
          <w:rFonts w:ascii="Arial" w:hAnsi="Arial" w:cs="Arial"/>
          <w:sz w:val="22"/>
          <w:szCs w:val="22"/>
        </w:rPr>
        <w:t>El Gas Natural Licuado tiene una estructura de costos que inicia con las actividades de exploración y explotación cuya participación en el total puede representar entre un 25% a un 40% sobre el total del costo de la cadena, dependiendo del tipo de yacimiento del cual provenga el gas fuente. Posteriormente, continúa la etapa de licuefacción, la cual puede llegar a representar una tercera parte de costo total y que a futuro puede tener incidencias negativas por el constante aumento en la construcción de estas plantas, debido estimaciones de a los altos precios del acero.</w:t>
      </w:r>
    </w:p>
    <w:p w14:paraId="70C81220" w14:textId="77777777" w:rsidR="00914134" w:rsidRPr="00080006" w:rsidRDefault="00914134" w:rsidP="00914134">
      <w:pPr>
        <w:spacing w:before="240" w:after="240" w:line="276" w:lineRule="auto"/>
        <w:jc w:val="both"/>
        <w:rPr>
          <w:rFonts w:ascii="Arial" w:hAnsi="Arial" w:cs="Arial"/>
          <w:sz w:val="22"/>
          <w:szCs w:val="22"/>
        </w:rPr>
      </w:pPr>
      <w:r w:rsidRPr="00080006">
        <w:rPr>
          <w:rFonts w:ascii="Arial" w:hAnsi="Arial" w:cs="Arial"/>
          <w:sz w:val="22"/>
          <w:szCs w:val="22"/>
        </w:rPr>
        <w:t>El transporte marítimo puede llegar a constituir uno de los ítems de mayor valor dependiendo de la ubicación de la fuente de producción y el destino del producto. Vale anotar que en los últimos años la cantidad de tanqueros que movilizan el gas en grandes cantidades y mercados lejanos ha venido creciendo de manera importante, con lo cual los costos unitarios de esta actividad por MMBTU se han disminuido de manera importante.</w:t>
      </w:r>
    </w:p>
    <w:p w14:paraId="466C524E" w14:textId="77777777" w:rsidR="00914134" w:rsidRPr="00080006" w:rsidRDefault="00914134" w:rsidP="00914134">
      <w:pPr>
        <w:spacing w:before="240" w:after="240" w:line="276" w:lineRule="auto"/>
        <w:jc w:val="both"/>
        <w:rPr>
          <w:rFonts w:ascii="Arial" w:hAnsi="Arial" w:cs="Arial"/>
          <w:sz w:val="22"/>
          <w:szCs w:val="22"/>
        </w:rPr>
      </w:pPr>
      <w:r w:rsidRPr="00080006">
        <w:rPr>
          <w:rFonts w:ascii="Arial" w:hAnsi="Arial" w:cs="Arial"/>
          <w:sz w:val="22"/>
          <w:szCs w:val="22"/>
        </w:rPr>
        <w:lastRenderedPageBreak/>
        <w:t>Finalmente, la etapa de regasificación y almacenamiento depende de las necesidades de cada mercado, de su capacidad y de los costos de construcción. El costo de esta actividad puede representar el factor de menor peso en la estructura de costos de GNL y su participación relativa eventualmente puede significar entre un 10% y un 15% y básicamente consiste en retornar el gas natural al estado gaseoso original.</w:t>
      </w:r>
    </w:p>
    <w:p w14:paraId="449E5DC4" w14:textId="77777777" w:rsidR="00914134" w:rsidRPr="00080006" w:rsidRDefault="00914134" w:rsidP="00914134">
      <w:pPr>
        <w:spacing w:before="240" w:after="240" w:line="276" w:lineRule="auto"/>
        <w:jc w:val="both"/>
        <w:rPr>
          <w:rFonts w:ascii="Arial" w:hAnsi="Arial" w:cs="Arial"/>
          <w:sz w:val="22"/>
          <w:szCs w:val="22"/>
        </w:rPr>
      </w:pPr>
      <w:r w:rsidRPr="00080006">
        <w:rPr>
          <w:rFonts w:ascii="Arial" w:hAnsi="Arial" w:cs="Arial"/>
          <w:sz w:val="22"/>
          <w:szCs w:val="22"/>
        </w:rPr>
        <w:t>A continuación, se hace una breve descripción de cada uno de los costos unitarios y su valor para el caso de Colombia.</w:t>
      </w:r>
    </w:p>
    <w:p w14:paraId="0A800378" w14:textId="77777777" w:rsidR="00914134" w:rsidRPr="003C5802" w:rsidRDefault="00914134" w:rsidP="00914134">
      <w:pPr>
        <w:pStyle w:val="EstiloTitulos"/>
        <w:ind w:left="1276"/>
        <w:rPr>
          <w:rFonts w:ascii="Arial" w:hAnsi="Arial" w:cs="Arial"/>
          <w:color w:val="auto"/>
          <w:sz w:val="22"/>
          <w:szCs w:val="22"/>
        </w:rPr>
      </w:pPr>
      <w:bookmarkStart w:id="214" w:name="_Toc530045837"/>
      <w:r w:rsidRPr="003C5802">
        <w:rPr>
          <w:rFonts w:ascii="Arial" w:hAnsi="Arial" w:cs="Arial"/>
          <w:color w:val="auto"/>
          <w:sz w:val="22"/>
          <w:szCs w:val="22"/>
        </w:rPr>
        <w:t>Licuefacción</w:t>
      </w:r>
      <w:bookmarkEnd w:id="214"/>
      <w:r w:rsidRPr="003C5802">
        <w:rPr>
          <w:rFonts w:ascii="Arial" w:hAnsi="Arial" w:cs="Arial"/>
          <w:color w:val="auto"/>
          <w:sz w:val="22"/>
          <w:szCs w:val="22"/>
        </w:rPr>
        <w:t xml:space="preserve"> </w:t>
      </w:r>
    </w:p>
    <w:p w14:paraId="6C11CF35" w14:textId="6A411D81" w:rsidR="00914134" w:rsidRPr="00080006" w:rsidRDefault="00914134" w:rsidP="00914134">
      <w:pPr>
        <w:spacing w:before="240" w:after="240" w:line="276" w:lineRule="auto"/>
        <w:jc w:val="both"/>
        <w:rPr>
          <w:rFonts w:ascii="Arial" w:hAnsi="Arial" w:cs="Arial"/>
          <w:sz w:val="22"/>
          <w:szCs w:val="22"/>
        </w:rPr>
      </w:pPr>
      <w:r w:rsidRPr="00080006">
        <w:rPr>
          <w:rFonts w:ascii="Arial" w:hAnsi="Arial" w:cs="Arial"/>
          <w:sz w:val="22"/>
          <w:szCs w:val="22"/>
        </w:rPr>
        <w:t xml:space="preserve">La licuefacción es el proceso de volver líquido el gas mediante un proceso de refrigeración. Este proceso, hace que en una unidad </w:t>
      </w:r>
      <w:r w:rsidR="00080006" w:rsidRPr="00080006">
        <w:rPr>
          <w:rFonts w:ascii="Arial" w:hAnsi="Arial" w:cs="Arial"/>
          <w:sz w:val="22"/>
          <w:szCs w:val="22"/>
        </w:rPr>
        <w:t xml:space="preserve">se pueda transportar hasta 600 </w:t>
      </w:r>
      <w:r w:rsidRPr="00080006">
        <w:rPr>
          <w:rFonts w:ascii="Arial" w:hAnsi="Arial" w:cs="Arial"/>
          <w:sz w:val="22"/>
          <w:szCs w:val="22"/>
        </w:rPr>
        <w:t>veces el volumen que inicialmente se podría transportar con este combustible en estado gaseoso. Es entonces por el manejo de grandes volúmenes, que el GNL es tan atractivo para comercialización a grandes escalas e internacionalmente.</w:t>
      </w:r>
    </w:p>
    <w:p w14:paraId="02472270" w14:textId="77777777" w:rsidR="00914134" w:rsidRPr="00080006" w:rsidRDefault="00914134" w:rsidP="00914134">
      <w:pPr>
        <w:spacing w:before="240" w:after="240" w:line="276" w:lineRule="auto"/>
        <w:jc w:val="both"/>
        <w:rPr>
          <w:rFonts w:ascii="Arial" w:hAnsi="Arial" w:cs="Arial"/>
          <w:sz w:val="22"/>
          <w:szCs w:val="22"/>
        </w:rPr>
      </w:pPr>
      <w:r w:rsidRPr="00080006">
        <w:rPr>
          <w:rFonts w:ascii="Arial" w:hAnsi="Arial" w:cs="Arial"/>
          <w:sz w:val="22"/>
          <w:szCs w:val="22"/>
        </w:rPr>
        <w:t>Este costo dentro de la cadena del GNL, depende directamente del costo de capital de la planta de licuefacción y de las condiciones del proyecto. En principio, en una planta de licuefacción se desarrollan actividades como: tratamiento, fraccionamiento, almacenamiento, descarga, refrigeración y licuefacción. Así entonces, se puede concluir que uno de los factores que más influye en el costo de la licuefacción es la pureza del gas, teniendo menos costo de capital en la medida que el gas tenga más porcentaje de metano. Por otra parte, la utilización de la planta y la mitigación de efectos ambientales pueden hacer variar los costos de licuefacción de manera importante, haciendo que el costo de la cadena de suministro de GNL cambie dependiendo de la fuente de importación.</w:t>
      </w:r>
    </w:p>
    <w:p w14:paraId="7E00D1AA" w14:textId="77777777" w:rsidR="00914134" w:rsidRPr="003C5802" w:rsidRDefault="00914134" w:rsidP="00914134">
      <w:pPr>
        <w:pStyle w:val="EstiloTitulos"/>
        <w:ind w:left="1276" w:hanging="357"/>
        <w:rPr>
          <w:rFonts w:ascii="Arial" w:hAnsi="Arial" w:cs="Arial"/>
          <w:color w:val="auto"/>
          <w:sz w:val="22"/>
          <w:szCs w:val="22"/>
        </w:rPr>
      </w:pPr>
      <w:bookmarkStart w:id="215" w:name="_Toc383530421"/>
      <w:bookmarkStart w:id="216" w:name="_Toc403636384"/>
      <w:bookmarkStart w:id="217" w:name="_Toc403637350"/>
      <w:bookmarkStart w:id="218" w:name="_Toc403638050"/>
      <w:bookmarkStart w:id="219" w:name="_Toc403638294"/>
      <w:bookmarkStart w:id="220" w:name="_Toc530045838"/>
      <w:r w:rsidRPr="003C5802">
        <w:rPr>
          <w:rFonts w:ascii="Arial" w:hAnsi="Arial" w:cs="Arial"/>
          <w:color w:val="auto"/>
          <w:sz w:val="22"/>
          <w:szCs w:val="22"/>
        </w:rPr>
        <w:t>Transporte</w:t>
      </w:r>
      <w:bookmarkEnd w:id="215"/>
      <w:bookmarkEnd w:id="216"/>
      <w:bookmarkEnd w:id="217"/>
      <w:bookmarkEnd w:id="218"/>
      <w:bookmarkEnd w:id="219"/>
      <w:bookmarkEnd w:id="220"/>
    </w:p>
    <w:p w14:paraId="007862B2" w14:textId="1E696024" w:rsidR="00914134" w:rsidRPr="000E28A3" w:rsidRDefault="00914134" w:rsidP="00914134">
      <w:pPr>
        <w:spacing w:before="240" w:after="240" w:line="276" w:lineRule="auto"/>
        <w:jc w:val="both"/>
        <w:rPr>
          <w:rFonts w:ascii="Arial" w:hAnsi="Arial" w:cs="Arial"/>
          <w:sz w:val="22"/>
          <w:szCs w:val="22"/>
          <w:highlight w:val="yellow"/>
        </w:rPr>
      </w:pPr>
      <w:r w:rsidRPr="000E28A3">
        <w:rPr>
          <w:rFonts w:ascii="Arial" w:hAnsi="Arial" w:cs="Arial"/>
          <w:sz w:val="22"/>
          <w:szCs w:val="22"/>
        </w:rPr>
        <w:t>El transporte del Gas Natural Licuado se realiza en buques con capacidades que pueden variar</w:t>
      </w:r>
      <w:r w:rsidR="00080006">
        <w:rPr>
          <w:rFonts w:ascii="Arial" w:hAnsi="Arial" w:cs="Arial"/>
          <w:sz w:val="22"/>
          <w:szCs w:val="22"/>
        </w:rPr>
        <w:t xml:space="preserve"> entre los 71,</w:t>
      </w:r>
      <w:r>
        <w:rPr>
          <w:rFonts w:ascii="Arial" w:hAnsi="Arial" w:cs="Arial"/>
          <w:sz w:val="22"/>
          <w:szCs w:val="22"/>
        </w:rPr>
        <w:t>500</w:t>
      </w:r>
      <w:r w:rsidR="00080006">
        <w:rPr>
          <w:rFonts w:ascii="Arial" w:hAnsi="Arial" w:cs="Arial"/>
          <w:sz w:val="22"/>
          <w:szCs w:val="22"/>
        </w:rPr>
        <w:t xml:space="preserve"> m</w:t>
      </w:r>
      <w:r w:rsidR="00080006" w:rsidRPr="00080006">
        <w:rPr>
          <w:rFonts w:ascii="Arial" w:hAnsi="Arial" w:cs="Arial"/>
          <w:sz w:val="22"/>
          <w:szCs w:val="22"/>
          <w:vertAlign w:val="superscript"/>
        </w:rPr>
        <w:t>3</w:t>
      </w:r>
      <w:r>
        <w:rPr>
          <w:rFonts w:ascii="Arial" w:hAnsi="Arial" w:cs="Arial"/>
          <w:sz w:val="22"/>
          <w:szCs w:val="22"/>
        </w:rPr>
        <w:t xml:space="preserve"> hasta los 267,</w:t>
      </w:r>
      <w:r w:rsidRPr="000E28A3">
        <w:rPr>
          <w:rFonts w:ascii="Arial" w:hAnsi="Arial" w:cs="Arial"/>
          <w:sz w:val="22"/>
          <w:szCs w:val="22"/>
        </w:rPr>
        <w:t>000 m³ de GNL. De acuerdo con la capacidad de almacenamiento establecida en el proyecto de Cartagena, el transporte se calcula inicialmente con las características técnicas y económicas de un buque se 170</w:t>
      </w:r>
      <w:r>
        <w:rPr>
          <w:rFonts w:ascii="Arial" w:hAnsi="Arial" w:cs="Arial"/>
          <w:sz w:val="22"/>
          <w:szCs w:val="22"/>
        </w:rPr>
        <w:t>,</w:t>
      </w:r>
      <w:r w:rsidRPr="000E28A3">
        <w:rPr>
          <w:rFonts w:ascii="Arial" w:hAnsi="Arial" w:cs="Arial"/>
          <w:sz w:val="22"/>
          <w:szCs w:val="22"/>
        </w:rPr>
        <w:t>000 m³ de GNL</w:t>
      </w:r>
      <w:r>
        <w:rPr>
          <w:rFonts w:ascii="Arial" w:hAnsi="Arial" w:cs="Arial"/>
          <w:sz w:val="22"/>
          <w:szCs w:val="22"/>
        </w:rPr>
        <w:t xml:space="preserve"> </w:t>
      </w:r>
      <w:r>
        <w:rPr>
          <w:rFonts w:ascii="Arial" w:hAnsi="Arial" w:cs="Arial"/>
          <w:sz w:val="22"/>
          <w:szCs w:val="22"/>
          <w:highlight w:val="yellow"/>
        </w:rPr>
        <w:t>(</w:t>
      </w:r>
      <w:r w:rsidRPr="000E28A3">
        <w:rPr>
          <w:rFonts w:ascii="Arial" w:hAnsi="Arial" w:cs="Arial"/>
          <w:sz w:val="22"/>
          <w:szCs w:val="22"/>
          <w:highlight w:val="yellow"/>
        </w:rPr>
        <w:fldChar w:fldCharType="begin"/>
      </w:r>
      <w:r w:rsidRPr="000E28A3">
        <w:rPr>
          <w:rFonts w:ascii="Arial" w:hAnsi="Arial" w:cs="Arial"/>
          <w:sz w:val="22"/>
          <w:szCs w:val="22"/>
          <w:highlight w:val="yellow"/>
        </w:rPr>
        <w:instrText xml:space="preserve"> REF _Ref529522285 \h  \* MERGEFORMAT </w:instrText>
      </w:r>
      <w:r w:rsidRPr="000E28A3">
        <w:rPr>
          <w:rFonts w:ascii="Arial" w:hAnsi="Arial" w:cs="Arial"/>
          <w:sz w:val="22"/>
          <w:szCs w:val="22"/>
          <w:highlight w:val="yellow"/>
        </w:rPr>
      </w:r>
      <w:r w:rsidRPr="000E28A3">
        <w:rPr>
          <w:rFonts w:ascii="Arial" w:hAnsi="Arial" w:cs="Arial"/>
          <w:sz w:val="22"/>
          <w:szCs w:val="22"/>
          <w:highlight w:val="yellow"/>
        </w:rPr>
        <w:fldChar w:fldCharType="separate"/>
      </w:r>
      <w:r w:rsidR="00915705" w:rsidRPr="00915705">
        <w:rPr>
          <w:rFonts w:ascii="Arial" w:hAnsi="Arial" w:cs="Arial"/>
          <w:sz w:val="22"/>
          <w:szCs w:val="22"/>
          <w:highlight w:val="yellow"/>
        </w:rPr>
        <w:t>Tabla 3</w:t>
      </w:r>
      <w:r w:rsidR="00915705" w:rsidRPr="00915705">
        <w:rPr>
          <w:rFonts w:ascii="Arial" w:hAnsi="Arial" w:cs="Arial"/>
          <w:sz w:val="22"/>
          <w:szCs w:val="22"/>
          <w:highlight w:val="yellow"/>
        </w:rPr>
        <w:noBreakHyphen/>
        <w:t>2</w:t>
      </w:r>
      <w:r w:rsidRPr="000E28A3">
        <w:rPr>
          <w:rFonts w:ascii="Arial" w:hAnsi="Arial" w:cs="Arial"/>
          <w:sz w:val="22"/>
          <w:szCs w:val="22"/>
          <w:highlight w:val="yellow"/>
        </w:rPr>
        <w:fldChar w:fldCharType="end"/>
      </w:r>
      <w:r>
        <w:rPr>
          <w:rFonts w:ascii="Arial" w:hAnsi="Arial" w:cs="Arial"/>
          <w:sz w:val="22"/>
          <w:szCs w:val="22"/>
          <w:highlight w:val="yellow"/>
        </w:rPr>
        <w:t>).</w:t>
      </w:r>
    </w:p>
    <w:p w14:paraId="256EFB7E" w14:textId="072D72D7" w:rsidR="00914134" w:rsidRPr="000E28A3" w:rsidRDefault="00080006" w:rsidP="00914134">
      <w:pPr>
        <w:spacing w:before="240" w:after="240" w:line="276" w:lineRule="auto"/>
        <w:jc w:val="both"/>
        <w:rPr>
          <w:rFonts w:ascii="Arial" w:hAnsi="Arial" w:cs="Arial"/>
          <w:sz w:val="22"/>
          <w:szCs w:val="22"/>
        </w:rPr>
      </w:pPr>
      <w:r>
        <w:rPr>
          <w:rFonts w:ascii="Arial" w:hAnsi="Arial" w:cs="Arial"/>
          <w:sz w:val="22"/>
          <w:szCs w:val="22"/>
        </w:rPr>
        <w:t xml:space="preserve">En la </w:t>
      </w:r>
      <w:r w:rsidRPr="00080006">
        <w:rPr>
          <w:rFonts w:ascii="Arial" w:hAnsi="Arial" w:cs="Arial"/>
          <w:sz w:val="22"/>
          <w:szCs w:val="22"/>
        </w:rPr>
        <w:fldChar w:fldCharType="begin"/>
      </w:r>
      <w:r w:rsidRPr="00080006">
        <w:rPr>
          <w:rFonts w:ascii="Arial" w:hAnsi="Arial" w:cs="Arial"/>
          <w:sz w:val="22"/>
          <w:szCs w:val="22"/>
        </w:rPr>
        <w:instrText xml:space="preserve"> REF _Ref447019251 \h  \* MERGEFORMAT </w:instrText>
      </w:r>
      <w:r w:rsidRPr="00080006">
        <w:rPr>
          <w:rFonts w:ascii="Arial" w:hAnsi="Arial" w:cs="Arial"/>
          <w:sz w:val="22"/>
          <w:szCs w:val="22"/>
        </w:rPr>
      </w:r>
      <w:r w:rsidRPr="00080006">
        <w:rPr>
          <w:rFonts w:ascii="Arial" w:hAnsi="Arial" w:cs="Arial"/>
          <w:sz w:val="22"/>
          <w:szCs w:val="22"/>
        </w:rPr>
        <w:fldChar w:fldCharType="separate"/>
      </w:r>
      <w:r w:rsidRPr="00080006">
        <w:rPr>
          <w:rFonts w:ascii="Arial" w:hAnsi="Arial" w:cs="Arial"/>
          <w:iCs/>
          <w:sz w:val="22"/>
          <w:szCs w:val="22"/>
          <w:highlight w:val="yellow"/>
        </w:rPr>
        <w:t xml:space="preserve">Tabla </w:t>
      </w:r>
      <w:r w:rsidRPr="00080006">
        <w:rPr>
          <w:rFonts w:ascii="Arial" w:hAnsi="Arial" w:cs="Arial"/>
          <w:iCs/>
          <w:noProof/>
          <w:sz w:val="22"/>
          <w:szCs w:val="22"/>
          <w:highlight w:val="yellow"/>
        </w:rPr>
        <w:t>3</w:t>
      </w:r>
      <w:r w:rsidRPr="00080006">
        <w:rPr>
          <w:rFonts w:ascii="Arial" w:hAnsi="Arial" w:cs="Arial"/>
          <w:iCs/>
          <w:sz w:val="22"/>
          <w:szCs w:val="22"/>
          <w:highlight w:val="yellow"/>
        </w:rPr>
        <w:noBreakHyphen/>
      </w:r>
      <w:r w:rsidRPr="00080006">
        <w:rPr>
          <w:rFonts w:ascii="Arial" w:hAnsi="Arial" w:cs="Arial"/>
          <w:iCs/>
          <w:noProof/>
          <w:sz w:val="22"/>
          <w:szCs w:val="22"/>
          <w:highlight w:val="yellow"/>
        </w:rPr>
        <w:t>4</w:t>
      </w:r>
      <w:r w:rsidRPr="00080006">
        <w:rPr>
          <w:rFonts w:ascii="Arial" w:hAnsi="Arial" w:cs="Arial"/>
          <w:sz w:val="22"/>
          <w:szCs w:val="22"/>
        </w:rPr>
        <w:fldChar w:fldCharType="end"/>
      </w:r>
      <w:r>
        <w:rPr>
          <w:rFonts w:ascii="Arial" w:hAnsi="Arial" w:cs="Arial"/>
          <w:sz w:val="22"/>
          <w:szCs w:val="22"/>
        </w:rPr>
        <w:t xml:space="preserve"> </w:t>
      </w:r>
      <w:r w:rsidR="00914134" w:rsidRPr="000E28A3">
        <w:rPr>
          <w:rFonts w:ascii="Arial" w:hAnsi="Arial" w:cs="Arial"/>
          <w:sz w:val="22"/>
          <w:szCs w:val="22"/>
        </w:rPr>
        <w:t>se muestran las características más importantes de este tipo de buque para calcular su costo de acuerdo a la distancia del exportador. Entre estas características se encuentran la velocidad del buque, el costo del flete en dólares, las pérdidas de GNL por transporte representadas en el Boil Off, que es el gas evaporado durante el trayecto y usado como combustible y el Heel, que muestra la cantidad mínima de GNL que debe conservarse en los tanques del barco durante el trayecto.</w:t>
      </w:r>
    </w:p>
    <w:p w14:paraId="2DB2C66D" w14:textId="42F0DA2B" w:rsidR="00914134" w:rsidRPr="000E28A3" w:rsidRDefault="00914134" w:rsidP="00914134">
      <w:pPr>
        <w:spacing w:before="240" w:after="240" w:line="276" w:lineRule="auto"/>
        <w:jc w:val="both"/>
        <w:rPr>
          <w:rFonts w:ascii="Arial" w:hAnsi="Arial" w:cs="Arial"/>
          <w:sz w:val="22"/>
          <w:szCs w:val="22"/>
          <w:highlight w:val="yellow"/>
        </w:rPr>
      </w:pPr>
      <w:r w:rsidRPr="000E28A3">
        <w:rPr>
          <w:rFonts w:ascii="Arial" w:hAnsi="Arial" w:cs="Arial"/>
          <w:sz w:val="22"/>
          <w:szCs w:val="22"/>
        </w:rPr>
        <w:t xml:space="preserve">Con las principales características del buque para el sistema de importación en Colombia y ya identificados los potenciales exportadores de Gas Natural Licuado a Colombia, se procede a realizar un análisis detallado de las rutas marítimas partiendo de las plantas de licuefacción que actualmente se encuentran en funcionamiento, para definir las distancias y, como consecuencia, </w:t>
      </w:r>
      <w:r w:rsidRPr="000E28A3">
        <w:rPr>
          <w:rFonts w:ascii="Arial" w:hAnsi="Arial" w:cs="Arial"/>
          <w:sz w:val="22"/>
          <w:szCs w:val="22"/>
        </w:rPr>
        <w:lastRenderedPageBreak/>
        <w:t>el tiempo que tomaría cada una de las opciones de exportación, según se evidencia en la</w:t>
      </w:r>
      <w:bookmarkStart w:id="221" w:name="_Ref401271796"/>
      <w:bookmarkStart w:id="222" w:name="_Toc401316971"/>
      <w:bookmarkStart w:id="223" w:name="_Toc403641010"/>
      <w:bookmarkStart w:id="224" w:name="_Toc403641249"/>
      <w:bookmarkStart w:id="225" w:name="_Toc403641405"/>
      <w:bookmarkStart w:id="226" w:name="_Toc403641957"/>
      <w:bookmarkStart w:id="227" w:name="_Toc403642007"/>
      <w:r w:rsidRPr="000E28A3">
        <w:rPr>
          <w:rFonts w:ascii="Arial" w:hAnsi="Arial" w:cs="Arial"/>
          <w:sz w:val="22"/>
          <w:szCs w:val="22"/>
        </w:rPr>
        <w:t xml:space="preserve"> </w:t>
      </w:r>
      <w:r w:rsidRPr="000E28A3">
        <w:rPr>
          <w:rFonts w:ascii="Arial" w:hAnsi="Arial" w:cs="Arial"/>
          <w:sz w:val="22"/>
          <w:szCs w:val="22"/>
          <w:highlight w:val="yellow"/>
        </w:rPr>
        <w:fldChar w:fldCharType="begin"/>
      </w:r>
      <w:r w:rsidRPr="000E28A3">
        <w:rPr>
          <w:rFonts w:ascii="Arial" w:hAnsi="Arial" w:cs="Arial"/>
          <w:sz w:val="22"/>
          <w:szCs w:val="22"/>
          <w:highlight w:val="yellow"/>
        </w:rPr>
        <w:instrText xml:space="preserve"> REF _Ref447019202 \h  \* MERGEFORMAT </w:instrText>
      </w:r>
      <w:r w:rsidRPr="000E28A3">
        <w:rPr>
          <w:rFonts w:ascii="Arial" w:hAnsi="Arial" w:cs="Arial"/>
          <w:sz w:val="22"/>
          <w:szCs w:val="22"/>
          <w:highlight w:val="yellow"/>
        </w:rPr>
      </w:r>
      <w:r w:rsidRPr="000E28A3">
        <w:rPr>
          <w:rFonts w:ascii="Arial" w:hAnsi="Arial" w:cs="Arial"/>
          <w:sz w:val="22"/>
          <w:szCs w:val="22"/>
          <w:highlight w:val="yellow"/>
        </w:rPr>
        <w:fldChar w:fldCharType="separate"/>
      </w:r>
      <w:r w:rsidR="00915705" w:rsidRPr="00915705">
        <w:rPr>
          <w:rFonts w:ascii="Arial" w:hAnsi="Arial" w:cs="Arial"/>
          <w:sz w:val="22"/>
          <w:szCs w:val="22"/>
          <w:highlight w:val="yellow"/>
        </w:rPr>
        <w:t>Gráfica 3</w:t>
      </w:r>
      <w:r w:rsidR="00915705" w:rsidRPr="00915705">
        <w:rPr>
          <w:rFonts w:ascii="Arial" w:hAnsi="Arial" w:cs="Arial"/>
          <w:sz w:val="22"/>
          <w:szCs w:val="22"/>
          <w:highlight w:val="yellow"/>
        </w:rPr>
        <w:noBreakHyphen/>
        <w:t>11</w:t>
      </w:r>
      <w:r w:rsidRPr="000E28A3">
        <w:rPr>
          <w:rFonts w:ascii="Arial" w:hAnsi="Arial" w:cs="Arial"/>
          <w:sz w:val="22"/>
          <w:szCs w:val="22"/>
          <w:highlight w:val="yellow"/>
        </w:rPr>
        <w:fldChar w:fldCharType="end"/>
      </w:r>
      <w:r w:rsidR="0087735A">
        <w:rPr>
          <w:rFonts w:ascii="Arial" w:hAnsi="Arial" w:cs="Arial"/>
          <w:sz w:val="22"/>
          <w:szCs w:val="22"/>
          <w:highlight w:val="yellow"/>
        </w:rPr>
        <w:t xml:space="preserve"> y </w:t>
      </w:r>
      <w:r w:rsidR="003C5802" w:rsidRPr="003C5802">
        <w:rPr>
          <w:rFonts w:ascii="Arial" w:hAnsi="Arial" w:cs="Arial"/>
          <w:sz w:val="22"/>
          <w:szCs w:val="22"/>
          <w:highlight w:val="yellow"/>
        </w:rPr>
        <w:fldChar w:fldCharType="begin"/>
      </w:r>
      <w:r w:rsidR="003C5802" w:rsidRPr="003C5802">
        <w:rPr>
          <w:rFonts w:ascii="Arial" w:hAnsi="Arial" w:cs="Arial"/>
          <w:sz w:val="22"/>
          <w:szCs w:val="22"/>
          <w:highlight w:val="yellow"/>
        </w:rPr>
        <w:instrText xml:space="preserve"> REF _Ref529977940 \h  \* MERGEFORMAT </w:instrText>
      </w:r>
      <w:r w:rsidR="003C5802" w:rsidRPr="003C5802">
        <w:rPr>
          <w:rFonts w:ascii="Arial" w:hAnsi="Arial" w:cs="Arial"/>
          <w:sz w:val="22"/>
          <w:szCs w:val="22"/>
          <w:highlight w:val="yellow"/>
        </w:rPr>
      </w:r>
      <w:r w:rsidR="003C5802" w:rsidRPr="003C5802">
        <w:rPr>
          <w:rFonts w:ascii="Arial" w:hAnsi="Arial" w:cs="Arial"/>
          <w:sz w:val="22"/>
          <w:szCs w:val="22"/>
          <w:highlight w:val="yellow"/>
        </w:rPr>
        <w:fldChar w:fldCharType="separate"/>
      </w:r>
      <w:r w:rsidR="003C5802" w:rsidRPr="003C5802">
        <w:rPr>
          <w:rFonts w:ascii="Arial" w:hAnsi="Arial" w:cs="Arial"/>
          <w:iCs/>
          <w:sz w:val="22"/>
          <w:szCs w:val="22"/>
          <w:highlight w:val="yellow"/>
        </w:rPr>
        <w:t xml:space="preserve">Gráfica </w:t>
      </w:r>
      <w:r w:rsidR="003C5802" w:rsidRPr="003C5802">
        <w:rPr>
          <w:rFonts w:ascii="Arial" w:hAnsi="Arial" w:cs="Arial"/>
          <w:iCs/>
          <w:noProof/>
          <w:sz w:val="22"/>
          <w:szCs w:val="22"/>
          <w:highlight w:val="yellow"/>
        </w:rPr>
        <w:t>3</w:t>
      </w:r>
      <w:r w:rsidR="003C5802" w:rsidRPr="003C5802">
        <w:rPr>
          <w:rFonts w:ascii="Arial" w:hAnsi="Arial" w:cs="Arial"/>
          <w:iCs/>
          <w:sz w:val="22"/>
          <w:szCs w:val="22"/>
          <w:highlight w:val="yellow"/>
        </w:rPr>
        <w:noBreakHyphen/>
      </w:r>
      <w:r w:rsidR="003C5802" w:rsidRPr="003C5802">
        <w:rPr>
          <w:rFonts w:ascii="Arial" w:hAnsi="Arial" w:cs="Arial"/>
          <w:iCs/>
          <w:noProof/>
          <w:sz w:val="22"/>
          <w:szCs w:val="22"/>
          <w:highlight w:val="yellow"/>
        </w:rPr>
        <w:t>12</w:t>
      </w:r>
      <w:r w:rsidR="003C5802" w:rsidRPr="003C5802">
        <w:rPr>
          <w:rFonts w:ascii="Arial" w:hAnsi="Arial" w:cs="Arial"/>
          <w:sz w:val="22"/>
          <w:szCs w:val="22"/>
          <w:highlight w:val="yellow"/>
        </w:rPr>
        <w:fldChar w:fldCharType="end"/>
      </w:r>
      <w:r w:rsidR="008D5184" w:rsidRPr="003C5802">
        <w:rPr>
          <w:rFonts w:ascii="Arial" w:hAnsi="Arial" w:cs="Arial"/>
          <w:sz w:val="22"/>
          <w:szCs w:val="22"/>
        </w:rPr>
        <w:t>.</w:t>
      </w:r>
    </w:p>
    <w:p w14:paraId="3E7304AC" w14:textId="08BE960B" w:rsidR="00914134" w:rsidRPr="007A34A8" w:rsidRDefault="00914134" w:rsidP="00914134">
      <w:pPr>
        <w:pStyle w:val="Descripcin"/>
        <w:spacing w:after="0"/>
        <w:jc w:val="center"/>
        <w:rPr>
          <w:rFonts w:eastAsiaTheme="minorHAnsi" w:cs="Arial"/>
          <w:b/>
          <w:i w:val="0"/>
          <w:iCs w:val="0"/>
          <w:color w:val="auto"/>
          <w:sz w:val="20"/>
          <w:szCs w:val="22"/>
          <w:highlight w:val="yellow"/>
          <w:lang w:val="es-ES_tradnl" w:eastAsia="en-US"/>
        </w:rPr>
      </w:pPr>
      <w:bookmarkStart w:id="228" w:name="_Ref447019202"/>
      <w:bookmarkStart w:id="229" w:name="_Toc447097995"/>
      <w:bookmarkStart w:id="230" w:name="_Toc499799367"/>
      <w:bookmarkStart w:id="231" w:name="_Toc530033414"/>
      <w:r w:rsidRPr="007A34A8">
        <w:rPr>
          <w:rFonts w:eastAsiaTheme="minorHAnsi" w:cs="Arial"/>
          <w:b/>
          <w:i w:val="0"/>
          <w:iCs w:val="0"/>
          <w:color w:val="auto"/>
          <w:sz w:val="20"/>
          <w:szCs w:val="22"/>
          <w:highlight w:val="yellow"/>
          <w:lang w:val="es-ES_tradnl" w:eastAsia="en-US"/>
        </w:rPr>
        <w:t xml:space="preserve">Gráfica </w:t>
      </w:r>
      <w:r w:rsidR="00DA50A5">
        <w:rPr>
          <w:rFonts w:eastAsiaTheme="minorHAnsi" w:cs="Arial"/>
          <w:b/>
          <w:i w:val="0"/>
          <w:iCs w:val="0"/>
          <w:color w:val="auto"/>
          <w:sz w:val="20"/>
          <w:szCs w:val="22"/>
          <w:highlight w:val="yellow"/>
          <w:lang w:val="es-ES_tradnl" w:eastAsia="en-US"/>
        </w:rPr>
        <w:fldChar w:fldCharType="begin"/>
      </w:r>
      <w:r w:rsidR="00DA50A5">
        <w:rPr>
          <w:rFonts w:eastAsiaTheme="minorHAnsi" w:cs="Arial"/>
          <w:b/>
          <w:i w:val="0"/>
          <w:iCs w:val="0"/>
          <w:color w:val="auto"/>
          <w:sz w:val="20"/>
          <w:szCs w:val="22"/>
          <w:highlight w:val="yellow"/>
          <w:lang w:val="es-ES_tradnl" w:eastAsia="en-US"/>
        </w:rPr>
        <w:instrText xml:space="preserve"> STYLEREF 1 \s </w:instrText>
      </w:r>
      <w:r w:rsidR="00DA50A5">
        <w:rPr>
          <w:rFonts w:eastAsiaTheme="minorHAnsi" w:cs="Arial"/>
          <w:b/>
          <w:i w:val="0"/>
          <w:iCs w:val="0"/>
          <w:color w:val="auto"/>
          <w:sz w:val="20"/>
          <w:szCs w:val="22"/>
          <w:highlight w:val="yellow"/>
          <w:lang w:val="es-ES_tradnl" w:eastAsia="en-US"/>
        </w:rPr>
        <w:fldChar w:fldCharType="separate"/>
      </w:r>
      <w:r w:rsidR="00DA50A5">
        <w:rPr>
          <w:rFonts w:eastAsiaTheme="minorHAnsi" w:cs="Arial"/>
          <w:b/>
          <w:i w:val="0"/>
          <w:iCs w:val="0"/>
          <w:noProof/>
          <w:color w:val="auto"/>
          <w:sz w:val="20"/>
          <w:szCs w:val="22"/>
          <w:highlight w:val="yellow"/>
          <w:lang w:val="es-ES_tradnl" w:eastAsia="en-US"/>
        </w:rPr>
        <w:t>3</w:t>
      </w:r>
      <w:r w:rsidR="00DA50A5">
        <w:rPr>
          <w:rFonts w:eastAsiaTheme="minorHAnsi" w:cs="Arial"/>
          <w:b/>
          <w:i w:val="0"/>
          <w:iCs w:val="0"/>
          <w:color w:val="auto"/>
          <w:sz w:val="20"/>
          <w:szCs w:val="22"/>
          <w:highlight w:val="yellow"/>
          <w:lang w:val="es-ES_tradnl" w:eastAsia="en-US"/>
        </w:rPr>
        <w:fldChar w:fldCharType="end"/>
      </w:r>
      <w:r w:rsidR="00DA50A5">
        <w:rPr>
          <w:rFonts w:eastAsiaTheme="minorHAnsi" w:cs="Arial"/>
          <w:b/>
          <w:i w:val="0"/>
          <w:iCs w:val="0"/>
          <w:color w:val="auto"/>
          <w:sz w:val="20"/>
          <w:szCs w:val="22"/>
          <w:highlight w:val="yellow"/>
          <w:lang w:val="es-ES_tradnl" w:eastAsia="en-US"/>
        </w:rPr>
        <w:noBreakHyphen/>
      </w:r>
      <w:r w:rsidR="00DA50A5">
        <w:rPr>
          <w:rFonts w:eastAsiaTheme="minorHAnsi" w:cs="Arial"/>
          <w:b/>
          <w:i w:val="0"/>
          <w:iCs w:val="0"/>
          <w:color w:val="auto"/>
          <w:sz w:val="20"/>
          <w:szCs w:val="22"/>
          <w:highlight w:val="yellow"/>
          <w:lang w:val="es-ES_tradnl" w:eastAsia="en-US"/>
        </w:rPr>
        <w:fldChar w:fldCharType="begin"/>
      </w:r>
      <w:r w:rsidR="00DA50A5">
        <w:rPr>
          <w:rFonts w:eastAsiaTheme="minorHAnsi" w:cs="Arial"/>
          <w:b/>
          <w:i w:val="0"/>
          <w:iCs w:val="0"/>
          <w:color w:val="auto"/>
          <w:sz w:val="20"/>
          <w:szCs w:val="22"/>
          <w:highlight w:val="yellow"/>
          <w:lang w:val="es-ES_tradnl" w:eastAsia="en-US"/>
        </w:rPr>
        <w:instrText xml:space="preserve"> SEQ Gráfica \* ARABIC \s 1 </w:instrText>
      </w:r>
      <w:r w:rsidR="00DA50A5">
        <w:rPr>
          <w:rFonts w:eastAsiaTheme="minorHAnsi" w:cs="Arial"/>
          <w:b/>
          <w:i w:val="0"/>
          <w:iCs w:val="0"/>
          <w:color w:val="auto"/>
          <w:sz w:val="20"/>
          <w:szCs w:val="22"/>
          <w:highlight w:val="yellow"/>
          <w:lang w:val="es-ES_tradnl" w:eastAsia="en-US"/>
        </w:rPr>
        <w:fldChar w:fldCharType="separate"/>
      </w:r>
      <w:r w:rsidR="00DA50A5">
        <w:rPr>
          <w:rFonts w:eastAsiaTheme="minorHAnsi" w:cs="Arial"/>
          <w:b/>
          <w:i w:val="0"/>
          <w:iCs w:val="0"/>
          <w:noProof/>
          <w:color w:val="auto"/>
          <w:sz w:val="20"/>
          <w:szCs w:val="22"/>
          <w:highlight w:val="yellow"/>
          <w:lang w:val="es-ES_tradnl" w:eastAsia="en-US"/>
        </w:rPr>
        <w:t>11</w:t>
      </w:r>
      <w:r w:rsidR="00DA50A5">
        <w:rPr>
          <w:rFonts w:eastAsiaTheme="minorHAnsi" w:cs="Arial"/>
          <w:b/>
          <w:i w:val="0"/>
          <w:iCs w:val="0"/>
          <w:color w:val="auto"/>
          <w:sz w:val="20"/>
          <w:szCs w:val="22"/>
          <w:highlight w:val="yellow"/>
          <w:lang w:val="es-ES_tradnl" w:eastAsia="en-US"/>
        </w:rPr>
        <w:fldChar w:fldCharType="end"/>
      </w:r>
      <w:bookmarkEnd w:id="221"/>
      <w:bookmarkEnd w:id="228"/>
      <w:r w:rsidRPr="007A34A8">
        <w:rPr>
          <w:rFonts w:eastAsiaTheme="minorHAnsi" w:cs="Arial"/>
          <w:b/>
          <w:i w:val="0"/>
          <w:iCs w:val="0"/>
          <w:color w:val="auto"/>
          <w:sz w:val="20"/>
          <w:szCs w:val="22"/>
          <w:highlight w:val="yellow"/>
          <w:lang w:val="es-ES_tradnl" w:eastAsia="en-US"/>
        </w:rPr>
        <w:t xml:space="preserve">. </w:t>
      </w:r>
      <w:r w:rsidRPr="007A34A8">
        <w:rPr>
          <w:rFonts w:eastAsiaTheme="minorHAnsi" w:cs="Arial"/>
          <w:i w:val="0"/>
          <w:iCs w:val="0"/>
          <w:color w:val="auto"/>
          <w:sz w:val="20"/>
          <w:szCs w:val="22"/>
          <w:lang w:val="es-ES_tradnl" w:eastAsia="en-US"/>
        </w:rPr>
        <w:t>Rutas marítimas de plantas de licuefacción a puerto de Cartagena</w:t>
      </w:r>
      <w:bookmarkEnd w:id="222"/>
      <w:bookmarkEnd w:id="223"/>
      <w:bookmarkEnd w:id="224"/>
      <w:bookmarkEnd w:id="225"/>
      <w:bookmarkEnd w:id="226"/>
      <w:bookmarkEnd w:id="227"/>
      <w:bookmarkEnd w:id="229"/>
      <w:bookmarkEnd w:id="230"/>
      <w:bookmarkEnd w:id="231"/>
    </w:p>
    <w:p w14:paraId="5D871E1A" w14:textId="77777777" w:rsidR="00914134" w:rsidRPr="00827CE2" w:rsidRDefault="00914134" w:rsidP="00914134">
      <w:pPr>
        <w:jc w:val="center"/>
        <w:rPr>
          <w:rFonts w:cs="Arial"/>
          <w:color w:val="000000" w:themeColor="text1"/>
          <w:sz w:val="16"/>
          <w:szCs w:val="16"/>
        </w:rPr>
      </w:pPr>
      <w:r w:rsidRPr="00827CE2">
        <w:rPr>
          <w:noProof/>
          <w:lang w:val="es-ES" w:eastAsia="es-ES"/>
        </w:rPr>
        <w:drawing>
          <wp:inline distT="0" distB="0" distL="0" distR="0" wp14:anchorId="5B029B3D" wp14:editId="72D7E338">
            <wp:extent cx="4497172" cy="3456000"/>
            <wp:effectExtent l="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41"/>
                    <a:stretch>
                      <a:fillRect/>
                    </a:stretch>
                  </pic:blipFill>
                  <pic:spPr>
                    <a:xfrm>
                      <a:off x="0" y="0"/>
                      <a:ext cx="4497172" cy="3456000"/>
                    </a:xfrm>
                    <a:prstGeom prst="rect">
                      <a:avLst/>
                    </a:prstGeom>
                  </pic:spPr>
                </pic:pic>
              </a:graphicData>
            </a:graphic>
          </wp:inline>
        </w:drawing>
      </w:r>
    </w:p>
    <w:p w14:paraId="239AA4E9" w14:textId="514C0162" w:rsidR="00914134" w:rsidRPr="00827CE2" w:rsidRDefault="00914134" w:rsidP="0087735A">
      <w:pPr>
        <w:spacing w:after="240"/>
        <w:jc w:val="center"/>
        <w:rPr>
          <w:rFonts w:cs="Arial"/>
          <w:color w:val="000000" w:themeColor="text1"/>
          <w:sz w:val="16"/>
          <w:szCs w:val="16"/>
        </w:rPr>
      </w:pPr>
      <w:r w:rsidRPr="00F46246">
        <w:rPr>
          <w:rFonts w:ascii="Arial" w:hAnsi="Arial" w:cs="Arial"/>
          <w:b/>
          <w:color w:val="000000" w:themeColor="text1"/>
          <w:sz w:val="16"/>
          <w:szCs w:val="16"/>
        </w:rPr>
        <w:t>Fuente</w:t>
      </w:r>
      <w:r w:rsidRPr="00F46246">
        <w:rPr>
          <w:rFonts w:ascii="Arial" w:hAnsi="Arial" w:cs="Arial"/>
          <w:color w:val="000000" w:themeColor="text1"/>
          <w:sz w:val="16"/>
          <w:szCs w:val="16"/>
        </w:rPr>
        <w:t xml:space="preserve">: </w:t>
      </w:r>
      <w:r w:rsidR="00F46246" w:rsidRPr="00F46246">
        <w:rPr>
          <w:rFonts w:ascii="Arial" w:hAnsi="Arial" w:cs="Arial"/>
          <w:color w:val="000000" w:themeColor="text1"/>
          <w:sz w:val="16"/>
          <w:szCs w:val="16"/>
        </w:rPr>
        <w:t xml:space="preserve">PLATTS </w:t>
      </w:r>
      <w:r w:rsidR="00F46246" w:rsidRPr="00F46246">
        <w:rPr>
          <w:rFonts w:ascii="Arial" w:hAnsi="Arial" w:cs="Arial"/>
          <w:color w:val="000000" w:themeColor="text1"/>
          <w:sz w:val="16"/>
          <w:szCs w:val="16"/>
        </w:rPr>
        <w:fldChar w:fldCharType="begin"/>
      </w:r>
      <w:r w:rsidR="00F46246" w:rsidRPr="00F46246">
        <w:rPr>
          <w:rFonts w:ascii="Arial" w:hAnsi="Arial" w:cs="Arial"/>
          <w:color w:val="000000" w:themeColor="text1"/>
          <w:sz w:val="16"/>
          <w:szCs w:val="16"/>
        </w:rPr>
        <w:instrText xml:space="preserve"> REF _Ref529882345 \r \h </w:instrText>
      </w:r>
      <w:r w:rsidR="00F46246">
        <w:rPr>
          <w:rFonts w:ascii="Arial" w:hAnsi="Arial" w:cs="Arial"/>
          <w:color w:val="000000" w:themeColor="text1"/>
          <w:sz w:val="16"/>
          <w:szCs w:val="16"/>
        </w:rPr>
        <w:instrText xml:space="preserve"> \* MERGEFORMAT </w:instrText>
      </w:r>
      <w:r w:rsidR="00F46246" w:rsidRPr="00F46246">
        <w:rPr>
          <w:rFonts w:ascii="Arial" w:hAnsi="Arial" w:cs="Arial"/>
          <w:color w:val="000000" w:themeColor="text1"/>
          <w:sz w:val="16"/>
          <w:szCs w:val="16"/>
        </w:rPr>
      </w:r>
      <w:r w:rsidR="00F46246" w:rsidRPr="00F46246">
        <w:rPr>
          <w:rFonts w:ascii="Arial" w:hAnsi="Arial" w:cs="Arial"/>
          <w:color w:val="000000" w:themeColor="text1"/>
          <w:sz w:val="16"/>
          <w:szCs w:val="16"/>
        </w:rPr>
        <w:fldChar w:fldCharType="separate"/>
      </w:r>
      <w:r w:rsidR="00915705">
        <w:rPr>
          <w:rFonts w:ascii="Arial" w:hAnsi="Arial" w:cs="Arial"/>
          <w:color w:val="000000" w:themeColor="text1"/>
          <w:sz w:val="16"/>
          <w:szCs w:val="16"/>
        </w:rPr>
        <w:t>[17]</w:t>
      </w:r>
      <w:r w:rsidR="00F46246" w:rsidRPr="00F46246">
        <w:rPr>
          <w:rFonts w:ascii="Arial" w:hAnsi="Arial" w:cs="Arial"/>
          <w:color w:val="000000" w:themeColor="text1"/>
          <w:sz w:val="16"/>
          <w:szCs w:val="16"/>
        </w:rPr>
        <w:fldChar w:fldCharType="end"/>
      </w:r>
      <w:r w:rsidR="00242825">
        <w:rPr>
          <w:rFonts w:ascii="Arial" w:hAnsi="Arial" w:cs="Arial"/>
          <w:color w:val="000000" w:themeColor="text1"/>
          <w:sz w:val="16"/>
          <w:szCs w:val="16"/>
        </w:rPr>
        <w:t xml:space="preserve">, </w:t>
      </w:r>
      <w:r w:rsidR="00F46246" w:rsidRPr="00F46246">
        <w:rPr>
          <w:rFonts w:ascii="Arial" w:hAnsi="Arial" w:cs="Arial"/>
          <w:color w:val="000000" w:themeColor="text1"/>
          <w:sz w:val="16"/>
          <w:szCs w:val="16"/>
        </w:rPr>
        <w:t>UPME</w:t>
      </w:r>
      <w:r w:rsidRPr="00F46246">
        <w:rPr>
          <w:rFonts w:cs="Arial"/>
          <w:color w:val="000000" w:themeColor="text1"/>
          <w:sz w:val="16"/>
          <w:szCs w:val="16"/>
        </w:rPr>
        <w:t>.</w:t>
      </w:r>
    </w:p>
    <w:p w14:paraId="0D5E26BE" w14:textId="51AB6B7D" w:rsidR="00914134" w:rsidRPr="007A34A8" w:rsidRDefault="00914134" w:rsidP="00914134">
      <w:pPr>
        <w:pStyle w:val="Descripcin"/>
        <w:keepNext/>
        <w:spacing w:before="0" w:after="0"/>
        <w:jc w:val="center"/>
        <w:rPr>
          <w:rFonts w:eastAsiaTheme="minorHAnsi" w:cs="Arial"/>
          <w:b/>
          <w:i w:val="0"/>
          <w:iCs w:val="0"/>
          <w:color w:val="auto"/>
          <w:sz w:val="20"/>
          <w:szCs w:val="22"/>
          <w:highlight w:val="yellow"/>
          <w:lang w:val="es-ES_tradnl" w:eastAsia="en-US"/>
        </w:rPr>
      </w:pPr>
      <w:bookmarkStart w:id="232" w:name="_Ref529977940"/>
      <w:bookmarkStart w:id="233" w:name="_Toc530033415"/>
      <w:r w:rsidRPr="007A34A8">
        <w:rPr>
          <w:rFonts w:eastAsiaTheme="minorHAnsi" w:cs="Arial"/>
          <w:b/>
          <w:i w:val="0"/>
          <w:iCs w:val="0"/>
          <w:color w:val="auto"/>
          <w:sz w:val="20"/>
          <w:szCs w:val="22"/>
          <w:highlight w:val="yellow"/>
          <w:lang w:val="es-ES_tradnl" w:eastAsia="en-US"/>
        </w:rPr>
        <w:t xml:space="preserve">Gráfica </w:t>
      </w:r>
      <w:r w:rsidR="00DA50A5">
        <w:rPr>
          <w:rFonts w:eastAsiaTheme="minorHAnsi" w:cs="Arial"/>
          <w:b/>
          <w:i w:val="0"/>
          <w:iCs w:val="0"/>
          <w:color w:val="auto"/>
          <w:sz w:val="20"/>
          <w:szCs w:val="22"/>
          <w:highlight w:val="yellow"/>
          <w:lang w:val="es-ES_tradnl" w:eastAsia="en-US"/>
        </w:rPr>
        <w:fldChar w:fldCharType="begin"/>
      </w:r>
      <w:r w:rsidR="00DA50A5">
        <w:rPr>
          <w:rFonts w:eastAsiaTheme="minorHAnsi" w:cs="Arial"/>
          <w:b/>
          <w:i w:val="0"/>
          <w:iCs w:val="0"/>
          <w:color w:val="auto"/>
          <w:sz w:val="20"/>
          <w:szCs w:val="22"/>
          <w:highlight w:val="yellow"/>
          <w:lang w:val="es-ES_tradnl" w:eastAsia="en-US"/>
        </w:rPr>
        <w:instrText xml:space="preserve"> STYLEREF 1 \s </w:instrText>
      </w:r>
      <w:r w:rsidR="00DA50A5">
        <w:rPr>
          <w:rFonts w:eastAsiaTheme="minorHAnsi" w:cs="Arial"/>
          <w:b/>
          <w:i w:val="0"/>
          <w:iCs w:val="0"/>
          <w:color w:val="auto"/>
          <w:sz w:val="20"/>
          <w:szCs w:val="22"/>
          <w:highlight w:val="yellow"/>
          <w:lang w:val="es-ES_tradnl" w:eastAsia="en-US"/>
        </w:rPr>
        <w:fldChar w:fldCharType="separate"/>
      </w:r>
      <w:r w:rsidR="00DA50A5">
        <w:rPr>
          <w:rFonts w:eastAsiaTheme="minorHAnsi" w:cs="Arial"/>
          <w:b/>
          <w:i w:val="0"/>
          <w:iCs w:val="0"/>
          <w:noProof/>
          <w:color w:val="auto"/>
          <w:sz w:val="20"/>
          <w:szCs w:val="22"/>
          <w:highlight w:val="yellow"/>
          <w:lang w:val="es-ES_tradnl" w:eastAsia="en-US"/>
        </w:rPr>
        <w:t>3</w:t>
      </w:r>
      <w:r w:rsidR="00DA50A5">
        <w:rPr>
          <w:rFonts w:eastAsiaTheme="minorHAnsi" w:cs="Arial"/>
          <w:b/>
          <w:i w:val="0"/>
          <w:iCs w:val="0"/>
          <w:color w:val="auto"/>
          <w:sz w:val="20"/>
          <w:szCs w:val="22"/>
          <w:highlight w:val="yellow"/>
          <w:lang w:val="es-ES_tradnl" w:eastAsia="en-US"/>
        </w:rPr>
        <w:fldChar w:fldCharType="end"/>
      </w:r>
      <w:r w:rsidR="00DA50A5">
        <w:rPr>
          <w:rFonts w:eastAsiaTheme="minorHAnsi" w:cs="Arial"/>
          <w:b/>
          <w:i w:val="0"/>
          <w:iCs w:val="0"/>
          <w:color w:val="auto"/>
          <w:sz w:val="20"/>
          <w:szCs w:val="22"/>
          <w:highlight w:val="yellow"/>
          <w:lang w:val="es-ES_tradnl" w:eastAsia="en-US"/>
        </w:rPr>
        <w:noBreakHyphen/>
      </w:r>
      <w:r w:rsidR="00DA50A5">
        <w:rPr>
          <w:rFonts w:eastAsiaTheme="minorHAnsi" w:cs="Arial"/>
          <w:b/>
          <w:i w:val="0"/>
          <w:iCs w:val="0"/>
          <w:color w:val="auto"/>
          <w:sz w:val="20"/>
          <w:szCs w:val="22"/>
          <w:highlight w:val="yellow"/>
          <w:lang w:val="es-ES_tradnl" w:eastAsia="en-US"/>
        </w:rPr>
        <w:fldChar w:fldCharType="begin"/>
      </w:r>
      <w:r w:rsidR="00DA50A5">
        <w:rPr>
          <w:rFonts w:eastAsiaTheme="minorHAnsi" w:cs="Arial"/>
          <w:b/>
          <w:i w:val="0"/>
          <w:iCs w:val="0"/>
          <w:color w:val="auto"/>
          <w:sz w:val="20"/>
          <w:szCs w:val="22"/>
          <w:highlight w:val="yellow"/>
          <w:lang w:val="es-ES_tradnl" w:eastAsia="en-US"/>
        </w:rPr>
        <w:instrText xml:space="preserve"> SEQ Gráfica \* ARABIC \s 1 </w:instrText>
      </w:r>
      <w:r w:rsidR="00DA50A5">
        <w:rPr>
          <w:rFonts w:eastAsiaTheme="minorHAnsi" w:cs="Arial"/>
          <w:b/>
          <w:i w:val="0"/>
          <w:iCs w:val="0"/>
          <w:color w:val="auto"/>
          <w:sz w:val="20"/>
          <w:szCs w:val="22"/>
          <w:highlight w:val="yellow"/>
          <w:lang w:val="es-ES_tradnl" w:eastAsia="en-US"/>
        </w:rPr>
        <w:fldChar w:fldCharType="separate"/>
      </w:r>
      <w:r w:rsidR="00DA50A5">
        <w:rPr>
          <w:rFonts w:eastAsiaTheme="minorHAnsi" w:cs="Arial"/>
          <w:b/>
          <w:i w:val="0"/>
          <w:iCs w:val="0"/>
          <w:noProof/>
          <w:color w:val="auto"/>
          <w:sz w:val="20"/>
          <w:szCs w:val="22"/>
          <w:highlight w:val="yellow"/>
          <w:lang w:val="es-ES_tradnl" w:eastAsia="en-US"/>
        </w:rPr>
        <w:t>12</w:t>
      </w:r>
      <w:r w:rsidR="00DA50A5">
        <w:rPr>
          <w:rFonts w:eastAsiaTheme="minorHAnsi" w:cs="Arial"/>
          <w:b/>
          <w:i w:val="0"/>
          <w:iCs w:val="0"/>
          <w:color w:val="auto"/>
          <w:sz w:val="20"/>
          <w:szCs w:val="22"/>
          <w:highlight w:val="yellow"/>
          <w:lang w:val="es-ES_tradnl" w:eastAsia="en-US"/>
        </w:rPr>
        <w:fldChar w:fldCharType="end"/>
      </w:r>
      <w:bookmarkEnd w:id="232"/>
      <w:r w:rsidRPr="007A34A8">
        <w:rPr>
          <w:rFonts w:eastAsiaTheme="minorHAnsi" w:cs="Arial"/>
          <w:b/>
          <w:i w:val="0"/>
          <w:iCs w:val="0"/>
          <w:color w:val="auto"/>
          <w:sz w:val="20"/>
          <w:szCs w:val="22"/>
          <w:highlight w:val="yellow"/>
          <w:lang w:val="es-ES_tradnl" w:eastAsia="en-US"/>
        </w:rPr>
        <w:t xml:space="preserve"> </w:t>
      </w:r>
      <w:r w:rsidRPr="007A34A8">
        <w:rPr>
          <w:rFonts w:eastAsiaTheme="minorHAnsi" w:cs="Arial"/>
          <w:i w:val="0"/>
          <w:iCs w:val="0"/>
          <w:color w:val="auto"/>
          <w:sz w:val="20"/>
          <w:szCs w:val="22"/>
          <w:lang w:val="es-ES_tradnl" w:eastAsia="en-US"/>
        </w:rPr>
        <w:t>Rutas marítimas de plantas de licuefacción a puerto de Buenaventura</w:t>
      </w:r>
      <w:bookmarkEnd w:id="233"/>
    </w:p>
    <w:p w14:paraId="7000ED02" w14:textId="77777777" w:rsidR="00914134" w:rsidRDefault="00914134" w:rsidP="00914134">
      <w:pPr>
        <w:jc w:val="center"/>
        <w:rPr>
          <w:rFonts w:ascii="Arial" w:hAnsi="Arial" w:cs="Arial"/>
          <w:sz w:val="22"/>
          <w:szCs w:val="22"/>
        </w:rPr>
      </w:pPr>
      <w:r>
        <w:rPr>
          <w:noProof/>
          <w:lang w:val="es-ES" w:eastAsia="es-ES"/>
        </w:rPr>
        <w:drawing>
          <wp:inline distT="0" distB="0" distL="0" distR="0" wp14:anchorId="3C278B73" wp14:editId="1AF82570">
            <wp:extent cx="4496825" cy="3456000"/>
            <wp:effectExtent l="0" t="0" r="0" b="0"/>
            <wp:docPr id="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42"/>
                    <a:stretch>
                      <a:fillRect/>
                    </a:stretch>
                  </pic:blipFill>
                  <pic:spPr>
                    <a:xfrm>
                      <a:off x="0" y="0"/>
                      <a:ext cx="4496825" cy="3456000"/>
                    </a:xfrm>
                    <a:prstGeom prst="rect">
                      <a:avLst/>
                    </a:prstGeom>
                  </pic:spPr>
                </pic:pic>
              </a:graphicData>
            </a:graphic>
          </wp:inline>
        </w:drawing>
      </w:r>
    </w:p>
    <w:p w14:paraId="6E916973" w14:textId="46654D18" w:rsidR="00914134" w:rsidRDefault="00F46246" w:rsidP="00914134">
      <w:pPr>
        <w:spacing w:after="240"/>
        <w:jc w:val="center"/>
        <w:rPr>
          <w:rFonts w:cs="Arial"/>
          <w:color w:val="000000" w:themeColor="text1"/>
          <w:sz w:val="16"/>
          <w:szCs w:val="16"/>
        </w:rPr>
      </w:pPr>
      <w:r w:rsidRPr="00F46246">
        <w:rPr>
          <w:rFonts w:ascii="Arial" w:hAnsi="Arial" w:cs="Arial"/>
          <w:b/>
          <w:color w:val="000000" w:themeColor="text1"/>
          <w:sz w:val="16"/>
          <w:szCs w:val="16"/>
        </w:rPr>
        <w:t>Fuente</w:t>
      </w:r>
      <w:r w:rsidRPr="00F46246">
        <w:rPr>
          <w:rFonts w:ascii="Arial" w:hAnsi="Arial" w:cs="Arial"/>
          <w:color w:val="000000" w:themeColor="text1"/>
          <w:sz w:val="16"/>
          <w:szCs w:val="16"/>
        </w:rPr>
        <w:t xml:space="preserve">: PLATTS </w:t>
      </w:r>
      <w:r w:rsidRPr="00F46246">
        <w:rPr>
          <w:rFonts w:ascii="Arial" w:hAnsi="Arial" w:cs="Arial"/>
          <w:color w:val="000000" w:themeColor="text1"/>
          <w:sz w:val="16"/>
          <w:szCs w:val="16"/>
        </w:rPr>
        <w:fldChar w:fldCharType="begin"/>
      </w:r>
      <w:r w:rsidRPr="00F46246">
        <w:rPr>
          <w:rFonts w:ascii="Arial" w:hAnsi="Arial" w:cs="Arial"/>
          <w:color w:val="000000" w:themeColor="text1"/>
          <w:sz w:val="16"/>
          <w:szCs w:val="16"/>
        </w:rPr>
        <w:instrText xml:space="preserve"> REF _Ref529882345 \r \h </w:instrText>
      </w:r>
      <w:r>
        <w:rPr>
          <w:rFonts w:ascii="Arial" w:hAnsi="Arial" w:cs="Arial"/>
          <w:color w:val="000000" w:themeColor="text1"/>
          <w:sz w:val="16"/>
          <w:szCs w:val="16"/>
        </w:rPr>
        <w:instrText xml:space="preserve"> \* MERGEFORMAT </w:instrText>
      </w:r>
      <w:r w:rsidRPr="00F46246">
        <w:rPr>
          <w:rFonts w:ascii="Arial" w:hAnsi="Arial" w:cs="Arial"/>
          <w:color w:val="000000" w:themeColor="text1"/>
          <w:sz w:val="16"/>
          <w:szCs w:val="16"/>
        </w:rPr>
      </w:r>
      <w:r w:rsidRPr="00F46246">
        <w:rPr>
          <w:rFonts w:ascii="Arial" w:hAnsi="Arial" w:cs="Arial"/>
          <w:color w:val="000000" w:themeColor="text1"/>
          <w:sz w:val="16"/>
          <w:szCs w:val="16"/>
        </w:rPr>
        <w:fldChar w:fldCharType="separate"/>
      </w:r>
      <w:r w:rsidR="00915705">
        <w:rPr>
          <w:rFonts w:ascii="Arial" w:hAnsi="Arial" w:cs="Arial"/>
          <w:color w:val="000000" w:themeColor="text1"/>
          <w:sz w:val="16"/>
          <w:szCs w:val="16"/>
        </w:rPr>
        <w:t>[17]</w:t>
      </w:r>
      <w:r w:rsidRPr="00F46246">
        <w:rPr>
          <w:rFonts w:ascii="Arial" w:hAnsi="Arial" w:cs="Arial"/>
          <w:color w:val="000000" w:themeColor="text1"/>
          <w:sz w:val="16"/>
          <w:szCs w:val="16"/>
        </w:rPr>
        <w:fldChar w:fldCharType="end"/>
      </w:r>
      <w:r w:rsidRPr="00F46246">
        <w:rPr>
          <w:rFonts w:ascii="Arial" w:hAnsi="Arial" w:cs="Arial"/>
          <w:color w:val="000000" w:themeColor="text1"/>
          <w:sz w:val="16"/>
          <w:szCs w:val="16"/>
        </w:rPr>
        <w:t xml:space="preserve">  - UPME</w:t>
      </w:r>
      <w:r w:rsidR="00914134" w:rsidRPr="00827CE2">
        <w:rPr>
          <w:rFonts w:cs="Arial"/>
          <w:color w:val="000000" w:themeColor="text1"/>
          <w:sz w:val="16"/>
          <w:szCs w:val="16"/>
        </w:rPr>
        <w:t>.</w:t>
      </w:r>
    </w:p>
    <w:p w14:paraId="30BDB931" w14:textId="77777777" w:rsidR="0087735A" w:rsidRDefault="0087735A" w:rsidP="0087735A">
      <w:pPr>
        <w:spacing w:before="240" w:after="240" w:line="276" w:lineRule="auto"/>
        <w:jc w:val="both"/>
        <w:rPr>
          <w:rFonts w:ascii="Arial" w:hAnsi="Arial" w:cs="Arial"/>
          <w:sz w:val="22"/>
          <w:szCs w:val="22"/>
        </w:rPr>
      </w:pPr>
      <w:r w:rsidRPr="000E28A3">
        <w:rPr>
          <w:rFonts w:ascii="Arial" w:hAnsi="Arial" w:cs="Arial"/>
          <w:sz w:val="22"/>
          <w:szCs w:val="22"/>
        </w:rPr>
        <w:lastRenderedPageBreak/>
        <w:t xml:space="preserve">Finalmente, con los días de viaje se determina para cada fuente de suministro el costo por </w:t>
      </w:r>
      <w:r w:rsidRPr="0087735A">
        <w:rPr>
          <w:rFonts w:ascii="Arial" w:hAnsi="Arial" w:cs="Arial"/>
          <w:sz w:val="22"/>
          <w:szCs w:val="22"/>
        </w:rPr>
        <w:t>MMBTU tanto</w:t>
      </w:r>
      <w:r w:rsidRPr="000E28A3">
        <w:rPr>
          <w:rFonts w:ascii="Arial" w:hAnsi="Arial" w:cs="Arial"/>
          <w:sz w:val="22"/>
          <w:szCs w:val="22"/>
        </w:rPr>
        <w:t xml:space="preserve"> para Cartagena como para Buenaventura, tal y como se muestra a continuación en las tablas </w:t>
      </w:r>
      <w:r w:rsidRPr="000E28A3">
        <w:rPr>
          <w:rFonts w:ascii="Arial" w:hAnsi="Arial" w:cs="Arial"/>
          <w:sz w:val="22"/>
          <w:szCs w:val="22"/>
          <w:highlight w:val="yellow"/>
        </w:rPr>
        <w:fldChar w:fldCharType="begin"/>
      </w:r>
      <w:r w:rsidRPr="000E28A3">
        <w:rPr>
          <w:rFonts w:ascii="Arial" w:hAnsi="Arial" w:cs="Arial"/>
          <w:sz w:val="22"/>
          <w:szCs w:val="22"/>
          <w:highlight w:val="yellow"/>
        </w:rPr>
        <w:instrText xml:space="preserve"> REF _Ref447019251 \h  \* MERGEFORMAT </w:instrText>
      </w:r>
      <w:r w:rsidRPr="000E28A3">
        <w:rPr>
          <w:rFonts w:ascii="Arial" w:hAnsi="Arial" w:cs="Arial"/>
          <w:sz w:val="22"/>
          <w:szCs w:val="22"/>
          <w:highlight w:val="yellow"/>
        </w:rPr>
      </w:r>
      <w:r w:rsidRPr="000E28A3">
        <w:rPr>
          <w:rFonts w:ascii="Arial" w:hAnsi="Arial" w:cs="Arial"/>
          <w:sz w:val="22"/>
          <w:szCs w:val="22"/>
          <w:highlight w:val="yellow"/>
        </w:rPr>
        <w:fldChar w:fldCharType="separate"/>
      </w:r>
      <w:r w:rsidRPr="00915705">
        <w:rPr>
          <w:rFonts w:ascii="Arial" w:hAnsi="Arial" w:cs="Arial"/>
          <w:sz w:val="22"/>
          <w:szCs w:val="22"/>
          <w:highlight w:val="yellow"/>
        </w:rPr>
        <w:t>Tabla 3</w:t>
      </w:r>
      <w:r w:rsidRPr="00915705">
        <w:rPr>
          <w:rFonts w:ascii="Arial" w:hAnsi="Arial" w:cs="Arial"/>
          <w:sz w:val="22"/>
          <w:szCs w:val="22"/>
          <w:highlight w:val="yellow"/>
        </w:rPr>
        <w:noBreakHyphen/>
        <w:t>4</w:t>
      </w:r>
      <w:r w:rsidRPr="000E28A3">
        <w:rPr>
          <w:rFonts w:ascii="Arial" w:hAnsi="Arial" w:cs="Arial"/>
          <w:sz w:val="22"/>
          <w:szCs w:val="22"/>
          <w:highlight w:val="yellow"/>
        </w:rPr>
        <w:fldChar w:fldCharType="end"/>
      </w:r>
      <w:r w:rsidRPr="000E28A3">
        <w:rPr>
          <w:rFonts w:ascii="Arial" w:hAnsi="Arial" w:cs="Arial"/>
          <w:sz w:val="22"/>
          <w:szCs w:val="22"/>
          <w:highlight w:val="yellow"/>
        </w:rPr>
        <w:t xml:space="preserve"> y </w:t>
      </w:r>
      <w:r w:rsidRPr="000E28A3">
        <w:rPr>
          <w:rFonts w:ascii="Arial" w:hAnsi="Arial" w:cs="Arial"/>
          <w:sz w:val="22"/>
          <w:szCs w:val="22"/>
          <w:highlight w:val="yellow"/>
        </w:rPr>
        <w:fldChar w:fldCharType="begin"/>
      </w:r>
      <w:r w:rsidRPr="000E28A3">
        <w:rPr>
          <w:rFonts w:ascii="Arial" w:hAnsi="Arial" w:cs="Arial"/>
          <w:sz w:val="22"/>
          <w:szCs w:val="22"/>
          <w:highlight w:val="yellow"/>
        </w:rPr>
        <w:instrText xml:space="preserve"> REF _Ref499805738 \h  \* MERGEFORMAT </w:instrText>
      </w:r>
      <w:r w:rsidRPr="000E28A3">
        <w:rPr>
          <w:rFonts w:ascii="Arial" w:hAnsi="Arial" w:cs="Arial"/>
          <w:sz w:val="22"/>
          <w:szCs w:val="22"/>
          <w:highlight w:val="yellow"/>
        </w:rPr>
      </w:r>
      <w:r w:rsidRPr="000E28A3">
        <w:rPr>
          <w:rFonts w:ascii="Arial" w:hAnsi="Arial" w:cs="Arial"/>
          <w:sz w:val="22"/>
          <w:szCs w:val="22"/>
          <w:highlight w:val="yellow"/>
        </w:rPr>
        <w:fldChar w:fldCharType="separate"/>
      </w:r>
      <w:r w:rsidRPr="00242825">
        <w:rPr>
          <w:rFonts w:ascii="Arial" w:hAnsi="Arial" w:cs="Arial"/>
          <w:bCs/>
          <w:sz w:val="22"/>
          <w:szCs w:val="22"/>
          <w:highlight w:val="yellow"/>
          <w:lang w:val="es-ES"/>
        </w:rPr>
        <w:fldChar w:fldCharType="begin"/>
      </w:r>
      <w:r w:rsidRPr="00242825">
        <w:rPr>
          <w:rFonts w:ascii="Arial" w:hAnsi="Arial" w:cs="Arial"/>
          <w:sz w:val="22"/>
          <w:szCs w:val="22"/>
          <w:highlight w:val="yellow"/>
        </w:rPr>
        <w:instrText xml:space="preserve"> REF _Ref529890625 \h </w:instrText>
      </w:r>
      <w:r w:rsidRPr="00242825">
        <w:rPr>
          <w:rFonts w:ascii="Arial" w:hAnsi="Arial" w:cs="Arial"/>
          <w:bCs/>
          <w:sz w:val="22"/>
          <w:szCs w:val="22"/>
          <w:highlight w:val="yellow"/>
          <w:lang w:val="es-ES"/>
        </w:rPr>
        <w:instrText xml:space="preserve"> \* MERGEFORMAT </w:instrText>
      </w:r>
      <w:r w:rsidRPr="00242825">
        <w:rPr>
          <w:rFonts w:ascii="Arial" w:hAnsi="Arial" w:cs="Arial"/>
          <w:bCs/>
          <w:sz w:val="22"/>
          <w:szCs w:val="22"/>
          <w:highlight w:val="yellow"/>
          <w:lang w:val="es-ES"/>
        </w:rPr>
      </w:r>
      <w:r w:rsidRPr="00242825">
        <w:rPr>
          <w:rFonts w:ascii="Arial" w:hAnsi="Arial" w:cs="Arial"/>
          <w:bCs/>
          <w:sz w:val="22"/>
          <w:szCs w:val="22"/>
          <w:highlight w:val="yellow"/>
          <w:lang w:val="es-ES"/>
        </w:rPr>
        <w:fldChar w:fldCharType="separate"/>
      </w:r>
      <w:r w:rsidRPr="00242825">
        <w:rPr>
          <w:rFonts w:ascii="Arial" w:hAnsi="Arial" w:cs="Arial"/>
          <w:iCs/>
          <w:sz w:val="22"/>
          <w:szCs w:val="22"/>
          <w:highlight w:val="yellow"/>
        </w:rPr>
        <w:t xml:space="preserve">Tabla </w:t>
      </w:r>
      <w:r w:rsidRPr="00242825">
        <w:rPr>
          <w:rFonts w:ascii="Arial" w:hAnsi="Arial" w:cs="Arial"/>
          <w:iCs/>
          <w:noProof/>
          <w:sz w:val="22"/>
          <w:szCs w:val="22"/>
          <w:highlight w:val="yellow"/>
        </w:rPr>
        <w:t>3</w:t>
      </w:r>
      <w:r w:rsidRPr="00242825">
        <w:rPr>
          <w:rFonts w:ascii="Arial" w:hAnsi="Arial" w:cs="Arial"/>
          <w:iCs/>
          <w:sz w:val="22"/>
          <w:szCs w:val="22"/>
          <w:highlight w:val="yellow"/>
        </w:rPr>
        <w:noBreakHyphen/>
      </w:r>
      <w:r w:rsidRPr="00242825">
        <w:rPr>
          <w:rFonts w:ascii="Arial" w:hAnsi="Arial" w:cs="Arial"/>
          <w:iCs/>
          <w:noProof/>
          <w:sz w:val="22"/>
          <w:szCs w:val="22"/>
          <w:highlight w:val="yellow"/>
        </w:rPr>
        <w:t>5</w:t>
      </w:r>
      <w:r w:rsidRPr="00242825">
        <w:rPr>
          <w:rFonts w:ascii="Arial" w:hAnsi="Arial" w:cs="Arial"/>
          <w:bCs/>
          <w:sz w:val="22"/>
          <w:szCs w:val="22"/>
          <w:highlight w:val="yellow"/>
          <w:lang w:val="es-ES"/>
        </w:rPr>
        <w:fldChar w:fldCharType="end"/>
      </w:r>
      <w:r>
        <w:rPr>
          <w:rFonts w:ascii="Arial" w:hAnsi="Arial" w:cs="Arial"/>
          <w:b/>
          <w:bCs/>
          <w:sz w:val="22"/>
          <w:szCs w:val="22"/>
          <w:highlight w:val="yellow"/>
          <w:lang w:val="es-ES"/>
        </w:rPr>
        <w:t>.</w:t>
      </w:r>
      <w:r w:rsidRPr="000E28A3">
        <w:rPr>
          <w:rFonts w:ascii="Arial" w:hAnsi="Arial" w:cs="Arial"/>
          <w:sz w:val="22"/>
          <w:szCs w:val="22"/>
          <w:highlight w:val="yellow"/>
        </w:rPr>
        <w:fldChar w:fldCharType="end"/>
      </w:r>
      <w:r w:rsidRPr="000E28A3">
        <w:rPr>
          <w:rFonts w:ascii="Arial" w:hAnsi="Arial" w:cs="Arial"/>
          <w:sz w:val="22"/>
          <w:szCs w:val="22"/>
        </w:rPr>
        <w:t>. Cabe mencionar que también existe una planta en Alaska (Estados Unidos) llamada Kenai, sin embargo dicha planta no la tenemos en cuenta para el análisis debido a que cuando exporta GNL lo envía a Asia.</w:t>
      </w:r>
    </w:p>
    <w:p w14:paraId="5B874734" w14:textId="77777777" w:rsidR="00914134" w:rsidRDefault="00914134" w:rsidP="00914134">
      <w:pPr>
        <w:pStyle w:val="Descripcin"/>
        <w:spacing w:after="0"/>
        <w:jc w:val="center"/>
        <w:rPr>
          <w:rFonts w:asciiTheme="majorHAnsi" w:hAnsiTheme="majorHAnsi"/>
          <w:b/>
          <w:i w:val="0"/>
          <w:color w:val="002060"/>
          <w:sz w:val="22"/>
          <w:szCs w:val="22"/>
          <w:highlight w:val="yellow"/>
        </w:rPr>
      </w:pPr>
      <w:bookmarkStart w:id="234" w:name="_Ref447019251"/>
      <w:bookmarkStart w:id="235" w:name="_Toc499794494"/>
      <w:bookmarkStart w:id="236" w:name="_Toc529889748"/>
      <w:r w:rsidRPr="007A34A8">
        <w:rPr>
          <w:rFonts w:eastAsiaTheme="minorHAnsi" w:cs="Arial"/>
          <w:b/>
          <w:i w:val="0"/>
          <w:iCs w:val="0"/>
          <w:color w:val="auto"/>
          <w:sz w:val="20"/>
          <w:szCs w:val="22"/>
          <w:highlight w:val="yellow"/>
          <w:lang w:val="es-ES_tradnl" w:eastAsia="en-US"/>
        </w:rPr>
        <w:t xml:space="preserve">Tabla </w:t>
      </w:r>
      <w:r>
        <w:rPr>
          <w:rFonts w:eastAsiaTheme="minorHAnsi" w:cs="Arial"/>
          <w:b/>
          <w:i w:val="0"/>
          <w:iCs w:val="0"/>
          <w:color w:val="auto"/>
          <w:sz w:val="20"/>
          <w:szCs w:val="22"/>
          <w:highlight w:val="yellow"/>
          <w:lang w:val="es-ES_tradnl" w:eastAsia="en-US"/>
        </w:rPr>
        <w:fldChar w:fldCharType="begin"/>
      </w:r>
      <w:r>
        <w:rPr>
          <w:rFonts w:eastAsiaTheme="minorHAnsi" w:cs="Arial"/>
          <w:b/>
          <w:i w:val="0"/>
          <w:iCs w:val="0"/>
          <w:color w:val="auto"/>
          <w:sz w:val="20"/>
          <w:szCs w:val="22"/>
          <w:highlight w:val="yellow"/>
          <w:lang w:val="es-ES_tradnl" w:eastAsia="en-US"/>
        </w:rPr>
        <w:instrText xml:space="preserve"> STYLEREF 1 \s </w:instrText>
      </w:r>
      <w:r>
        <w:rPr>
          <w:rFonts w:eastAsiaTheme="minorHAnsi" w:cs="Arial"/>
          <w:b/>
          <w:i w:val="0"/>
          <w:iCs w:val="0"/>
          <w:color w:val="auto"/>
          <w:sz w:val="20"/>
          <w:szCs w:val="22"/>
          <w:highlight w:val="yellow"/>
          <w:lang w:val="es-ES_tradnl" w:eastAsia="en-US"/>
        </w:rPr>
        <w:fldChar w:fldCharType="separate"/>
      </w:r>
      <w:r w:rsidR="00915705">
        <w:rPr>
          <w:rFonts w:eastAsiaTheme="minorHAnsi" w:cs="Arial"/>
          <w:b/>
          <w:i w:val="0"/>
          <w:iCs w:val="0"/>
          <w:noProof/>
          <w:color w:val="auto"/>
          <w:sz w:val="20"/>
          <w:szCs w:val="22"/>
          <w:highlight w:val="yellow"/>
          <w:lang w:val="es-ES_tradnl" w:eastAsia="en-US"/>
        </w:rPr>
        <w:t>3</w:t>
      </w:r>
      <w:r>
        <w:rPr>
          <w:rFonts w:eastAsiaTheme="minorHAnsi" w:cs="Arial"/>
          <w:b/>
          <w:i w:val="0"/>
          <w:iCs w:val="0"/>
          <w:color w:val="auto"/>
          <w:sz w:val="20"/>
          <w:szCs w:val="22"/>
          <w:highlight w:val="yellow"/>
          <w:lang w:val="es-ES_tradnl" w:eastAsia="en-US"/>
        </w:rPr>
        <w:fldChar w:fldCharType="end"/>
      </w:r>
      <w:r>
        <w:rPr>
          <w:rFonts w:eastAsiaTheme="minorHAnsi" w:cs="Arial"/>
          <w:b/>
          <w:i w:val="0"/>
          <w:iCs w:val="0"/>
          <w:color w:val="auto"/>
          <w:sz w:val="20"/>
          <w:szCs w:val="22"/>
          <w:highlight w:val="yellow"/>
          <w:lang w:val="es-ES_tradnl" w:eastAsia="en-US"/>
        </w:rPr>
        <w:noBreakHyphen/>
      </w:r>
      <w:r>
        <w:rPr>
          <w:rFonts w:eastAsiaTheme="minorHAnsi" w:cs="Arial"/>
          <w:b/>
          <w:i w:val="0"/>
          <w:iCs w:val="0"/>
          <w:color w:val="auto"/>
          <w:sz w:val="20"/>
          <w:szCs w:val="22"/>
          <w:highlight w:val="yellow"/>
          <w:lang w:val="es-ES_tradnl" w:eastAsia="en-US"/>
        </w:rPr>
        <w:fldChar w:fldCharType="begin"/>
      </w:r>
      <w:r>
        <w:rPr>
          <w:rFonts w:eastAsiaTheme="minorHAnsi" w:cs="Arial"/>
          <w:b/>
          <w:i w:val="0"/>
          <w:iCs w:val="0"/>
          <w:color w:val="auto"/>
          <w:sz w:val="20"/>
          <w:szCs w:val="22"/>
          <w:highlight w:val="yellow"/>
          <w:lang w:val="es-ES_tradnl" w:eastAsia="en-US"/>
        </w:rPr>
        <w:instrText xml:space="preserve"> SEQ Tabla \* ARABIC \s 1 </w:instrText>
      </w:r>
      <w:r>
        <w:rPr>
          <w:rFonts w:eastAsiaTheme="minorHAnsi" w:cs="Arial"/>
          <w:b/>
          <w:i w:val="0"/>
          <w:iCs w:val="0"/>
          <w:color w:val="auto"/>
          <w:sz w:val="20"/>
          <w:szCs w:val="22"/>
          <w:highlight w:val="yellow"/>
          <w:lang w:val="es-ES_tradnl" w:eastAsia="en-US"/>
        </w:rPr>
        <w:fldChar w:fldCharType="separate"/>
      </w:r>
      <w:r w:rsidR="00915705">
        <w:rPr>
          <w:rFonts w:eastAsiaTheme="minorHAnsi" w:cs="Arial"/>
          <w:b/>
          <w:i w:val="0"/>
          <w:iCs w:val="0"/>
          <w:noProof/>
          <w:color w:val="auto"/>
          <w:sz w:val="20"/>
          <w:szCs w:val="22"/>
          <w:highlight w:val="yellow"/>
          <w:lang w:val="es-ES_tradnl" w:eastAsia="en-US"/>
        </w:rPr>
        <w:t>4</w:t>
      </w:r>
      <w:r>
        <w:rPr>
          <w:rFonts w:eastAsiaTheme="minorHAnsi" w:cs="Arial"/>
          <w:b/>
          <w:i w:val="0"/>
          <w:iCs w:val="0"/>
          <w:color w:val="auto"/>
          <w:sz w:val="20"/>
          <w:szCs w:val="22"/>
          <w:highlight w:val="yellow"/>
          <w:lang w:val="es-ES_tradnl" w:eastAsia="en-US"/>
        </w:rPr>
        <w:fldChar w:fldCharType="end"/>
      </w:r>
      <w:bookmarkEnd w:id="234"/>
      <w:r w:rsidRPr="007A34A8">
        <w:rPr>
          <w:rFonts w:eastAsiaTheme="minorHAnsi" w:cs="Arial"/>
          <w:b/>
          <w:i w:val="0"/>
          <w:iCs w:val="0"/>
          <w:color w:val="auto"/>
          <w:sz w:val="20"/>
          <w:szCs w:val="22"/>
          <w:highlight w:val="yellow"/>
          <w:lang w:val="es-ES_tradnl" w:eastAsia="en-US"/>
        </w:rPr>
        <w:t xml:space="preserve">. </w:t>
      </w:r>
      <w:r w:rsidRPr="007A34A8">
        <w:rPr>
          <w:rFonts w:eastAsiaTheme="minorHAnsi" w:cs="Arial"/>
          <w:i w:val="0"/>
          <w:iCs w:val="0"/>
          <w:color w:val="auto"/>
          <w:sz w:val="20"/>
          <w:szCs w:val="22"/>
          <w:lang w:val="es-ES_tradnl" w:eastAsia="en-US"/>
        </w:rPr>
        <w:t>Costos de transporte por fuente de suministro de GNL a Cartagena</w:t>
      </w:r>
      <w:bookmarkEnd w:id="235"/>
      <w:bookmarkEnd w:id="236"/>
    </w:p>
    <w:tbl>
      <w:tblPr>
        <w:tblW w:w="9789" w:type="dxa"/>
        <w:shd w:val="clear" w:color="auto" w:fill="FFFFFF" w:themeFill="background1"/>
        <w:tblCellMar>
          <w:left w:w="70" w:type="dxa"/>
          <w:right w:w="70" w:type="dxa"/>
        </w:tblCellMar>
        <w:tblLook w:val="04A0" w:firstRow="1" w:lastRow="0" w:firstColumn="1" w:lastColumn="0" w:noHBand="0" w:noVBand="1"/>
      </w:tblPr>
      <w:tblGrid>
        <w:gridCol w:w="1675"/>
        <w:gridCol w:w="996"/>
        <w:gridCol w:w="1727"/>
        <w:gridCol w:w="940"/>
        <w:gridCol w:w="979"/>
        <w:gridCol w:w="1103"/>
        <w:gridCol w:w="1087"/>
        <w:gridCol w:w="1282"/>
      </w:tblGrid>
      <w:tr w:rsidR="00914134" w:rsidRPr="007A34A8" w14:paraId="6A0539BE" w14:textId="77777777" w:rsidTr="0024531A">
        <w:trPr>
          <w:trHeight w:val="567"/>
          <w:tblHeader/>
        </w:trPr>
        <w:tc>
          <w:tcPr>
            <w:tcW w:w="0" w:type="auto"/>
            <w:vMerge w:val="restart"/>
            <w:tcBorders>
              <w:top w:val="single" w:sz="4" w:space="0" w:color="auto"/>
            </w:tcBorders>
            <w:shd w:val="clear" w:color="auto" w:fill="FFFFFF" w:themeFill="background1"/>
            <w:vAlign w:val="center"/>
            <w:hideMark/>
          </w:tcPr>
          <w:p w14:paraId="6FC37B6A" w14:textId="77777777" w:rsidR="00914134" w:rsidRPr="007A34A8" w:rsidRDefault="00914134" w:rsidP="0024531A">
            <w:pPr>
              <w:jc w:val="center"/>
              <w:rPr>
                <w:rFonts w:ascii="Arial" w:eastAsia="Times New Roman" w:hAnsi="Arial" w:cs="Arial"/>
                <w:b/>
                <w:bCs/>
                <w:sz w:val="16"/>
                <w:szCs w:val="16"/>
                <w:lang w:val="es-CO" w:eastAsia="es-CO"/>
              </w:rPr>
            </w:pPr>
            <w:r w:rsidRPr="007A34A8">
              <w:rPr>
                <w:rFonts w:ascii="Arial" w:eastAsia="Times New Roman" w:hAnsi="Arial" w:cs="Arial"/>
                <w:b/>
                <w:bCs/>
                <w:sz w:val="16"/>
                <w:szCs w:val="16"/>
                <w:lang w:val="es-CO" w:eastAsia="es-CO"/>
              </w:rPr>
              <w:t>O</w:t>
            </w:r>
            <w:r>
              <w:rPr>
                <w:rFonts w:ascii="Arial" w:eastAsia="Times New Roman" w:hAnsi="Arial" w:cs="Arial"/>
                <w:b/>
                <w:bCs/>
                <w:sz w:val="16"/>
                <w:szCs w:val="16"/>
                <w:lang w:val="es-CO" w:eastAsia="es-CO"/>
              </w:rPr>
              <w:t>rigen</w:t>
            </w:r>
          </w:p>
        </w:tc>
        <w:tc>
          <w:tcPr>
            <w:tcW w:w="0" w:type="auto"/>
            <w:vMerge w:val="restart"/>
            <w:tcBorders>
              <w:top w:val="single" w:sz="4" w:space="0" w:color="auto"/>
            </w:tcBorders>
            <w:shd w:val="clear" w:color="auto" w:fill="FFFFFF" w:themeFill="background1"/>
            <w:vAlign w:val="center"/>
            <w:hideMark/>
          </w:tcPr>
          <w:p w14:paraId="3962966E" w14:textId="77777777" w:rsidR="00914134" w:rsidRPr="007A34A8" w:rsidRDefault="00914134" w:rsidP="0024531A">
            <w:pPr>
              <w:jc w:val="center"/>
              <w:rPr>
                <w:rFonts w:ascii="Arial" w:eastAsia="Times New Roman" w:hAnsi="Arial" w:cs="Arial"/>
                <w:b/>
                <w:bCs/>
                <w:sz w:val="16"/>
                <w:szCs w:val="16"/>
                <w:lang w:val="es-CO" w:eastAsia="es-CO"/>
              </w:rPr>
            </w:pPr>
            <w:r>
              <w:rPr>
                <w:rFonts w:ascii="Arial" w:eastAsia="Times New Roman" w:hAnsi="Arial" w:cs="Arial"/>
                <w:b/>
                <w:bCs/>
                <w:sz w:val="16"/>
                <w:szCs w:val="16"/>
                <w:lang w:val="es-CO" w:eastAsia="es-CO"/>
              </w:rPr>
              <w:t>Países</w:t>
            </w:r>
          </w:p>
        </w:tc>
        <w:tc>
          <w:tcPr>
            <w:tcW w:w="1727" w:type="dxa"/>
            <w:vMerge w:val="restart"/>
            <w:tcBorders>
              <w:top w:val="single" w:sz="4" w:space="0" w:color="auto"/>
            </w:tcBorders>
            <w:shd w:val="clear" w:color="auto" w:fill="FFFFFF" w:themeFill="background1"/>
            <w:vAlign w:val="center"/>
            <w:hideMark/>
          </w:tcPr>
          <w:p w14:paraId="1631DCCB" w14:textId="77777777" w:rsidR="00914134" w:rsidRPr="007A34A8" w:rsidRDefault="00914134" w:rsidP="0024531A">
            <w:pPr>
              <w:jc w:val="center"/>
              <w:rPr>
                <w:rFonts w:ascii="Arial" w:eastAsia="Times New Roman" w:hAnsi="Arial" w:cs="Arial"/>
                <w:b/>
                <w:bCs/>
                <w:sz w:val="16"/>
                <w:szCs w:val="16"/>
                <w:lang w:val="es-CO" w:eastAsia="es-CO"/>
              </w:rPr>
            </w:pPr>
            <w:r w:rsidRPr="007A34A8">
              <w:rPr>
                <w:rFonts w:ascii="Arial" w:eastAsia="Times New Roman" w:hAnsi="Arial" w:cs="Arial"/>
                <w:b/>
                <w:bCs/>
                <w:sz w:val="16"/>
                <w:szCs w:val="16"/>
                <w:lang w:val="es-CO" w:eastAsia="es-CO"/>
              </w:rPr>
              <w:t>Plantas de Licuefacción</w:t>
            </w:r>
          </w:p>
        </w:tc>
        <w:tc>
          <w:tcPr>
            <w:tcW w:w="0" w:type="auto"/>
            <w:vMerge w:val="restart"/>
            <w:tcBorders>
              <w:top w:val="single" w:sz="4" w:space="0" w:color="auto"/>
            </w:tcBorders>
            <w:shd w:val="clear" w:color="auto" w:fill="FFFFFF" w:themeFill="background1"/>
            <w:vAlign w:val="center"/>
            <w:hideMark/>
          </w:tcPr>
          <w:p w14:paraId="11F021A1" w14:textId="77777777" w:rsidR="00914134" w:rsidRPr="007A34A8" w:rsidRDefault="00914134" w:rsidP="0024531A">
            <w:pPr>
              <w:jc w:val="center"/>
              <w:rPr>
                <w:rFonts w:ascii="Arial" w:eastAsia="Times New Roman" w:hAnsi="Arial" w:cs="Arial"/>
                <w:b/>
                <w:bCs/>
                <w:sz w:val="16"/>
                <w:szCs w:val="16"/>
                <w:lang w:val="es-CO" w:eastAsia="es-CO"/>
              </w:rPr>
            </w:pPr>
            <w:r w:rsidRPr="007A34A8">
              <w:rPr>
                <w:rFonts w:ascii="Arial" w:eastAsia="Times New Roman" w:hAnsi="Arial" w:cs="Arial"/>
                <w:b/>
                <w:bCs/>
                <w:sz w:val="16"/>
                <w:szCs w:val="16"/>
                <w:lang w:val="es-CO" w:eastAsia="es-CO"/>
              </w:rPr>
              <w:t>Distancia (km)</w:t>
            </w:r>
          </w:p>
        </w:tc>
        <w:tc>
          <w:tcPr>
            <w:tcW w:w="0" w:type="auto"/>
            <w:vMerge w:val="restart"/>
            <w:tcBorders>
              <w:top w:val="single" w:sz="4" w:space="0" w:color="auto"/>
            </w:tcBorders>
            <w:shd w:val="clear" w:color="auto" w:fill="FFFFFF" w:themeFill="background1"/>
            <w:vAlign w:val="center"/>
            <w:hideMark/>
          </w:tcPr>
          <w:p w14:paraId="4446D4B6" w14:textId="77777777" w:rsidR="00914134" w:rsidRPr="007A34A8" w:rsidRDefault="00914134" w:rsidP="0024531A">
            <w:pPr>
              <w:jc w:val="center"/>
              <w:rPr>
                <w:rFonts w:ascii="Arial" w:eastAsia="Times New Roman" w:hAnsi="Arial" w:cs="Arial"/>
                <w:b/>
                <w:bCs/>
                <w:sz w:val="16"/>
                <w:szCs w:val="16"/>
                <w:lang w:val="es-CO" w:eastAsia="es-CO"/>
              </w:rPr>
            </w:pPr>
            <w:r w:rsidRPr="007A34A8">
              <w:rPr>
                <w:rFonts w:ascii="Arial" w:eastAsia="Times New Roman" w:hAnsi="Arial" w:cs="Arial"/>
                <w:b/>
                <w:bCs/>
                <w:sz w:val="16"/>
                <w:szCs w:val="16"/>
                <w:lang w:val="es-CO" w:eastAsia="es-CO"/>
              </w:rPr>
              <w:t>Días</w:t>
            </w:r>
            <w:r w:rsidRPr="007A34A8">
              <w:rPr>
                <w:rFonts w:ascii="Arial" w:eastAsia="Times New Roman" w:hAnsi="Arial" w:cs="Arial"/>
                <w:b/>
                <w:bCs/>
                <w:sz w:val="16"/>
                <w:szCs w:val="16"/>
                <w:lang w:val="es-CO" w:eastAsia="es-CO"/>
              </w:rPr>
              <w:br/>
              <w:t>(Ida, vuelta y estadía)</w:t>
            </w:r>
          </w:p>
        </w:tc>
        <w:tc>
          <w:tcPr>
            <w:tcW w:w="0" w:type="auto"/>
            <w:vMerge w:val="restart"/>
            <w:tcBorders>
              <w:top w:val="single" w:sz="4" w:space="0" w:color="auto"/>
            </w:tcBorders>
            <w:shd w:val="clear" w:color="auto" w:fill="FFFFFF" w:themeFill="background1"/>
            <w:vAlign w:val="center"/>
            <w:hideMark/>
          </w:tcPr>
          <w:p w14:paraId="6C5B1EEF" w14:textId="77777777" w:rsidR="00914134" w:rsidRPr="007A34A8" w:rsidRDefault="00914134" w:rsidP="0024531A">
            <w:pPr>
              <w:jc w:val="center"/>
              <w:rPr>
                <w:rFonts w:ascii="Arial" w:eastAsia="Times New Roman" w:hAnsi="Arial" w:cs="Arial"/>
                <w:b/>
                <w:bCs/>
                <w:sz w:val="16"/>
                <w:szCs w:val="16"/>
                <w:lang w:val="es-CO" w:eastAsia="es-CO"/>
              </w:rPr>
            </w:pPr>
            <w:r w:rsidRPr="007A34A8">
              <w:rPr>
                <w:rFonts w:ascii="Arial" w:eastAsia="Times New Roman" w:hAnsi="Arial" w:cs="Arial"/>
                <w:b/>
                <w:bCs/>
                <w:sz w:val="16"/>
                <w:szCs w:val="16"/>
                <w:lang w:val="es-CO" w:eastAsia="es-CO"/>
              </w:rPr>
              <w:t>Costo por Perdida</w:t>
            </w:r>
            <w:r w:rsidRPr="007A34A8">
              <w:rPr>
                <w:rFonts w:ascii="Arial" w:eastAsia="Times New Roman" w:hAnsi="Arial" w:cs="Arial"/>
                <w:b/>
                <w:bCs/>
                <w:sz w:val="16"/>
                <w:szCs w:val="16"/>
                <w:lang w:val="es-CO" w:eastAsia="es-CO"/>
              </w:rPr>
              <w:br/>
            </w:r>
            <w:r>
              <w:rPr>
                <w:rFonts w:ascii="Arial" w:eastAsia="Times New Roman" w:hAnsi="Arial" w:cs="Arial"/>
                <w:b/>
                <w:bCs/>
                <w:sz w:val="16"/>
                <w:szCs w:val="16"/>
                <w:lang w:val="es-CO" w:eastAsia="es-CO"/>
              </w:rPr>
              <w:t>(</w:t>
            </w:r>
            <w:r w:rsidRPr="007A34A8">
              <w:rPr>
                <w:rFonts w:ascii="Arial" w:eastAsia="Times New Roman" w:hAnsi="Arial" w:cs="Arial"/>
                <w:b/>
                <w:bCs/>
                <w:sz w:val="16"/>
                <w:szCs w:val="16"/>
                <w:lang w:val="es-CO" w:eastAsia="es-CO"/>
              </w:rPr>
              <w:t>$/MMBTU</w:t>
            </w:r>
            <w:r>
              <w:rPr>
                <w:rFonts w:ascii="Arial" w:eastAsia="Times New Roman" w:hAnsi="Arial" w:cs="Arial"/>
                <w:b/>
                <w:bCs/>
                <w:sz w:val="16"/>
                <w:szCs w:val="16"/>
                <w:lang w:val="es-CO" w:eastAsia="es-CO"/>
              </w:rPr>
              <w:t>)</w:t>
            </w:r>
          </w:p>
        </w:tc>
        <w:tc>
          <w:tcPr>
            <w:tcW w:w="0" w:type="auto"/>
            <w:vMerge w:val="restart"/>
            <w:tcBorders>
              <w:top w:val="single" w:sz="4" w:space="0" w:color="auto"/>
            </w:tcBorders>
            <w:shd w:val="clear" w:color="auto" w:fill="FFFFFF" w:themeFill="background1"/>
            <w:vAlign w:val="center"/>
            <w:hideMark/>
          </w:tcPr>
          <w:p w14:paraId="7EBEA856" w14:textId="77777777" w:rsidR="00914134" w:rsidRPr="007A34A8" w:rsidRDefault="00914134" w:rsidP="0024531A">
            <w:pPr>
              <w:jc w:val="center"/>
              <w:rPr>
                <w:rFonts w:ascii="Arial" w:eastAsia="Times New Roman" w:hAnsi="Arial" w:cs="Arial"/>
                <w:b/>
                <w:bCs/>
                <w:sz w:val="16"/>
                <w:szCs w:val="16"/>
                <w:lang w:val="es-CO" w:eastAsia="es-CO"/>
              </w:rPr>
            </w:pPr>
            <w:r w:rsidRPr="007A34A8">
              <w:rPr>
                <w:rFonts w:ascii="Arial" w:eastAsia="Times New Roman" w:hAnsi="Arial" w:cs="Arial"/>
                <w:b/>
                <w:bCs/>
                <w:sz w:val="16"/>
                <w:szCs w:val="16"/>
                <w:lang w:val="es-CO" w:eastAsia="es-CO"/>
              </w:rPr>
              <w:t>Paso por Canal de Panamá</w:t>
            </w:r>
          </w:p>
        </w:tc>
        <w:tc>
          <w:tcPr>
            <w:tcW w:w="0" w:type="auto"/>
            <w:vMerge w:val="restart"/>
            <w:tcBorders>
              <w:top w:val="single" w:sz="4" w:space="0" w:color="auto"/>
            </w:tcBorders>
            <w:shd w:val="clear" w:color="auto" w:fill="FFFFFF" w:themeFill="background1"/>
            <w:vAlign w:val="center"/>
            <w:hideMark/>
          </w:tcPr>
          <w:p w14:paraId="734CF2A3" w14:textId="77777777" w:rsidR="00914134" w:rsidRPr="007A34A8" w:rsidRDefault="00914134" w:rsidP="0024531A">
            <w:pPr>
              <w:jc w:val="center"/>
              <w:rPr>
                <w:rFonts w:ascii="Arial" w:eastAsia="Times New Roman" w:hAnsi="Arial" w:cs="Arial"/>
                <w:b/>
                <w:bCs/>
                <w:sz w:val="16"/>
                <w:szCs w:val="16"/>
                <w:lang w:val="es-CO" w:eastAsia="es-CO"/>
              </w:rPr>
            </w:pPr>
            <w:r w:rsidRPr="007A34A8">
              <w:rPr>
                <w:rFonts w:ascii="Arial" w:eastAsia="Times New Roman" w:hAnsi="Arial" w:cs="Arial"/>
                <w:b/>
                <w:bCs/>
                <w:sz w:val="16"/>
                <w:szCs w:val="16"/>
                <w:lang w:val="es-CO" w:eastAsia="es-CO"/>
              </w:rPr>
              <w:t>Costo Cartagena</w:t>
            </w:r>
            <w:r>
              <w:rPr>
                <w:rFonts w:ascii="Arial" w:eastAsia="Times New Roman" w:hAnsi="Arial" w:cs="Arial"/>
                <w:b/>
                <w:bCs/>
                <w:sz w:val="16"/>
                <w:szCs w:val="16"/>
                <w:lang w:val="es-CO" w:eastAsia="es-CO"/>
              </w:rPr>
              <w:t xml:space="preserve"> (</w:t>
            </w:r>
            <w:r w:rsidRPr="007A34A8">
              <w:rPr>
                <w:rFonts w:ascii="Arial" w:eastAsia="Times New Roman" w:hAnsi="Arial" w:cs="Arial"/>
                <w:b/>
                <w:bCs/>
                <w:sz w:val="16"/>
                <w:szCs w:val="16"/>
                <w:lang w:val="es-CO" w:eastAsia="es-CO"/>
              </w:rPr>
              <w:t>$/MMBTU</w:t>
            </w:r>
            <w:r>
              <w:rPr>
                <w:rFonts w:ascii="Arial" w:eastAsia="Times New Roman" w:hAnsi="Arial" w:cs="Arial"/>
                <w:b/>
                <w:bCs/>
                <w:sz w:val="16"/>
                <w:szCs w:val="16"/>
                <w:lang w:val="es-CO" w:eastAsia="es-CO"/>
              </w:rPr>
              <w:t>)</w:t>
            </w:r>
          </w:p>
        </w:tc>
      </w:tr>
      <w:tr w:rsidR="00914134" w:rsidRPr="007A34A8" w14:paraId="63DA0553" w14:textId="77777777" w:rsidTr="0024531A">
        <w:trPr>
          <w:trHeight w:val="293"/>
        </w:trPr>
        <w:tc>
          <w:tcPr>
            <w:tcW w:w="0" w:type="auto"/>
            <w:vMerge/>
            <w:tcBorders>
              <w:bottom w:val="single" w:sz="4" w:space="0" w:color="auto"/>
            </w:tcBorders>
            <w:shd w:val="clear" w:color="auto" w:fill="FFFFFF" w:themeFill="background1"/>
            <w:vAlign w:val="center"/>
            <w:hideMark/>
          </w:tcPr>
          <w:p w14:paraId="658528D4" w14:textId="77777777" w:rsidR="00914134" w:rsidRPr="007A34A8" w:rsidRDefault="00914134" w:rsidP="0024531A">
            <w:pPr>
              <w:rPr>
                <w:rFonts w:ascii="Arial" w:eastAsia="Times New Roman" w:hAnsi="Arial" w:cs="Arial"/>
                <w:b/>
                <w:bCs/>
                <w:color w:val="FFFFFF"/>
                <w:sz w:val="16"/>
                <w:szCs w:val="16"/>
                <w:lang w:val="es-CO" w:eastAsia="es-CO"/>
              </w:rPr>
            </w:pPr>
          </w:p>
        </w:tc>
        <w:tc>
          <w:tcPr>
            <w:tcW w:w="0" w:type="auto"/>
            <w:vMerge/>
            <w:tcBorders>
              <w:bottom w:val="single" w:sz="4" w:space="0" w:color="auto"/>
            </w:tcBorders>
            <w:shd w:val="clear" w:color="auto" w:fill="FFFFFF" w:themeFill="background1"/>
            <w:vAlign w:val="center"/>
            <w:hideMark/>
          </w:tcPr>
          <w:p w14:paraId="407C420E" w14:textId="77777777" w:rsidR="00914134" w:rsidRPr="007A34A8" w:rsidRDefault="00914134" w:rsidP="0024531A">
            <w:pPr>
              <w:rPr>
                <w:rFonts w:ascii="Arial" w:eastAsia="Times New Roman" w:hAnsi="Arial" w:cs="Arial"/>
                <w:b/>
                <w:bCs/>
                <w:color w:val="FFFFFF"/>
                <w:sz w:val="16"/>
                <w:szCs w:val="16"/>
                <w:lang w:val="es-CO" w:eastAsia="es-CO"/>
              </w:rPr>
            </w:pPr>
          </w:p>
        </w:tc>
        <w:tc>
          <w:tcPr>
            <w:tcW w:w="1727" w:type="dxa"/>
            <w:vMerge/>
            <w:tcBorders>
              <w:bottom w:val="single" w:sz="4" w:space="0" w:color="auto"/>
            </w:tcBorders>
            <w:shd w:val="clear" w:color="auto" w:fill="FFFFFF" w:themeFill="background1"/>
            <w:vAlign w:val="center"/>
            <w:hideMark/>
          </w:tcPr>
          <w:p w14:paraId="79FEE248" w14:textId="77777777" w:rsidR="00914134" w:rsidRPr="007A34A8" w:rsidRDefault="00914134" w:rsidP="0024531A">
            <w:pPr>
              <w:rPr>
                <w:rFonts w:ascii="Arial" w:eastAsia="Times New Roman" w:hAnsi="Arial" w:cs="Arial"/>
                <w:b/>
                <w:bCs/>
                <w:color w:val="FFFFFF"/>
                <w:sz w:val="16"/>
                <w:szCs w:val="16"/>
                <w:lang w:val="es-CO" w:eastAsia="es-CO"/>
              </w:rPr>
            </w:pPr>
          </w:p>
        </w:tc>
        <w:tc>
          <w:tcPr>
            <w:tcW w:w="0" w:type="auto"/>
            <w:vMerge/>
            <w:tcBorders>
              <w:bottom w:val="single" w:sz="4" w:space="0" w:color="auto"/>
            </w:tcBorders>
            <w:shd w:val="clear" w:color="auto" w:fill="FFFFFF" w:themeFill="background1"/>
            <w:vAlign w:val="center"/>
            <w:hideMark/>
          </w:tcPr>
          <w:p w14:paraId="423BE422" w14:textId="77777777" w:rsidR="00914134" w:rsidRPr="007A34A8" w:rsidRDefault="00914134" w:rsidP="0024531A">
            <w:pPr>
              <w:rPr>
                <w:rFonts w:ascii="Arial" w:eastAsia="Times New Roman" w:hAnsi="Arial" w:cs="Arial"/>
                <w:b/>
                <w:bCs/>
                <w:color w:val="FFFFFF"/>
                <w:sz w:val="16"/>
                <w:szCs w:val="16"/>
                <w:lang w:val="es-CO" w:eastAsia="es-CO"/>
              </w:rPr>
            </w:pPr>
          </w:p>
        </w:tc>
        <w:tc>
          <w:tcPr>
            <w:tcW w:w="0" w:type="auto"/>
            <w:vMerge/>
            <w:tcBorders>
              <w:bottom w:val="single" w:sz="4" w:space="0" w:color="auto"/>
            </w:tcBorders>
            <w:shd w:val="clear" w:color="auto" w:fill="FFFFFF" w:themeFill="background1"/>
            <w:vAlign w:val="center"/>
            <w:hideMark/>
          </w:tcPr>
          <w:p w14:paraId="0EABCF7C" w14:textId="77777777" w:rsidR="00914134" w:rsidRPr="007A34A8" w:rsidRDefault="00914134" w:rsidP="0024531A">
            <w:pPr>
              <w:rPr>
                <w:rFonts w:ascii="Arial" w:eastAsia="Times New Roman" w:hAnsi="Arial" w:cs="Arial"/>
                <w:b/>
                <w:bCs/>
                <w:color w:val="FFFFFF"/>
                <w:sz w:val="16"/>
                <w:szCs w:val="16"/>
                <w:lang w:val="es-CO" w:eastAsia="es-CO"/>
              </w:rPr>
            </w:pPr>
          </w:p>
        </w:tc>
        <w:tc>
          <w:tcPr>
            <w:tcW w:w="0" w:type="auto"/>
            <w:vMerge/>
            <w:tcBorders>
              <w:bottom w:val="single" w:sz="4" w:space="0" w:color="auto"/>
            </w:tcBorders>
            <w:shd w:val="clear" w:color="auto" w:fill="FFFFFF" w:themeFill="background1"/>
            <w:vAlign w:val="center"/>
            <w:hideMark/>
          </w:tcPr>
          <w:p w14:paraId="7043876F" w14:textId="77777777" w:rsidR="00914134" w:rsidRPr="007A34A8" w:rsidRDefault="00914134" w:rsidP="0024531A">
            <w:pPr>
              <w:rPr>
                <w:rFonts w:ascii="Arial" w:eastAsia="Times New Roman" w:hAnsi="Arial" w:cs="Arial"/>
                <w:b/>
                <w:bCs/>
                <w:color w:val="FFFFFF"/>
                <w:sz w:val="16"/>
                <w:szCs w:val="16"/>
                <w:lang w:val="es-CO" w:eastAsia="es-CO"/>
              </w:rPr>
            </w:pPr>
          </w:p>
        </w:tc>
        <w:tc>
          <w:tcPr>
            <w:tcW w:w="0" w:type="auto"/>
            <w:vMerge/>
            <w:tcBorders>
              <w:bottom w:val="single" w:sz="4" w:space="0" w:color="auto"/>
            </w:tcBorders>
            <w:shd w:val="clear" w:color="auto" w:fill="FFFFFF" w:themeFill="background1"/>
            <w:vAlign w:val="center"/>
            <w:hideMark/>
          </w:tcPr>
          <w:p w14:paraId="69AFA0C9" w14:textId="77777777" w:rsidR="00914134" w:rsidRPr="007A34A8" w:rsidRDefault="00914134" w:rsidP="0024531A">
            <w:pPr>
              <w:rPr>
                <w:rFonts w:ascii="Arial" w:eastAsia="Times New Roman" w:hAnsi="Arial" w:cs="Arial"/>
                <w:b/>
                <w:bCs/>
                <w:color w:val="FFFFFF"/>
                <w:sz w:val="16"/>
                <w:szCs w:val="16"/>
                <w:lang w:val="es-CO" w:eastAsia="es-CO"/>
              </w:rPr>
            </w:pPr>
          </w:p>
        </w:tc>
        <w:tc>
          <w:tcPr>
            <w:tcW w:w="0" w:type="auto"/>
            <w:vMerge/>
            <w:tcBorders>
              <w:bottom w:val="single" w:sz="4" w:space="0" w:color="auto"/>
            </w:tcBorders>
            <w:shd w:val="clear" w:color="auto" w:fill="FFFFFF" w:themeFill="background1"/>
            <w:vAlign w:val="center"/>
            <w:hideMark/>
          </w:tcPr>
          <w:p w14:paraId="11B83BC7" w14:textId="77777777" w:rsidR="00914134" w:rsidRPr="007A34A8" w:rsidRDefault="00914134" w:rsidP="0024531A">
            <w:pPr>
              <w:rPr>
                <w:rFonts w:ascii="Arial" w:eastAsia="Times New Roman" w:hAnsi="Arial" w:cs="Arial"/>
                <w:b/>
                <w:bCs/>
                <w:color w:val="FFFFFF"/>
                <w:sz w:val="16"/>
                <w:szCs w:val="16"/>
                <w:lang w:val="es-CO" w:eastAsia="es-CO"/>
              </w:rPr>
            </w:pPr>
          </w:p>
        </w:tc>
      </w:tr>
      <w:tr w:rsidR="00914134" w:rsidRPr="007A34A8" w14:paraId="0147525F" w14:textId="77777777" w:rsidTr="003C5802">
        <w:trPr>
          <w:trHeight w:val="340"/>
        </w:trPr>
        <w:tc>
          <w:tcPr>
            <w:tcW w:w="0" w:type="auto"/>
            <w:tcBorders>
              <w:top w:val="single" w:sz="4" w:space="0" w:color="auto"/>
              <w:bottom w:val="single" w:sz="4" w:space="0" w:color="auto"/>
            </w:tcBorders>
            <w:shd w:val="clear" w:color="auto" w:fill="FFFFFF" w:themeFill="background1"/>
            <w:noWrap/>
            <w:vAlign w:val="center"/>
            <w:hideMark/>
          </w:tcPr>
          <w:p w14:paraId="3E0B3EA8"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América del Norte</w:t>
            </w:r>
          </w:p>
        </w:tc>
        <w:tc>
          <w:tcPr>
            <w:tcW w:w="0" w:type="auto"/>
            <w:tcBorders>
              <w:top w:val="single" w:sz="4" w:space="0" w:color="auto"/>
              <w:bottom w:val="single" w:sz="4" w:space="0" w:color="auto"/>
            </w:tcBorders>
            <w:shd w:val="clear" w:color="auto" w:fill="FFFFFF" w:themeFill="background1"/>
            <w:noWrap/>
            <w:vAlign w:val="center"/>
            <w:hideMark/>
          </w:tcPr>
          <w:p w14:paraId="506F9663"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USA</w:t>
            </w:r>
          </w:p>
        </w:tc>
        <w:tc>
          <w:tcPr>
            <w:tcW w:w="1727" w:type="dxa"/>
            <w:tcBorders>
              <w:top w:val="single" w:sz="4" w:space="0" w:color="auto"/>
              <w:bottom w:val="single" w:sz="4" w:space="0" w:color="auto"/>
            </w:tcBorders>
            <w:shd w:val="clear" w:color="auto" w:fill="FFFFFF" w:themeFill="background1"/>
            <w:noWrap/>
            <w:vAlign w:val="center"/>
            <w:hideMark/>
          </w:tcPr>
          <w:p w14:paraId="63E92842"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Sabine Pass</w:t>
            </w:r>
          </w:p>
        </w:tc>
        <w:tc>
          <w:tcPr>
            <w:tcW w:w="0" w:type="auto"/>
            <w:tcBorders>
              <w:top w:val="single" w:sz="4" w:space="0" w:color="auto"/>
              <w:bottom w:val="single" w:sz="4" w:space="0" w:color="auto"/>
            </w:tcBorders>
            <w:shd w:val="clear" w:color="auto" w:fill="FFFFFF" w:themeFill="background1"/>
            <w:noWrap/>
            <w:vAlign w:val="center"/>
            <w:hideMark/>
          </w:tcPr>
          <w:p w14:paraId="02BA5315"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2,874</w:t>
            </w:r>
          </w:p>
        </w:tc>
        <w:tc>
          <w:tcPr>
            <w:tcW w:w="0" w:type="auto"/>
            <w:tcBorders>
              <w:top w:val="single" w:sz="4" w:space="0" w:color="auto"/>
              <w:bottom w:val="single" w:sz="4" w:space="0" w:color="auto"/>
            </w:tcBorders>
            <w:shd w:val="clear" w:color="auto" w:fill="FFFFFF" w:themeFill="background1"/>
            <w:noWrap/>
            <w:vAlign w:val="center"/>
            <w:hideMark/>
          </w:tcPr>
          <w:p w14:paraId="4111FDB5"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16</w:t>
            </w:r>
          </w:p>
        </w:tc>
        <w:tc>
          <w:tcPr>
            <w:tcW w:w="0" w:type="auto"/>
            <w:tcBorders>
              <w:top w:val="single" w:sz="4" w:space="0" w:color="auto"/>
              <w:bottom w:val="single" w:sz="4" w:space="0" w:color="auto"/>
            </w:tcBorders>
            <w:shd w:val="clear" w:color="auto" w:fill="FFFFFF" w:themeFill="background1"/>
            <w:noWrap/>
            <w:vAlign w:val="center"/>
            <w:hideMark/>
          </w:tcPr>
          <w:p w14:paraId="6A3EE19E"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$0.01</w:t>
            </w:r>
          </w:p>
        </w:tc>
        <w:tc>
          <w:tcPr>
            <w:tcW w:w="0" w:type="auto"/>
            <w:tcBorders>
              <w:top w:val="single" w:sz="4" w:space="0" w:color="auto"/>
              <w:bottom w:val="single" w:sz="4" w:space="0" w:color="auto"/>
            </w:tcBorders>
            <w:shd w:val="clear" w:color="auto" w:fill="FFFFFF" w:themeFill="background1"/>
            <w:noWrap/>
            <w:vAlign w:val="center"/>
            <w:hideMark/>
          </w:tcPr>
          <w:p w14:paraId="09626B94"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w:t>
            </w:r>
          </w:p>
        </w:tc>
        <w:tc>
          <w:tcPr>
            <w:tcW w:w="0" w:type="auto"/>
            <w:tcBorders>
              <w:top w:val="single" w:sz="4" w:space="0" w:color="auto"/>
              <w:bottom w:val="single" w:sz="4" w:space="0" w:color="auto"/>
            </w:tcBorders>
            <w:shd w:val="clear" w:color="auto" w:fill="FFFFFF" w:themeFill="background1"/>
            <w:noWrap/>
            <w:vAlign w:val="center"/>
            <w:hideMark/>
          </w:tcPr>
          <w:p w14:paraId="1FC5C5F0"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$ 0.16</w:t>
            </w:r>
          </w:p>
        </w:tc>
      </w:tr>
      <w:tr w:rsidR="00914134" w:rsidRPr="007A34A8" w14:paraId="256CC3E6" w14:textId="77777777" w:rsidTr="003C5802">
        <w:trPr>
          <w:trHeight w:val="340"/>
        </w:trPr>
        <w:tc>
          <w:tcPr>
            <w:tcW w:w="0" w:type="auto"/>
            <w:vMerge w:val="restart"/>
            <w:tcBorders>
              <w:top w:val="single" w:sz="4" w:space="0" w:color="auto"/>
            </w:tcBorders>
            <w:shd w:val="clear" w:color="auto" w:fill="FFFFFF" w:themeFill="background1"/>
            <w:noWrap/>
            <w:vAlign w:val="center"/>
            <w:hideMark/>
          </w:tcPr>
          <w:p w14:paraId="282FB33F"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América del Sur</w:t>
            </w:r>
          </w:p>
        </w:tc>
        <w:tc>
          <w:tcPr>
            <w:tcW w:w="0" w:type="auto"/>
            <w:tcBorders>
              <w:top w:val="single" w:sz="4" w:space="0" w:color="auto"/>
              <w:bottom w:val="dotted" w:sz="4" w:space="0" w:color="auto"/>
            </w:tcBorders>
            <w:shd w:val="clear" w:color="auto" w:fill="FFFFFF" w:themeFill="background1"/>
            <w:vAlign w:val="center"/>
            <w:hideMark/>
          </w:tcPr>
          <w:p w14:paraId="48FC3C39"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Trinidad y Tobago </w:t>
            </w:r>
          </w:p>
        </w:tc>
        <w:tc>
          <w:tcPr>
            <w:tcW w:w="1727" w:type="dxa"/>
            <w:tcBorders>
              <w:top w:val="single" w:sz="4" w:space="0" w:color="auto"/>
              <w:bottom w:val="dotted" w:sz="4" w:space="0" w:color="auto"/>
            </w:tcBorders>
            <w:shd w:val="clear" w:color="auto" w:fill="FFFFFF" w:themeFill="background1"/>
            <w:vAlign w:val="center"/>
            <w:hideMark/>
          </w:tcPr>
          <w:p w14:paraId="0F9F2EDD"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Point Fortin </w:t>
            </w:r>
          </w:p>
        </w:tc>
        <w:tc>
          <w:tcPr>
            <w:tcW w:w="0" w:type="auto"/>
            <w:tcBorders>
              <w:top w:val="single" w:sz="4" w:space="0" w:color="auto"/>
              <w:bottom w:val="dotted" w:sz="4" w:space="0" w:color="auto"/>
            </w:tcBorders>
            <w:shd w:val="clear" w:color="auto" w:fill="FFFFFF" w:themeFill="background1"/>
            <w:noWrap/>
            <w:vAlign w:val="center"/>
            <w:hideMark/>
          </w:tcPr>
          <w:p w14:paraId="68D58F7A"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1,633</w:t>
            </w:r>
          </w:p>
        </w:tc>
        <w:tc>
          <w:tcPr>
            <w:tcW w:w="0" w:type="auto"/>
            <w:tcBorders>
              <w:top w:val="single" w:sz="4" w:space="0" w:color="auto"/>
              <w:bottom w:val="dotted" w:sz="4" w:space="0" w:color="auto"/>
            </w:tcBorders>
            <w:shd w:val="clear" w:color="auto" w:fill="FFFFFF" w:themeFill="background1"/>
            <w:noWrap/>
            <w:vAlign w:val="center"/>
            <w:hideMark/>
          </w:tcPr>
          <w:p w14:paraId="63EE2830"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13</w:t>
            </w:r>
          </w:p>
        </w:tc>
        <w:tc>
          <w:tcPr>
            <w:tcW w:w="0" w:type="auto"/>
            <w:tcBorders>
              <w:top w:val="single" w:sz="4" w:space="0" w:color="auto"/>
              <w:bottom w:val="dotted" w:sz="4" w:space="0" w:color="auto"/>
            </w:tcBorders>
            <w:shd w:val="clear" w:color="auto" w:fill="FFFFFF" w:themeFill="background1"/>
            <w:noWrap/>
            <w:vAlign w:val="center"/>
            <w:hideMark/>
          </w:tcPr>
          <w:p w14:paraId="4288B6B8"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$ 0.01</w:t>
            </w:r>
          </w:p>
        </w:tc>
        <w:tc>
          <w:tcPr>
            <w:tcW w:w="0" w:type="auto"/>
            <w:tcBorders>
              <w:top w:val="single" w:sz="4" w:space="0" w:color="auto"/>
              <w:bottom w:val="dotted" w:sz="4" w:space="0" w:color="auto"/>
            </w:tcBorders>
            <w:shd w:val="clear" w:color="auto" w:fill="FFFFFF" w:themeFill="background1"/>
            <w:noWrap/>
            <w:vAlign w:val="center"/>
            <w:hideMark/>
          </w:tcPr>
          <w:p w14:paraId="11D67F4C"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w:t>
            </w:r>
          </w:p>
        </w:tc>
        <w:tc>
          <w:tcPr>
            <w:tcW w:w="0" w:type="auto"/>
            <w:tcBorders>
              <w:top w:val="single" w:sz="4" w:space="0" w:color="auto"/>
              <w:bottom w:val="dotted" w:sz="4" w:space="0" w:color="auto"/>
            </w:tcBorders>
            <w:shd w:val="clear" w:color="auto" w:fill="FFFFFF" w:themeFill="background1"/>
            <w:noWrap/>
            <w:vAlign w:val="center"/>
            <w:hideMark/>
          </w:tcPr>
          <w:p w14:paraId="6CDE40E7" w14:textId="43E21BC7" w:rsidR="00332FD7" w:rsidRPr="003529F4" w:rsidRDefault="00914134" w:rsidP="003529F4">
            <w:pPr>
              <w:jc w:val="center"/>
              <w:rPr>
                <w:rFonts w:ascii="Arial" w:eastAsia="Times New Roman" w:hAnsi="Arial" w:cs="Arial"/>
                <w:sz w:val="16"/>
                <w:szCs w:val="16"/>
                <w:lang w:val="es-CO" w:eastAsia="es-CO"/>
              </w:rPr>
            </w:pPr>
            <w:r w:rsidRPr="003529F4">
              <w:rPr>
                <w:rFonts w:ascii="Arial" w:eastAsia="Times New Roman" w:hAnsi="Arial" w:cs="Arial"/>
                <w:sz w:val="16"/>
                <w:szCs w:val="16"/>
                <w:lang w:val="es-CO" w:eastAsia="es-CO"/>
              </w:rPr>
              <w:t>$ 0.</w:t>
            </w:r>
            <w:r w:rsidR="00A54DE1" w:rsidRPr="003529F4">
              <w:rPr>
                <w:rFonts w:ascii="Arial" w:eastAsia="Times New Roman" w:hAnsi="Arial" w:cs="Arial"/>
                <w:sz w:val="16"/>
                <w:szCs w:val="16"/>
                <w:lang w:val="es-CO" w:eastAsia="es-CO"/>
              </w:rPr>
              <w:t>11</w:t>
            </w:r>
          </w:p>
        </w:tc>
      </w:tr>
      <w:tr w:rsidR="00914134" w:rsidRPr="007A34A8" w14:paraId="33998938" w14:textId="77777777" w:rsidTr="003C5802">
        <w:trPr>
          <w:trHeight w:val="340"/>
        </w:trPr>
        <w:tc>
          <w:tcPr>
            <w:tcW w:w="0" w:type="auto"/>
            <w:vMerge/>
            <w:shd w:val="clear" w:color="auto" w:fill="FFFFFF" w:themeFill="background1"/>
            <w:vAlign w:val="center"/>
            <w:hideMark/>
          </w:tcPr>
          <w:p w14:paraId="58A40A45" w14:textId="77777777" w:rsidR="00914134" w:rsidRPr="007A34A8" w:rsidRDefault="00914134" w:rsidP="0024531A">
            <w:pPr>
              <w:rPr>
                <w:rFonts w:ascii="Arial" w:eastAsia="Times New Roman" w:hAnsi="Arial" w:cs="Arial"/>
                <w:color w:val="000000"/>
                <w:sz w:val="16"/>
                <w:szCs w:val="16"/>
                <w:lang w:val="es-CO" w:eastAsia="es-CO"/>
              </w:rPr>
            </w:pPr>
          </w:p>
        </w:tc>
        <w:tc>
          <w:tcPr>
            <w:tcW w:w="0" w:type="auto"/>
            <w:tcBorders>
              <w:top w:val="dotted" w:sz="4" w:space="0" w:color="auto"/>
              <w:bottom w:val="dotted" w:sz="4" w:space="0" w:color="auto"/>
            </w:tcBorders>
            <w:shd w:val="clear" w:color="auto" w:fill="FFFFFF" w:themeFill="background1"/>
            <w:vAlign w:val="center"/>
            <w:hideMark/>
          </w:tcPr>
          <w:p w14:paraId="282AF05B"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Perú </w:t>
            </w:r>
          </w:p>
        </w:tc>
        <w:tc>
          <w:tcPr>
            <w:tcW w:w="1727" w:type="dxa"/>
            <w:tcBorders>
              <w:top w:val="dotted" w:sz="4" w:space="0" w:color="auto"/>
              <w:bottom w:val="dotted" w:sz="4" w:space="0" w:color="auto"/>
            </w:tcBorders>
            <w:shd w:val="clear" w:color="auto" w:fill="FFFFFF" w:themeFill="background1"/>
            <w:vAlign w:val="center"/>
            <w:hideMark/>
          </w:tcPr>
          <w:p w14:paraId="12538D22"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Perú LNG </w:t>
            </w:r>
          </w:p>
        </w:tc>
        <w:tc>
          <w:tcPr>
            <w:tcW w:w="0" w:type="auto"/>
            <w:tcBorders>
              <w:top w:val="dotted" w:sz="4" w:space="0" w:color="auto"/>
              <w:bottom w:val="dotted" w:sz="4" w:space="0" w:color="auto"/>
            </w:tcBorders>
            <w:shd w:val="clear" w:color="auto" w:fill="FFFFFF" w:themeFill="background1"/>
            <w:noWrap/>
            <w:vAlign w:val="center"/>
            <w:hideMark/>
          </w:tcPr>
          <w:p w14:paraId="2A59FC10"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2,726</w:t>
            </w:r>
          </w:p>
        </w:tc>
        <w:tc>
          <w:tcPr>
            <w:tcW w:w="0" w:type="auto"/>
            <w:tcBorders>
              <w:top w:val="dotted" w:sz="4" w:space="0" w:color="auto"/>
              <w:bottom w:val="dotted" w:sz="4" w:space="0" w:color="auto"/>
            </w:tcBorders>
            <w:shd w:val="clear" w:color="auto" w:fill="FFFFFF" w:themeFill="background1"/>
            <w:noWrap/>
            <w:vAlign w:val="center"/>
            <w:hideMark/>
          </w:tcPr>
          <w:p w14:paraId="5927B9D1"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15</w:t>
            </w:r>
          </w:p>
        </w:tc>
        <w:tc>
          <w:tcPr>
            <w:tcW w:w="0" w:type="auto"/>
            <w:tcBorders>
              <w:top w:val="dotted" w:sz="4" w:space="0" w:color="auto"/>
              <w:bottom w:val="dotted" w:sz="4" w:space="0" w:color="auto"/>
            </w:tcBorders>
            <w:shd w:val="clear" w:color="auto" w:fill="FFFFFF" w:themeFill="background1"/>
            <w:noWrap/>
            <w:vAlign w:val="center"/>
            <w:hideMark/>
          </w:tcPr>
          <w:p w14:paraId="6410761E"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$ 0.01</w:t>
            </w:r>
          </w:p>
        </w:tc>
        <w:tc>
          <w:tcPr>
            <w:tcW w:w="0" w:type="auto"/>
            <w:tcBorders>
              <w:top w:val="dotted" w:sz="4" w:space="0" w:color="auto"/>
              <w:bottom w:val="dotted" w:sz="4" w:space="0" w:color="auto"/>
            </w:tcBorders>
            <w:shd w:val="clear" w:color="auto" w:fill="FFFFFF" w:themeFill="background1"/>
            <w:noWrap/>
            <w:vAlign w:val="center"/>
            <w:hideMark/>
          </w:tcPr>
          <w:p w14:paraId="66904C04"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$ 0.11</w:t>
            </w:r>
          </w:p>
        </w:tc>
        <w:tc>
          <w:tcPr>
            <w:tcW w:w="0" w:type="auto"/>
            <w:tcBorders>
              <w:top w:val="dotted" w:sz="4" w:space="0" w:color="auto"/>
              <w:bottom w:val="dotted" w:sz="4" w:space="0" w:color="auto"/>
            </w:tcBorders>
            <w:shd w:val="clear" w:color="auto" w:fill="FFFFFF" w:themeFill="background1"/>
            <w:noWrap/>
            <w:vAlign w:val="center"/>
            <w:hideMark/>
          </w:tcPr>
          <w:p w14:paraId="48C11D9A"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$ 0.26</w:t>
            </w:r>
          </w:p>
        </w:tc>
      </w:tr>
      <w:tr w:rsidR="00914134" w:rsidRPr="007A34A8" w14:paraId="662E29C5" w14:textId="77777777" w:rsidTr="003C5802">
        <w:trPr>
          <w:trHeight w:val="340"/>
        </w:trPr>
        <w:tc>
          <w:tcPr>
            <w:tcW w:w="0" w:type="auto"/>
            <w:vMerge/>
            <w:shd w:val="clear" w:color="auto" w:fill="FFFFFF" w:themeFill="background1"/>
            <w:vAlign w:val="center"/>
            <w:hideMark/>
          </w:tcPr>
          <w:p w14:paraId="2431EEE1" w14:textId="77777777" w:rsidR="00914134" w:rsidRPr="007A34A8" w:rsidRDefault="00914134" w:rsidP="0024531A">
            <w:pPr>
              <w:rPr>
                <w:rFonts w:ascii="Arial" w:eastAsia="Times New Roman" w:hAnsi="Arial" w:cs="Arial"/>
                <w:color w:val="000000"/>
                <w:sz w:val="16"/>
                <w:szCs w:val="16"/>
                <w:lang w:val="es-CO" w:eastAsia="es-CO"/>
              </w:rPr>
            </w:pPr>
          </w:p>
        </w:tc>
        <w:tc>
          <w:tcPr>
            <w:tcW w:w="0" w:type="auto"/>
            <w:tcBorders>
              <w:top w:val="dotted" w:sz="4" w:space="0" w:color="auto"/>
              <w:bottom w:val="dotted" w:sz="4" w:space="0" w:color="auto"/>
            </w:tcBorders>
            <w:shd w:val="clear" w:color="auto" w:fill="FFFFFF" w:themeFill="background1"/>
            <w:vAlign w:val="center"/>
            <w:hideMark/>
          </w:tcPr>
          <w:p w14:paraId="2AA5F6CC"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Argentina </w:t>
            </w:r>
          </w:p>
        </w:tc>
        <w:tc>
          <w:tcPr>
            <w:tcW w:w="1727" w:type="dxa"/>
            <w:tcBorders>
              <w:top w:val="dotted" w:sz="4" w:space="0" w:color="auto"/>
              <w:bottom w:val="dotted" w:sz="4" w:space="0" w:color="auto"/>
            </w:tcBorders>
            <w:shd w:val="clear" w:color="auto" w:fill="FFFFFF" w:themeFill="background1"/>
            <w:vAlign w:val="center"/>
            <w:hideMark/>
          </w:tcPr>
          <w:p w14:paraId="3BF9A768"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Escobar LNG </w:t>
            </w:r>
          </w:p>
        </w:tc>
        <w:tc>
          <w:tcPr>
            <w:tcW w:w="0" w:type="auto"/>
            <w:tcBorders>
              <w:top w:val="dotted" w:sz="4" w:space="0" w:color="auto"/>
              <w:bottom w:val="dotted" w:sz="4" w:space="0" w:color="auto"/>
            </w:tcBorders>
            <w:shd w:val="clear" w:color="auto" w:fill="FFFFFF" w:themeFill="background1"/>
            <w:noWrap/>
            <w:vAlign w:val="center"/>
            <w:hideMark/>
          </w:tcPr>
          <w:p w14:paraId="73981C91"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9,354</w:t>
            </w:r>
          </w:p>
        </w:tc>
        <w:tc>
          <w:tcPr>
            <w:tcW w:w="0" w:type="auto"/>
            <w:tcBorders>
              <w:top w:val="dotted" w:sz="4" w:space="0" w:color="auto"/>
              <w:bottom w:val="dotted" w:sz="4" w:space="0" w:color="auto"/>
            </w:tcBorders>
            <w:shd w:val="clear" w:color="auto" w:fill="FFFFFF" w:themeFill="background1"/>
            <w:noWrap/>
            <w:vAlign w:val="center"/>
            <w:hideMark/>
          </w:tcPr>
          <w:p w14:paraId="2D8CD413"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31</w:t>
            </w:r>
          </w:p>
        </w:tc>
        <w:tc>
          <w:tcPr>
            <w:tcW w:w="0" w:type="auto"/>
            <w:tcBorders>
              <w:top w:val="dotted" w:sz="4" w:space="0" w:color="auto"/>
              <w:bottom w:val="dotted" w:sz="4" w:space="0" w:color="auto"/>
            </w:tcBorders>
            <w:shd w:val="clear" w:color="auto" w:fill="FFFFFF" w:themeFill="background1"/>
            <w:noWrap/>
            <w:vAlign w:val="center"/>
            <w:hideMark/>
          </w:tcPr>
          <w:p w14:paraId="0EB097E0"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$ 0.03</w:t>
            </w:r>
          </w:p>
        </w:tc>
        <w:tc>
          <w:tcPr>
            <w:tcW w:w="0" w:type="auto"/>
            <w:tcBorders>
              <w:top w:val="dotted" w:sz="4" w:space="0" w:color="auto"/>
              <w:bottom w:val="dotted" w:sz="4" w:space="0" w:color="auto"/>
            </w:tcBorders>
            <w:shd w:val="clear" w:color="auto" w:fill="FFFFFF" w:themeFill="background1"/>
            <w:noWrap/>
            <w:vAlign w:val="center"/>
            <w:hideMark/>
          </w:tcPr>
          <w:p w14:paraId="27BF1DFB"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w:t>
            </w:r>
          </w:p>
        </w:tc>
        <w:tc>
          <w:tcPr>
            <w:tcW w:w="0" w:type="auto"/>
            <w:tcBorders>
              <w:top w:val="dotted" w:sz="4" w:space="0" w:color="auto"/>
              <w:bottom w:val="dotted" w:sz="4" w:space="0" w:color="auto"/>
            </w:tcBorders>
            <w:shd w:val="clear" w:color="auto" w:fill="FFFFFF" w:themeFill="background1"/>
            <w:noWrap/>
            <w:vAlign w:val="center"/>
            <w:hideMark/>
          </w:tcPr>
          <w:p w14:paraId="69EDE319"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$ 0.32</w:t>
            </w:r>
          </w:p>
        </w:tc>
      </w:tr>
      <w:tr w:rsidR="00914134" w:rsidRPr="007A34A8" w14:paraId="6B6ACAED" w14:textId="77777777" w:rsidTr="003C5802">
        <w:trPr>
          <w:trHeight w:val="340"/>
        </w:trPr>
        <w:tc>
          <w:tcPr>
            <w:tcW w:w="0" w:type="auto"/>
            <w:vMerge/>
            <w:shd w:val="clear" w:color="auto" w:fill="FFFFFF" w:themeFill="background1"/>
            <w:vAlign w:val="center"/>
            <w:hideMark/>
          </w:tcPr>
          <w:p w14:paraId="140555CB" w14:textId="77777777" w:rsidR="00914134" w:rsidRPr="007A34A8" w:rsidRDefault="00914134" w:rsidP="0024531A">
            <w:pPr>
              <w:rPr>
                <w:rFonts w:ascii="Arial" w:eastAsia="Times New Roman" w:hAnsi="Arial" w:cs="Arial"/>
                <w:color w:val="000000"/>
                <w:sz w:val="16"/>
                <w:szCs w:val="16"/>
                <w:lang w:val="es-CO" w:eastAsia="es-CO"/>
              </w:rPr>
            </w:pPr>
          </w:p>
        </w:tc>
        <w:tc>
          <w:tcPr>
            <w:tcW w:w="0" w:type="auto"/>
            <w:tcBorders>
              <w:top w:val="dotted" w:sz="4" w:space="0" w:color="auto"/>
              <w:bottom w:val="dotted" w:sz="4" w:space="0" w:color="auto"/>
            </w:tcBorders>
            <w:shd w:val="clear" w:color="auto" w:fill="FFFFFF" w:themeFill="background1"/>
            <w:vAlign w:val="center"/>
            <w:hideMark/>
          </w:tcPr>
          <w:p w14:paraId="2BB8FD73"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Chile </w:t>
            </w:r>
          </w:p>
        </w:tc>
        <w:tc>
          <w:tcPr>
            <w:tcW w:w="1727" w:type="dxa"/>
            <w:tcBorders>
              <w:top w:val="dotted" w:sz="4" w:space="0" w:color="auto"/>
              <w:bottom w:val="dotted" w:sz="4" w:space="0" w:color="auto"/>
            </w:tcBorders>
            <w:shd w:val="clear" w:color="auto" w:fill="FFFFFF" w:themeFill="background1"/>
            <w:vAlign w:val="center"/>
            <w:hideMark/>
          </w:tcPr>
          <w:p w14:paraId="72E00129"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Quintero LNG </w:t>
            </w:r>
          </w:p>
        </w:tc>
        <w:tc>
          <w:tcPr>
            <w:tcW w:w="0" w:type="auto"/>
            <w:tcBorders>
              <w:top w:val="dotted" w:sz="4" w:space="0" w:color="auto"/>
              <w:bottom w:val="dotted" w:sz="4" w:space="0" w:color="auto"/>
            </w:tcBorders>
            <w:shd w:val="clear" w:color="auto" w:fill="FFFFFF" w:themeFill="background1"/>
            <w:noWrap/>
            <w:vAlign w:val="center"/>
            <w:hideMark/>
          </w:tcPr>
          <w:p w14:paraId="169980AD"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5,430</w:t>
            </w:r>
          </w:p>
        </w:tc>
        <w:tc>
          <w:tcPr>
            <w:tcW w:w="0" w:type="auto"/>
            <w:tcBorders>
              <w:top w:val="dotted" w:sz="4" w:space="0" w:color="auto"/>
              <w:bottom w:val="dotted" w:sz="4" w:space="0" w:color="auto"/>
            </w:tcBorders>
            <w:shd w:val="clear" w:color="auto" w:fill="FFFFFF" w:themeFill="background1"/>
            <w:noWrap/>
            <w:vAlign w:val="center"/>
            <w:hideMark/>
          </w:tcPr>
          <w:p w14:paraId="19EA2D37"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22</w:t>
            </w:r>
          </w:p>
        </w:tc>
        <w:tc>
          <w:tcPr>
            <w:tcW w:w="0" w:type="auto"/>
            <w:tcBorders>
              <w:top w:val="dotted" w:sz="4" w:space="0" w:color="auto"/>
              <w:bottom w:val="dotted" w:sz="4" w:space="0" w:color="auto"/>
            </w:tcBorders>
            <w:shd w:val="clear" w:color="auto" w:fill="FFFFFF" w:themeFill="background1"/>
            <w:noWrap/>
            <w:vAlign w:val="center"/>
            <w:hideMark/>
          </w:tcPr>
          <w:p w14:paraId="47D54B94"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$ 0.02</w:t>
            </w:r>
          </w:p>
        </w:tc>
        <w:tc>
          <w:tcPr>
            <w:tcW w:w="0" w:type="auto"/>
            <w:tcBorders>
              <w:top w:val="dotted" w:sz="4" w:space="0" w:color="auto"/>
              <w:bottom w:val="dotted" w:sz="4" w:space="0" w:color="auto"/>
            </w:tcBorders>
            <w:shd w:val="clear" w:color="auto" w:fill="FFFFFF" w:themeFill="background1"/>
            <w:noWrap/>
            <w:vAlign w:val="center"/>
            <w:hideMark/>
          </w:tcPr>
          <w:p w14:paraId="5CC15A3C"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$ 0.11</w:t>
            </w:r>
          </w:p>
        </w:tc>
        <w:tc>
          <w:tcPr>
            <w:tcW w:w="0" w:type="auto"/>
            <w:tcBorders>
              <w:top w:val="dotted" w:sz="4" w:space="0" w:color="auto"/>
              <w:bottom w:val="dotted" w:sz="4" w:space="0" w:color="auto"/>
            </w:tcBorders>
            <w:shd w:val="clear" w:color="auto" w:fill="FFFFFF" w:themeFill="background1"/>
            <w:noWrap/>
            <w:vAlign w:val="center"/>
            <w:hideMark/>
          </w:tcPr>
          <w:p w14:paraId="00AF981A"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$ 0.33</w:t>
            </w:r>
          </w:p>
        </w:tc>
      </w:tr>
      <w:tr w:rsidR="00914134" w:rsidRPr="007A34A8" w14:paraId="32495831" w14:textId="77777777" w:rsidTr="003C5802">
        <w:trPr>
          <w:trHeight w:val="340"/>
        </w:trPr>
        <w:tc>
          <w:tcPr>
            <w:tcW w:w="0" w:type="auto"/>
            <w:vMerge/>
            <w:tcBorders>
              <w:bottom w:val="single" w:sz="4" w:space="0" w:color="auto"/>
            </w:tcBorders>
            <w:shd w:val="clear" w:color="auto" w:fill="FFFFFF" w:themeFill="background1"/>
            <w:vAlign w:val="center"/>
            <w:hideMark/>
          </w:tcPr>
          <w:p w14:paraId="7AF7C9C0" w14:textId="77777777" w:rsidR="00914134" w:rsidRPr="007A34A8" w:rsidRDefault="00914134" w:rsidP="0024531A">
            <w:pPr>
              <w:rPr>
                <w:rFonts w:ascii="Arial" w:eastAsia="Times New Roman" w:hAnsi="Arial" w:cs="Arial"/>
                <w:color w:val="000000"/>
                <w:sz w:val="16"/>
                <w:szCs w:val="16"/>
                <w:lang w:val="es-CO" w:eastAsia="es-CO"/>
              </w:rPr>
            </w:pPr>
          </w:p>
        </w:tc>
        <w:tc>
          <w:tcPr>
            <w:tcW w:w="0" w:type="auto"/>
            <w:tcBorders>
              <w:top w:val="dotted" w:sz="4" w:space="0" w:color="auto"/>
              <w:bottom w:val="single" w:sz="4" w:space="0" w:color="auto"/>
            </w:tcBorders>
            <w:shd w:val="clear" w:color="auto" w:fill="FFFFFF" w:themeFill="background1"/>
            <w:vAlign w:val="center"/>
            <w:hideMark/>
          </w:tcPr>
          <w:p w14:paraId="0F03C676"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Brasil </w:t>
            </w:r>
          </w:p>
        </w:tc>
        <w:tc>
          <w:tcPr>
            <w:tcW w:w="1727" w:type="dxa"/>
            <w:tcBorders>
              <w:top w:val="dotted" w:sz="4" w:space="0" w:color="auto"/>
              <w:bottom w:val="single" w:sz="4" w:space="0" w:color="auto"/>
            </w:tcBorders>
            <w:shd w:val="clear" w:color="auto" w:fill="FFFFFF" w:themeFill="background1"/>
            <w:vAlign w:val="center"/>
            <w:hideMark/>
          </w:tcPr>
          <w:p w14:paraId="1EE14C26"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Pecem - Rio de Janeiro (Puerto) </w:t>
            </w:r>
          </w:p>
        </w:tc>
        <w:tc>
          <w:tcPr>
            <w:tcW w:w="0" w:type="auto"/>
            <w:tcBorders>
              <w:top w:val="dotted" w:sz="4" w:space="0" w:color="auto"/>
              <w:bottom w:val="single" w:sz="4" w:space="0" w:color="auto"/>
            </w:tcBorders>
            <w:shd w:val="clear" w:color="auto" w:fill="FFFFFF" w:themeFill="background1"/>
            <w:noWrap/>
            <w:vAlign w:val="center"/>
            <w:hideMark/>
          </w:tcPr>
          <w:p w14:paraId="443318E2"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7,319</w:t>
            </w:r>
          </w:p>
        </w:tc>
        <w:tc>
          <w:tcPr>
            <w:tcW w:w="0" w:type="auto"/>
            <w:tcBorders>
              <w:top w:val="dotted" w:sz="4" w:space="0" w:color="auto"/>
              <w:bottom w:val="single" w:sz="4" w:space="0" w:color="auto"/>
            </w:tcBorders>
            <w:shd w:val="clear" w:color="auto" w:fill="FFFFFF" w:themeFill="background1"/>
            <w:noWrap/>
            <w:vAlign w:val="center"/>
            <w:hideMark/>
          </w:tcPr>
          <w:p w14:paraId="774E7016"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26</w:t>
            </w:r>
          </w:p>
        </w:tc>
        <w:tc>
          <w:tcPr>
            <w:tcW w:w="0" w:type="auto"/>
            <w:tcBorders>
              <w:top w:val="dotted" w:sz="4" w:space="0" w:color="auto"/>
              <w:bottom w:val="single" w:sz="4" w:space="0" w:color="auto"/>
            </w:tcBorders>
            <w:shd w:val="clear" w:color="auto" w:fill="FFFFFF" w:themeFill="background1"/>
            <w:noWrap/>
            <w:vAlign w:val="center"/>
            <w:hideMark/>
          </w:tcPr>
          <w:p w14:paraId="172F01F7"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$ 0.02</w:t>
            </w:r>
          </w:p>
        </w:tc>
        <w:tc>
          <w:tcPr>
            <w:tcW w:w="0" w:type="auto"/>
            <w:tcBorders>
              <w:top w:val="dotted" w:sz="4" w:space="0" w:color="auto"/>
              <w:bottom w:val="single" w:sz="4" w:space="0" w:color="auto"/>
            </w:tcBorders>
            <w:shd w:val="clear" w:color="auto" w:fill="FFFFFF" w:themeFill="background1"/>
            <w:noWrap/>
            <w:vAlign w:val="center"/>
            <w:hideMark/>
          </w:tcPr>
          <w:p w14:paraId="016B31E2"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w:t>
            </w:r>
          </w:p>
        </w:tc>
        <w:tc>
          <w:tcPr>
            <w:tcW w:w="0" w:type="auto"/>
            <w:tcBorders>
              <w:top w:val="dotted" w:sz="4" w:space="0" w:color="auto"/>
              <w:bottom w:val="single" w:sz="4" w:space="0" w:color="auto"/>
            </w:tcBorders>
            <w:shd w:val="clear" w:color="auto" w:fill="FFFFFF" w:themeFill="background1"/>
            <w:noWrap/>
            <w:vAlign w:val="center"/>
            <w:hideMark/>
          </w:tcPr>
          <w:p w14:paraId="086553B7"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$ 0.27</w:t>
            </w:r>
          </w:p>
        </w:tc>
      </w:tr>
      <w:tr w:rsidR="00914134" w:rsidRPr="007A34A8" w14:paraId="200651B2" w14:textId="77777777" w:rsidTr="003C5802">
        <w:trPr>
          <w:trHeight w:val="340"/>
        </w:trPr>
        <w:tc>
          <w:tcPr>
            <w:tcW w:w="0" w:type="auto"/>
            <w:vMerge w:val="restart"/>
            <w:tcBorders>
              <w:top w:val="single" w:sz="4" w:space="0" w:color="auto"/>
            </w:tcBorders>
            <w:shd w:val="clear" w:color="auto" w:fill="FFFFFF" w:themeFill="background1"/>
            <w:noWrap/>
            <w:vAlign w:val="center"/>
            <w:hideMark/>
          </w:tcPr>
          <w:p w14:paraId="42C9246F"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África (Norte)</w:t>
            </w:r>
          </w:p>
        </w:tc>
        <w:tc>
          <w:tcPr>
            <w:tcW w:w="0" w:type="auto"/>
            <w:tcBorders>
              <w:top w:val="single" w:sz="4" w:space="0" w:color="auto"/>
              <w:bottom w:val="dotted" w:sz="4" w:space="0" w:color="auto"/>
            </w:tcBorders>
            <w:shd w:val="clear" w:color="auto" w:fill="FFFFFF" w:themeFill="background1"/>
            <w:vAlign w:val="center"/>
            <w:hideMark/>
          </w:tcPr>
          <w:p w14:paraId="3987833D"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Algeria </w:t>
            </w:r>
          </w:p>
        </w:tc>
        <w:tc>
          <w:tcPr>
            <w:tcW w:w="1727" w:type="dxa"/>
            <w:tcBorders>
              <w:top w:val="single" w:sz="4" w:space="0" w:color="auto"/>
              <w:bottom w:val="dotted" w:sz="4" w:space="0" w:color="auto"/>
            </w:tcBorders>
            <w:shd w:val="clear" w:color="auto" w:fill="FFFFFF" w:themeFill="background1"/>
            <w:vAlign w:val="center"/>
            <w:hideMark/>
          </w:tcPr>
          <w:p w14:paraId="1EC29347"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Arzew GL 1Z (Bethioua)</w:t>
            </w:r>
            <w:r w:rsidRPr="007A34A8">
              <w:rPr>
                <w:rFonts w:ascii="Arial" w:eastAsia="Times New Roman" w:hAnsi="Arial" w:cs="Arial"/>
                <w:sz w:val="16"/>
                <w:szCs w:val="16"/>
                <w:lang w:val="es-CO" w:eastAsia="es-CO"/>
              </w:rPr>
              <w:br/>
              <w:t>Arzew GL 2Z</w:t>
            </w:r>
            <w:r w:rsidRPr="007A34A8">
              <w:rPr>
                <w:rFonts w:ascii="Arial" w:eastAsia="Times New Roman" w:hAnsi="Arial" w:cs="Arial"/>
                <w:sz w:val="16"/>
                <w:szCs w:val="16"/>
                <w:lang w:val="es-CO" w:eastAsia="es-CO"/>
              </w:rPr>
              <w:br/>
              <w:t xml:space="preserve"> Skikda </w:t>
            </w:r>
          </w:p>
        </w:tc>
        <w:tc>
          <w:tcPr>
            <w:tcW w:w="0" w:type="auto"/>
            <w:tcBorders>
              <w:top w:val="single" w:sz="4" w:space="0" w:color="auto"/>
              <w:bottom w:val="dotted" w:sz="4" w:space="0" w:color="auto"/>
            </w:tcBorders>
            <w:shd w:val="clear" w:color="auto" w:fill="FFFFFF" w:themeFill="background1"/>
            <w:noWrap/>
            <w:vAlign w:val="center"/>
            <w:hideMark/>
          </w:tcPr>
          <w:p w14:paraId="2998D5A6"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8,069</w:t>
            </w:r>
          </w:p>
        </w:tc>
        <w:tc>
          <w:tcPr>
            <w:tcW w:w="0" w:type="auto"/>
            <w:tcBorders>
              <w:top w:val="single" w:sz="4" w:space="0" w:color="auto"/>
              <w:bottom w:val="dotted" w:sz="4" w:space="0" w:color="auto"/>
            </w:tcBorders>
            <w:shd w:val="clear" w:color="auto" w:fill="FFFFFF" w:themeFill="background1"/>
            <w:noWrap/>
            <w:vAlign w:val="center"/>
            <w:hideMark/>
          </w:tcPr>
          <w:p w14:paraId="67490663"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28</w:t>
            </w:r>
          </w:p>
        </w:tc>
        <w:tc>
          <w:tcPr>
            <w:tcW w:w="0" w:type="auto"/>
            <w:tcBorders>
              <w:top w:val="single" w:sz="4" w:space="0" w:color="auto"/>
              <w:bottom w:val="dotted" w:sz="4" w:space="0" w:color="auto"/>
            </w:tcBorders>
            <w:shd w:val="clear" w:color="auto" w:fill="FFFFFF" w:themeFill="background1"/>
            <w:noWrap/>
            <w:vAlign w:val="center"/>
            <w:hideMark/>
          </w:tcPr>
          <w:p w14:paraId="7786EFEF"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$ 0.02</w:t>
            </w:r>
          </w:p>
        </w:tc>
        <w:tc>
          <w:tcPr>
            <w:tcW w:w="0" w:type="auto"/>
            <w:tcBorders>
              <w:top w:val="single" w:sz="4" w:space="0" w:color="auto"/>
              <w:bottom w:val="dotted" w:sz="4" w:space="0" w:color="auto"/>
            </w:tcBorders>
            <w:shd w:val="clear" w:color="auto" w:fill="FFFFFF" w:themeFill="background1"/>
            <w:noWrap/>
            <w:vAlign w:val="center"/>
            <w:hideMark/>
          </w:tcPr>
          <w:p w14:paraId="0EAF9A37"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w:t>
            </w:r>
          </w:p>
        </w:tc>
        <w:tc>
          <w:tcPr>
            <w:tcW w:w="0" w:type="auto"/>
            <w:tcBorders>
              <w:top w:val="single" w:sz="4" w:space="0" w:color="auto"/>
              <w:bottom w:val="dotted" w:sz="4" w:space="0" w:color="auto"/>
            </w:tcBorders>
            <w:shd w:val="clear" w:color="auto" w:fill="FFFFFF" w:themeFill="background1"/>
            <w:noWrap/>
            <w:vAlign w:val="center"/>
            <w:hideMark/>
          </w:tcPr>
          <w:p w14:paraId="01BBE329"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$ 0.29</w:t>
            </w:r>
          </w:p>
        </w:tc>
      </w:tr>
      <w:tr w:rsidR="00914134" w:rsidRPr="007A34A8" w14:paraId="71590A15" w14:textId="77777777" w:rsidTr="003C5802">
        <w:trPr>
          <w:trHeight w:val="340"/>
        </w:trPr>
        <w:tc>
          <w:tcPr>
            <w:tcW w:w="0" w:type="auto"/>
            <w:vMerge/>
            <w:tcBorders>
              <w:bottom w:val="single" w:sz="4" w:space="0" w:color="auto"/>
            </w:tcBorders>
            <w:shd w:val="clear" w:color="auto" w:fill="FFFFFF" w:themeFill="background1"/>
            <w:vAlign w:val="center"/>
            <w:hideMark/>
          </w:tcPr>
          <w:p w14:paraId="2D78DD2E" w14:textId="77777777" w:rsidR="00914134" w:rsidRPr="007A34A8" w:rsidRDefault="00914134" w:rsidP="0024531A">
            <w:pPr>
              <w:rPr>
                <w:rFonts w:ascii="Arial" w:eastAsia="Times New Roman" w:hAnsi="Arial" w:cs="Arial"/>
                <w:color w:val="000000"/>
                <w:sz w:val="16"/>
                <w:szCs w:val="16"/>
                <w:lang w:val="es-CO" w:eastAsia="es-CO"/>
              </w:rPr>
            </w:pPr>
          </w:p>
        </w:tc>
        <w:tc>
          <w:tcPr>
            <w:tcW w:w="0" w:type="auto"/>
            <w:tcBorders>
              <w:top w:val="dotted" w:sz="4" w:space="0" w:color="auto"/>
              <w:bottom w:val="single" w:sz="4" w:space="0" w:color="auto"/>
            </w:tcBorders>
            <w:shd w:val="clear" w:color="auto" w:fill="FFFFFF" w:themeFill="background1"/>
            <w:vAlign w:val="center"/>
            <w:hideMark/>
          </w:tcPr>
          <w:p w14:paraId="10C9EB15"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Egipto </w:t>
            </w:r>
          </w:p>
        </w:tc>
        <w:tc>
          <w:tcPr>
            <w:tcW w:w="1727" w:type="dxa"/>
            <w:tcBorders>
              <w:top w:val="dotted" w:sz="4" w:space="0" w:color="auto"/>
              <w:bottom w:val="single" w:sz="4" w:space="0" w:color="auto"/>
            </w:tcBorders>
            <w:shd w:val="clear" w:color="auto" w:fill="FFFFFF" w:themeFill="background1"/>
            <w:vAlign w:val="center"/>
            <w:hideMark/>
          </w:tcPr>
          <w:p w14:paraId="2D4C2F0A"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Damietta</w:t>
            </w:r>
            <w:r w:rsidRPr="007A34A8">
              <w:rPr>
                <w:rFonts w:ascii="Arial" w:eastAsia="Times New Roman" w:hAnsi="Arial" w:cs="Arial"/>
                <w:sz w:val="16"/>
                <w:szCs w:val="16"/>
                <w:lang w:val="es-CO" w:eastAsia="es-CO"/>
              </w:rPr>
              <w:br/>
              <w:t xml:space="preserve">Idku </w:t>
            </w:r>
          </w:p>
        </w:tc>
        <w:tc>
          <w:tcPr>
            <w:tcW w:w="0" w:type="auto"/>
            <w:tcBorders>
              <w:top w:val="dotted" w:sz="4" w:space="0" w:color="auto"/>
              <w:bottom w:val="single" w:sz="4" w:space="0" w:color="auto"/>
            </w:tcBorders>
            <w:shd w:val="clear" w:color="auto" w:fill="FFFFFF" w:themeFill="background1"/>
            <w:noWrap/>
            <w:vAlign w:val="center"/>
            <w:hideMark/>
          </w:tcPr>
          <w:p w14:paraId="5EB56521"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11,088</w:t>
            </w:r>
          </w:p>
        </w:tc>
        <w:tc>
          <w:tcPr>
            <w:tcW w:w="0" w:type="auto"/>
            <w:tcBorders>
              <w:top w:val="dotted" w:sz="4" w:space="0" w:color="auto"/>
              <w:bottom w:val="single" w:sz="4" w:space="0" w:color="auto"/>
            </w:tcBorders>
            <w:shd w:val="clear" w:color="auto" w:fill="FFFFFF" w:themeFill="background1"/>
            <w:noWrap/>
            <w:vAlign w:val="center"/>
            <w:hideMark/>
          </w:tcPr>
          <w:p w14:paraId="6FF57C4D"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35</w:t>
            </w:r>
          </w:p>
        </w:tc>
        <w:tc>
          <w:tcPr>
            <w:tcW w:w="0" w:type="auto"/>
            <w:tcBorders>
              <w:top w:val="dotted" w:sz="4" w:space="0" w:color="auto"/>
              <w:bottom w:val="single" w:sz="4" w:space="0" w:color="auto"/>
            </w:tcBorders>
            <w:shd w:val="clear" w:color="auto" w:fill="FFFFFF" w:themeFill="background1"/>
            <w:noWrap/>
            <w:vAlign w:val="center"/>
            <w:hideMark/>
          </w:tcPr>
          <w:p w14:paraId="37AE8398"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$ 0.03</w:t>
            </w:r>
          </w:p>
        </w:tc>
        <w:tc>
          <w:tcPr>
            <w:tcW w:w="0" w:type="auto"/>
            <w:tcBorders>
              <w:top w:val="dotted" w:sz="4" w:space="0" w:color="auto"/>
              <w:bottom w:val="single" w:sz="4" w:space="0" w:color="auto"/>
            </w:tcBorders>
            <w:shd w:val="clear" w:color="auto" w:fill="FFFFFF" w:themeFill="background1"/>
            <w:noWrap/>
            <w:vAlign w:val="center"/>
            <w:hideMark/>
          </w:tcPr>
          <w:p w14:paraId="3CFB2E2B"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w:t>
            </w:r>
          </w:p>
        </w:tc>
        <w:tc>
          <w:tcPr>
            <w:tcW w:w="0" w:type="auto"/>
            <w:tcBorders>
              <w:top w:val="dotted" w:sz="4" w:space="0" w:color="auto"/>
              <w:bottom w:val="single" w:sz="4" w:space="0" w:color="auto"/>
            </w:tcBorders>
            <w:shd w:val="clear" w:color="auto" w:fill="FFFFFF" w:themeFill="background1"/>
            <w:noWrap/>
            <w:vAlign w:val="center"/>
            <w:hideMark/>
          </w:tcPr>
          <w:p w14:paraId="0B26FA32"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$ 0.37</w:t>
            </w:r>
          </w:p>
        </w:tc>
      </w:tr>
      <w:tr w:rsidR="00914134" w:rsidRPr="007A34A8" w14:paraId="4EB5F855" w14:textId="77777777" w:rsidTr="003C5802">
        <w:trPr>
          <w:trHeight w:val="340"/>
        </w:trPr>
        <w:tc>
          <w:tcPr>
            <w:tcW w:w="0" w:type="auto"/>
            <w:vMerge w:val="restart"/>
            <w:tcBorders>
              <w:top w:val="single" w:sz="4" w:space="0" w:color="auto"/>
            </w:tcBorders>
            <w:shd w:val="clear" w:color="auto" w:fill="FFFFFF" w:themeFill="background1"/>
            <w:noWrap/>
            <w:vAlign w:val="center"/>
            <w:hideMark/>
          </w:tcPr>
          <w:p w14:paraId="7FE4B120"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África (Occidental)</w:t>
            </w:r>
          </w:p>
        </w:tc>
        <w:tc>
          <w:tcPr>
            <w:tcW w:w="0" w:type="auto"/>
            <w:tcBorders>
              <w:top w:val="single" w:sz="4" w:space="0" w:color="auto"/>
              <w:bottom w:val="dotted" w:sz="4" w:space="0" w:color="auto"/>
            </w:tcBorders>
            <w:shd w:val="clear" w:color="auto" w:fill="FFFFFF" w:themeFill="background1"/>
            <w:vAlign w:val="center"/>
            <w:hideMark/>
          </w:tcPr>
          <w:p w14:paraId="036C0F3E"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Guinea Ecuatorial </w:t>
            </w:r>
          </w:p>
        </w:tc>
        <w:tc>
          <w:tcPr>
            <w:tcW w:w="1727" w:type="dxa"/>
            <w:tcBorders>
              <w:top w:val="single" w:sz="4" w:space="0" w:color="auto"/>
              <w:bottom w:val="dotted" w:sz="4" w:space="0" w:color="auto"/>
            </w:tcBorders>
            <w:shd w:val="clear" w:color="auto" w:fill="FFFFFF" w:themeFill="background1"/>
            <w:vAlign w:val="center"/>
            <w:hideMark/>
          </w:tcPr>
          <w:p w14:paraId="63915F50"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Bioko Island </w:t>
            </w:r>
          </w:p>
        </w:tc>
        <w:tc>
          <w:tcPr>
            <w:tcW w:w="0" w:type="auto"/>
            <w:tcBorders>
              <w:top w:val="single" w:sz="4" w:space="0" w:color="auto"/>
              <w:bottom w:val="dotted" w:sz="4" w:space="0" w:color="auto"/>
            </w:tcBorders>
            <w:shd w:val="clear" w:color="auto" w:fill="FFFFFF" w:themeFill="background1"/>
            <w:noWrap/>
            <w:vAlign w:val="center"/>
            <w:hideMark/>
          </w:tcPr>
          <w:p w14:paraId="5B027D31"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9,386</w:t>
            </w:r>
          </w:p>
        </w:tc>
        <w:tc>
          <w:tcPr>
            <w:tcW w:w="0" w:type="auto"/>
            <w:tcBorders>
              <w:top w:val="single" w:sz="4" w:space="0" w:color="auto"/>
              <w:bottom w:val="dotted" w:sz="4" w:space="0" w:color="auto"/>
            </w:tcBorders>
            <w:shd w:val="clear" w:color="auto" w:fill="FFFFFF" w:themeFill="background1"/>
            <w:noWrap/>
            <w:vAlign w:val="center"/>
            <w:hideMark/>
          </w:tcPr>
          <w:p w14:paraId="0989A7AE"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31</w:t>
            </w:r>
          </w:p>
        </w:tc>
        <w:tc>
          <w:tcPr>
            <w:tcW w:w="0" w:type="auto"/>
            <w:tcBorders>
              <w:top w:val="single" w:sz="4" w:space="0" w:color="auto"/>
              <w:bottom w:val="dotted" w:sz="4" w:space="0" w:color="auto"/>
            </w:tcBorders>
            <w:shd w:val="clear" w:color="auto" w:fill="FFFFFF" w:themeFill="background1"/>
            <w:noWrap/>
            <w:vAlign w:val="center"/>
            <w:hideMark/>
          </w:tcPr>
          <w:p w14:paraId="00F280C0"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$ 0.03</w:t>
            </w:r>
          </w:p>
        </w:tc>
        <w:tc>
          <w:tcPr>
            <w:tcW w:w="0" w:type="auto"/>
            <w:tcBorders>
              <w:top w:val="single" w:sz="4" w:space="0" w:color="auto"/>
              <w:bottom w:val="dotted" w:sz="4" w:space="0" w:color="auto"/>
            </w:tcBorders>
            <w:shd w:val="clear" w:color="auto" w:fill="FFFFFF" w:themeFill="background1"/>
            <w:noWrap/>
            <w:vAlign w:val="center"/>
            <w:hideMark/>
          </w:tcPr>
          <w:p w14:paraId="7242049D"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w:t>
            </w:r>
          </w:p>
        </w:tc>
        <w:tc>
          <w:tcPr>
            <w:tcW w:w="0" w:type="auto"/>
            <w:tcBorders>
              <w:top w:val="single" w:sz="4" w:space="0" w:color="auto"/>
              <w:bottom w:val="dotted" w:sz="4" w:space="0" w:color="auto"/>
            </w:tcBorders>
            <w:shd w:val="clear" w:color="auto" w:fill="FFFFFF" w:themeFill="background1"/>
            <w:noWrap/>
            <w:vAlign w:val="center"/>
            <w:hideMark/>
          </w:tcPr>
          <w:p w14:paraId="69B7E415"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$ 0.32</w:t>
            </w:r>
          </w:p>
        </w:tc>
      </w:tr>
      <w:tr w:rsidR="00914134" w:rsidRPr="007A34A8" w14:paraId="650AD02B" w14:textId="77777777" w:rsidTr="003C5802">
        <w:trPr>
          <w:trHeight w:val="340"/>
        </w:trPr>
        <w:tc>
          <w:tcPr>
            <w:tcW w:w="0" w:type="auto"/>
            <w:vMerge/>
            <w:shd w:val="clear" w:color="auto" w:fill="FFFFFF" w:themeFill="background1"/>
            <w:vAlign w:val="center"/>
            <w:hideMark/>
          </w:tcPr>
          <w:p w14:paraId="3604B4A3" w14:textId="77777777" w:rsidR="00914134" w:rsidRPr="007A34A8" w:rsidRDefault="00914134" w:rsidP="0024531A">
            <w:pPr>
              <w:rPr>
                <w:rFonts w:ascii="Arial" w:eastAsia="Times New Roman" w:hAnsi="Arial" w:cs="Arial"/>
                <w:color w:val="000000"/>
                <w:sz w:val="16"/>
                <w:szCs w:val="16"/>
                <w:lang w:val="es-CO" w:eastAsia="es-CO"/>
              </w:rPr>
            </w:pPr>
          </w:p>
        </w:tc>
        <w:tc>
          <w:tcPr>
            <w:tcW w:w="0" w:type="auto"/>
            <w:tcBorders>
              <w:top w:val="dotted" w:sz="4" w:space="0" w:color="auto"/>
              <w:bottom w:val="dotted" w:sz="4" w:space="0" w:color="auto"/>
            </w:tcBorders>
            <w:shd w:val="clear" w:color="auto" w:fill="FFFFFF" w:themeFill="background1"/>
            <w:vAlign w:val="center"/>
            <w:hideMark/>
          </w:tcPr>
          <w:p w14:paraId="6D92B04C"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Nigeria </w:t>
            </w:r>
          </w:p>
        </w:tc>
        <w:tc>
          <w:tcPr>
            <w:tcW w:w="1727" w:type="dxa"/>
            <w:tcBorders>
              <w:top w:val="dotted" w:sz="4" w:space="0" w:color="auto"/>
              <w:bottom w:val="dotted" w:sz="4" w:space="0" w:color="auto"/>
            </w:tcBorders>
            <w:shd w:val="clear" w:color="auto" w:fill="FFFFFF" w:themeFill="background1"/>
            <w:vAlign w:val="center"/>
            <w:hideMark/>
          </w:tcPr>
          <w:p w14:paraId="2F8240B5"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Bonny Island </w:t>
            </w:r>
          </w:p>
        </w:tc>
        <w:tc>
          <w:tcPr>
            <w:tcW w:w="0" w:type="auto"/>
            <w:tcBorders>
              <w:top w:val="dotted" w:sz="4" w:space="0" w:color="auto"/>
              <w:bottom w:val="dotted" w:sz="4" w:space="0" w:color="auto"/>
            </w:tcBorders>
            <w:shd w:val="clear" w:color="auto" w:fill="FFFFFF" w:themeFill="background1"/>
            <w:noWrap/>
            <w:vAlign w:val="center"/>
            <w:hideMark/>
          </w:tcPr>
          <w:p w14:paraId="32F92537"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9,279</w:t>
            </w:r>
          </w:p>
        </w:tc>
        <w:tc>
          <w:tcPr>
            <w:tcW w:w="0" w:type="auto"/>
            <w:tcBorders>
              <w:top w:val="dotted" w:sz="4" w:space="0" w:color="auto"/>
              <w:bottom w:val="dotted" w:sz="4" w:space="0" w:color="auto"/>
            </w:tcBorders>
            <w:shd w:val="clear" w:color="auto" w:fill="FFFFFF" w:themeFill="background1"/>
            <w:noWrap/>
            <w:vAlign w:val="center"/>
            <w:hideMark/>
          </w:tcPr>
          <w:p w14:paraId="1B157112"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30</w:t>
            </w:r>
          </w:p>
        </w:tc>
        <w:tc>
          <w:tcPr>
            <w:tcW w:w="0" w:type="auto"/>
            <w:tcBorders>
              <w:top w:val="dotted" w:sz="4" w:space="0" w:color="auto"/>
              <w:bottom w:val="dotted" w:sz="4" w:space="0" w:color="auto"/>
            </w:tcBorders>
            <w:shd w:val="clear" w:color="auto" w:fill="FFFFFF" w:themeFill="background1"/>
            <w:noWrap/>
            <w:vAlign w:val="center"/>
            <w:hideMark/>
          </w:tcPr>
          <w:p w14:paraId="209F7AF6"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$ 0.03</w:t>
            </w:r>
          </w:p>
        </w:tc>
        <w:tc>
          <w:tcPr>
            <w:tcW w:w="0" w:type="auto"/>
            <w:tcBorders>
              <w:top w:val="dotted" w:sz="4" w:space="0" w:color="auto"/>
              <w:bottom w:val="dotted" w:sz="4" w:space="0" w:color="auto"/>
            </w:tcBorders>
            <w:shd w:val="clear" w:color="auto" w:fill="FFFFFF" w:themeFill="background1"/>
            <w:noWrap/>
            <w:vAlign w:val="center"/>
            <w:hideMark/>
          </w:tcPr>
          <w:p w14:paraId="213CE46B"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w:t>
            </w:r>
          </w:p>
        </w:tc>
        <w:tc>
          <w:tcPr>
            <w:tcW w:w="0" w:type="auto"/>
            <w:tcBorders>
              <w:top w:val="dotted" w:sz="4" w:space="0" w:color="auto"/>
              <w:bottom w:val="dotted" w:sz="4" w:space="0" w:color="auto"/>
            </w:tcBorders>
            <w:shd w:val="clear" w:color="auto" w:fill="FFFFFF" w:themeFill="background1"/>
            <w:noWrap/>
            <w:vAlign w:val="center"/>
            <w:hideMark/>
          </w:tcPr>
          <w:p w14:paraId="3813A76D"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$ 0.31</w:t>
            </w:r>
          </w:p>
        </w:tc>
      </w:tr>
      <w:tr w:rsidR="00914134" w:rsidRPr="007A34A8" w14:paraId="6F996082" w14:textId="77777777" w:rsidTr="003C5802">
        <w:trPr>
          <w:trHeight w:val="340"/>
        </w:trPr>
        <w:tc>
          <w:tcPr>
            <w:tcW w:w="0" w:type="auto"/>
            <w:vMerge/>
            <w:tcBorders>
              <w:bottom w:val="single" w:sz="4" w:space="0" w:color="auto"/>
            </w:tcBorders>
            <w:shd w:val="clear" w:color="auto" w:fill="FFFFFF" w:themeFill="background1"/>
            <w:vAlign w:val="center"/>
            <w:hideMark/>
          </w:tcPr>
          <w:p w14:paraId="6AE0FE13" w14:textId="77777777" w:rsidR="00914134" w:rsidRPr="007A34A8" w:rsidRDefault="00914134" w:rsidP="0024531A">
            <w:pPr>
              <w:rPr>
                <w:rFonts w:ascii="Arial" w:eastAsia="Times New Roman" w:hAnsi="Arial" w:cs="Arial"/>
                <w:color w:val="000000"/>
                <w:sz w:val="16"/>
                <w:szCs w:val="16"/>
                <w:lang w:val="es-CO" w:eastAsia="es-CO"/>
              </w:rPr>
            </w:pPr>
          </w:p>
        </w:tc>
        <w:tc>
          <w:tcPr>
            <w:tcW w:w="0" w:type="auto"/>
            <w:tcBorders>
              <w:top w:val="dotted" w:sz="4" w:space="0" w:color="auto"/>
              <w:bottom w:val="single" w:sz="4" w:space="0" w:color="auto"/>
            </w:tcBorders>
            <w:shd w:val="clear" w:color="auto" w:fill="FFFFFF" w:themeFill="background1"/>
            <w:vAlign w:val="center"/>
            <w:hideMark/>
          </w:tcPr>
          <w:p w14:paraId="548013CA"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Angola </w:t>
            </w:r>
          </w:p>
        </w:tc>
        <w:tc>
          <w:tcPr>
            <w:tcW w:w="1727" w:type="dxa"/>
            <w:tcBorders>
              <w:top w:val="dotted" w:sz="4" w:space="0" w:color="auto"/>
              <w:bottom w:val="single" w:sz="4" w:space="0" w:color="auto"/>
            </w:tcBorders>
            <w:shd w:val="clear" w:color="auto" w:fill="FFFFFF" w:themeFill="background1"/>
            <w:vAlign w:val="center"/>
            <w:hideMark/>
          </w:tcPr>
          <w:p w14:paraId="50841402"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Soyo </w:t>
            </w:r>
          </w:p>
        </w:tc>
        <w:tc>
          <w:tcPr>
            <w:tcW w:w="0" w:type="auto"/>
            <w:tcBorders>
              <w:top w:val="dotted" w:sz="4" w:space="0" w:color="auto"/>
              <w:bottom w:val="single" w:sz="4" w:space="0" w:color="auto"/>
            </w:tcBorders>
            <w:shd w:val="clear" w:color="auto" w:fill="FFFFFF" w:themeFill="background1"/>
            <w:noWrap/>
            <w:vAlign w:val="center"/>
            <w:hideMark/>
          </w:tcPr>
          <w:p w14:paraId="76007294"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10,069</w:t>
            </w:r>
          </w:p>
        </w:tc>
        <w:tc>
          <w:tcPr>
            <w:tcW w:w="0" w:type="auto"/>
            <w:tcBorders>
              <w:top w:val="dotted" w:sz="4" w:space="0" w:color="auto"/>
              <w:bottom w:val="single" w:sz="4" w:space="0" w:color="auto"/>
            </w:tcBorders>
            <w:shd w:val="clear" w:color="auto" w:fill="FFFFFF" w:themeFill="background1"/>
            <w:noWrap/>
            <w:vAlign w:val="center"/>
            <w:hideMark/>
          </w:tcPr>
          <w:p w14:paraId="0A38A083"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32</w:t>
            </w:r>
          </w:p>
        </w:tc>
        <w:tc>
          <w:tcPr>
            <w:tcW w:w="0" w:type="auto"/>
            <w:tcBorders>
              <w:top w:val="dotted" w:sz="4" w:space="0" w:color="auto"/>
              <w:bottom w:val="single" w:sz="4" w:space="0" w:color="auto"/>
            </w:tcBorders>
            <w:shd w:val="clear" w:color="auto" w:fill="FFFFFF" w:themeFill="background1"/>
            <w:noWrap/>
            <w:vAlign w:val="center"/>
            <w:hideMark/>
          </w:tcPr>
          <w:p w14:paraId="39728819"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$ 0.03</w:t>
            </w:r>
          </w:p>
        </w:tc>
        <w:tc>
          <w:tcPr>
            <w:tcW w:w="0" w:type="auto"/>
            <w:tcBorders>
              <w:top w:val="dotted" w:sz="4" w:space="0" w:color="auto"/>
              <w:bottom w:val="single" w:sz="4" w:space="0" w:color="auto"/>
            </w:tcBorders>
            <w:shd w:val="clear" w:color="auto" w:fill="FFFFFF" w:themeFill="background1"/>
            <w:noWrap/>
            <w:vAlign w:val="center"/>
            <w:hideMark/>
          </w:tcPr>
          <w:p w14:paraId="79DBFDFF"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w:t>
            </w:r>
          </w:p>
        </w:tc>
        <w:tc>
          <w:tcPr>
            <w:tcW w:w="0" w:type="auto"/>
            <w:tcBorders>
              <w:top w:val="dotted" w:sz="4" w:space="0" w:color="auto"/>
              <w:bottom w:val="single" w:sz="4" w:space="0" w:color="auto"/>
            </w:tcBorders>
            <w:shd w:val="clear" w:color="auto" w:fill="FFFFFF" w:themeFill="background1"/>
            <w:noWrap/>
            <w:vAlign w:val="center"/>
            <w:hideMark/>
          </w:tcPr>
          <w:p w14:paraId="07AC1474"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$ 0.33</w:t>
            </w:r>
          </w:p>
        </w:tc>
      </w:tr>
      <w:tr w:rsidR="00914134" w:rsidRPr="007A34A8" w14:paraId="58B105D4" w14:textId="77777777" w:rsidTr="003C5802">
        <w:trPr>
          <w:trHeight w:val="340"/>
        </w:trPr>
        <w:tc>
          <w:tcPr>
            <w:tcW w:w="0" w:type="auto"/>
            <w:tcBorders>
              <w:top w:val="single" w:sz="4" w:space="0" w:color="auto"/>
              <w:bottom w:val="single" w:sz="4" w:space="0" w:color="auto"/>
            </w:tcBorders>
            <w:shd w:val="clear" w:color="auto" w:fill="FFFFFF" w:themeFill="background1"/>
            <w:noWrap/>
            <w:vAlign w:val="center"/>
            <w:hideMark/>
          </w:tcPr>
          <w:p w14:paraId="6A18482C"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Europa</w:t>
            </w:r>
          </w:p>
        </w:tc>
        <w:tc>
          <w:tcPr>
            <w:tcW w:w="0" w:type="auto"/>
            <w:tcBorders>
              <w:top w:val="single" w:sz="4" w:space="0" w:color="auto"/>
              <w:bottom w:val="single" w:sz="4" w:space="0" w:color="auto"/>
            </w:tcBorders>
            <w:shd w:val="clear" w:color="auto" w:fill="FFFFFF" w:themeFill="background1"/>
            <w:vAlign w:val="center"/>
            <w:hideMark/>
          </w:tcPr>
          <w:p w14:paraId="40959E05"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Noruega </w:t>
            </w:r>
          </w:p>
        </w:tc>
        <w:tc>
          <w:tcPr>
            <w:tcW w:w="1727" w:type="dxa"/>
            <w:tcBorders>
              <w:top w:val="single" w:sz="4" w:space="0" w:color="auto"/>
              <w:bottom w:val="single" w:sz="4" w:space="0" w:color="auto"/>
            </w:tcBorders>
            <w:shd w:val="clear" w:color="auto" w:fill="FFFFFF" w:themeFill="background1"/>
            <w:vAlign w:val="center"/>
            <w:hideMark/>
          </w:tcPr>
          <w:p w14:paraId="46DBFE15"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Hammerfest </w:t>
            </w:r>
          </w:p>
        </w:tc>
        <w:tc>
          <w:tcPr>
            <w:tcW w:w="0" w:type="auto"/>
            <w:tcBorders>
              <w:top w:val="single" w:sz="4" w:space="0" w:color="auto"/>
              <w:bottom w:val="single" w:sz="4" w:space="0" w:color="auto"/>
            </w:tcBorders>
            <w:shd w:val="clear" w:color="auto" w:fill="FFFFFF" w:themeFill="background1"/>
            <w:noWrap/>
            <w:vAlign w:val="center"/>
            <w:hideMark/>
          </w:tcPr>
          <w:p w14:paraId="00AF446C"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9,377</w:t>
            </w:r>
          </w:p>
        </w:tc>
        <w:tc>
          <w:tcPr>
            <w:tcW w:w="0" w:type="auto"/>
            <w:tcBorders>
              <w:top w:val="single" w:sz="4" w:space="0" w:color="auto"/>
              <w:bottom w:val="single" w:sz="4" w:space="0" w:color="auto"/>
            </w:tcBorders>
            <w:shd w:val="clear" w:color="auto" w:fill="FFFFFF" w:themeFill="background1"/>
            <w:noWrap/>
            <w:vAlign w:val="center"/>
            <w:hideMark/>
          </w:tcPr>
          <w:p w14:paraId="5EE0A013"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31</w:t>
            </w:r>
          </w:p>
        </w:tc>
        <w:tc>
          <w:tcPr>
            <w:tcW w:w="0" w:type="auto"/>
            <w:tcBorders>
              <w:top w:val="single" w:sz="4" w:space="0" w:color="auto"/>
              <w:bottom w:val="single" w:sz="4" w:space="0" w:color="auto"/>
            </w:tcBorders>
            <w:shd w:val="clear" w:color="auto" w:fill="FFFFFF" w:themeFill="background1"/>
            <w:noWrap/>
            <w:vAlign w:val="center"/>
            <w:hideMark/>
          </w:tcPr>
          <w:p w14:paraId="6A69E59F"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$ 0.03</w:t>
            </w:r>
          </w:p>
        </w:tc>
        <w:tc>
          <w:tcPr>
            <w:tcW w:w="0" w:type="auto"/>
            <w:tcBorders>
              <w:top w:val="single" w:sz="4" w:space="0" w:color="auto"/>
              <w:bottom w:val="single" w:sz="4" w:space="0" w:color="auto"/>
            </w:tcBorders>
            <w:shd w:val="clear" w:color="auto" w:fill="FFFFFF" w:themeFill="background1"/>
            <w:noWrap/>
            <w:vAlign w:val="center"/>
            <w:hideMark/>
          </w:tcPr>
          <w:p w14:paraId="7B9AFF91"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w:t>
            </w:r>
          </w:p>
        </w:tc>
        <w:tc>
          <w:tcPr>
            <w:tcW w:w="0" w:type="auto"/>
            <w:tcBorders>
              <w:top w:val="single" w:sz="4" w:space="0" w:color="auto"/>
              <w:bottom w:val="single" w:sz="4" w:space="0" w:color="auto"/>
            </w:tcBorders>
            <w:shd w:val="clear" w:color="auto" w:fill="FFFFFF" w:themeFill="background1"/>
            <w:noWrap/>
            <w:vAlign w:val="center"/>
            <w:hideMark/>
          </w:tcPr>
          <w:p w14:paraId="044B52B8"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$ 0.32</w:t>
            </w:r>
          </w:p>
        </w:tc>
      </w:tr>
      <w:tr w:rsidR="00914134" w:rsidRPr="007A34A8" w14:paraId="35162A29" w14:textId="77777777" w:rsidTr="003C5802">
        <w:trPr>
          <w:trHeight w:val="340"/>
        </w:trPr>
        <w:tc>
          <w:tcPr>
            <w:tcW w:w="0" w:type="auto"/>
            <w:vMerge w:val="restart"/>
            <w:tcBorders>
              <w:top w:val="single" w:sz="4" w:space="0" w:color="auto"/>
            </w:tcBorders>
            <w:shd w:val="clear" w:color="auto" w:fill="FFFFFF" w:themeFill="background1"/>
            <w:noWrap/>
            <w:vAlign w:val="center"/>
            <w:hideMark/>
          </w:tcPr>
          <w:p w14:paraId="1A397D92"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Asia Occidental</w:t>
            </w:r>
          </w:p>
        </w:tc>
        <w:tc>
          <w:tcPr>
            <w:tcW w:w="0" w:type="auto"/>
            <w:tcBorders>
              <w:top w:val="single" w:sz="4" w:space="0" w:color="auto"/>
              <w:bottom w:val="dotted" w:sz="4" w:space="0" w:color="auto"/>
            </w:tcBorders>
            <w:shd w:val="clear" w:color="auto" w:fill="FFFFFF" w:themeFill="background1"/>
            <w:vAlign w:val="center"/>
            <w:hideMark/>
          </w:tcPr>
          <w:p w14:paraId="2A92FE91"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Qatar </w:t>
            </w:r>
          </w:p>
        </w:tc>
        <w:tc>
          <w:tcPr>
            <w:tcW w:w="1727" w:type="dxa"/>
            <w:tcBorders>
              <w:top w:val="single" w:sz="4" w:space="0" w:color="auto"/>
              <w:bottom w:val="dotted" w:sz="4" w:space="0" w:color="auto"/>
            </w:tcBorders>
            <w:shd w:val="clear" w:color="auto" w:fill="FFFFFF" w:themeFill="background1"/>
            <w:vAlign w:val="center"/>
            <w:hideMark/>
          </w:tcPr>
          <w:p w14:paraId="643CC0D0"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Ras Laffan  </w:t>
            </w:r>
          </w:p>
        </w:tc>
        <w:tc>
          <w:tcPr>
            <w:tcW w:w="0" w:type="auto"/>
            <w:tcBorders>
              <w:top w:val="single" w:sz="4" w:space="0" w:color="auto"/>
              <w:bottom w:val="dotted" w:sz="4" w:space="0" w:color="auto"/>
            </w:tcBorders>
            <w:shd w:val="clear" w:color="auto" w:fill="FFFFFF" w:themeFill="background1"/>
            <w:noWrap/>
            <w:vAlign w:val="center"/>
            <w:hideMark/>
          </w:tcPr>
          <w:p w14:paraId="09BDD7FD"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16,722</w:t>
            </w:r>
          </w:p>
        </w:tc>
        <w:tc>
          <w:tcPr>
            <w:tcW w:w="0" w:type="auto"/>
            <w:tcBorders>
              <w:top w:val="single" w:sz="4" w:space="0" w:color="auto"/>
              <w:bottom w:val="dotted" w:sz="4" w:space="0" w:color="auto"/>
            </w:tcBorders>
            <w:shd w:val="clear" w:color="auto" w:fill="FFFFFF" w:themeFill="background1"/>
            <w:noWrap/>
            <w:vAlign w:val="center"/>
            <w:hideMark/>
          </w:tcPr>
          <w:p w14:paraId="5313B204"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48</w:t>
            </w:r>
          </w:p>
        </w:tc>
        <w:tc>
          <w:tcPr>
            <w:tcW w:w="0" w:type="auto"/>
            <w:tcBorders>
              <w:top w:val="single" w:sz="4" w:space="0" w:color="auto"/>
              <w:bottom w:val="dotted" w:sz="4" w:space="0" w:color="auto"/>
            </w:tcBorders>
            <w:shd w:val="clear" w:color="auto" w:fill="FFFFFF" w:themeFill="background1"/>
            <w:noWrap/>
            <w:vAlign w:val="center"/>
            <w:hideMark/>
          </w:tcPr>
          <w:p w14:paraId="35A12AA1"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$ 0.06</w:t>
            </w:r>
          </w:p>
        </w:tc>
        <w:tc>
          <w:tcPr>
            <w:tcW w:w="0" w:type="auto"/>
            <w:tcBorders>
              <w:top w:val="single" w:sz="4" w:space="0" w:color="auto"/>
              <w:bottom w:val="dotted" w:sz="4" w:space="0" w:color="auto"/>
            </w:tcBorders>
            <w:shd w:val="clear" w:color="auto" w:fill="FFFFFF" w:themeFill="background1"/>
            <w:noWrap/>
            <w:vAlign w:val="center"/>
            <w:hideMark/>
          </w:tcPr>
          <w:p w14:paraId="02ED40E7"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w:t>
            </w:r>
          </w:p>
        </w:tc>
        <w:tc>
          <w:tcPr>
            <w:tcW w:w="0" w:type="auto"/>
            <w:tcBorders>
              <w:top w:val="single" w:sz="4" w:space="0" w:color="auto"/>
              <w:bottom w:val="dotted" w:sz="4" w:space="0" w:color="auto"/>
            </w:tcBorders>
            <w:shd w:val="clear" w:color="auto" w:fill="FFFFFF" w:themeFill="background1"/>
            <w:noWrap/>
            <w:vAlign w:val="center"/>
            <w:hideMark/>
          </w:tcPr>
          <w:p w14:paraId="62DF8C4C"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$ 0.51</w:t>
            </w:r>
          </w:p>
        </w:tc>
      </w:tr>
      <w:tr w:rsidR="00914134" w:rsidRPr="007A34A8" w14:paraId="7614BBC6" w14:textId="77777777" w:rsidTr="003C5802">
        <w:trPr>
          <w:trHeight w:val="340"/>
        </w:trPr>
        <w:tc>
          <w:tcPr>
            <w:tcW w:w="0" w:type="auto"/>
            <w:vMerge/>
            <w:shd w:val="clear" w:color="auto" w:fill="FFFFFF" w:themeFill="background1"/>
            <w:vAlign w:val="center"/>
            <w:hideMark/>
          </w:tcPr>
          <w:p w14:paraId="2E5C3C9D" w14:textId="77777777" w:rsidR="00914134" w:rsidRPr="007A34A8" w:rsidRDefault="00914134" w:rsidP="0024531A">
            <w:pPr>
              <w:rPr>
                <w:rFonts w:ascii="Arial" w:eastAsia="Times New Roman" w:hAnsi="Arial" w:cs="Arial"/>
                <w:color w:val="000000"/>
                <w:sz w:val="16"/>
                <w:szCs w:val="16"/>
                <w:lang w:val="es-CO" w:eastAsia="es-CO"/>
              </w:rPr>
            </w:pPr>
          </w:p>
        </w:tc>
        <w:tc>
          <w:tcPr>
            <w:tcW w:w="0" w:type="auto"/>
            <w:tcBorders>
              <w:top w:val="dotted" w:sz="4" w:space="0" w:color="auto"/>
              <w:bottom w:val="dotted" w:sz="4" w:space="0" w:color="auto"/>
            </w:tcBorders>
            <w:shd w:val="clear" w:color="auto" w:fill="FFFFFF" w:themeFill="background1"/>
            <w:vAlign w:val="center"/>
            <w:hideMark/>
          </w:tcPr>
          <w:p w14:paraId="238E2515"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Yemen </w:t>
            </w:r>
          </w:p>
        </w:tc>
        <w:tc>
          <w:tcPr>
            <w:tcW w:w="1727" w:type="dxa"/>
            <w:tcBorders>
              <w:top w:val="dotted" w:sz="4" w:space="0" w:color="auto"/>
              <w:bottom w:val="dotted" w:sz="4" w:space="0" w:color="auto"/>
            </w:tcBorders>
            <w:shd w:val="clear" w:color="auto" w:fill="FFFFFF" w:themeFill="background1"/>
            <w:vAlign w:val="center"/>
            <w:hideMark/>
          </w:tcPr>
          <w:p w14:paraId="1F316C80"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Balhaf </w:t>
            </w:r>
          </w:p>
        </w:tc>
        <w:tc>
          <w:tcPr>
            <w:tcW w:w="0" w:type="auto"/>
            <w:tcBorders>
              <w:top w:val="dotted" w:sz="4" w:space="0" w:color="auto"/>
              <w:bottom w:val="dotted" w:sz="4" w:space="0" w:color="auto"/>
            </w:tcBorders>
            <w:shd w:val="clear" w:color="auto" w:fill="FFFFFF" w:themeFill="background1"/>
            <w:noWrap/>
            <w:vAlign w:val="center"/>
            <w:hideMark/>
          </w:tcPr>
          <w:p w14:paraId="461C241F"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13,701</w:t>
            </w:r>
          </w:p>
        </w:tc>
        <w:tc>
          <w:tcPr>
            <w:tcW w:w="0" w:type="auto"/>
            <w:tcBorders>
              <w:top w:val="dotted" w:sz="4" w:space="0" w:color="auto"/>
              <w:bottom w:val="dotted" w:sz="4" w:space="0" w:color="auto"/>
            </w:tcBorders>
            <w:shd w:val="clear" w:color="auto" w:fill="FFFFFF" w:themeFill="background1"/>
            <w:noWrap/>
            <w:vAlign w:val="center"/>
            <w:hideMark/>
          </w:tcPr>
          <w:p w14:paraId="40A286E3"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41</w:t>
            </w:r>
          </w:p>
        </w:tc>
        <w:tc>
          <w:tcPr>
            <w:tcW w:w="0" w:type="auto"/>
            <w:tcBorders>
              <w:top w:val="dotted" w:sz="4" w:space="0" w:color="auto"/>
              <w:bottom w:val="dotted" w:sz="4" w:space="0" w:color="auto"/>
            </w:tcBorders>
            <w:shd w:val="clear" w:color="auto" w:fill="FFFFFF" w:themeFill="background1"/>
            <w:noWrap/>
            <w:vAlign w:val="center"/>
            <w:hideMark/>
          </w:tcPr>
          <w:p w14:paraId="361D9333"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$ 0.04</w:t>
            </w:r>
          </w:p>
        </w:tc>
        <w:tc>
          <w:tcPr>
            <w:tcW w:w="0" w:type="auto"/>
            <w:tcBorders>
              <w:top w:val="dotted" w:sz="4" w:space="0" w:color="auto"/>
              <w:bottom w:val="dotted" w:sz="4" w:space="0" w:color="auto"/>
            </w:tcBorders>
            <w:shd w:val="clear" w:color="auto" w:fill="FFFFFF" w:themeFill="background1"/>
            <w:noWrap/>
            <w:vAlign w:val="center"/>
            <w:hideMark/>
          </w:tcPr>
          <w:p w14:paraId="27A4D21D"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w:t>
            </w:r>
          </w:p>
        </w:tc>
        <w:tc>
          <w:tcPr>
            <w:tcW w:w="0" w:type="auto"/>
            <w:tcBorders>
              <w:top w:val="dotted" w:sz="4" w:space="0" w:color="auto"/>
              <w:bottom w:val="dotted" w:sz="4" w:space="0" w:color="auto"/>
            </w:tcBorders>
            <w:shd w:val="clear" w:color="auto" w:fill="FFFFFF" w:themeFill="background1"/>
            <w:noWrap/>
            <w:vAlign w:val="center"/>
            <w:hideMark/>
          </w:tcPr>
          <w:p w14:paraId="791D5A0E"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$ 0.43</w:t>
            </w:r>
          </w:p>
        </w:tc>
      </w:tr>
      <w:tr w:rsidR="00914134" w:rsidRPr="007A34A8" w14:paraId="28FCDE53" w14:textId="77777777" w:rsidTr="003C5802">
        <w:trPr>
          <w:trHeight w:val="340"/>
        </w:trPr>
        <w:tc>
          <w:tcPr>
            <w:tcW w:w="0" w:type="auto"/>
            <w:vMerge/>
            <w:shd w:val="clear" w:color="auto" w:fill="FFFFFF" w:themeFill="background1"/>
            <w:vAlign w:val="center"/>
            <w:hideMark/>
          </w:tcPr>
          <w:p w14:paraId="1474A254" w14:textId="77777777" w:rsidR="00914134" w:rsidRPr="007A34A8" w:rsidRDefault="00914134" w:rsidP="0024531A">
            <w:pPr>
              <w:rPr>
                <w:rFonts w:ascii="Arial" w:eastAsia="Times New Roman" w:hAnsi="Arial" w:cs="Arial"/>
                <w:color w:val="000000"/>
                <w:sz w:val="16"/>
                <w:szCs w:val="16"/>
                <w:lang w:val="es-CO" w:eastAsia="es-CO"/>
              </w:rPr>
            </w:pPr>
          </w:p>
        </w:tc>
        <w:tc>
          <w:tcPr>
            <w:tcW w:w="0" w:type="auto"/>
            <w:tcBorders>
              <w:top w:val="dotted" w:sz="4" w:space="0" w:color="auto"/>
              <w:bottom w:val="dotted" w:sz="4" w:space="0" w:color="auto"/>
            </w:tcBorders>
            <w:shd w:val="clear" w:color="auto" w:fill="FFFFFF" w:themeFill="background1"/>
            <w:vAlign w:val="center"/>
            <w:hideMark/>
          </w:tcPr>
          <w:p w14:paraId="59842CAF"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Emiratos Arabes </w:t>
            </w:r>
          </w:p>
        </w:tc>
        <w:tc>
          <w:tcPr>
            <w:tcW w:w="1727" w:type="dxa"/>
            <w:tcBorders>
              <w:top w:val="dotted" w:sz="4" w:space="0" w:color="auto"/>
              <w:bottom w:val="dotted" w:sz="4" w:space="0" w:color="auto"/>
            </w:tcBorders>
            <w:shd w:val="clear" w:color="auto" w:fill="FFFFFF" w:themeFill="background1"/>
            <w:vAlign w:val="center"/>
            <w:hideMark/>
          </w:tcPr>
          <w:p w14:paraId="3EB309F2"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Das Island </w:t>
            </w:r>
          </w:p>
        </w:tc>
        <w:tc>
          <w:tcPr>
            <w:tcW w:w="0" w:type="auto"/>
            <w:tcBorders>
              <w:top w:val="dotted" w:sz="4" w:space="0" w:color="auto"/>
              <w:bottom w:val="dotted" w:sz="4" w:space="0" w:color="auto"/>
            </w:tcBorders>
            <w:shd w:val="clear" w:color="auto" w:fill="FFFFFF" w:themeFill="background1"/>
            <w:noWrap/>
            <w:vAlign w:val="center"/>
            <w:hideMark/>
          </w:tcPr>
          <w:p w14:paraId="7591509E"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16,614</w:t>
            </w:r>
          </w:p>
        </w:tc>
        <w:tc>
          <w:tcPr>
            <w:tcW w:w="0" w:type="auto"/>
            <w:tcBorders>
              <w:top w:val="dotted" w:sz="4" w:space="0" w:color="auto"/>
              <w:bottom w:val="dotted" w:sz="4" w:space="0" w:color="auto"/>
            </w:tcBorders>
            <w:shd w:val="clear" w:color="auto" w:fill="FFFFFF" w:themeFill="background1"/>
            <w:noWrap/>
            <w:vAlign w:val="center"/>
            <w:hideMark/>
          </w:tcPr>
          <w:p w14:paraId="62CEB715"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47</w:t>
            </w:r>
          </w:p>
        </w:tc>
        <w:tc>
          <w:tcPr>
            <w:tcW w:w="0" w:type="auto"/>
            <w:tcBorders>
              <w:top w:val="dotted" w:sz="4" w:space="0" w:color="auto"/>
              <w:bottom w:val="dotted" w:sz="4" w:space="0" w:color="auto"/>
            </w:tcBorders>
            <w:shd w:val="clear" w:color="auto" w:fill="FFFFFF" w:themeFill="background1"/>
            <w:noWrap/>
            <w:vAlign w:val="center"/>
            <w:hideMark/>
          </w:tcPr>
          <w:p w14:paraId="2F5279DF"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$ 0.05</w:t>
            </w:r>
          </w:p>
        </w:tc>
        <w:tc>
          <w:tcPr>
            <w:tcW w:w="0" w:type="auto"/>
            <w:tcBorders>
              <w:top w:val="dotted" w:sz="4" w:space="0" w:color="auto"/>
              <w:bottom w:val="dotted" w:sz="4" w:space="0" w:color="auto"/>
            </w:tcBorders>
            <w:shd w:val="clear" w:color="auto" w:fill="FFFFFF" w:themeFill="background1"/>
            <w:noWrap/>
            <w:vAlign w:val="center"/>
            <w:hideMark/>
          </w:tcPr>
          <w:p w14:paraId="0A1A204E"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w:t>
            </w:r>
          </w:p>
        </w:tc>
        <w:tc>
          <w:tcPr>
            <w:tcW w:w="0" w:type="auto"/>
            <w:tcBorders>
              <w:top w:val="dotted" w:sz="4" w:space="0" w:color="auto"/>
              <w:bottom w:val="dotted" w:sz="4" w:space="0" w:color="auto"/>
            </w:tcBorders>
            <w:shd w:val="clear" w:color="auto" w:fill="FFFFFF" w:themeFill="background1"/>
            <w:noWrap/>
            <w:vAlign w:val="center"/>
            <w:hideMark/>
          </w:tcPr>
          <w:p w14:paraId="2755FDF8"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$ 0.50</w:t>
            </w:r>
          </w:p>
        </w:tc>
      </w:tr>
      <w:tr w:rsidR="00914134" w:rsidRPr="007A34A8" w14:paraId="26670C8B" w14:textId="77777777" w:rsidTr="003C5802">
        <w:trPr>
          <w:trHeight w:val="340"/>
        </w:trPr>
        <w:tc>
          <w:tcPr>
            <w:tcW w:w="0" w:type="auto"/>
            <w:vMerge/>
            <w:tcBorders>
              <w:bottom w:val="single" w:sz="4" w:space="0" w:color="auto"/>
            </w:tcBorders>
            <w:shd w:val="clear" w:color="auto" w:fill="FFFFFF" w:themeFill="background1"/>
            <w:vAlign w:val="center"/>
            <w:hideMark/>
          </w:tcPr>
          <w:p w14:paraId="07E9D7B8" w14:textId="77777777" w:rsidR="00914134" w:rsidRPr="007A34A8" w:rsidRDefault="00914134" w:rsidP="0024531A">
            <w:pPr>
              <w:rPr>
                <w:rFonts w:ascii="Arial" w:eastAsia="Times New Roman" w:hAnsi="Arial" w:cs="Arial"/>
                <w:color w:val="000000"/>
                <w:sz w:val="16"/>
                <w:szCs w:val="16"/>
                <w:lang w:val="es-CO" w:eastAsia="es-CO"/>
              </w:rPr>
            </w:pPr>
          </w:p>
        </w:tc>
        <w:tc>
          <w:tcPr>
            <w:tcW w:w="0" w:type="auto"/>
            <w:tcBorders>
              <w:top w:val="dotted" w:sz="4" w:space="0" w:color="auto"/>
              <w:bottom w:val="single" w:sz="4" w:space="0" w:color="auto"/>
            </w:tcBorders>
            <w:shd w:val="clear" w:color="auto" w:fill="FFFFFF" w:themeFill="background1"/>
            <w:vAlign w:val="center"/>
            <w:hideMark/>
          </w:tcPr>
          <w:p w14:paraId="31055ED9"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Oman  </w:t>
            </w:r>
          </w:p>
        </w:tc>
        <w:tc>
          <w:tcPr>
            <w:tcW w:w="1727" w:type="dxa"/>
            <w:tcBorders>
              <w:top w:val="dotted" w:sz="4" w:space="0" w:color="auto"/>
              <w:bottom w:val="single" w:sz="4" w:space="0" w:color="auto"/>
            </w:tcBorders>
            <w:shd w:val="clear" w:color="auto" w:fill="FFFFFF" w:themeFill="background1"/>
            <w:vAlign w:val="center"/>
            <w:hideMark/>
          </w:tcPr>
          <w:p w14:paraId="36147CBB"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Qalhat </w:t>
            </w:r>
          </w:p>
        </w:tc>
        <w:tc>
          <w:tcPr>
            <w:tcW w:w="0" w:type="auto"/>
            <w:tcBorders>
              <w:top w:val="dotted" w:sz="4" w:space="0" w:color="auto"/>
              <w:bottom w:val="single" w:sz="4" w:space="0" w:color="auto"/>
            </w:tcBorders>
            <w:shd w:val="clear" w:color="auto" w:fill="FFFFFF" w:themeFill="background1"/>
            <w:noWrap/>
            <w:vAlign w:val="center"/>
            <w:hideMark/>
          </w:tcPr>
          <w:p w14:paraId="4B01D9DD"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14,794</w:t>
            </w:r>
          </w:p>
        </w:tc>
        <w:tc>
          <w:tcPr>
            <w:tcW w:w="0" w:type="auto"/>
            <w:tcBorders>
              <w:top w:val="dotted" w:sz="4" w:space="0" w:color="auto"/>
              <w:bottom w:val="single" w:sz="4" w:space="0" w:color="auto"/>
            </w:tcBorders>
            <w:shd w:val="clear" w:color="auto" w:fill="FFFFFF" w:themeFill="background1"/>
            <w:noWrap/>
            <w:vAlign w:val="center"/>
            <w:hideMark/>
          </w:tcPr>
          <w:p w14:paraId="210FDB83"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43</w:t>
            </w:r>
          </w:p>
        </w:tc>
        <w:tc>
          <w:tcPr>
            <w:tcW w:w="0" w:type="auto"/>
            <w:tcBorders>
              <w:top w:val="dotted" w:sz="4" w:space="0" w:color="auto"/>
              <w:bottom w:val="single" w:sz="4" w:space="0" w:color="auto"/>
            </w:tcBorders>
            <w:shd w:val="clear" w:color="auto" w:fill="FFFFFF" w:themeFill="background1"/>
            <w:noWrap/>
            <w:vAlign w:val="center"/>
            <w:hideMark/>
          </w:tcPr>
          <w:p w14:paraId="7864FD77"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$ 0.05</w:t>
            </w:r>
          </w:p>
        </w:tc>
        <w:tc>
          <w:tcPr>
            <w:tcW w:w="0" w:type="auto"/>
            <w:tcBorders>
              <w:top w:val="dotted" w:sz="4" w:space="0" w:color="auto"/>
              <w:bottom w:val="single" w:sz="4" w:space="0" w:color="auto"/>
            </w:tcBorders>
            <w:shd w:val="clear" w:color="auto" w:fill="FFFFFF" w:themeFill="background1"/>
            <w:noWrap/>
            <w:vAlign w:val="center"/>
            <w:hideMark/>
          </w:tcPr>
          <w:p w14:paraId="555CA601"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w:t>
            </w:r>
          </w:p>
        </w:tc>
        <w:tc>
          <w:tcPr>
            <w:tcW w:w="0" w:type="auto"/>
            <w:tcBorders>
              <w:top w:val="dotted" w:sz="4" w:space="0" w:color="auto"/>
              <w:bottom w:val="single" w:sz="4" w:space="0" w:color="auto"/>
            </w:tcBorders>
            <w:shd w:val="clear" w:color="auto" w:fill="FFFFFF" w:themeFill="background1"/>
            <w:noWrap/>
            <w:vAlign w:val="center"/>
            <w:hideMark/>
          </w:tcPr>
          <w:p w14:paraId="5E59643B"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$ 0.46</w:t>
            </w:r>
          </w:p>
        </w:tc>
      </w:tr>
      <w:tr w:rsidR="00914134" w:rsidRPr="007A34A8" w14:paraId="7457F1F8" w14:textId="77777777" w:rsidTr="003C5802">
        <w:trPr>
          <w:trHeight w:val="340"/>
        </w:trPr>
        <w:tc>
          <w:tcPr>
            <w:tcW w:w="0" w:type="auto"/>
            <w:vMerge w:val="restart"/>
            <w:tcBorders>
              <w:top w:val="single" w:sz="4" w:space="0" w:color="auto"/>
            </w:tcBorders>
            <w:shd w:val="clear" w:color="auto" w:fill="FFFFFF" w:themeFill="background1"/>
            <w:noWrap/>
            <w:vAlign w:val="center"/>
            <w:hideMark/>
          </w:tcPr>
          <w:p w14:paraId="5A58F38E"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Sureste Asiático</w:t>
            </w:r>
          </w:p>
        </w:tc>
        <w:tc>
          <w:tcPr>
            <w:tcW w:w="0" w:type="auto"/>
            <w:tcBorders>
              <w:top w:val="single" w:sz="4" w:space="0" w:color="auto"/>
              <w:bottom w:val="dotted" w:sz="4" w:space="0" w:color="auto"/>
            </w:tcBorders>
            <w:shd w:val="clear" w:color="auto" w:fill="FFFFFF" w:themeFill="background1"/>
            <w:vAlign w:val="center"/>
            <w:hideMark/>
          </w:tcPr>
          <w:p w14:paraId="21847E3B"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Brunei </w:t>
            </w:r>
          </w:p>
        </w:tc>
        <w:tc>
          <w:tcPr>
            <w:tcW w:w="1727" w:type="dxa"/>
            <w:tcBorders>
              <w:top w:val="single" w:sz="4" w:space="0" w:color="auto"/>
              <w:bottom w:val="dotted" w:sz="4" w:space="0" w:color="auto"/>
            </w:tcBorders>
            <w:shd w:val="clear" w:color="auto" w:fill="FFFFFF" w:themeFill="background1"/>
            <w:vAlign w:val="center"/>
            <w:hideMark/>
          </w:tcPr>
          <w:p w14:paraId="72EB69A2"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Lumut </w:t>
            </w:r>
          </w:p>
        </w:tc>
        <w:tc>
          <w:tcPr>
            <w:tcW w:w="0" w:type="auto"/>
            <w:tcBorders>
              <w:top w:val="single" w:sz="4" w:space="0" w:color="auto"/>
              <w:bottom w:val="dotted" w:sz="4" w:space="0" w:color="auto"/>
            </w:tcBorders>
            <w:shd w:val="clear" w:color="auto" w:fill="FFFFFF" w:themeFill="background1"/>
            <w:noWrap/>
            <w:vAlign w:val="center"/>
            <w:hideMark/>
          </w:tcPr>
          <w:p w14:paraId="4C4061A3"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18,816</w:t>
            </w:r>
          </w:p>
        </w:tc>
        <w:tc>
          <w:tcPr>
            <w:tcW w:w="0" w:type="auto"/>
            <w:tcBorders>
              <w:top w:val="single" w:sz="4" w:space="0" w:color="auto"/>
              <w:bottom w:val="dotted" w:sz="4" w:space="0" w:color="auto"/>
            </w:tcBorders>
            <w:shd w:val="clear" w:color="auto" w:fill="FFFFFF" w:themeFill="background1"/>
            <w:noWrap/>
            <w:vAlign w:val="center"/>
            <w:hideMark/>
          </w:tcPr>
          <w:p w14:paraId="5CEE98BC"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52</w:t>
            </w:r>
          </w:p>
        </w:tc>
        <w:tc>
          <w:tcPr>
            <w:tcW w:w="0" w:type="auto"/>
            <w:tcBorders>
              <w:top w:val="single" w:sz="4" w:space="0" w:color="auto"/>
              <w:bottom w:val="dotted" w:sz="4" w:space="0" w:color="auto"/>
            </w:tcBorders>
            <w:shd w:val="clear" w:color="auto" w:fill="FFFFFF" w:themeFill="background1"/>
            <w:noWrap/>
            <w:vAlign w:val="center"/>
            <w:hideMark/>
          </w:tcPr>
          <w:p w14:paraId="48663B10"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$ 0.06</w:t>
            </w:r>
          </w:p>
        </w:tc>
        <w:tc>
          <w:tcPr>
            <w:tcW w:w="0" w:type="auto"/>
            <w:tcBorders>
              <w:top w:val="single" w:sz="4" w:space="0" w:color="auto"/>
              <w:bottom w:val="dotted" w:sz="4" w:space="0" w:color="auto"/>
            </w:tcBorders>
            <w:shd w:val="clear" w:color="auto" w:fill="FFFFFF" w:themeFill="background1"/>
            <w:noWrap/>
            <w:vAlign w:val="center"/>
            <w:hideMark/>
          </w:tcPr>
          <w:p w14:paraId="14F4BBB1"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$ 0.11</w:t>
            </w:r>
          </w:p>
        </w:tc>
        <w:tc>
          <w:tcPr>
            <w:tcW w:w="0" w:type="auto"/>
            <w:tcBorders>
              <w:top w:val="single" w:sz="4" w:space="0" w:color="auto"/>
              <w:bottom w:val="dotted" w:sz="4" w:space="0" w:color="auto"/>
            </w:tcBorders>
            <w:shd w:val="clear" w:color="auto" w:fill="FFFFFF" w:themeFill="background1"/>
            <w:noWrap/>
            <w:vAlign w:val="center"/>
            <w:hideMark/>
          </w:tcPr>
          <w:p w14:paraId="0BD137D7"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$ 0.66</w:t>
            </w:r>
          </w:p>
        </w:tc>
      </w:tr>
      <w:tr w:rsidR="00914134" w:rsidRPr="007A34A8" w14:paraId="452802DA" w14:textId="77777777" w:rsidTr="003C5802">
        <w:trPr>
          <w:trHeight w:val="340"/>
        </w:trPr>
        <w:tc>
          <w:tcPr>
            <w:tcW w:w="0" w:type="auto"/>
            <w:vMerge/>
            <w:shd w:val="clear" w:color="auto" w:fill="FFFFFF" w:themeFill="background1"/>
            <w:vAlign w:val="center"/>
            <w:hideMark/>
          </w:tcPr>
          <w:p w14:paraId="6CEAA024" w14:textId="77777777" w:rsidR="00914134" w:rsidRPr="007A34A8" w:rsidRDefault="00914134" w:rsidP="0024531A">
            <w:pPr>
              <w:rPr>
                <w:rFonts w:ascii="Arial" w:eastAsia="Times New Roman" w:hAnsi="Arial" w:cs="Arial"/>
                <w:color w:val="000000"/>
                <w:sz w:val="16"/>
                <w:szCs w:val="16"/>
                <w:lang w:val="es-CO" w:eastAsia="es-CO"/>
              </w:rPr>
            </w:pPr>
          </w:p>
        </w:tc>
        <w:tc>
          <w:tcPr>
            <w:tcW w:w="0" w:type="auto"/>
            <w:tcBorders>
              <w:top w:val="dotted" w:sz="4" w:space="0" w:color="auto"/>
              <w:bottom w:val="dotted" w:sz="4" w:space="0" w:color="auto"/>
            </w:tcBorders>
            <w:shd w:val="clear" w:color="auto" w:fill="FFFFFF" w:themeFill="background1"/>
            <w:vAlign w:val="center"/>
            <w:hideMark/>
          </w:tcPr>
          <w:p w14:paraId="000E7866"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Indonesia </w:t>
            </w:r>
          </w:p>
        </w:tc>
        <w:tc>
          <w:tcPr>
            <w:tcW w:w="1727" w:type="dxa"/>
            <w:tcBorders>
              <w:top w:val="dotted" w:sz="4" w:space="0" w:color="auto"/>
              <w:bottom w:val="dotted" w:sz="4" w:space="0" w:color="auto"/>
            </w:tcBorders>
            <w:shd w:val="clear" w:color="auto" w:fill="FFFFFF" w:themeFill="background1"/>
            <w:vAlign w:val="center"/>
            <w:hideMark/>
          </w:tcPr>
          <w:p w14:paraId="462D8326" w14:textId="77777777" w:rsidR="00914134" w:rsidRPr="007A34A8" w:rsidRDefault="00914134" w:rsidP="0024531A">
            <w:pPr>
              <w:jc w:val="center"/>
              <w:rPr>
                <w:rFonts w:ascii="Arial" w:eastAsia="Times New Roman" w:hAnsi="Arial" w:cs="Arial"/>
                <w:sz w:val="16"/>
                <w:szCs w:val="16"/>
                <w:lang w:val="en-US" w:eastAsia="es-CO"/>
              </w:rPr>
            </w:pPr>
            <w:r w:rsidRPr="007A34A8">
              <w:rPr>
                <w:rFonts w:ascii="Arial" w:eastAsia="Times New Roman" w:hAnsi="Arial" w:cs="Arial"/>
                <w:sz w:val="16"/>
                <w:szCs w:val="16"/>
                <w:lang w:val="en-US" w:eastAsia="es-CO"/>
              </w:rPr>
              <w:t xml:space="preserve"> Blang Lancang Arun</w:t>
            </w:r>
            <w:r w:rsidRPr="007A34A8">
              <w:rPr>
                <w:rFonts w:ascii="Arial" w:eastAsia="Times New Roman" w:hAnsi="Arial" w:cs="Arial"/>
                <w:sz w:val="16"/>
                <w:szCs w:val="16"/>
                <w:lang w:val="en-US" w:eastAsia="es-CO"/>
              </w:rPr>
              <w:br/>
              <w:t>Bontang Badak</w:t>
            </w:r>
            <w:r w:rsidRPr="007A34A8">
              <w:rPr>
                <w:rFonts w:ascii="Arial" w:eastAsia="Times New Roman" w:hAnsi="Arial" w:cs="Arial"/>
                <w:sz w:val="16"/>
                <w:szCs w:val="16"/>
                <w:lang w:val="en-US" w:eastAsia="es-CO"/>
              </w:rPr>
              <w:br/>
              <w:t xml:space="preserve">Tangguh </w:t>
            </w:r>
          </w:p>
        </w:tc>
        <w:tc>
          <w:tcPr>
            <w:tcW w:w="0" w:type="auto"/>
            <w:tcBorders>
              <w:top w:val="dotted" w:sz="4" w:space="0" w:color="auto"/>
              <w:bottom w:val="dotted" w:sz="4" w:space="0" w:color="auto"/>
            </w:tcBorders>
            <w:shd w:val="clear" w:color="auto" w:fill="FFFFFF" w:themeFill="background1"/>
            <w:noWrap/>
            <w:vAlign w:val="center"/>
            <w:hideMark/>
          </w:tcPr>
          <w:p w14:paraId="5B0D1515"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20,291</w:t>
            </w:r>
          </w:p>
        </w:tc>
        <w:tc>
          <w:tcPr>
            <w:tcW w:w="0" w:type="auto"/>
            <w:tcBorders>
              <w:top w:val="dotted" w:sz="4" w:space="0" w:color="auto"/>
              <w:bottom w:val="dotted" w:sz="4" w:space="0" w:color="auto"/>
            </w:tcBorders>
            <w:shd w:val="clear" w:color="auto" w:fill="FFFFFF" w:themeFill="background1"/>
            <w:noWrap/>
            <w:vAlign w:val="center"/>
            <w:hideMark/>
          </w:tcPr>
          <w:p w14:paraId="1FEEAAA9"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56</w:t>
            </w:r>
          </w:p>
        </w:tc>
        <w:tc>
          <w:tcPr>
            <w:tcW w:w="0" w:type="auto"/>
            <w:tcBorders>
              <w:top w:val="dotted" w:sz="4" w:space="0" w:color="auto"/>
              <w:bottom w:val="dotted" w:sz="4" w:space="0" w:color="auto"/>
            </w:tcBorders>
            <w:shd w:val="clear" w:color="auto" w:fill="FFFFFF" w:themeFill="background1"/>
            <w:noWrap/>
            <w:vAlign w:val="center"/>
            <w:hideMark/>
          </w:tcPr>
          <w:p w14:paraId="2215DBAE"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$ 0.07</w:t>
            </w:r>
          </w:p>
        </w:tc>
        <w:tc>
          <w:tcPr>
            <w:tcW w:w="0" w:type="auto"/>
            <w:tcBorders>
              <w:top w:val="dotted" w:sz="4" w:space="0" w:color="auto"/>
              <w:bottom w:val="dotted" w:sz="4" w:space="0" w:color="auto"/>
            </w:tcBorders>
            <w:shd w:val="clear" w:color="auto" w:fill="FFFFFF" w:themeFill="background1"/>
            <w:noWrap/>
            <w:vAlign w:val="center"/>
            <w:hideMark/>
          </w:tcPr>
          <w:p w14:paraId="3B996439"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w:t>
            </w:r>
          </w:p>
        </w:tc>
        <w:tc>
          <w:tcPr>
            <w:tcW w:w="0" w:type="auto"/>
            <w:tcBorders>
              <w:top w:val="dotted" w:sz="4" w:space="0" w:color="auto"/>
              <w:bottom w:val="dotted" w:sz="4" w:space="0" w:color="auto"/>
            </w:tcBorders>
            <w:shd w:val="clear" w:color="auto" w:fill="FFFFFF" w:themeFill="background1"/>
            <w:noWrap/>
            <w:vAlign w:val="center"/>
            <w:hideMark/>
          </w:tcPr>
          <w:p w14:paraId="06A6B986"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$ 0.60</w:t>
            </w:r>
          </w:p>
        </w:tc>
      </w:tr>
      <w:tr w:rsidR="00914134" w:rsidRPr="007A34A8" w14:paraId="601B107D" w14:textId="77777777" w:rsidTr="003C5802">
        <w:trPr>
          <w:trHeight w:val="340"/>
        </w:trPr>
        <w:tc>
          <w:tcPr>
            <w:tcW w:w="0" w:type="auto"/>
            <w:vMerge/>
            <w:tcBorders>
              <w:bottom w:val="single" w:sz="4" w:space="0" w:color="auto"/>
            </w:tcBorders>
            <w:shd w:val="clear" w:color="auto" w:fill="FFFFFF" w:themeFill="background1"/>
            <w:vAlign w:val="center"/>
            <w:hideMark/>
          </w:tcPr>
          <w:p w14:paraId="2B022F60" w14:textId="77777777" w:rsidR="00914134" w:rsidRPr="007A34A8" w:rsidRDefault="00914134" w:rsidP="0024531A">
            <w:pPr>
              <w:rPr>
                <w:rFonts w:ascii="Arial" w:eastAsia="Times New Roman" w:hAnsi="Arial" w:cs="Arial"/>
                <w:color w:val="000000"/>
                <w:sz w:val="16"/>
                <w:szCs w:val="16"/>
                <w:lang w:val="es-CO" w:eastAsia="es-CO"/>
              </w:rPr>
            </w:pPr>
          </w:p>
        </w:tc>
        <w:tc>
          <w:tcPr>
            <w:tcW w:w="0" w:type="auto"/>
            <w:tcBorders>
              <w:top w:val="dotted" w:sz="4" w:space="0" w:color="auto"/>
              <w:bottom w:val="single" w:sz="4" w:space="0" w:color="auto"/>
            </w:tcBorders>
            <w:shd w:val="clear" w:color="auto" w:fill="FFFFFF" w:themeFill="background1"/>
            <w:vAlign w:val="center"/>
            <w:hideMark/>
          </w:tcPr>
          <w:p w14:paraId="0DE048F9"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Malasia </w:t>
            </w:r>
          </w:p>
        </w:tc>
        <w:tc>
          <w:tcPr>
            <w:tcW w:w="1727" w:type="dxa"/>
            <w:tcBorders>
              <w:top w:val="dotted" w:sz="4" w:space="0" w:color="auto"/>
              <w:bottom w:val="single" w:sz="4" w:space="0" w:color="auto"/>
            </w:tcBorders>
            <w:shd w:val="clear" w:color="auto" w:fill="FFFFFF" w:themeFill="background1"/>
            <w:vAlign w:val="center"/>
            <w:hideMark/>
          </w:tcPr>
          <w:p w14:paraId="705C3CCA" w14:textId="77777777" w:rsidR="00914134" w:rsidRPr="007A34A8" w:rsidRDefault="00914134" w:rsidP="0024531A">
            <w:pPr>
              <w:jc w:val="center"/>
              <w:rPr>
                <w:rFonts w:ascii="Arial" w:eastAsia="Times New Roman" w:hAnsi="Arial" w:cs="Arial"/>
                <w:sz w:val="16"/>
                <w:szCs w:val="16"/>
                <w:lang w:val="en-US" w:eastAsia="es-CO"/>
              </w:rPr>
            </w:pPr>
            <w:r w:rsidRPr="007A34A8">
              <w:rPr>
                <w:rFonts w:ascii="Arial" w:eastAsia="Times New Roman" w:hAnsi="Arial" w:cs="Arial"/>
                <w:sz w:val="16"/>
                <w:szCs w:val="16"/>
                <w:lang w:val="en-US" w:eastAsia="es-CO"/>
              </w:rPr>
              <w:t xml:space="preserve"> Bintulu MLNG 1</w:t>
            </w:r>
            <w:r w:rsidRPr="007A34A8">
              <w:rPr>
                <w:rFonts w:ascii="Arial" w:eastAsia="Times New Roman" w:hAnsi="Arial" w:cs="Arial"/>
                <w:sz w:val="16"/>
                <w:szCs w:val="16"/>
                <w:lang w:val="en-US" w:eastAsia="es-CO"/>
              </w:rPr>
              <w:br/>
              <w:t>Bintulu MLNG 2</w:t>
            </w:r>
            <w:r w:rsidRPr="007A34A8">
              <w:rPr>
                <w:rFonts w:ascii="Arial" w:eastAsia="Times New Roman" w:hAnsi="Arial" w:cs="Arial"/>
                <w:sz w:val="16"/>
                <w:szCs w:val="16"/>
                <w:lang w:val="en-US" w:eastAsia="es-CO"/>
              </w:rPr>
              <w:br/>
              <w:t xml:space="preserve">Bintulu MLNG 3 </w:t>
            </w:r>
          </w:p>
        </w:tc>
        <w:tc>
          <w:tcPr>
            <w:tcW w:w="0" w:type="auto"/>
            <w:tcBorders>
              <w:top w:val="dotted" w:sz="4" w:space="0" w:color="auto"/>
              <w:bottom w:val="single" w:sz="4" w:space="0" w:color="auto"/>
            </w:tcBorders>
            <w:shd w:val="clear" w:color="auto" w:fill="FFFFFF" w:themeFill="background1"/>
            <w:noWrap/>
            <w:vAlign w:val="center"/>
            <w:hideMark/>
          </w:tcPr>
          <w:p w14:paraId="1D950466"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19,044</w:t>
            </w:r>
          </w:p>
        </w:tc>
        <w:tc>
          <w:tcPr>
            <w:tcW w:w="0" w:type="auto"/>
            <w:tcBorders>
              <w:top w:val="dotted" w:sz="4" w:space="0" w:color="auto"/>
              <w:bottom w:val="single" w:sz="4" w:space="0" w:color="auto"/>
            </w:tcBorders>
            <w:shd w:val="clear" w:color="auto" w:fill="FFFFFF" w:themeFill="background1"/>
            <w:noWrap/>
            <w:vAlign w:val="center"/>
            <w:hideMark/>
          </w:tcPr>
          <w:p w14:paraId="78D68FFF"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53</w:t>
            </w:r>
          </w:p>
        </w:tc>
        <w:tc>
          <w:tcPr>
            <w:tcW w:w="0" w:type="auto"/>
            <w:tcBorders>
              <w:top w:val="dotted" w:sz="4" w:space="0" w:color="auto"/>
              <w:bottom w:val="single" w:sz="4" w:space="0" w:color="auto"/>
            </w:tcBorders>
            <w:shd w:val="clear" w:color="auto" w:fill="FFFFFF" w:themeFill="background1"/>
            <w:noWrap/>
            <w:vAlign w:val="center"/>
            <w:hideMark/>
          </w:tcPr>
          <w:p w14:paraId="5A5F2CC3"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$ 0.07</w:t>
            </w:r>
          </w:p>
        </w:tc>
        <w:tc>
          <w:tcPr>
            <w:tcW w:w="0" w:type="auto"/>
            <w:tcBorders>
              <w:top w:val="dotted" w:sz="4" w:space="0" w:color="auto"/>
              <w:bottom w:val="single" w:sz="4" w:space="0" w:color="auto"/>
            </w:tcBorders>
            <w:shd w:val="clear" w:color="auto" w:fill="FFFFFF" w:themeFill="background1"/>
            <w:noWrap/>
            <w:vAlign w:val="center"/>
            <w:hideMark/>
          </w:tcPr>
          <w:p w14:paraId="104509E3"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$ 0.11</w:t>
            </w:r>
          </w:p>
        </w:tc>
        <w:tc>
          <w:tcPr>
            <w:tcW w:w="0" w:type="auto"/>
            <w:tcBorders>
              <w:top w:val="dotted" w:sz="4" w:space="0" w:color="auto"/>
              <w:bottom w:val="single" w:sz="4" w:space="0" w:color="auto"/>
            </w:tcBorders>
            <w:shd w:val="clear" w:color="auto" w:fill="FFFFFF" w:themeFill="background1"/>
            <w:noWrap/>
            <w:vAlign w:val="center"/>
            <w:hideMark/>
          </w:tcPr>
          <w:p w14:paraId="43990329"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$ 0.67</w:t>
            </w:r>
          </w:p>
        </w:tc>
      </w:tr>
      <w:tr w:rsidR="00914134" w:rsidRPr="007A34A8" w14:paraId="68802913" w14:textId="77777777" w:rsidTr="003C5802">
        <w:trPr>
          <w:trHeight w:val="340"/>
        </w:trPr>
        <w:tc>
          <w:tcPr>
            <w:tcW w:w="0" w:type="auto"/>
            <w:tcBorders>
              <w:top w:val="single" w:sz="4" w:space="0" w:color="auto"/>
              <w:bottom w:val="single" w:sz="4" w:space="0" w:color="auto"/>
            </w:tcBorders>
            <w:shd w:val="clear" w:color="auto" w:fill="FFFFFF" w:themeFill="background1"/>
            <w:vAlign w:val="center"/>
            <w:hideMark/>
          </w:tcPr>
          <w:p w14:paraId="09546806"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Norte de Asia y Europa Oriental</w:t>
            </w:r>
          </w:p>
        </w:tc>
        <w:tc>
          <w:tcPr>
            <w:tcW w:w="0" w:type="auto"/>
            <w:tcBorders>
              <w:top w:val="single" w:sz="4" w:space="0" w:color="auto"/>
              <w:bottom w:val="single" w:sz="4" w:space="0" w:color="auto"/>
            </w:tcBorders>
            <w:shd w:val="clear" w:color="auto" w:fill="FFFFFF" w:themeFill="background1"/>
            <w:vAlign w:val="center"/>
            <w:hideMark/>
          </w:tcPr>
          <w:p w14:paraId="06277524"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Rusia </w:t>
            </w:r>
          </w:p>
        </w:tc>
        <w:tc>
          <w:tcPr>
            <w:tcW w:w="1727" w:type="dxa"/>
            <w:tcBorders>
              <w:top w:val="single" w:sz="4" w:space="0" w:color="auto"/>
              <w:bottom w:val="single" w:sz="4" w:space="0" w:color="auto"/>
            </w:tcBorders>
            <w:shd w:val="clear" w:color="auto" w:fill="FFFFFF" w:themeFill="background1"/>
            <w:vAlign w:val="center"/>
            <w:hideMark/>
          </w:tcPr>
          <w:p w14:paraId="32C59A14"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Sakhalin II </w:t>
            </w:r>
          </w:p>
        </w:tc>
        <w:tc>
          <w:tcPr>
            <w:tcW w:w="0" w:type="auto"/>
            <w:tcBorders>
              <w:top w:val="single" w:sz="4" w:space="0" w:color="auto"/>
              <w:bottom w:val="single" w:sz="4" w:space="0" w:color="auto"/>
            </w:tcBorders>
            <w:shd w:val="clear" w:color="auto" w:fill="FFFFFF" w:themeFill="background1"/>
            <w:noWrap/>
            <w:vAlign w:val="center"/>
            <w:hideMark/>
          </w:tcPr>
          <w:p w14:paraId="61B4CD5A"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13,975</w:t>
            </w:r>
          </w:p>
        </w:tc>
        <w:tc>
          <w:tcPr>
            <w:tcW w:w="0" w:type="auto"/>
            <w:tcBorders>
              <w:top w:val="single" w:sz="4" w:space="0" w:color="auto"/>
              <w:bottom w:val="single" w:sz="4" w:space="0" w:color="auto"/>
            </w:tcBorders>
            <w:shd w:val="clear" w:color="auto" w:fill="FFFFFF" w:themeFill="background1"/>
            <w:noWrap/>
            <w:vAlign w:val="center"/>
            <w:hideMark/>
          </w:tcPr>
          <w:p w14:paraId="7036D899"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41</w:t>
            </w:r>
          </w:p>
        </w:tc>
        <w:tc>
          <w:tcPr>
            <w:tcW w:w="0" w:type="auto"/>
            <w:tcBorders>
              <w:top w:val="single" w:sz="4" w:space="0" w:color="auto"/>
              <w:bottom w:val="single" w:sz="4" w:space="0" w:color="auto"/>
            </w:tcBorders>
            <w:shd w:val="clear" w:color="auto" w:fill="FFFFFF" w:themeFill="background1"/>
            <w:noWrap/>
            <w:vAlign w:val="center"/>
            <w:hideMark/>
          </w:tcPr>
          <w:p w14:paraId="03205CCC"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$ 0.04</w:t>
            </w:r>
          </w:p>
        </w:tc>
        <w:tc>
          <w:tcPr>
            <w:tcW w:w="0" w:type="auto"/>
            <w:tcBorders>
              <w:top w:val="single" w:sz="4" w:space="0" w:color="auto"/>
              <w:bottom w:val="single" w:sz="4" w:space="0" w:color="auto"/>
            </w:tcBorders>
            <w:shd w:val="clear" w:color="auto" w:fill="FFFFFF" w:themeFill="background1"/>
            <w:noWrap/>
            <w:vAlign w:val="center"/>
            <w:hideMark/>
          </w:tcPr>
          <w:p w14:paraId="0B94B14A"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$ 0.11</w:t>
            </w:r>
          </w:p>
        </w:tc>
        <w:tc>
          <w:tcPr>
            <w:tcW w:w="0" w:type="auto"/>
            <w:tcBorders>
              <w:top w:val="single" w:sz="4" w:space="0" w:color="auto"/>
              <w:bottom w:val="single" w:sz="4" w:space="0" w:color="auto"/>
            </w:tcBorders>
            <w:shd w:val="clear" w:color="auto" w:fill="FFFFFF" w:themeFill="background1"/>
            <w:noWrap/>
            <w:vAlign w:val="center"/>
            <w:hideMark/>
          </w:tcPr>
          <w:p w14:paraId="626219AF"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$ 0.54</w:t>
            </w:r>
          </w:p>
        </w:tc>
      </w:tr>
      <w:tr w:rsidR="00914134" w:rsidRPr="007A34A8" w14:paraId="57DAEC71" w14:textId="77777777" w:rsidTr="003C5802">
        <w:trPr>
          <w:trHeight w:val="340"/>
        </w:trPr>
        <w:tc>
          <w:tcPr>
            <w:tcW w:w="0" w:type="auto"/>
            <w:tcBorders>
              <w:top w:val="single" w:sz="4" w:space="0" w:color="auto"/>
              <w:bottom w:val="double" w:sz="4" w:space="0" w:color="auto"/>
            </w:tcBorders>
            <w:shd w:val="clear" w:color="auto" w:fill="FFFFFF" w:themeFill="background1"/>
            <w:noWrap/>
            <w:vAlign w:val="center"/>
            <w:hideMark/>
          </w:tcPr>
          <w:p w14:paraId="17B4BF02"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Oceanía</w:t>
            </w:r>
          </w:p>
        </w:tc>
        <w:tc>
          <w:tcPr>
            <w:tcW w:w="0" w:type="auto"/>
            <w:tcBorders>
              <w:top w:val="single" w:sz="4" w:space="0" w:color="auto"/>
              <w:bottom w:val="double" w:sz="4" w:space="0" w:color="auto"/>
            </w:tcBorders>
            <w:shd w:val="clear" w:color="auto" w:fill="FFFFFF" w:themeFill="background1"/>
            <w:vAlign w:val="center"/>
            <w:hideMark/>
          </w:tcPr>
          <w:p w14:paraId="0C1061EF" w14:textId="77777777" w:rsidR="00914134" w:rsidRPr="007A34A8" w:rsidRDefault="00914134" w:rsidP="0024531A">
            <w:pPr>
              <w:jc w:val="center"/>
              <w:rPr>
                <w:rFonts w:ascii="Arial" w:eastAsia="Times New Roman" w:hAnsi="Arial" w:cs="Arial"/>
                <w:sz w:val="16"/>
                <w:szCs w:val="16"/>
                <w:lang w:val="es-CO" w:eastAsia="es-CO"/>
              </w:rPr>
            </w:pPr>
            <w:r w:rsidRPr="007A34A8">
              <w:rPr>
                <w:rFonts w:ascii="Arial" w:eastAsia="Times New Roman" w:hAnsi="Arial" w:cs="Arial"/>
                <w:sz w:val="16"/>
                <w:szCs w:val="16"/>
                <w:lang w:val="es-CO" w:eastAsia="es-CO"/>
              </w:rPr>
              <w:t xml:space="preserve"> Australia </w:t>
            </w:r>
          </w:p>
        </w:tc>
        <w:tc>
          <w:tcPr>
            <w:tcW w:w="1727" w:type="dxa"/>
            <w:tcBorders>
              <w:top w:val="single" w:sz="4" w:space="0" w:color="auto"/>
              <w:bottom w:val="double" w:sz="4" w:space="0" w:color="auto"/>
            </w:tcBorders>
            <w:shd w:val="clear" w:color="auto" w:fill="FFFFFF" w:themeFill="background1"/>
            <w:vAlign w:val="center"/>
            <w:hideMark/>
          </w:tcPr>
          <w:p w14:paraId="6B89B5C2" w14:textId="77777777" w:rsidR="00914134" w:rsidRPr="007A34A8" w:rsidRDefault="00914134" w:rsidP="0024531A">
            <w:pPr>
              <w:jc w:val="center"/>
              <w:rPr>
                <w:rFonts w:ascii="Arial" w:eastAsia="Times New Roman" w:hAnsi="Arial" w:cs="Arial"/>
                <w:sz w:val="16"/>
                <w:szCs w:val="16"/>
                <w:lang w:val="en-US" w:eastAsia="es-CO"/>
              </w:rPr>
            </w:pPr>
            <w:r w:rsidRPr="007A34A8">
              <w:rPr>
                <w:rFonts w:ascii="Arial" w:eastAsia="Times New Roman" w:hAnsi="Arial" w:cs="Arial"/>
                <w:sz w:val="16"/>
                <w:szCs w:val="16"/>
                <w:lang w:val="en-US" w:eastAsia="es-CO"/>
              </w:rPr>
              <w:t xml:space="preserve"> Darwin</w:t>
            </w:r>
            <w:r w:rsidRPr="007A34A8">
              <w:rPr>
                <w:rFonts w:ascii="Arial" w:eastAsia="Times New Roman" w:hAnsi="Arial" w:cs="Arial"/>
                <w:sz w:val="16"/>
                <w:szCs w:val="16"/>
                <w:lang w:val="en-US" w:eastAsia="es-CO"/>
              </w:rPr>
              <w:br/>
              <w:t>Pluto</w:t>
            </w:r>
            <w:r w:rsidRPr="007A34A8">
              <w:rPr>
                <w:rFonts w:ascii="Arial" w:eastAsia="Times New Roman" w:hAnsi="Arial" w:cs="Arial"/>
                <w:sz w:val="16"/>
                <w:szCs w:val="16"/>
                <w:lang w:val="en-US" w:eastAsia="es-CO"/>
              </w:rPr>
              <w:br/>
              <w:t>Withnell Bay Traines 1-4</w:t>
            </w:r>
            <w:r w:rsidRPr="007A34A8">
              <w:rPr>
                <w:rFonts w:ascii="Arial" w:eastAsia="Times New Roman" w:hAnsi="Arial" w:cs="Arial"/>
                <w:sz w:val="16"/>
                <w:szCs w:val="16"/>
                <w:lang w:val="en-US" w:eastAsia="es-CO"/>
              </w:rPr>
              <w:br/>
              <w:t xml:space="preserve">Withnell Bay Train 5 </w:t>
            </w:r>
          </w:p>
        </w:tc>
        <w:tc>
          <w:tcPr>
            <w:tcW w:w="0" w:type="auto"/>
            <w:tcBorders>
              <w:top w:val="single" w:sz="4" w:space="0" w:color="auto"/>
              <w:bottom w:val="double" w:sz="4" w:space="0" w:color="auto"/>
            </w:tcBorders>
            <w:shd w:val="clear" w:color="auto" w:fill="FFFFFF" w:themeFill="background1"/>
            <w:noWrap/>
            <w:vAlign w:val="center"/>
            <w:hideMark/>
          </w:tcPr>
          <w:p w14:paraId="1D0ECC90"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17,509</w:t>
            </w:r>
          </w:p>
        </w:tc>
        <w:tc>
          <w:tcPr>
            <w:tcW w:w="0" w:type="auto"/>
            <w:tcBorders>
              <w:top w:val="single" w:sz="4" w:space="0" w:color="auto"/>
              <w:bottom w:val="double" w:sz="4" w:space="0" w:color="auto"/>
            </w:tcBorders>
            <w:shd w:val="clear" w:color="auto" w:fill="FFFFFF" w:themeFill="background1"/>
            <w:noWrap/>
            <w:vAlign w:val="center"/>
            <w:hideMark/>
          </w:tcPr>
          <w:p w14:paraId="5BCA782B"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49</w:t>
            </w:r>
          </w:p>
        </w:tc>
        <w:tc>
          <w:tcPr>
            <w:tcW w:w="0" w:type="auto"/>
            <w:tcBorders>
              <w:top w:val="single" w:sz="4" w:space="0" w:color="auto"/>
              <w:bottom w:val="double" w:sz="4" w:space="0" w:color="auto"/>
            </w:tcBorders>
            <w:shd w:val="clear" w:color="auto" w:fill="FFFFFF" w:themeFill="background1"/>
            <w:noWrap/>
            <w:vAlign w:val="center"/>
            <w:hideMark/>
          </w:tcPr>
          <w:p w14:paraId="0170EAE2"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$ 0.06</w:t>
            </w:r>
          </w:p>
        </w:tc>
        <w:tc>
          <w:tcPr>
            <w:tcW w:w="0" w:type="auto"/>
            <w:tcBorders>
              <w:top w:val="single" w:sz="4" w:space="0" w:color="auto"/>
              <w:bottom w:val="double" w:sz="4" w:space="0" w:color="auto"/>
            </w:tcBorders>
            <w:shd w:val="clear" w:color="auto" w:fill="FFFFFF" w:themeFill="background1"/>
            <w:noWrap/>
            <w:vAlign w:val="center"/>
            <w:hideMark/>
          </w:tcPr>
          <w:p w14:paraId="63EF8ABC"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$ 0.11</w:t>
            </w:r>
          </w:p>
        </w:tc>
        <w:tc>
          <w:tcPr>
            <w:tcW w:w="0" w:type="auto"/>
            <w:tcBorders>
              <w:top w:val="single" w:sz="4" w:space="0" w:color="auto"/>
              <w:bottom w:val="double" w:sz="4" w:space="0" w:color="auto"/>
            </w:tcBorders>
            <w:shd w:val="clear" w:color="auto" w:fill="FFFFFF" w:themeFill="background1"/>
            <w:noWrap/>
            <w:vAlign w:val="center"/>
            <w:hideMark/>
          </w:tcPr>
          <w:p w14:paraId="77AA35B2" w14:textId="77777777" w:rsidR="00914134" w:rsidRPr="007A34A8" w:rsidRDefault="00914134" w:rsidP="0024531A">
            <w:pPr>
              <w:jc w:val="center"/>
              <w:rPr>
                <w:rFonts w:ascii="Arial" w:eastAsia="Times New Roman" w:hAnsi="Arial" w:cs="Arial"/>
                <w:color w:val="000000"/>
                <w:sz w:val="16"/>
                <w:szCs w:val="16"/>
                <w:lang w:val="es-CO" w:eastAsia="es-CO"/>
              </w:rPr>
            </w:pPr>
            <w:r w:rsidRPr="007A34A8">
              <w:rPr>
                <w:rFonts w:ascii="Arial" w:eastAsia="Times New Roman" w:hAnsi="Arial" w:cs="Arial"/>
                <w:color w:val="000000"/>
                <w:sz w:val="16"/>
                <w:szCs w:val="16"/>
                <w:lang w:val="es-CO" w:eastAsia="es-CO"/>
              </w:rPr>
              <w:t>$ 0.63</w:t>
            </w:r>
          </w:p>
        </w:tc>
      </w:tr>
    </w:tbl>
    <w:p w14:paraId="04AD91C8" w14:textId="65D87F99" w:rsidR="00914134" w:rsidRPr="00C82FF1" w:rsidRDefault="00914134" w:rsidP="00914134">
      <w:pPr>
        <w:jc w:val="center"/>
        <w:rPr>
          <w:rFonts w:cs="Arial"/>
        </w:rPr>
      </w:pPr>
      <w:r w:rsidRPr="00F46246">
        <w:rPr>
          <w:rFonts w:ascii="Arial" w:hAnsi="Arial" w:cs="Arial"/>
          <w:b/>
          <w:color w:val="000000" w:themeColor="text1"/>
          <w:sz w:val="16"/>
        </w:rPr>
        <w:t>Fuente:</w:t>
      </w:r>
      <w:r w:rsidRPr="00F46246">
        <w:rPr>
          <w:rFonts w:ascii="Arial" w:hAnsi="Arial" w:cs="Arial"/>
        </w:rPr>
        <w:t xml:space="preserve"> </w:t>
      </w:r>
      <w:r w:rsidR="00F46246" w:rsidRPr="006E33EF">
        <w:rPr>
          <w:rFonts w:ascii="Arial" w:hAnsi="Arial" w:cs="Arial"/>
          <w:sz w:val="16"/>
        </w:rPr>
        <w:t xml:space="preserve">ARGUS </w:t>
      </w:r>
      <w:r w:rsidR="00F46246" w:rsidRPr="006E33EF">
        <w:rPr>
          <w:rFonts w:ascii="Arial" w:hAnsi="Arial" w:cs="Arial"/>
          <w:sz w:val="16"/>
        </w:rPr>
        <w:fldChar w:fldCharType="begin"/>
      </w:r>
      <w:r w:rsidR="00F46246" w:rsidRPr="006E33EF">
        <w:rPr>
          <w:rFonts w:ascii="Arial" w:hAnsi="Arial" w:cs="Arial"/>
          <w:sz w:val="16"/>
        </w:rPr>
        <w:instrText xml:space="preserve"> REF _Ref529882427 \r \h  \* MERGEFORMAT </w:instrText>
      </w:r>
      <w:r w:rsidR="00F46246" w:rsidRPr="006E33EF">
        <w:rPr>
          <w:rFonts w:ascii="Arial" w:hAnsi="Arial" w:cs="Arial"/>
          <w:sz w:val="16"/>
        </w:rPr>
      </w:r>
      <w:r w:rsidR="00F46246" w:rsidRPr="006E33EF">
        <w:rPr>
          <w:rFonts w:ascii="Arial" w:hAnsi="Arial" w:cs="Arial"/>
          <w:sz w:val="16"/>
        </w:rPr>
        <w:fldChar w:fldCharType="separate"/>
      </w:r>
      <w:r w:rsidR="00915705" w:rsidRPr="006E33EF">
        <w:rPr>
          <w:rFonts w:ascii="Arial" w:hAnsi="Arial" w:cs="Arial"/>
          <w:sz w:val="16"/>
        </w:rPr>
        <w:t>[18]</w:t>
      </w:r>
      <w:r w:rsidR="00F46246" w:rsidRPr="006E33EF">
        <w:rPr>
          <w:rFonts w:ascii="Arial" w:hAnsi="Arial" w:cs="Arial"/>
          <w:sz w:val="16"/>
        </w:rPr>
        <w:fldChar w:fldCharType="end"/>
      </w:r>
      <w:r w:rsidR="00F46246" w:rsidRPr="00F46246">
        <w:rPr>
          <w:rFonts w:ascii="Arial" w:hAnsi="Arial" w:cs="Arial"/>
          <w:color w:val="000000" w:themeColor="text1"/>
          <w:sz w:val="16"/>
        </w:rPr>
        <w:t>, PLATTS</w:t>
      </w:r>
      <w:r w:rsidR="00F46246" w:rsidRPr="00F46246">
        <w:rPr>
          <w:rFonts w:ascii="Arial" w:hAnsi="Arial" w:cs="Arial"/>
          <w:color w:val="000000" w:themeColor="text1"/>
          <w:sz w:val="16"/>
        </w:rPr>
        <w:fldChar w:fldCharType="begin"/>
      </w:r>
      <w:r w:rsidR="00F46246" w:rsidRPr="00F46246">
        <w:rPr>
          <w:rFonts w:ascii="Arial" w:hAnsi="Arial" w:cs="Arial"/>
          <w:color w:val="000000" w:themeColor="text1"/>
          <w:sz w:val="16"/>
        </w:rPr>
        <w:instrText xml:space="preserve"> REF _Ref529882345 \r \h </w:instrText>
      </w:r>
      <w:r w:rsidR="00F46246">
        <w:rPr>
          <w:rFonts w:ascii="Arial" w:hAnsi="Arial" w:cs="Arial"/>
          <w:color w:val="000000" w:themeColor="text1"/>
          <w:sz w:val="16"/>
        </w:rPr>
        <w:instrText xml:space="preserve"> \* MERGEFORMAT </w:instrText>
      </w:r>
      <w:r w:rsidR="00F46246" w:rsidRPr="00F46246">
        <w:rPr>
          <w:rFonts w:ascii="Arial" w:hAnsi="Arial" w:cs="Arial"/>
          <w:color w:val="000000" w:themeColor="text1"/>
          <w:sz w:val="16"/>
        </w:rPr>
      </w:r>
      <w:r w:rsidR="00F46246" w:rsidRPr="00F46246">
        <w:rPr>
          <w:rFonts w:ascii="Arial" w:hAnsi="Arial" w:cs="Arial"/>
          <w:color w:val="000000" w:themeColor="text1"/>
          <w:sz w:val="16"/>
        </w:rPr>
        <w:fldChar w:fldCharType="separate"/>
      </w:r>
      <w:r w:rsidR="00915705">
        <w:rPr>
          <w:rFonts w:ascii="Arial" w:hAnsi="Arial" w:cs="Arial"/>
          <w:color w:val="000000" w:themeColor="text1"/>
          <w:sz w:val="16"/>
        </w:rPr>
        <w:t>[17]</w:t>
      </w:r>
      <w:r w:rsidR="00F46246" w:rsidRPr="00F46246">
        <w:rPr>
          <w:rFonts w:ascii="Arial" w:hAnsi="Arial" w:cs="Arial"/>
          <w:color w:val="000000" w:themeColor="text1"/>
          <w:sz w:val="16"/>
        </w:rPr>
        <w:fldChar w:fldCharType="end"/>
      </w:r>
      <w:r w:rsidRPr="00F46246">
        <w:rPr>
          <w:rFonts w:ascii="Arial" w:hAnsi="Arial" w:cs="Arial"/>
          <w:color w:val="000000" w:themeColor="text1"/>
          <w:sz w:val="16"/>
        </w:rPr>
        <w:t>, UPME.</w:t>
      </w:r>
    </w:p>
    <w:p w14:paraId="11BE5A42" w14:textId="6EE76AF0" w:rsidR="00914134" w:rsidRPr="00A54DE1" w:rsidRDefault="00914134" w:rsidP="00914134">
      <w:pPr>
        <w:spacing w:before="240" w:after="240" w:line="276" w:lineRule="auto"/>
        <w:jc w:val="both"/>
        <w:rPr>
          <w:rFonts w:ascii="Arial" w:hAnsi="Arial" w:cs="Arial"/>
          <w:sz w:val="22"/>
          <w:szCs w:val="22"/>
        </w:rPr>
      </w:pPr>
      <w:r w:rsidRPr="00A54DE1">
        <w:rPr>
          <w:rFonts w:ascii="Arial" w:hAnsi="Arial" w:cs="Arial"/>
          <w:sz w:val="22"/>
          <w:szCs w:val="22"/>
        </w:rPr>
        <w:t xml:space="preserve">Los resultados indican que las fuentes que optimizan el costo de transporte para Cartagena, teniendo en cuenta la distancia recorrida, son Trinidad y Tobago y Estados Unidos (Costa del </w:t>
      </w:r>
      <w:r w:rsidRPr="00A54DE1">
        <w:rPr>
          <w:rFonts w:ascii="Arial" w:hAnsi="Arial" w:cs="Arial"/>
          <w:sz w:val="22"/>
          <w:szCs w:val="22"/>
        </w:rPr>
        <w:lastRenderedPageBreak/>
        <w:t>Golfo), con un costo de USD$ 0.1</w:t>
      </w:r>
      <w:r w:rsidR="00A54DE1" w:rsidRPr="00A54DE1">
        <w:rPr>
          <w:rFonts w:ascii="Arial" w:hAnsi="Arial" w:cs="Arial"/>
          <w:sz w:val="22"/>
          <w:szCs w:val="22"/>
        </w:rPr>
        <w:t>1</w:t>
      </w:r>
      <w:r w:rsidR="003C5802">
        <w:rPr>
          <w:rFonts w:ascii="Arial" w:hAnsi="Arial" w:cs="Arial"/>
          <w:sz w:val="22"/>
          <w:szCs w:val="22"/>
        </w:rPr>
        <w:t>/</w:t>
      </w:r>
      <w:r w:rsidR="00E67D05" w:rsidRPr="00A54DE1">
        <w:rPr>
          <w:rFonts w:ascii="Arial" w:hAnsi="Arial" w:cs="Arial"/>
          <w:sz w:val="22"/>
          <w:szCs w:val="22"/>
        </w:rPr>
        <w:t>M</w:t>
      </w:r>
      <w:r w:rsidR="003C5802">
        <w:rPr>
          <w:rFonts w:ascii="Arial" w:hAnsi="Arial" w:cs="Arial"/>
          <w:sz w:val="22"/>
          <w:szCs w:val="22"/>
        </w:rPr>
        <w:t>MBTU y USD$ 0.16/</w:t>
      </w:r>
      <w:r w:rsidR="00E67D05" w:rsidRPr="00A54DE1">
        <w:rPr>
          <w:rFonts w:ascii="Arial" w:hAnsi="Arial" w:cs="Arial"/>
          <w:sz w:val="22"/>
          <w:szCs w:val="22"/>
        </w:rPr>
        <w:t>M</w:t>
      </w:r>
      <w:r w:rsidRPr="00A54DE1">
        <w:rPr>
          <w:rFonts w:ascii="Arial" w:hAnsi="Arial" w:cs="Arial"/>
          <w:sz w:val="22"/>
          <w:szCs w:val="22"/>
        </w:rPr>
        <w:t>MBTU respectivamente. Por otra parte, las opciones más costosas se encuentran en el Sureste Asiático con un costo de transporte,</w:t>
      </w:r>
      <w:r w:rsidRPr="00127A88">
        <w:rPr>
          <w:rFonts w:ascii="Arial" w:hAnsi="Arial" w:cs="Arial"/>
          <w:sz w:val="22"/>
          <w:szCs w:val="22"/>
          <w:highlight w:val="yellow"/>
        </w:rPr>
        <w:t xml:space="preserve"> </w:t>
      </w:r>
      <w:r w:rsidR="00A54DE1" w:rsidRPr="00A54DE1">
        <w:rPr>
          <w:rFonts w:ascii="Arial" w:hAnsi="Arial" w:cs="Arial"/>
          <w:sz w:val="22"/>
          <w:szCs w:val="22"/>
        </w:rPr>
        <w:t>desde Malasia de USD$ 0.67</w:t>
      </w:r>
      <w:r w:rsidR="003C5802">
        <w:rPr>
          <w:rFonts w:ascii="Arial" w:hAnsi="Arial" w:cs="Arial"/>
          <w:sz w:val="22"/>
          <w:szCs w:val="22"/>
        </w:rPr>
        <w:t>/</w:t>
      </w:r>
      <w:r w:rsidRPr="00A54DE1">
        <w:rPr>
          <w:rFonts w:ascii="Arial" w:hAnsi="Arial" w:cs="Arial"/>
          <w:sz w:val="22"/>
          <w:szCs w:val="22"/>
        </w:rPr>
        <w:t>M</w:t>
      </w:r>
      <w:r w:rsidR="00A54DE1" w:rsidRPr="00A54DE1">
        <w:rPr>
          <w:rFonts w:ascii="Arial" w:hAnsi="Arial" w:cs="Arial"/>
          <w:sz w:val="22"/>
          <w:szCs w:val="22"/>
        </w:rPr>
        <w:t>M</w:t>
      </w:r>
      <w:r w:rsidRPr="00A54DE1">
        <w:rPr>
          <w:rFonts w:ascii="Arial" w:hAnsi="Arial" w:cs="Arial"/>
          <w:sz w:val="22"/>
          <w:szCs w:val="22"/>
        </w:rPr>
        <w:t>BTU y desde Brunei el costo es de USD$ 0.</w:t>
      </w:r>
      <w:r w:rsidR="00A54DE1" w:rsidRPr="00A54DE1">
        <w:rPr>
          <w:rFonts w:ascii="Arial" w:hAnsi="Arial" w:cs="Arial"/>
          <w:sz w:val="22"/>
          <w:szCs w:val="22"/>
        </w:rPr>
        <w:t>66</w:t>
      </w:r>
      <w:r w:rsidR="003C5802">
        <w:rPr>
          <w:rFonts w:ascii="Arial" w:hAnsi="Arial" w:cs="Arial"/>
          <w:sz w:val="22"/>
          <w:szCs w:val="22"/>
        </w:rPr>
        <w:t>/</w:t>
      </w:r>
      <w:r w:rsidR="00E67D05" w:rsidRPr="00A54DE1">
        <w:rPr>
          <w:rFonts w:ascii="Arial" w:hAnsi="Arial" w:cs="Arial"/>
          <w:sz w:val="22"/>
          <w:szCs w:val="22"/>
        </w:rPr>
        <w:t>M</w:t>
      </w:r>
      <w:r w:rsidRPr="00A54DE1">
        <w:rPr>
          <w:rFonts w:ascii="Arial" w:hAnsi="Arial" w:cs="Arial"/>
          <w:sz w:val="22"/>
          <w:szCs w:val="22"/>
        </w:rPr>
        <w:t xml:space="preserve">MBTU, seguido </w:t>
      </w:r>
      <w:r w:rsidR="00A54DE1" w:rsidRPr="00A54DE1">
        <w:rPr>
          <w:rFonts w:ascii="Arial" w:hAnsi="Arial" w:cs="Arial"/>
          <w:sz w:val="22"/>
          <w:szCs w:val="22"/>
        </w:rPr>
        <w:t>por Australia con un costo de USD$ 0.60</w:t>
      </w:r>
      <w:r w:rsidR="003C5802">
        <w:rPr>
          <w:rFonts w:ascii="Arial" w:hAnsi="Arial" w:cs="Arial"/>
          <w:sz w:val="22"/>
          <w:szCs w:val="22"/>
        </w:rPr>
        <w:t>/</w:t>
      </w:r>
      <w:r w:rsidR="00A54DE1" w:rsidRPr="00A54DE1">
        <w:rPr>
          <w:rFonts w:ascii="Arial" w:hAnsi="Arial" w:cs="Arial"/>
          <w:sz w:val="22"/>
          <w:szCs w:val="22"/>
        </w:rPr>
        <w:t xml:space="preserve">MMBTU. </w:t>
      </w:r>
    </w:p>
    <w:p w14:paraId="4E995D15" w14:textId="77777777" w:rsidR="00914134" w:rsidRDefault="00914134" w:rsidP="00914134">
      <w:pPr>
        <w:pStyle w:val="Descripcin"/>
        <w:keepNext/>
        <w:spacing w:after="0"/>
        <w:jc w:val="center"/>
        <w:rPr>
          <w:rFonts w:eastAsiaTheme="minorHAnsi" w:cs="Arial"/>
          <w:i w:val="0"/>
          <w:iCs w:val="0"/>
          <w:color w:val="auto"/>
          <w:sz w:val="20"/>
          <w:szCs w:val="22"/>
          <w:lang w:val="es-ES_tradnl" w:eastAsia="en-US"/>
        </w:rPr>
      </w:pPr>
      <w:bookmarkStart w:id="237" w:name="_Ref529890625"/>
      <w:bookmarkStart w:id="238" w:name="_Toc529889749"/>
      <w:r w:rsidRPr="000B7EA5">
        <w:rPr>
          <w:rFonts w:eastAsiaTheme="minorHAnsi" w:cs="Arial"/>
          <w:b/>
          <w:i w:val="0"/>
          <w:iCs w:val="0"/>
          <w:color w:val="auto"/>
          <w:sz w:val="20"/>
          <w:szCs w:val="22"/>
          <w:highlight w:val="yellow"/>
          <w:lang w:val="es-ES_tradnl" w:eastAsia="en-US"/>
        </w:rPr>
        <w:t xml:space="preserve">Tabla </w:t>
      </w:r>
      <w:r w:rsidRPr="000B7EA5">
        <w:rPr>
          <w:rFonts w:eastAsiaTheme="minorHAnsi" w:cs="Arial"/>
          <w:b/>
          <w:i w:val="0"/>
          <w:iCs w:val="0"/>
          <w:color w:val="auto"/>
          <w:sz w:val="20"/>
          <w:szCs w:val="22"/>
          <w:highlight w:val="yellow"/>
          <w:lang w:val="es-ES_tradnl" w:eastAsia="en-US"/>
        </w:rPr>
        <w:fldChar w:fldCharType="begin"/>
      </w:r>
      <w:r w:rsidRPr="000B7EA5">
        <w:rPr>
          <w:rFonts w:eastAsiaTheme="minorHAnsi" w:cs="Arial"/>
          <w:b/>
          <w:i w:val="0"/>
          <w:iCs w:val="0"/>
          <w:color w:val="auto"/>
          <w:sz w:val="20"/>
          <w:szCs w:val="22"/>
          <w:highlight w:val="yellow"/>
          <w:lang w:val="es-ES_tradnl" w:eastAsia="en-US"/>
        </w:rPr>
        <w:instrText xml:space="preserve"> STYLEREF 1 \s </w:instrText>
      </w:r>
      <w:r w:rsidRPr="000B7EA5">
        <w:rPr>
          <w:rFonts w:eastAsiaTheme="minorHAnsi" w:cs="Arial"/>
          <w:b/>
          <w:i w:val="0"/>
          <w:iCs w:val="0"/>
          <w:color w:val="auto"/>
          <w:sz w:val="20"/>
          <w:szCs w:val="22"/>
          <w:highlight w:val="yellow"/>
          <w:lang w:val="es-ES_tradnl" w:eastAsia="en-US"/>
        </w:rPr>
        <w:fldChar w:fldCharType="separate"/>
      </w:r>
      <w:r w:rsidR="00915705">
        <w:rPr>
          <w:rFonts w:eastAsiaTheme="minorHAnsi" w:cs="Arial"/>
          <w:b/>
          <w:i w:val="0"/>
          <w:iCs w:val="0"/>
          <w:noProof/>
          <w:color w:val="auto"/>
          <w:sz w:val="20"/>
          <w:szCs w:val="22"/>
          <w:highlight w:val="yellow"/>
          <w:lang w:val="es-ES_tradnl" w:eastAsia="en-US"/>
        </w:rPr>
        <w:t>3</w:t>
      </w:r>
      <w:r w:rsidRPr="000B7EA5">
        <w:rPr>
          <w:rFonts w:eastAsiaTheme="minorHAnsi" w:cs="Arial"/>
          <w:b/>
          <w:i w:val="0"/>
          <w:iCs w:val="0"/>
          <w:color w:val="auto"/>
          <w:sz w:val="20"/>
          <w:szCs w:val="22"/>
          <w:highlight w:val="yellow"/>
          <w:lang w:val="es-ES_tradnl" w:eastAsia="en-US"/>
        </w:rPr>
        <w:fldChar w:fldCharType="end"/>
      </w:r>
      <w:r w:rsidRPr="000B7EA5">
        <w:rPr>
          <w:rFonts w:eastAsiaTheme="minorHAnsi" w:cs="Arial"/>
          <w:b/>
          <w:i w:val="0"/>
          <w:iCs w:val="0"/>
          <w:color w:val="auto"/>
          <w:sz w:val="20"/>
          <w:szCs w:val="22"/>
          <w:highlight w:val="yellow"/>
          <w:lang w:val="es-ES_tradnl" w:eastAsia="en-US"/>
        </w:rPr>
        <w:noBreakHyphen/>
      </w:r>
      <w:r w:rsidRPr="000B7EA5">
        <w:rPr>
          <w:rFonts w:eastAsiaTheme="minorHAnsi" w:cs="Arial"/>
          <w:b/>
          <w:i w:val="0"/>
          <w:iCs w:val="0"/>
          <w:color w:val="auto"/>
          <w:sz w:val="20"/>
          <w:szCs w:val="22"/>
          <w:highlight w:val="yellow"/>
          <w:lang w:val="es-ES_tradnl" w:eastAsia="en-US"/>
        </w:rPr>
        <w:fldChar w:fldCharType="begin"/>
      </w:r>
      <w:r w:rsidRPr="000B7EA5">
        <w:rPr>
          <w:rFonts w:eastAsiaTheme="minorHAnsi" w:cs="Arial"/>
          <w:b/>
          <w:i w:val="0"/>
          <w:iCs w:val="0"/>
          <w:color w:val="auto"/>
          <w:sz w:val="20"/>
          <w:szCs w:val="22"/>
          <w:highlight w:val="yellow"/>
          <w:lang w:val="es-ES_tradnl" w:eastAsia="en-US"/>
        </w:rPr>
        <w:instrText xml:space="preserve"> SEQ Tabla \* ARABIC \s 1 </w:instrText>
      </w:r>
      <w:r w:rsidRPr="000B7EA5">
        <w:rPr>
          <w:rFonts w:eastAsiaTheme="minorHAnsi" w:cs="Arial"/>
          <w:b/>
          <w:i w:val="0"/>
          <w:iCs w:val="0"/>
          <w:color w:val="auto"/>
          <w:sz w:val="20"/>
          <w:szCs w:val="22"/>
          <w:highlight w:val="yellow"/>
          <w:lang w:val="es-ES_tradnl" w:eastAsia="en-US"/>
        </w:rPr>
        <w:fldChar w:fldCharType="separate"/>
      </w:r>
      <w:r w:rsidR="00915705">
        <w:rPr>
          <w:rFonts w:eastAsiaTheme="minorHAnsi" w:cs="Arial"/>
          <w:b/>
          <w:i w:val="0"/>
          <w:iCs w:val="0"/>
          <w:noProof/>
          <w:color w:val="auto"/>
          <w:sz w:val="20"/>
          <w:szCs w:val="22"/>
          <w:highlight w:val="yellow"/>
          <w:lang w:val="es-ES_tradnl" w:eastAsia="en-US"/>
        </w:rPr>
        <w:t>5</w:t>
      </w:r>
      <w:r w:rsidRPr="000B7EA5">
        <w:rPr>
          <w:rFonts w:eastAsiaTheme="minorHAnsi" w:cs="Arial"/>
          <w:b/>
          <w:i w:val="0"/>
          <w:iCs w:val="0"/>
          <w:color w:val="auto"/>
          <w:sz w:val="20"/>
          <w:szCs w:val="22"/>
          <w:highlight w:val="yellow"/>
          <w:lang w:val="es-ES_tradnl" w:eastAsia="en-US"/>
        </w:rPr>
        <w:fldChar w:fldCharType="end"/>
      </w:r>
      <w:bookmarkEnd w:id="237"/>
      <w:r w:rsidRPr="000B7EA5">
        <w:rPr>
          <w:rFonts w:eastAsiaTheme="minorHAnsi" w:cs="Arial"/>
          <w:b/>
          <w:i w:val="0"/>
          <w:iCs w:val="0"/>
          <w:color w:val="auto"/>
          <w:sz w:val="20"/>
          <w:szCs w:val="22"/>
          <w:highlight w:val="yellow"/>
          <w:lang w:val="es-ES_tradnl" w:eastAsia="en-US"/>
        </w:rPr>
        <w:t xml:space="preserve"> </w:t>
      </w:r>
      <w:r w:rsidRPr="000B7EA5">
        <w:rPr>
          <w:rFonts w:eastAsiaTheme="minorHAnsi" w:cs="Arial"/>
          <w:i w:val="0"/>
          <w:iCs w:val="0"/>
          <w:color w:val="auto"/>
          <w:sz w:val="20"/>
          <w:szCs w:val="22"/>
          <w:lang w:val="es-ES_tradnl" w:eastAsia="en-US"/>
        </w:rPr>
        <w:t>Costos de transporte por fuente de suministro de GNL a Buenaventura</w:t>
      </w:r>
      <w:bookmarkEnd w:id="238"/>
    </w:p>
    <w:tbl>
      <w:tblPr>
        <w:tblW w:w="9710" w:type="dxa"/>
        <w:jc w:val="center"/>
        <w:shd w:val="clear" w:color="auto" w:fill="FFFFFF" w:themeFill="background1"/>
        <w:tblCellMar>
          <w:left w:w="70" w:type="dxa"/>
          <w:right w:w="70" w:type="dxa"/>
        </w:tblCellMar>
        <w:tblLook w:val="04A0" w:firstRow="1" w:lastRow="0" w:firstColumn="1" w:lastColumn="0" w:noHBand="0" w:noVBand="1"/>
      </w:tblPr>
      <w:tblGrid>
        <w:gridCol w:w="1936"/>
        <w:gridCol w:w="852"/>
        <w:gridCol w:w="1984"/>
        <w:gridCol w:w="992"/>
        <w:gridCol w:w="992"/>
        <w:gridCol w:w="993"/>
        <w:gridCol w:w="754"/>
        <w:gridCol w:w="1207"/>
      </w:tblGrid>
      <w:tr w:rsidR="00914134" w:rsidRPr="000B7EA5" w14:paraId="60DCA5A3" w14:textId="77777777" w:rsidTr="0024531A">
        <w:trPr>
          <w:trHeight w:val="624"/>
          <w:tblHeader/>
          <w:jc w:val="center"/>
        </w:trPr>
        <w:tc>
          <w:tcPr>
            <w:tcW w:w="1936" w:type="dxa"/>
            <w:vMerge w:val="restart"/>
            <w:tcBorders>
              <w:top w:val="single" w:sz="4" w:space="0" w:color="auto"/>
            </w:tcBorders>
            <w:shd w:val="clear" w:color="auto" w:fill="FFFFFF" w:themeFill="background1"/>
            <w:vAlign w:val="center"/>
            <w:hideMark/>
          </w:tcPr>
          <w:p w14:paraId="6C94D6ED" w14:textId="77777777" w:rsidR="00914134" w:rsidRPr="00356BA4" w:rsidRDefault="00914134" w:rsidP="0024531A">
            <w:pPr>
              <w:jc w:val="center"/>
              <w:rPr>
                <w:rFonts w:ascii="Arial" w:eastAsia="Times New Roman" w:hAnsi="Arial" w:cs="Arial"/>
                <w:b/>
                <w:bCs/>
                <w:sz w:val="16"/>
                <w:szCs w:val="16"/>
                <w:lang w:val="es-CO" w:eastAsia="es-CO"/>
              </w:rPr>
            </w:pPr>
            <w:r w:rsidRPr="00356BA4">
              <w:rPr>
                <w:rFonts w:ascii="Arial" w:eastAsia="Times New Roman" w:hAnsi="Arial" w:cs="Arial"/>
                <w:b/>
                <w:bCs/>
                <w:sz w:val="16"/>
                <w:szCs w:val="16"/>
                <w:lang w:val="es-CO" w:eastAsia="es-CO"/>
              </w:rPr>
              <w:t>Origen</w:t>
            </w:r>
          </w:p>
        </w:tc>
        <w:tc>
          <w:tcPr>
            <w:tcW w:w="852" w:type="dxa"/>
            <w:vMerge w:val="restart"/>
            <w:tcBorders>
              <w:top w:val="single" w:sz="4" w:space="0" w:color="auto"/>
            </w:tcBorders>
            <w:shd w:val="clear" w:color="auto" w:fill="FFFFFF" w:themeFill="background1"/>
            <w:vAlign w:val="center"/>
            <w:hideMark/>
          </w:tcPr>
          <w:p w14:paraId="25063C4F" w14:textId="77777777" w:rsidR="00914134" w:rsidRPr="00356BA4" w:rsidRDefault="00914134" w:rsidP="0024531A">
            <w:pPr>
              <w:jc w:val="center"/>
              <w:rPr>
                <w:rFonts w:ascii="Arial" w:hAnsi="Arial" w:cs="Arial"/>
                <w:b/>
                <w:bCs/>
                <w:sz w:val="16"/>
                <w:szCs w:val="16"/>
                <w:lang w:eastAsia="es-CO"/>
              </w:rPr>
            </w:pPr>
            <w:r w:rsidRPr="00356BA4">
              <w:rPr>
                <w:rFonts w:ascii="Arial" w:hAnsi="Arial" w:cs="Arial"/>
                <w:b/>
                <w:bCs/>
                <w:sz w:val="16"/>
                <w:szCs w:val="16"/>
                <w:lang w:eastAsia="es-CO"/>
              </w:rPr>
              <w:t>Países</w:t>
            </w:r>
          </w:p>
        </w:tc>
        <w:tc>
          <w:tcPr>
            <w:tcW w:w="1984" w:type="dxa"/>
            <w:vMerge w:val="restart"/>
            <w:tcBorders>
              <w:top w:val="single" w:sz="4" w:space="0" w:color="auto"/>
            </w:tcBorders>
            <w:shd w:val="clear" w:color="auto" w:fill="FFFFFF" w:themeFill="background1"/>
            <w:vAlign w:val="center"/>
            <w:hideMark/>
          </w:tcPr>
          <w:p w14:paraId="7B446010" w14:textId="77777777" w:rsidR="00914134" w:rsidRPr="00356BA4" w:rsidRDefault="00914134" w:rsidP="0024531A">
            <w:pPr>
              <w:jc w:val="center"/>
              <w:rPr>
                <w:rFonts w:ascii="Arial" w:hAnsi="Arial" w:cs="Arial"/>
                <w:b/>
                <w:bCs/>
                <w:sz w:val="16"/>
                <w:szCs w:val="16"/>
                <w:lang w:eastAsia="es-CO"/>
              </w:rPr>
            </w:pPr>
            <w:r w:rsidRPr="00356BA4">
              <w:rPr>
                <w:rFonts w:ascii="Arial" w:hAnsi="Arial" w:cs="Arial"/>
                <w:b/>
                <w:bCs/>
                <w:sz w:val="16"/>
                <w:szCs w:val="16"/>
                <w:lang w:eastAsia="es-CO"/>
              </w:rPr>
              <w:t>Plantas de Licuefacción</w:t>
            </w:r>
          </w:p>
        </w:tc>
        <w:tc>
          <w:tcPr>
            <w:tcW w:w="992" w:type="dxa"/>
            <w:vMerge w:val="restart"/>
            <w:tcBorders>
              <w:top w:val="single" w:sz="4" w:space="0" w:color="auto"/>
            </w:tcBorders>
            <w:shd w:val="clear" w:color="auto" w:fill="FFFFFF" w:themeFill="background1"/>
            <w:vAlign w:val="center"/>
            <w:hideMark/>
          </w:tcPr>
          <w:p w14:paraId="09263CF4" w14:textId="77777777" w:rsidR="00914134" w:rsidRPr="00356BA4" w:rsidRDefault="00914134" w:rsidP="0024531A">
            <w:pPr>
              <w:jc w:val="center"/>
              <w:rPr>
                <w:rFonts w:ascii="Arial" w:hAnsi="Arial" w:cs="Arial"/>
                <w:b/>
                <w:bCs/>
                <w:sz w:val="16"/>
                <w:szCs w:val="16"/>
                <w:lang w:eastAsia="es-CO"/>
              </w:rPr>
            </w:pPr>
            <w:r w:rsidRPr="00356BA4">
              <w:rPr>
                <w:rFonts w:ascii="Arial" w:hAnsi="Arial" w:cs="Arial"/>
                <w:b/>
                <w:bCs/>
                <w:sz w:val="16"/>
                <w:szCs w:val="16"/>
                <w:lang w:eastAsia="es-CO"/>
              </w:rPr>
              <w:t>Distancia (km)</w:t>
            </w:r>
          </w:p>
        </w:tc>
        <w:tc>
          <w:tcPr>
            <w:tcW w:w="992" w:type="dxa"/>
            <w:vMerge w:val="restart"/>
            <w:tcBorders>
              <w:top w:val="single" w:sz="4" w:space="0" w:color="auto"/>
            </w:tcBorders>
            <w:shd w:val="clear" w:color="auto" w:fill="FFFFFF" w:themeFill="background1"/>
            <w:vAlign w:val="center"/>
            <w:hideMark/>
          </w:tcPr>
          <w:p w14:paraId="1AFD08ED" w14:textId="77777777" w:rsidR="00914134" w:rsidRPr="00356BA4" w:rsidRDefault="00914134" w:rsidP="0024531A">
            <w:pPr>
              <w:jc w:val="center"/>
              <w:rPr>
                <w:rFonts w:ascii="Arial" w:hAnsi="Arial" w:cs="Arial"/>
                <w:b/>
                <w:bCs/>
                <w:sz w:val="16"/>
                <w:szCs w:val="16"/>
                <w:lang w:eastAsia="es-CO"/>
              </w:rPr>
            </w:pPr>
            <w:r w:rsidRPr="00356BA4">
              <w:rPr>
                <w:rFonts w:ascii="Arial" w:hAnsi="Arial" w:cs="Arial"/>
                <w:b/>
                <w:bCs/>
                <w:sz w:val="16"/>
                <w:szCs w:val="16"/>
                <w:lang w:eastAsia="es-CO"/>
              </w:rPr>
              <w:t>Días</w:t>
            </w:r>
            <w:r w:rsidRPr="00356BA4">
              <w:rPr>
                <w:rFonts w:ascii="Arial" w:hAnsi="Arial" w:cs="Arial"/>
                <w:b/>
                <w:bCs/>
                <w:sz w:val="16"/>
                <w:szCs w:val="16"/>
                <w:lang w:eastAsia="es-CO"/>
              </w:rPr>
              <w:br/>
              <w:t>(Ida, vuelta y estadía)</w:t>
            </w:r>
          </w:p>
        </w:tc>
        <w:tc>
          <w:tcPr>
            <w:tcW w:w="993" w:type="dxa"/>
            <w:vMerge w:val="restart"/>
            <w:tcBorders>
              <w:top w:val="single" w:sz="4" w:space="0" w:color="auto"/>
            </w:tcBorders>
            <w:shd w:val="clear" w:color="auto" w:fill="FFFFFF" w:themeFill="background1"/>
            <w:vAlign w:val="center"/>
            <w:hideMark/>
          </w:tcPr>
          <w:p w14:paraId="784C2CFC" w14:textId="5FF56F6C" w:rsidR="00914134" w:rsidRPr="00356BA4" w:rsidRDefault="003529F4" w:rsidP="0024531A">
            <w:pPr>
              <w:jc w:val="center"/>
              <w:rPr>
                <w:rFonts w:ascii="Arial" w:hAnsi="Arial" w:cs="Arial"/>
                <w:b/>
                <w:bCs/>
                <w:sz w:val="16"/>
                <w:szCs w:val="16"/>
                <w:lang w:eastAsia="es-CO"/>
              </w:rPr>
            </w:pPr>
            <w:r>
              <w:rPr>
                <w:rFonts w:ascii="Arial" w:hAnsi="Arial" w:cs="Arial"/>
                <w:b/>
                <w:bCs/>
                <w:sz w:val="16"/>
                <w:szCs w:val="16"/>
                <w:lang w:eastAsia="es-CO"/>
              </w:rPr>
              <w:t>Costo por Perdida</w:t>
            </w:r>
            <w:r>
              <w:rPr>
                <w:rFonts w:ascii="Arial" w:hAnsi="Arial" w:cs="Arial"/>
                <w:b/>
                <w:bCs/>
                <w:sz w:val="16"/>
                <w:szCs w:val="16"/>
                <w:lang w:eastAsia="es-CO"/>
              </w:rPr>
              <w:br/>
              <w:t>($/</w:t>
            </w:r>
            <w:r w:rsidR="00914134" w:rsidRPr="00356BA4">
              <w:rPr>
                <w:rFonts w:ascii="Arial" w:hAnsi="Arial" w:cs="Arial"/>
                <w:b/>
                <w:bCs/>
                <w:sz w:val="16"/>
                <w:szCs w:val="16"/>
                <w:lang w:eastAsia="es-CO"/>
              </w:rPr>
              <w:t>M</w:t>
            </w:r>
            <w:r w:rsidR="004203C6">
              <w:rPr>
                <w:rFonts w:ascii="Arial" w:hAnsi="Arial" w:cs="Arial"/>
                <w:b/>
                <w:bCs/>
                <w:sz w:val="16"/>
                <w:szCs w:val="16"/>
                <w:lang w:eastAsia="es-CO"/>
              </w:rPr>
              <w:t>M</w:t>
            </w:r>
            <w:r w:rsidR="00914134" w:rsidRPr="00356BA4">
              <w:rPr>
                <w:rFonts w:ascii="Arial" w:hAnsi="Arial" w:cs="Arial"/>
                <w:b/>
                <w:bCs/>
                <w:sz w:val="16"/>
                <w:szCs w:val="16"/>
                <w:lang w:eastAsia="es-CO"/>
              </w:rPr>
              <w:t>BTU)</w:t>
            </w:r>
          </w:p>
        </w:tc>
        <w:tc>
          <w:tcPr>
            <w:tcW w:w="754" w:type="dxa"/>
            <w:vMerge w:val="restart"/>
            <w:tcBorders>
              <w:top w:val="single" w:sz="4" w:space="0" w:color="auto"/>
            </w:tcBorders>
            <w:shd w:val="clear" w:color="auto" w:fill="FFFFFF" w:themeFill="background1"/>
            <w:vAlign w:val="center"/>
            <w:hideMark/>
          </w:tcPr>
          <w:p w14:paraId="1D66A4ED" w14:textId="77777777" w:rsidR="00914134" w:rsidRPr="00356BA4" w:rsidRDefault="00914134" w:rsidP="0024531A">
            <w:pPr>
              <w:jc w:val="center"/>
              <w:rPr>
                <w:rFonts w:ascii="Arial" w:hAnsi="Arial" w:cs="Arial"/>
                <w:b/>
                <w:bCs/>
                <w:sz w:val="16"/>
                <w:szCs w:val="16"/>
                <w:lang w:eastAsia="es-CO"/>
              </w:rPr>
            </w:pPr>
            <w:r w:rsidRPr="00356BA4">
              <w:rPr>
                <w:rFonts w:ascii="Arial" w:hAnsi="Arial" w:cs="Arial"/>
                <w:b/>
                <w:bCs/>
                <w:sz w:val="16"/>
                <w:szCs w:val="16"/>
                <w:lang w:eastAsia="es-CO"/>
              </w:rPr>
              <w:t>Paso por Canal de Panamá</w:t>
            </w:r>
          </w:p>
        </w:tc>
        <w:tc>
          <w:tcPr>
            <w:tcW w:w="1207" w:type="dxa"/>
            <w:vMerge w:val="restart"/>
            <w:tcBorders>
              <w:top w:val="single" w:sz="4" w:space="0" w:color="auto"/>
            </w:tcBorders>
            <w:shd w:val="clear" w:color="auto" w:fill="FFFFFF" w:themeFill="background1"/>
            <w:vAlign w:val="center"/>
            <w:hideMark/>
          </w:tcPr>
          <w:p w14:paraId="05D1E8CD" w14:textId="7053F546" w:rsidR="00914134" w:rsidRPr="00356BA4" w:rsidRDefault="003529F4" w:rsidP="0024531A">
            <w:pPr>
              <w:jc w:val="center"/>
              <w:rPr>
                <w:rFonts w:ascii="Arial" w:hAnsi="Arial" w:cs="Arial"/>
                <w:b/>
                <w:bCs/>
                <w:sz w:val="16"/>
                <w:szCs w:val="16"/>
                <w:lang w:eastAsia="es-CO"/>
              </w:rPr>
            </w:pPr>
            <w:r>
              <w:rPr>
                <w:rFonts w:ascii="Arial" w:hAnsi="Arial" w:cs="Arial"/>
                <w:b/>
                <w:bCs/>
                <w:sz w:val="16"/>
                <w:szCs w:val="16"/>
                <w:lang w:eastAsia="es-CO"/>
              </w:rPr>
              <w:t>Costo Buenaventura ($/</w:t>
            </w:r>
            <w:r w:rsidR="00914134" w:rsidRPr="00356BA4">
              <w:rPr>
                <w:rFonts w:ascii="Arial" w:hAnsi="Arial" w:cs="Arial"/>
                <w:b/>
                <w:bCs/>
                <w:sz w:val="16"/>
                <w:szCs w:val="16"/>
                <w:lang w:eastAsia="es-CO"/>
              </w:rPr>
              <w:t>M</w:t>
            </w:r>
            <w:r w:rsidR="004203C6">
              <w:rPr>
                <w:rFonts w:ascii="Arial" w:hAnsi="Arial" w:cs="Arial"/>
                <w:b/>
                <w:bCs/>
                <w:sz w:val="16"/>
                <w:szCs w:val="16"/>
                <w:lang w:eastAsia="es-CO"/>
              </w:rPr>
              <w:t>M</w:t>
            </w:r>
            <w:r w:rsidR="00914134" w:rsidRPr="00356BA4">
              <w:rPr>
                <w:rFonts w:ascii="Arial" w:hAnsi="Arial" w:cs="Arial"/>
                <w:b/>
                <w:bCs/>
                <w:sz w:val="16"/>
                <w:szCs w:val="16"/>
                <w:lang w:eastAsia="es-CO"/>
              </w:rPr>
              <w:t>BTU)</w:t>
            </w:r>
          </w:p>
        </w:tc>
      </w:tr>
      <w:tr w:rsidR="00914134" w:rsidRPr="00C82FF1" w14:paraId="106DEB87" w14:textId="77777777" w:rsidTr="0024531A">
        <w:trPr>
          <w:trHeight w:val="476"/>
          <w:jc w:val="center"/>
        </w:trPr>
        <w:tc>
          <w:tcPr>
            <w:tcW w:w="1936" w:type="dxa"/>
            <w:vMerge/>
            <w:tcBorders>
              <w:bottom w:val="single" w:sz="4" w:space="0" w:color="auto"/>
            </w:tcBorders>
            <w:shd w:val="clear" w:color="auto" w:fill="FFFFFF" w:themeFill="background1"/>
            <w:vAlign w:val="center"/>
            <w:hideMark/>
          </w:tcPr>
          <w:p w14:paraId="0BCB3BA7" w14:textId="77777777" w:rsidR="00914134" w:rsidRPr="00356BA4" w:rsidRDefault="00914134" w:rsidP="0024531A">
            <w:pPr>
              <w:rPr>
                <w:rFonts w:ascii="Arial" w:hAnsi="Arial" w:cs="Arial"/>
                <w:b/>
                <w:bCs/>
                <w:color w:val="FFFFFF"/>
                <w:sz w:val="16"/>
                <w:szCs w:val="16"/>
                <w:lang w:eastAsia="es-CO"/>
              </w:rPr>
            </w:pPr>
          </w:p>
        </w:tc>
        <w:tc>
          <w:tcPr>
            <w:tcW w:w="852" w:type="dxa"/>
            <w:vMerge/>
            <w:tcBorders>
              <w:bottom w:val="single" w:sz="4" w:space="0" w:color="auto"/>
            </w:tcBorders>
            <w:shd w:val="clear" w:color="auto" w:fill="FFFFFF" w:themeFill="background1"/>
            <w:vAlign w:val="center"/>
            <w:hideMark/>
          </w:tcPr>
          <w:p w14:paraId="0EBC3C8E" w14:textId="77777777" w:rsidR="00914134" w:rsidRPr="00356BA4" w:rsidRDefault="00914134" w:rsidP="0024531A">
            <w:pPr>
              <w:rPr>
                <w:rFonts w:ascii="Arial" w:hAnsi="Arial" w:cs="Arial"/>
                <w:b/>
                <w:bCs/>
                <w:color w:val="FFFFFF"/>
                <w:sz w:val="16"/>
                <w:szCs w:val="16"/>
                <w:lang w:eastAsia="es-CO"/>
              </w:rPr>
            </w:pPr>
          </w:p>
        </w:tc>
        <w:tc>
          <w:tcPr>
            <w:tcW w:w="1984" w:type="dxa"/>
            <w:vMerge/>
            <w:tcBorders>
              <w:bottom w:val="single" w:sz="4" w:space="0" w:color="auto"/>
            </w:tcBorders>
            <w:shd w:val="clear" w:color="auto" w:fill="FFFFFF" w:themeFill="background1"/>
            <w:vAlign w:val="center"/>
            <w:hideMark/>
          </w:tcPr>
          <w:p w14:paraId="666BC09E" w14:textId="77777777" w:rsidR="00914134" w:rsidRPr="00356BA4" w:rsidRDefault="00914134" w:rsidP="0024531A">
            <w:pPr>
              <w:rPr>
                <w:rFonts w:ascii="Arial" w:hAnsi="Arial" w:cs="Arial"/>
                <w:b/>
                <w:bCs/>
                <w:color w:val="FFFFFF"/>
                <w:sz w:val="16"/>
                <w:szCs w:val="16"/>
                <w:lang w:eastAsia="es-CO"/>
              </w:rPr>
            </w:pPr>
          </w:p>
        </w:tc>
        <w:tc>
          <w:tcPr>
            <w:tcW w:w="992" w:type="dxa"/>
            <w:vMerge/>
            <w:tcBorders>
              <w:bottom w:val="single" w:sz="4" w:space="0" w:color="auto"/>
            </w:tcBorders>
            <w:shd w:val="clear" w:color="auto" w:fill="FFFFFF" w:themeFill="background1"/>
            <w:vAlign w:val="center"/>
            <w:hideMark/>
          </w:tcPr>
          <w:p w14:paraId="4EC94D9B" w14:textId="77777777" w:rsidR="00914134" w:rsidRPr="00356BA4" w:rsidRDefault="00914134" w:rsidP="0024531A">
            <w:pPr>
              <w:rPr>
                <w:rFonts w:ascii="Arial" w:hAnsi="Arial" w:cs="Arial"/>
                <w:b/>
                <w:bCs/>
                <w:color w:val="FFFFFF"/>
                <w:sz w:val="16"/>
                <w:szCs w:val="16"/>
                <w:lang w:eastAsia="es-CO"/>
              </w:rPr>
            </w:pPr>
          </w:p>
        </w:tc>
        <w:tc>
          <w:tcPr>
            <w:tcW w:w="992" w:type="dxa"/>
            <w:vMerge/>
            <w:tcBorders>
              <w:bottom w:val="single" w:sz="4" w:space="0" w:color="auto"/>
            </w:tcBorders>
            <w:shd w:val="clear" w:color="auto" w:fill="FFFFFF" w:themeFill="background1"/>
            <w:vAlign w:val="center"/>
            <w:hideMark/>
          </w:tcPr>
          <w:p w14:paraId="1BB315D8" w14:textId="77777777" w:rsidR="00914134" w:rsidRPr="00356BA4" w:rsidRDefault="00914134" w:rsidP="0024531A">
            <w:pPr>
              <w:rPr>
                <w:rFonts w:ascii="Arial" w:hAnsi="Arial" w:cs="Arial"/>
                <w:b/>
                <w:bCs/>
                <w:color w:val="FFFFFF"/>
                <w:sz w:val="16"/>
                <w:szCs w:val="16"/>
                <w:lang w:eastAsia="es-CO"/>
              </w:rPr>
            </w:pPr>
          </w:p>
        </w:tc>
        <w:tc>
          <w:tcPr>
            <w:tcW w:w="993" w:type="dxa"/>
            <w:vMerge/>
            <w:tcBorders>
              <w:bottom w:val="single" w:sz="4" w:space="0" w:color="auto"/>
            </w:tcBorders>
            <w:shd w:val="clear" w:color="auto" w:fill="FFFFFF" w:themeFill="background1"/>
            <w:vAlign w:val="center"/>
            <w:hideMark/>
          </w:tcPr>
          <w:p w14:paraId="4059AD7A" w14:textId="77777777" w:rsidR="00914134" w:rsidRPr="00356BA4" w:rsidRDefault="00914134" w:rsidP="0024531A">
            <w:pPr>
              <w:rPr>
                <w:rFonts w:ascii="Arial" w:hAnsi="Arial" w:cs="Arial"/>
                <w:b/>
                <w:bCs/>
                <w:color w:val="FFFFFF"/>
                <w:sz w:val="16"/>
                <w:szCs w:val="16"/>
                <w:lang w:eastAsia="es-CO"/>
              </w:rPr>
            </w:pPr>
          </w:p>
        </w:tc>
        <w:tc>
          <w:tcPr>
            <w:tcW w:w="754" w:type="dxa"/>
            <w:vMerge/>
            <w:tcBorders>
              <w:bottom w:val="single" w:sz="4" w:space="0" w:color="auto"/>
            </w:tcBorders>
            <w:shd w:val="clear" w:color="auto" w:fill="FFFFFF" w:themeFill="background1"/>
            <w:vAlign w:val="center"/>
            <w:hideMark/>
          </w:tcPr>
          <w:p w14:paraId="4B60E907" w14:textId="77777777" w:rsidR="00914134" w:rsidRPr="00356BA4" w:rsidRDefault="00914134" w:rsidP="0024531A">
            <w:pPr>
              <w:rPr>
                <w:rFonts w:ascii="Arial" w:hAnsi="Arial" w:cs="Arial"/>
                <w:b/>
                <w:bCs/>
                <w:color w:val="FFFFFF"/>
                <w:sz w:val="16"/>
                <w:szCs w:val="16"/>
                <w:lang w:eastAsia="es-CO"/>
              </w:rPr>
            </w:pPr>
          </w:p>
        </w:tc>
        <w:tc>
          <w:tcPr>
            <w:tcW w:w="1207" w:type="dxa"/>
            <w:vMerge/>
            <w:tcBorders>
              <w:bottom w:val="single" w:sz="4" w:space="0" w:color="auto"/>
            </w:tcBorders>
            <w:shd w:val="clear" w:color="auto" w:fill="FFFFFF" w:themeFill="background1"/>
            <w:vAlign w:val="center"/>
            <w:hideMark/>
          </w:tcPr>
          <w:p w14:paraId="5FD884DD" w14:textId="77777777" w:rsidR="00914134" w:rsidRPr="00356BA4" w:rsidRDefault="00914134" w:rsidP="0024531A">
            <w:pPr>
              <w:rPr>
                <w:rFonts w:ascii="Arial" w:hAnsi="Arial" w:cs="Arial"/>
                <w:b/>
                <w:bCs/>
                <w:color w:val="FFFFFF"/>
                <w:sz w:val="16"/>
                <w:szCs w:val="16"/>
                <w:lang w:eastAsia="es-CO"/>
              </w:rPr>
            </w:pPr>
          </w:p>
        </w:tc>
      </w:tr>
      <w:tr w:rsidR="003529F4" w:rsidRPr="00C82FF1" w14:paraId="367F3C93" w14:textId="77777777" w:rsidTr="003C5802">
        <w:trPr>
          <w:trHeight w:val="340"/>
          <w:jc w:val="center"/>
        </w:trPr>
        <w:tc>
          <w:tcPr>
            <w:tcW w:w="1936" w:type="dxa"/>
            <w:tcBorders>
              <w:top w:val="single" w:sz="4" w:space="0" w:color="auto"/>
              <w:bottom w:val="single" w:sz="4" w:space="0" w:color="auto"/>
            </w:tcBorders>
            <w:shd w:val="clear" w:color="auto" w:fill="FFFFFF" w:themeFill="background1"/>
            <w:noWrap/>
            <w:vAlign w:val="center"/>
            <w:hideMark/>
          </w:tcPr>
          <w:p w14:paraId="63F15A54" w14:textId="77777777" w:rsidR="003529F4" w:rsidRPr="00356BA4" w:rsidRDefault="003529F4" w:rsidP="003529F4">
            <w:pPr>
              <w:jc w:val="center"/>
              <w:rPr>
                <w:rFonts w:ascii="Arial" w:hAnsi="Arial" w:cs="Arial"/>
                <w:color w:val="000000"/>
                <w:sz w:val="16"/>
                <w:szCs w:val="16"/>
                <w:lang w:eastAsia="es-CO"/>
              </w:rPr>
            </w:pPr>
            <w:r w:rsidRPr="00356BA4">
              <w:rPr>
                <w:rFonts w:ascii="Arial" w:hAnsi="Arial" w:cs="Arial"/>
                <w:color w:val="000000"/>
                <w:sz w:val="16"/>
                <w:szCs w:val="16"/>
                <w:lang w:eastAsia="es-CO"/>
              </w:rPr>
              <w:t>América del Norte</w:t>
            </w:r>
          </w:p>
        </w:tc>
        <w:tc>
          <w:tcPr>
            <w:tcW w:w="852" w:type="dxa"/>
            <w:tcBorders>
              <w:top w:val="single" w:sz="4" w:space="0" w:color="auto"/>
              <w:bottom w:val="single" w:sz="4" w:space="0" w:color="auto"/>
            </w:tcBorders>
            <w:shd w:val="clear" w:color="auto" w:fill="FFFFFF" w:themeFill="background1"/>
            <w:noWrap/>
            <w:vAlign w:val="center"/>
            <w:hideMark/>
          </w:tcPr>
          <w:p w14:paraId="3D2342E0" w14:textId="77777777" w:rsidR="003529F4" w:rsidRPr="00356BA4" w:rsidRDefault="003529F4" w:rsidP="003529F4">
            <w:pPr>
              <w:jc w:val="center"/>
              <w:rPr>
                <w:rFonts w:ascii="Arial" w:hAnsi="Arial" w:cs="Arial"/>
                <w:color w:val="000000"/>
                <w:sz w:val="16"/>
                <w:szCs w:val="16"/>
                <w:lang w:eastAsia="es-CO"/>
              </w:rPr>
            </w:pPr>
            <w:r w:rsidRPr="00356BA4">
              <w:rPr>
                <w:rFonts w:ascii="Arial" w:hAnsi="Arial" w:cs="Arial"/>
                <w:color w:val="000000"/>
                <w:sz w:val="16"/>
                <w:szCs w:val="16"/>
                <w:lang w:eastAsia="es-CO"/>
              </w:rPr>
              <w:t>USA</w:t>
            </w:r>
          </w:p>
        </w:tc>
        <w:tc>
          <w:tcPr>
            <w:tcW w:w="1984" w:type="dxa"/>
            <w:tcBorders>
              <w:top w:val="single" w:sz="4" w:space="0" w:color="auto"/>
              <w:bottom w:val="single" w:sz="4" w:space="0" w:color="auto"/>
            </w:tcBorders>
            <w:shd w:val="clear" w:color="auto" w:fill="FFFFFF" w:themeFill="background1"/>
            <w:noWrap/>
            <w:vAlign w:val="center"/>
            <w:hideMark/>
          </w:tcPr>
          <w:p w14:paraId="0CC9569B" w14:textId="77777777" w:rsidR="003529F4" w:rsidRPr="00356BA4" w:rsidRDefault="003529F4" w:rsidP="003529F4">
            <w:pPr>
              <w:jc w:val="center"/>
              <w:rPr>
                <w:rFonts w:ascii="Arial" w:hAnsi="Arial" w:cs="Arial"/>
                <w:color w:val="000000"/>
                <w:sz w:val="16"/>
                <w:szCs w:val="16"/>
                <w:lang w:eastAsia="es-CO"/>
              </w:rPr>
            </w:pPr>
            <w:r w:rsidRPr="00356BA4">
              <w:rPr>
                <w:rFonts w:ascii="Arial" w:hAnsi="Arial" w:cs="Arial"/>
                <w:color w:val="000000"/>
                <w:sz w:val="16"/>
                <w:szCs w:val="16"/>
                <w:lang w:eastAsia="es-CO"/>
              </w:rPr>
              <w:t>Sabine Pass</w:t>
            </w:r>
          </w:p>
        </w:tc>
        <w:tc>
          <w:tcPr>
            <w:tcW w:w="992" w:type="dxa"/>
            <w:tcBorders>
              <w:top w:val="single" w:sz="4" w:space="0" w:color="auto"/>
              <w:bottom w:val="single" w:sz="4" w:space="0" w:color="auto"/>
            </w:tcBorders>
            <w:shd w:val="clear" w:color="auto" w:fill="FFFFFF" w:themeFill="background1"/>
            <w:noWrap/>
            <w:vAlign w:val="center"/>
            <w:hideMark/>
          </w:tcPr>
          <w:p w14:paraId="230C39DF" w14:textId="1011A871"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3426</w:t>
            </w:r>
          </w:p>
        </w:tc>
        <w:tc>
          <w:tcPr>
            <w:tcW w:w="992" w:type="dxa"/>
            <w:tcBorders>
              <w:top w:val="single" w:sz="4" w:space="0" w:color="auto"/>
              <w:bottom w:val="single" w:sz="4" w:space="0" w:color="auto"/>
            </w:tcBorders>
            <w:shd w:val="clear" w:color="auto" w:fill="FFFFFF" w:themeFill="background1"/>
            <w:noWrap/>
            <w:vAlign w:val="center"/>
            <w:hideMark/>
          </w:tcPr>
          <w:p w14:paraId="2714F761" w14:textId="65A23D5E"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17</w:t>
            </w:r>
          </w:p>
        </w:tc>
        <w:tc>
          <w:tcPr>
            <w:tcW w:w="993" w:type="dxa"/>
            <w:tcBorders>
              <w:top w:val="single" w:sz="4" w:space="0" w:color="auto"/>
              <w:bottom w:val="single" w:sz="4" w:space="0" w:color="auto"/>
            </w:tcBorders>
            <w:shd w:val="clear" w:color="auto" w:fill="FFFFFF" w:themeFill="background1"/>
            <w:noWrap/>
            <w:vAlign w:val="center"/>
            <w:hideMark/>
          </w:tcPr>
          <w:p w14:paraId="6A631622" w14:textId="47C8D419"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$ 0.01</w:t>
            </w:r>
          </w:p>
        </w:tc>
        <w:tc>
          <w:tcPr>
            <w:tcW w:w="754" w:type="dxa"/>
            <w:tcBorders>
              <w:top w:val="single" w:sz="4" w:space="0" w:color="auto"/>
              <w:bottom w:val="single" w:sz="4" w:space="0" w:color="auto"/>
            </w:tcBorders>
            <w:shd w:val="clear" w:color="auto" w:fill="FFFFFF" w:themeFill="background1"/>
            <w:noWrap/>
            <w:vAlign w:val="center"/>
            <w:hideMark/>
          </w:tcPr>
          <w:p w14:paraId="765504A5" w14:textId="35A90802"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$ 0.11</w:t>
            </w:r>
          </w:p>
        </w:tc>
        <w:tc>
          <w:tcPr>
            <w:tcW w:w="1207" w:type="dxa"/>
            <w:tcBorders>
              <w:top w:val="single" w:sz="4" w:space="0" w:color="auto"/>
              <w:bottom w:val="single" w:sz="4" w:space="0" w:color="auto"/>
            </w:tcBorders>
            <w:shd w:val="clear" w:color="auto" w:fill="FFFFFF" w:themeFill="background1"/>
            <w:noWrap/>
            <w:vAlign w:val="center"/>
            <w:hideMark/>
          </w:tcPr>
          <w:p w14:paraId="36A0162B" w14:textId="4674AAA0"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$ 0.28</w:t>
            </w:r>
          </w:p>
        </w:tc>
      </w:tr>
      <w:tr w:rsidR="003529F4" w:rsidRPr="00C82FF1" w14:paraId="4CC7E186" w14:textId="77777777" w:rsidTr="003C5802">
        <w:trPr>
          <w:trHeight w:val="340"/>
          <w:jc w:val="center"/>
        </w:trPr>
        <w:tc>
          <w:tcPr>
            <w:tcW w:w="1936" w:type="dxa"/>
            <w:vMerge w:val="restart"/>
            <w:tcBorders>
              <w:top w:val="single" w:sz="4" w:space="0" w:color="auto"/>
            </w:tcBorders>
            <w:shd w:val="clear" w:color="auto" w:fill="FFFFFF" w:themeFill="background1"/>
            <w:noWrap/>
            <w:vAlign w:val="center"/>
            <w:hideMark/>
          </w:tcPr>
          <w:p w14:paraId="4A439BC8" w14:textId="77777777" w:rsidR="003529F4" w:rsidRPr="00356BA4" w:rsidRDefault="003529F4" w:rsidP="003529F4">
            <w:pPr>
              <w:jc w:val="center"/>
              <w:rPr>
                <w:rFonts w:ascii="Arial" w:hAnsi="Arial" w:cs="Arial"/>
                <w:color w:val="000000"/>
                <w:sz w:val="16"/>
                <w:szCs w:val="16"/>
                <w:lang w:eastAsia="es-CO"/>
              </w:rPr>
            </w:pPr>
            <w:r w:rsidRPr="00356BA4">
              <w:rPr>
                <w:rFonts w:ascii="Arial" w:hAnsi="Arial" w:cs="Arial"/>
                <w:color w:val="000000"/>
                <w:sz w:val="16"/>
                <w:szCs w:val="16"/>
                <w:lang w:eastAsia="es-CO"/>
              </w:rPr>
              <w:t>América del Sur</w:t>
            </w:r>
          </w:p>
        </w:tc>
        <w:tc>
          <w:tcPr>
            <w:tcW w:w="852" w:type="dxa"/>
            <w:tcBorders>
              <w:top w:val="single" w:sz="4" w:space="0" w:color="auto"/>
              <w:bottom w:val="dotted" w:sz="4" w:space="0" w:color="auto"/>
            </w:tcBorders>
            <w:shd w:val="clear" w:color="auto" w:fill="FFFFFF" w:themeFill="background1"/>
            <w:vAlign w:val="center"/>
            <w:hideMark/>
          </w:tcPr>
          <w:p w14:paraId="1EBC3355"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Trinidad y Tobago </w:t>
            </w:r>
          </w:p>
        </w:tc>
        <w:tc>
          <w:tcPr>
            <w:tcW w:w="1984" w:type="dxa"/>
            <w:tcBorders>
              <w:top w:val="single" w:sz="4" w:space="0" w:color="auto"/>
              <w:bottom w:val="dotted" w:sz="4" w:space="0" w:color="auto"/>
            </w:tcBorders>
            <w:shd w:val="clear" w:color="auto" w:fill="FFFFFF" w:themeFill="background1"/>
            <w:vAlign w:val="center"/>
            <w:hideMark/>
          </w:tcPr>
          <w:p w14:paraId="3509F808"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Point Fortin </w:t>
            </w:r>
          </w:p>
        </w:tc>
        <w:tc>
          <w:tcPr>
            <w:tcW w:w="992" w:type="dxa"/>
            <w:tcBorders>
              <w:top w:val="single" w:sz="4" w:space="0" w:color="auto"/>
              <w:bottom w:val="dotted" w:sz="4" w:space="0" w:color="auto"/>
            </w:tcBorders>
            <w:shd w:val="clear" w:color="auto" w:fill="FFFFFF" w:themeFill="background1"/>
            <w:noWrap/>
            <w:vAlign w:val="center"/>
            <w:hideMark/>
          </w:tcPr>
          <w:p w14:paraId="5A7D0E91" w14:textId="5BE6B6EB"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2841</w:t>
            </w:r>
          </w:p>
        </w:tc>
        <w:tc>
          <w:tcPr>
            <w:tcW w:w="992" w:type="dxa"/>
            <w:tcBorders>
              <w:top w:val="single" w:sz="4" w:space="0" w:color="auto"/>
              <w:bottom w:val="dotted" w:sz="4" w:space="0" w:color="auto"/>
            </w:tcBorders>
            <w:shd w:val="clear" w:color="auto" w:fill="FFFFFF" w:themeFill="background1"/>
            <w:noWrap/>
            <w:vAlign w:val="center"/>
            <w:hideMark/>
          </w:tcPr>
          <w:p w14:paraId="0AA4AB58" w14:textId="0DC8C694"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16</w:t>
            </w:r>
          </w:p>
        </w:tc>
        <w:tc>
          <w:tcPr>
            <w:tcW w:w="993" w:type="dxa"/>
            <w:tcBorders>
              <w:top w:val="single" w:sz="4" w:space="0" w:color="auto"/>
              <w:bottom w:val="dotted" w:sz="4" w:space="0" w:color="auto"/>
            </w:tcBorders>
            <w:shd w:val="clear" w:color="auto" w:fill="FFFFFF" w:themeFill="background1"/>
            <w:noWrap/>
            <w:vAlign w:val="center"/>
            <w:hideMark/>
          </w:tcPr>
          <w:p w14:paraId="6A4DFA33" w14:textId="3736BF75"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$ 0.01</w:t>
            </w:r>
          </w:p>
        </w:tc>
        <w:tc>
          <w:tcPr>
            <w:tcW w:w="754" w:type="dxa"/>
            <w:tcBorders>
              <w:top w:val="single" w:sz="4" w:space="0" w:color="auto"/>
              <w:bottom w:val="dotted" w:sz="4" w:space="0" w:color="auto"/>
            </w:tcBorders>
            <w:shd w:val="clear" w:color="auto" w:fill="FFFFFF" w:themeFill="background1"/>
            <w:noWrap/>
            <w:vAlign w:val="center"/>
            <w:hideMark/>
          </w:tcPr>
          <w:p w14:paraId="4C846F50" w14:textId="3ADA333B"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$ 0.11</w:t>
            </w:r>
          </w:p>
        </w:tc>
        <w:tc>
          <w:tcPr>
            <w:tcW w:w="1207" w:type="dxa"/>
            <w:tcBorders>
              <w:top w:val="single" w:sz="4" w:space="0" w:color="auto"/>
              <w:bottom w:val="dotted" w:sz="4" w:space="0" w:color="auto"/>
            </w:tcBorders>
            <w:shd w:val="clear" w:color="auto" w:fill="FFFFFF" w:themeFill="background1"/>
            <w:noWrap/>
            <w:vAlign w:val="center"/>
            <w:hideMark/>
          </w:tcPr>
          <w:p w14:paraId="0FAF2269" w14:textId="048DE33A"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$ 0.18</w:t>
            </w:r>
          </w:p>
        </w:tc>
      </w:tr>
      <w:tr w:rsidR="003529F4" w:rsidRPr="00C82FF1" w14:paraId="425AFAF8" w14:textId="77777777" w:rsidTr="003C5802">
        <w:trPr>
          <w:trHeight w:val="340"/>
          <w:jc w:val="center"/>
        </w:trPr>
        <w:tc>
          <w:tcPr>
            <w:tcW w:w="1936" w:type="dxa"/>
            <w:vMerge/>
            <w:shd w:val="clear" w:color="auto" w:fill="FFFFFF" w:themeFill="background1"/>
            <w:vAlign w:val="center"/>
            <w:hideMark/>
          </w:tcPr>
          <w:p w14:paraId="2B23A12E" w14:textId="77777777" w:rsidR="003529F4" w:rsidRPr="00356BA4" w:rsidRDefault="003529F4" w:rsidP="003529F4">
            <w:pPr>
              <w:rPr>
                <w:rFonts w:ascii="Arial" w:hAnsi="Arial" w:cs="Arial"/>
                <w:color w:val="000000"/>
                <w:sz w:val="16"/>
                <w:szCs w:val="16"/>
                <w:lang w:eastAsia="es-CO"/>
              </w:rPr>
            </w:pPr>
          </w:p>
        </w:tc>
        <w:tc>
          <w:tcPr>
            <w:tcW w:w="852" w:type="dxa"/>
            <w:tcBorders>
              <w:top w:val="dotted" w:sz="4" w:space="0" w:color="auto"/>
              <w:bottom w:val="dotted" w:sz="4" w:space="0" w:color="auto"/>
            </w:tcBorders>
            <w:shd w:val="clear" w:color="auto" w:fill="FFFFFF" w:themeFill="background1"/>
            <w:vAlign w:val="center"/>
            <w:hideMark/>
          </w:tcPr>
          <w:p w14:paraId="10EB30D7"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Perú </w:t>
            </w:r>
          </w:p>
        </w:tc>
        <w:tc>
          <w:tcPr>
            <w:tcW w:w="1984" w:type="dxa"/>
            <w:tcBorders>
              <w:top w:val="dotted" w:sz="4" w:space="0" w:color="auto"/>
              <w:bottom w:val="dotted" w:sz="4" w:space="0" w:color="auto"/>
            </w:tcBorders>
            <w:shd w:val="clear" w:color="auto" w:fill="FFFFFF" w:themeFill="background1"/>
            <w:vAlign w:val="center"/>
            <w:hideMark/>
          </w:tcPr>
          <w:p w14:paraId="29BD5464"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Perú LNG </w:t>
            </w:r>
          </w:p>
        </w:tc>
        <w:tc>
          <w:tcPr>
            <w:tcW w:w="992" w:type="dxa"/>
            <w:tcBorders>
              <w:top w:val="dotted" w:sz="4" w:space="0" w:color="auto"/>
              <w:bottom w:val="dotted" w:sz="4" w:space="0" w:color="auto"/>
            </w:tcBorders>
            <w:shd w:val="clear" w:color="auto" w:fill="FFFFFF" w:themeFill="background1"/>
            <w:noWrap/>
            <w:vAlign w:val="center"/>
            <w:hideMark/>
          </w:tcPr>
          <w:p w14:paraId="5F5B4137" w14:textId="65DBAD8B"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1713</w:t>
            </w:r>
          </w:p>
        </w:tc>
        <w:tc>
          <w:tcPr>
            <w:tcW w:w="992" w:type="dxa"/>
            <w:tcBorders>
              <w:top w:val="dotted" w:sz="4" w:space="0" w:color="auto"/>
              <w:bottom w:val="dotted" w:sz="4" w:space="0" w:color="auto"/>
            </w:tcBorders>
            <w:shd w:val="clear" w:color="auto" w:fill="FFFFFF" w:themeFill="background1"/>
            <w:noWrap/>
            <w:vAlign w:val="center"/>
            <w:hideMark/>
          </w:tcPr>
          <w:p w14:paraId="4AE1C05C" w14:textId="6E74671A"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13</w:t>
            </w:r>
          </w:p>
        </w:tc>
        <w:tc>
          <w:tcPr>
            <w:tcW w:w="993" w:type="dxa"/>
            <w:tcBorders>
              <w:top w:val="dotted" w:sz="4" w:space="0" w:color="auto"/>
              <w:bottom w:val="dotted" w:sz="4" w:space="0" w:color="auto"/>
            </w:tcBorders>
            <w:shd w:val="clear" w:color="auto" w:fill="FFFFFF" w:themeFill="background1"/>
            <w:noWrap/>
            <w:vAlign w:val="center"/>
            <w:hideMark/>
          </w:tcPr>
          <w:p w14:paraId="519D5A0B" w14:textId="4E646B0D"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$ 0.01</w:t>
            </w:r>
          </w:p>
        </w:tc>
        <w:tc>
          <w:tcPr>
            <w:tcW w:w="754" w:type="dxa"/>
            <w:tcBorders>
              <w:top w:val="dotted" w:sz="4" w:space="0" w:color="auto"/>
              <w:bottom w:val="dotted" w:sz="4" w:space="0" w:color="auto"/>
            </w:tcBorders>
            <w:shd w:val="clear" w:color="auto" w:fill="FFFFFF" w:themeFill="background1"/>
            <w:noWrap/>
            <w:vAlign w:val="center"/>
            <w:hideMark/>
          </w:tcPr>
          <w:p w14:paraId="1C9442EC" w14:textId="25EF4D01"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w:t>
            </w:r>
          </w:p>
        </w:tc>
        <w:tc>
          <w:tcPr>
            <w:tcW w:w="1207" w:type="dxa"/>
            <w:tcBorders>
              <w:top w:val="dotted" w:sz="4" w:space="0" w:color="auto"/>
              <w:bottom w:val="dotted" w:sz="4" w:space="0" w:color="auto"/>
            </w:tcBorders>
            <w:shd w:val="clear" w:color="auto" w:fill="FFFFFF" w:themeFill="background1"/>
            <w:noWrap/>
            <w:vAlign w:val="center"/>
            <w:hideMark/>
          </w:tcPr>
          <w:p w14:paraId="7ED812ED" w14:textId="4284A8D7"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$ 0.13</w:t>
            </w:r>
          </w:p>
        </w:tc>
      </w:tr>
      <w:tr w:rsidR="003529F4" w:rsidRPr="00C82FF1" w14:paraId="078C9583" w14:textId="77777777" w:rsidTr="003C5802">
        <w:trPr>
          <w:trHeight w:val="340"/>
          <w:jc w:val="center"/>
        </w:trPr>
        <w:tc>
          <w:tcPr>
            <w:tcW w:w="1936" w:type="dxa"/>
            <w:vMerge/>
            <w:shd w:val="clear" w:color="auto" w:fill="FFFFFF" w:themeFill="background1"/>
            <w:vAlign w:val="center"/>
            <w:hideMark/>
          </w:tcPr>
          <w:p w14:paraId="375AD316" w14:textId="77777777" w:rsidR="003529F4" w:rsidRPr="00356BA4" w:rsidRDefault="003529F4" w:rsidP="003529F4">
            <w:pPr>
              <w:rPr>
                <w:rFonts w:ascii="Arial" w:hAnsi="Arial" w:cs="Arial"/>
                <w:color w:val="000000"/>
                <w:sz w:val="16"/>
                <w:szCs w:val="16"/>
                <w:lang w:eastAsia="es-CO"/>
              </w:rPr>
            </w:pPr>
          </w:p>
        </w:tc>
        <w:tc>
          <w:tcPr>
            <w:tcW w:w="852" w:type="dxa"/>
            <w:tcBorders>
              <w:top w:val="dotted" w:sz="4" w:space="0" w:color="auto"/>
              <w:bottom w:val="dotted" w:sz="4" w:space="0" w:color="auto"/>
            </w:tcBorders>
            <w:shd w:val="clear" w:color="auto" w:fill="FFFFFF" w:themeFill="background1"/>
            <w:vAlign w:val="center"/>
            <w:hideMark/>
          </w:tcPr>
          <w:p w14:paraId="3260C869"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Argentina </w:t>
            </w:r>
          </w:p>
        </w:tc>
        <w:tc>
          <w:tcPr>
            <w:tcW w:w="1984" w:type="dxa"/>
            <w:tcBorders>
              <w:top w:val="dotted" w:sz="4" w:space="0" w:color="auto"/>
              <w:bottom w:val="dotted" w:sz="4" w:space="0" w:color="auto"/>
            </w:tcBorders>
            <w:shd w:val="clear" w:color="auto" w:fill="FFFFFF" w:themeFill="background1"/>
            <w:vAlign w:val="center"/>
            <w:hideMark/>
          </w:tcPr>
          <w:p w14:paraId="45F540AE"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Escobar LNG </w:t>
            </w:r>
          </w:p>
        </w:tc>
        <w:tc>
          <w:tcPr>
            <w:tcW w:w="992" w:type="dxa"/>
            <w:tcBorders>
              <w:top w:val="dotted" w:sz="4" w:space="0" w:color="auto"/>
              <w:bottom w:val="dotted" w:sz="4" w:space="0" w:color="auto"/>
            </w:tcBorders>
            <w:shd w:val="clear" w:color="auto" w:fill="FFFFFF" w:themeFill="background1"/>
            <w:noWrap/>
            <w:vAlign w:val="center"/>
            <w:hideMark/>
          </w:tcPr>
          <w:p w14:paraId="6CBF3990" w14:textId="35A20EC5"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9390</w:t>
            </w:r>
          </w:p>
        </w:tc>
        <w:tc>
          <w:tcPr>
            <w:tcW w:w="992" w:type="dxa"/>
            <w:tcBorders>
              <w:top w:val="dotted" w:sz="4" w:space="0" w:color="auto"/>
              <w:bottom w:val="dotted" w:sz="4" w:space="0" w:color="auto"/>
            </w:tcBorders>
            <w:shd w:val="clear" w:color="auto" w:fill="FFFFFF" w:themeFill="background1"/>
            <w:noWrap/>
            <w:vAlign w:val="center"/>
            <w:hideMark/>
          </w:tcPr>
          <w:p w14:paraId="7F1027CB" w14:textId="72EAD6BE"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31</w:t>
            </w:r>
          </w:p>
        </w:tc>
        <w:tc>
          <w:tcPr>
            <w:tcW w:w="993" w:type="dxa"/>
            <w:tcBorders>
              <w:top w:val="dotted" w:sz="4" w:space="0" w:color="auto"/>
              <w:bottom w:val="dotted" w:sz="4" w:space="0" w:color="auto"/>
            </w:tcBorders>
            <w:shd w:val="clear" w:color="auto" w:fill="FFFFFF" w:themeFill="background1"/>
            <w:noWrap/>
            <w:vAlign w:val="center"/>
            <w:hideMark/>
          </w:tcPr>
          <w:p w14:paraId="29D398E6" w14:textId="2F23551F"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$ 0.03</w:t>
            </w:r>
          </w:p>
        </w:tc>
        <w:tc>
          <w:tcPr>
            <w:tcW w:w="754" w:type="dxa"/>
            <w:tcBorders>
              <w:top w:val="dotted" w:sz="4" w:space="0" w:color="auto"/>
              <w:bottom w:val="dotted" w:sz="4" w:space="0" w:color="auto"/>
            </w:tcBorders>
            <w:shd w:val="clear" w:color="auto" w:fill="FFFFFF" w:themeFill="background1"/>
            <w:noWrap/>
            <w:vAlign w:val="center"/>
            <w:hideMark/>
          </w:tcPr>
          <w:p w14:paraId="359D76AA" w14:textId="07EACEFD"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w:t>
            </w:r>
          </w:p>
        </w:tc>
        <w:tc>
          <w:tcPr>
            <w:tcW w:w="1207" w:type="dxa"/>
            <w:tcBorders>
              <w:top w:val="dotted" w:sz="4" w:space="0" w:color="auto"/>
              <w:bottom w:val="dotted" w:sz="4" w:space="0" w:color="auto"/>
            </w:tcBorders>
            <w:shd w:val="clear" w:color="auto" w:fill="FFFFFF" w:themeFill="background1"/>
            <w:noWrap/>
            <w:vAlign w:val="center"/>
            <w:hideMark/>
          </w:tcPr>
          <w:p w14:paraId="74DE19B1" w14:textId="4588D441"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$ 0.32</w:t>
            </w:r>
          </w:p>
        </w:tc>
      </w:tr>
      <w:tr w:rsidR="003529F4" w:rsidRPr="00C82FF1" w14:paraId="229FAE36" w14:textId="77777777" w:rsidTr="003C5802">
        <w:trPr>
          <w:trHeight w:val="340"/>
          <w:jc w:val="center"/>
        </w:trPr>
        <w:tc>
          <w:tcPr>
            <w:tcW w:w="1936" w:type="dxa"/>
            <w:vMerge/>
            <w:shd w:val="clear" w:color="auto" w:fill="FFFFFF" w:themeFill="background1"/>
            <w:vAlign w:val="center"/>
            <w:hideMark/>
          </w:tcPr>
          <w:p w14:paraId="37507FF5" w14:textId="77777777" w:rsidR="003529F4" w:rsidRPr="00356BA4" w:rsidRDefault="003529F4" w:rsidP="003529F4">
            <w:pPr>
              <w:rPr>
                <w:rFonts w:ascii="Arial" w:hAnsi="Arial" w:cs="Arial"/>
                <w:color w:val="000000"/>
                <w:sz w:val="16"/>
                <w:szCs w:val="16"/>
                <w:lang w:eastAsia="es-CO"/>
              </w:rPr>
            </w:pPr>
          </w:p>
        </w:tc>
        <w:tc>
          <w:tcPr>
            <w:tcW w:w="852" w:type="dxa"/>
            <w:tcBorders>
              <w:top w:val="dotted" w:sz="4" w:space="0" w:color="auto"/>
              <w:bottom w:val="dotted" w:sz="4" w:space="0" w:color="auto"/>
            </w:tcBorders>
            <w:shd w:val="clear" w:color="auto" w:fill="FFFFFF" w:themeFill="background1"/>
            <w:vAlign w:val="center"/>
            <w:hideMark/>
          </w:tcPr>
          <w:p w14:paraId="2649AAC7"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Chile </w:t>
            </w:r>
          </w:p>
        </w:tc>
        <w:tc>
          <w:tcPr>
            <w:tcW w:w="1984" w:type="dxa"/>
            <w:tcBorders>
              <w:top w:val="dotted" w:sz="4" w:space="0" w:color="auto"/>
              <w:bottom w:val="dotted" w:sz="4" w:space="0" w:color="auto"/>
            </w:tcBorders>
            <w:shd w:val="clear" w:color="auto" w:fill="FFFFFF" w:themeFill="background1"/>
            <w:vAlign w:val="center"/>
            <w:hideMark/>
          </w:tcPr>
          <w:p w14:paraId="732966C9"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Quintero LNG </w:t>
            </w:r>
          </w:p>
        </w:tc>
        <w:tc>
          <w:tcPr>
            <w:tcW w:w="992" w:type="dxa"/>
            <w:tcBorders>
              <w:top w:val="dotted" w:sz="4" w:space="0" w:color="auto"/>
              <w:bottom w:val="dotted" w:sz="4" w:space="0" w:color="auto"/>
            </w:tcBorders>
            <w:shd w:val="clear" w:color="auto" w:fill="FFFFFF" w:themeFill="background1"/>
            <w:noWrap/>
            <w:vAlign w:val="center"/>
            <w:hideMark/>
          </w:tcPr>
          <w:p w14:paraId="16592CB3" w14:textId="77251D54"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4415</w:t>
            </w:r>
          </w:p>
        </w:tc>
        <w:tc>
          <w:tcPr>
            <w:tcW w:w="992" w:type="dxa"/>
            <w:tcBorders>
              <w:top w:val="dotted" w:sz="4" w:space="0" w:color="auto"/>
              <w:bottom w:val="dotted" w:sz="4" w:space="0" w:color="auto"/>
            </w:tcBorders>
            <w:shd w:val="clear" w:color="auto" w:fill="FFFFFF" w:themeFill="background1"/>
            <w:noWrap/>
            <w:vAlign w:val="center"/>
            <w:hideMark/>
          </w:tcPr>
          <w:p w14:paraId="76149648" w14:textId="61CADF5E"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19</w:t>
            </w:r>
          </w:p>
        </w:tc>
        <w:tc>
          <w:tcPr>
            <w:tcW w:w="993" w:type="dxa"/>
            <w:tcBorders>
              <w:top w:val="dotted" w:sz="4" w:space="0" w:color="auto"/>
              <w:bottom w:val="dotted" w:sz="4" w:space="0" w:color="auto"/>
            </w:tcBorders>
            <w:shd w:val="clear" w:color="auto" w:fill="FFFFFF" w:themeFill="background1"/>
            <w:noWrap/>
            <w:vAlign w:val="center"/>
            <w:hideMark/>
          </w:tcPr>
          <w:p w14:paraId="0ED63E65" w14:textId="161CBDE7"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$ 0.01</w:t>
            </w:r>
          </w:p>
        </w:tc>
        <w:tc>
          <w:tcPr>
            <w:tcW w:w="754" w:type="dxa"/>
            <w:tcBorders>
              <w:top w:val="dotted" w:sz="4" w:space="0" w:color="auto"/>
              <w:bottom w:val="dotted" w:sz="4" w:space="0" w:color="auto"/>
            </w:tcBorders>
            <w:shd w:val="clear" w:color="auto" w:fill="FFFFFF" w:themeFill="background1"/>
            <w:noWrap/>
            <w:vAlign w:val="center"/>
            <w:hideMark/>
          </w:tcPr>
          <w:p w14:paraId="4C247472" w14:textId="17E1CC93"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w:t>
            </w:r>
          </w:p>
        </w:tc>
        <w:tc>
          <w:tcPr>
            <w:tcW w:w="1207" w:type="dxa"/>
            <w:tcBorders>
              <w:top w:val="dotted" w:sz="4" w:space="0" w:color="auto"/>
              <w:bottom w:val="dotted" w:sz="4" w:space="0" w:color="auto"/>
            </w:tcBorders>
            <w:shd w:val="clear" w:color="auto" w:fill="FFFFFF" w:themeFill="background1"/>
            <w:noWrap/>
            <w:vAlign w:val="center"/>
            <w:hideMark/>
          </w:tcPr>
          <w:p w14:paraId="2D940565" w14:textId="4721FDD7"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$ 0.19</w:t>
            </w:r>
          </w:p>
        </w:tc>
      </w:tr>
      <w:tr w:rsidR="003529F4" w:rsidRPr="00C82FF1" w14:paraId="3EEF172C" w14:textId="77777777" w:rsidTr="003C5802">
        <w:trPr>
          <w:trHeight w:val="340"/>
          <w:jc w:val="center"/>
        </w:trPr>
        <w:tc>
          <w:tcPr>
            <w:tcW w:w="1936" w:type="dxa"/>
            <w:vMerge/>
            <w:tcBorders>
              <w:bottom w:val="single" w:sz="4" w:space="0" w:color="auto"/>
            </w:tcBorders>
            <w:shd w:val="clear" w:color="auto" w:fill="FFFFFF" w:themeFill="background1"/>
            <w:vAlign w:val="center"/>
            <w:hideMark/>
          </w:tcPr>
          <w:p w14:paraId="62EB2222" w14:textId="77777777" w:rsidR="003529F4" w:rsidRPr="00356BA4" w:rsidRDefault="003529F4" w:rsidP="003529F4">
            <w:pPr>
              <w:rPr>
                <w:rFonts w:ascii="Arial" w:hAnsi="Arial" w:cs="Arial"/>
                <w:color w:val="000000"/>
                <w:sz w:val="16"/>
                <w:szCs w:val="16"/>
                <w:lang w:eastAsia="es-CO"/>
              </w:rPr>
            </w:pPr>
          </w:p>
        </w:tc>
        <w:tc>
          <w:tcPr>
            <w:tcW w:w="852" w:type="dxa"/>
            <w:tcBorders>
              <w:top w:val="dotted" w:sz="4" w:space="0" w:color="auto"/>
              <w:bottom w:val="single" w:sz="4" w:space="0" w:color="auto"/>
            </w:tcBorders>
            <w:shd w:val="clear" w:color="auto" w:fill="FFFFFF" w:themeFill="background1"/>
            <w:vAlign w:val="center"/>
            <w:hideMark/>
          </w:tcPr>
          <w:p w14:paraId="71896E5B"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Brasil </w:t>
            </w:r>
          </w:p>
        </w:tc>
        <w:tc>
          <w:tcPr>
            <w:tcW w:w="1984" w:type="dxa"/>
            <w:tcBorders>
              <w:top w:val="dotted" w:sz="4" w:space="0" w:color="auto"/>
              <w:bottom w:val="single" w:sz="4" w:space="0" w:color="auto"/>
            </w:tcBorders>
            <w:shd w:val="clear" w:color="auto" w:fill="FFFFFF" w:themeFill="background1"/>
            <w:vAlign w:val="center"/>
            <w:hideMark/>
          </w:tcPr>
          <w:p w14:paraId="405B8A80"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Pecem - Rio de Janeiro (Puerto) </w:t>
            </w:r>
          </w:p>
        </w:tc>
        <w:tc>
          <w:tcPr>
            <w:tcW w:w="992" w:type="dxa"/>
            <w:tcBorders>
              <w:top w:val="dotted" w:sz="4" w:space="0" w:color="auto"/>
              <w:bottom w:val="single" w:sz="4" w:space="0" w:color="auto"/>
            </w:tcBorders>
            <w:shd w:val="clear" w:color="auto" w:fill="FFFFFF" w:themeFill="background1"/>
            <w:noWrap/>
            <w:vAlign w:val="center"/>
            <w:hideMark/>
          </w:tcPr>
          <w:p w14:paraId="12DD2AA4" w14:textId="53D4B825"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8528</w:t>
            </w:r>
          </w:p>
        </w:tc>
        <w:tc>
          <w:tcPr>
            <w:tcW w:w="992" w:type="dxa"/>
            <w:tcBorders>
              <w:top w:val="dotted" w:sz="4" w:space="0" w:color="auto"/>
              <w:bottom w:val="single" w:sz="4" w:space="0" w:color="auto"/>
            </w:tcBorders>
            <w:shd w:val="clear" w:color="auto" w:fill="FFFFFF" w:themeFill="background1"/>
            <w:noWrap/>
            <w:vAlign w:val="center"/>
            <w:hideMark/>
          </w:tcPr>
          <w:p w14:paraId="49B99CC2" w14:textId="64F6F358"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29</w:t>
            </w:r>
          </w:p>
        </w:tc>
        <w:tc>
          <w:tcPr>
            <w:tcW w:w="993" w:type="dxa"/>
            <w:tcBorders>
              <w:top w:val="dotted" w:sz="4" w:space="0" w:color="auto"/>
              <w:bottom w:val="single" w:sz="4" w:space="0" w:color="auto"/>
            </w:tcBorders>
            <w:shd w:val="clear" w:color="auto" w:fill="FFFFFF" w:themeFill="background1"/>
            <w:noWrap/>
            <w:vAlign w:val="center"/>
            <w:hideMark/>
          </w:tcPr>
          <w:p w14:paraId="70BFADBE" w14:textId="5FC864FF"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$ 0.03</w:t>
            </w:r>
          </w:p>
        </w:tc>
        <w:tc>
          <w:tcPr>
            <w:tcW w:w="754" w:type="dxa"/>
            <w:tcBorders>
              <w:top w:val="dotted" w:sz="4" w:space="0" w:color="auto"/>
              <w:bottom w:val="single" w:sz="4" w:space="0" w:color="auto"/>
            </w:tcBorders>
            <w:shd w:val="clear" w:color="auto" w:fill="FFFFFF" w:themeFill="background1"/>
            <w:noWrap/>
            <w:vAlign w:val="center"/>
            <w:hideMark/>
          </w:tcPr>
          <w:p w14:paraId="0479481D" w14:textId="5810361F"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$ 0.11</w:t>
            </w:r>
          </w:p>
        </w:tc>
        <w:tc>
          <w:tcPr>
            <w:tcW w:w="1207" w:type="dxa"/>
            <w:tcBorders>
              <w:top w:val="dotted" w:sz="4" w:space="0" w:color="auto"/>
              <w:bottom w:val="single" w:sz="4" w:space="0" w:color="auto"/>
            </w:tcBorders>
            <w:shd w:val="clear" w:color="auto" w:fill="FFFFFF" w:themeFill="background1"/>
            <w:noWrap/>
            <w:vAlign w:val="center"/>
            <w:hideMark/>
          </w:tcPr>
          <w:p w14:paraId="3BD03E34" w14:textId="7336D993"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$ 0.41</w:t>
            </w:r>
          </w:p>
        </w:tc>
      </w:tr>
      <w:tr w:rsidR="003529F4" w:rsidRPr="00C82FF1" w14:paraId="17236EB4" w14:textId="77777777" w:rsidTr="003C5802">
        <w:trPr>
          <w:trHeight w:val="340"/>
          <w:jc w:val="center"/>
        </w:trPr>
        <w:tc>
          <w:tcPr>
            <w:tcW w:w="1936" w:type="dxa"/>
            <w:vMerge w:val="restart"/>
            <w:tcBorders>
              <w:top w:val="single" w:sz="4" w:space="0" w:color="auto"/>
            </w:tcBorders>
            <w:shd w:val="clear" w:color="auto" w:fill="FFFFFF" w:themeFill="background1"/>
            <w:noWrap/>
            <w:vAlign w:val="center"/>
            <w:hideMark/>
          </w:tcPr>
          <w:p w14:paraId="7558DB5B" w14:textId="77777777" w:rsidR="003529F4" w:rsidRPr="00356BA4" w:rsidRDefault="003529F4" w:rsidP="003529F4">
            <w:pPr>
              <w:jc w:val="center"/>
              <w:rPr>
                <w:rFonts w:ascii="Arial" w:hAnsi="Arial" w:cs="Arial"/>
                <w:color w:val="000000"/>
                <w:sz w:val="16"/>
                <w:szCs w:val="16"/>
                <w:lang w:eastAsia="es-CO"/>
              </w:rPr>
            </w:pPr>
            <w:r w:rsidRPr="00356BA4">
              <w:rPr>
                <w:rFonts w:ascii="Arial" w:hAnsi="Arial" w:cs="Arial"/>
                <w:color w:val="000000"/>
                <w:sz w:val="16"/>
                <w:szCs w:val="16"/>
                <w:lang w:eastAsia="es-CO"/>
              </w:rPr>
              <w:t>África (Norte)</w:t>
            </w:r>
          </w:p>
        </w:tc>
        <w:tc>
          <w:tcPr>
            <w:tcW w:w="852" w:type="dxa"/>
            <w:tcBorders>
              <w:top w:val="single" w:sz="4" w:space="0" w:color="auto"/>
              <w:bottom w:val="dotted" w:sz="4" w:space="0" w:color="auto"/>
            </w:tcBorders>
            <w:shd w:val="clear" w:color="auto" w:fill="FFFFFF" w:themeFill="background1"/>
            <w:vAlign w:val="center"/>
            <w:hideMark/>
          </w:tcPr>
          <w:p w14:paraId="6CE4333C"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Algeria </w:t>
            </w:r>
          </w:p>
        </w:tc>
        <w:tc>
          <w:tcPr>
            <w:tcW w:w="1984" w:type="dxa"/>
            <w:tcBorders>
              <w:top w:val="single" w:sz="4" w:space="0" w:color="auto"/>
              <w:bottom w:val="dotted" w:sz="4" w:space="0" w:color="auto"/>
            </w:tcBorders>
            <w:shd w:val="clear" w:color="auto" w:fill="FFFFFF" w:themeFill="background1"/>
            <w:vAlign w:val="center"/>
            <w:hideMark/>
          </w:tcPr>
          <w:p w14:paraId="098E6456"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Arzew GL 1Z (Bethioua)</w:t>
            </w:r>
            <w:r w:rsidRPr="00356BA4">
              <w:rPr>
                <w:rFonts w:ascii="Arial" w:hAnsi="Arial" w:cs="Arial"/>
                <w:sz w:val="16"/>
                <w:szCs w:val="16"/>
                <w:lang w:eastAsia="es-CO"/>
              </w:rPr>
              <w:br/>
              <w:t>Arzew GL 2Z</w:t>
            </w:r>
            <w:r w:rsidRPr="00356BA4">
              <w:rPr>
                <w:rFonts w:ascii="Arial" w:hAnsi="Arial" w:cs="Arial"/>
                <w:sz w:val="16"/>
                <w:szCs w:val="16"/>
                <w:lang w:eastAsia="es-CO"/>
              </w:rPr>
              <w:br/>
              <w:t xml:space="preserve"> Skikda </w:t>
            </w:r>
          </w:p>
        </w:tc>
        <w:tc>
          <w:tcPr>
            <w:tcW w:w="992" w:type="dxa"/>
            <w:tcBorders>
              <w:top w:val="single" w:sz="4" w:space="0" w:color="auto"/>
              <w:bottom w:val="dotted" w:sz="4" w:space="0" w:color="auto"/>
            </w:tcBorders>
            <w:shd w:val="clear" w:color="auto" w:fill="FFFFFF" w:themeFill="background1"/>
            <w:noWrap/>
            <w:vAlign w:val="center"/>
            <w:hideMark/>
          </w:tcPr>
          <w:p w14:paraId="36ABDB22" w14:textId="512AEA21"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9256</w:t>
            </w:r>
          </w:p>
        </w:tc>
        <w:tc>
          <w:tcPr>
            <w:tcW w:w="992" w:type="dxa"/>
            <w:tcBorders>
              <w:top w:val="single" w:sz="4" w:space="0" w:color="auto"/>
              <w:bottom w:val="dotted" w:sz="4" w:space="0" w:color="auto"/>
            </w:tcBorders>
            <w:shd w:val="clear" w:color="auto" w:fill="FFFFFF" w:themeFill="background1"/>
            <w:noWrap/>
            <w:vAlign w:val="center"/>
            <w:hideMark/>
          </w:tcPr>
          <w:p w14:paraId="7A02816A" w14:textId="3A19CF22"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30</w:t>
            </w:r>
          </w:p>
        </w:tc>
        <w:tc>
          <w:tcPr>
            <w:tcW w:w="993" w:type="dxa"/>
            <w:tcBorders>
              <w:top w:val="single" w:sz="4" w:space="0" w:color="auto"/>
              <w:bottom w:val="dotted" w:sz="4" w:space="0" w:color="auto"/>
            </w:tcBorders>
            <w:shd w:val="clear" w:color="auto" w:fill="FFFFFF" w:themeFill="background1"/>
            <w:noWrap/>
            <w:vAlign w:val="center"/>
            <w:hideMark/>
          </w:tcPr>
          <w:p w14:paraId="4D2BA616" w14:textId="050A8526"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$ 0.03</w:t>
            </w:r>
          </w:p>
        </w:tc>
        <w:tc>
          <w:tcPr>
            <w:tcW w:w="754" w:type="dxa"/>
            <w:tcBorders>
              <w:top w:val="single" w:sz="4" w:space="0" w:color="auto"/>
              <w:bottom w:val="dotted" w:sz="4" w:space="0" w:color="auto"/>
            </w:tcBorders>
            <w:shd w:val="clear" w:color="auto" w:fill="FFFFFF" w:themeFill="background1"/>
            <w:noWrap/>
            <w:vAlign w:val="center"/>
            <w:hideMark/>
          </w:tcPr>
          <w:p w14:paraId="1E8F6719" w14:textId="22B2FD40"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$ 0.11</w:t>
            </w:r>
          </w:p>
        </w:tc>
        <w:tc>
          <w:tcPr>
            <w:tcW w:w="1207" w:type="dxa"/>
            <w:tcBorders>
              <w:top w:val="single" w:sz="4" w:space="0" w:color="auto"/>
              <w:bottom w:val="dotted" w:sz="4" w:space="0" w:color="auto"/>
            </w:tcBorders>
            <w:shd w:val="clear" w:color="auto" w:fill="FFFFFF" w:themeFill="background1"/>
            <w:noWrap/>
            <w:vAlign w:val="center"/>
            <w:hideMark/>
          </w:tcPr>
          <w:p w14:paraId="7E72DA08" w14:textId="68FF27B0"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$ 0.42</w:t>
            </w:r>
          </w:p>
        </w:tc>
      </w:tr>
      <w:tr w:rsidR="003529F4" w:rsidRPr="00C82FF1" w14:paraId="6DE675FF" w14:textId="77777777" w:rsidTr="003C5802">
        <w:trPr>
          <w:trHeight w:val="340"/>
          <w:jc w:val="center"/>
        </w:trPr>
        <w:tc>
          <w:tcPr>
            <w:tcW w:w="1936" w:type="dxa"/>
            <w:vMerge/>
            <w:tcBorders>
              <w:bottom w:val="single" w:sz="4" w:space="0" w:color="auto"/>
            </w:tcBorders>
            <w:shd w:val="clear" w:color="auto" w:fill="FFFFFF" w:themeFill="background1"/>
            <w:vAlign w:val="center"/>
            <w:hideMark/>
          </w:tcPr>
          <w:p w14:paraId="455AA45D" w14:textId="77777777" w:rsidR="003529F4" w:rsidRPr="00356BA4" w:rsidRDefault="003529F4" w:rsidP="003529F4">
            <w:pPr>
              <w:rPr>
                <w:rFonts w:ascii="Arial" w:hAnsi="Arial" w:cs="Arial"/>
                <w:color w:val="000000"/>
                <w:sz w:val="16"/>
                <w:szCs w:val="16"/>
                <w:lang w:eastAsia="es-CO"/>
              </w:rPr>
            </w:pPr>
          </w:p>
        </w:tc>
        <w:tc>
          <w:tcPr>
            <w:tcW w:w="852" w:type="dxa"/>
            <w:tcBorders>
              <w:top w:val="dotted" w:sz="4" w:space="0" w:color="auto"/>
              <w:bottom w:val="single" w:sz="4" w:space="0" w:color="auto"/>
            </w:tcBorders>
            <w:shd w:val="clear" w:color="auto" w:fill="FFFFFF" w:themeFill="background1"/>
            <w:vAlign w:val="center"/>
            <w:hideMark/>
          </w:tcPr>
          <w:p w14:paraId="41606DBC"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Egipto </w:t>
            </w:r>
          </w:p>
        </w:tc>
        <w:tc>
          <w:tcPr>
            <w:tcW w:w="1984" w:type="dxa"/>
            <w:tcBorders>
              <w:top w:val="dotted" w:sz="4" w:space="0" w:color="auto"/>
              <w:bottom w:val="single" w:sz="4" w:space="0" w:color="auto"/>
            </w:tcBorders>
            <w:shd w:val="clear" w:color="auto" w:fill="FFFFFF" w:themeFill="background1"/>
            <w:vAlign w:val="center"/>
            <w:hideMark/>
          </w:tcPr>
          <w:p w14:paraId="2B5E98FE"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Damietta</w:t>
            </w:r>
            <w:r w:rsidRPr="00356BA4">
              <w:rPr>
                <w:rFonts w:ascii="Arial" w:hAnsi="Arial" w:cs="Arial"/>
                <w:sz w:val="16"/>
                <w:szCs w:val="16"/>
                <w:lang w:eastAsia="es-CO"/>
              </w:rPr>
              <w:br/>
              <w:t xml:space="preserve">Idku </w:t>
            </w:r>
          </w:p>
        </w:tc>
        <w:tc>
          <w:tcPr>
            <w:tcW w:w="992" w:type="dxa"/>
            <w:tcBorders>
              <w:top w:val="dotted" w:sz="4" w:space="0" w:color="auto"/>
              <w:bottom w:val="single" w:sz="4" w:space="0" w:color="auto"/>
            </w:tcBorders>
            <w:shd w:val="clear" w:color="auto" w:fill="FFFFFF" w:themeFill="background1"/>
            <w:noWrap/>
            <w:vAlign w:val="center"/>
            <w:hideMark/>
          </w:tcPr>
          <w:p w14:paraId="67201DFD" w14:textId="167AD5B2"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12275</w:t>
            </w:r>
          </w:p>
        </w:tc>
        <w:tc>
          <w:tcPr>
            <w:tcW w:w="992" w:type="dxa"/>
            <w:tcBorders>
              <w:top w:val="dotted" w:sz="4" w:space="0" w:color="auto"/>
              <w:bottom w:val="single" w:sz="4" w:space="0" w:color="auto"/>
            </w:tcBorders>
            <w:shd w:val="clear" w:color="auto" w:fill="FFFFFF" w:themeFill="background1"/>
            <w:noWrap/>
            <w:vAlign w:val="center"/>
            <w:hideMark/>
          </w:tcPr>
          <w:p w14:paraId="562B6B52" w14:textId="35D56EE8"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37</w:t>
            </w:r>
          </w:p>
        </w:tc>
        <w:tc>
          <w:tcPr>
            <w:tcW w:w="993" w:type="dxa"/>
            <w:tcBorders>
              <w:top w:val="dotted" w:sz="4" w:space="0" w:color="auto"/>
              <w:bottom w:val="single" w:sz="4" w:space="0" w:color="auto"/>
            </w:tcBorders>
            <w:shd w:val="clear" w:color="auto" w:fill="FFFFFF" w:themeFill="background1"/>
            <w:noWrap/>
            <w:vAlign w:val="center"/>
            <w:hideMark/>
          </w:tcPr>
          <w:p w14:paraId="5AC0FEA8" w14:textId="355FA830"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$ 0.04</w:t>
            </w:r>
          </w:p>
        </w:tc>
        <w:tc>
          <w:tcPr>
            <w:tcW w:w="754" w:type="dxa"/>
            <w:tcBorders>
              <w:top w:val="dotted" w:sz="4" w:space="0" w:color="auto"/>
              <w:bottom w:val="single" w:sz="4" w:space="0" w:color="auto"/>
            </w:tcBorders>
            <w:shd w:val="clear" w:color="auto" w:fill="FFFFFF" w:themeFill="background1"/>
            <w:noWrap/>
            <w:vAlign w:val="center"/>
            <w:hideMark/>
          </w:tcPr>
          <w:p w14:paraId="38F65304" w14:textId="4977E439"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$ 0.11</w:t>
            </w:r>
          </w:p>
        </w:tc>
        <w:tc>
          <w:tcPr>
            <w:tcW w:w="1207" w:type="dxa"/>
            <w:tcBorders>
              <w:top w:val="dotted" w:sz="4" w:space="0" w:color="auto"/>
              <w:bottom w:val="single" w:sz="4" w:space="0" w:color="auto"/>
            </w:tcBorders>
            <w:shd w:val="clear" w:color="auto" w:fill="FFFFFF" w:themeFill="background1"/>
            <w:noWrap/>
            <w:vAlign w:val="center"/>
            <w:hideMark/>
          </w:tcPr>
          <w:p w14:paraId="5CDB8E14" w14:textId="6FB347D1"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$ 0.49</w:t>
            </w:r>
          </w:p>
        </w:tc>
      </w:tr>
      <w:tr w:rsidR="003529F4" w:rsidRPr="00C82FF1" w14:paraId="40207272" w14:textId="77777777" w:rsidTr="003C5802">
        <w:trPr>
          <w:trHeight w:val="340"/>
          <w:jc w:val="center"/>
        </w:trPr>
        <w:tc>
          <w:tcPr>
            <w:tcW w:w="1936" w:type="dxa"/>
            <w:vMerge w:val="restart"/>
            <w:tcBorders>
              <w:top w:val="single" w:sz="4" w:space="0" w:color="auto"/>
            </w:tcBorders>
            <w:shd w:val="clear" w:color="auto" w:fill="FFFFFF" w:themeFill="background1"/>
            <w:noWrap/>
            <w:vAlign w:val="center"/>
            <w:hideMark/>
          </w:tcPr>
          <w:p w14:paraId="3D49A495" w14:textId="77777777" w:rsidR="003529F4" w:rsidRPr="00356BA4" w:rsidRDefault="003529F4" w:rsidP="003529F4">
            <w:pPr>
              <w:jc w:val="center"/>
              <w:rPr>
                <w:rFonts w:ascii="Arial" w:hAnsi="Arial" w:cs="Arial"/>
                <w:color w:val="000000"/>
                <w:sz w:val="16"/>
                <w:szCs w:val="16"/>
                <w:lang w:eastAsia="es-CO"/>
              </w:rPr>
            </w:pPr>
            <w:r w:rsidRPr="00356BA4">
              <w:rPr>
                <w:rFonts w:ascii="Arial" w:hAnsi="Arial" w:cs="Arial"/>
                <w:color w:val="000000"/>
                <w:sz w:val="16"/>
                <w:szCs w:val="16"/>
                <w:lang w:eastAsia="es-CO"/>
              </w:rPr>
              <w:t>África (Occidental)</w:t>
            </w:r>
          </w:p>
        </w:tc>
        <w:tc>
          <w:tcPr>
            <w:tcW w:w="852" w:type="dxa"/>
            <w:tcBorders>
              <w:top w:val="single" w:sz="4" w:space="0" w:color="auto"/>
              <w:bottom w:val="dotted" w:sz="4" w:space="0" w:color="auto"/>
            </w:tcBorders>
            <w:shd w:val="clear" w:color="auto" w:fill="FFFFFF" w:themeFill="background1"/>
            <w:vAlign w:val="center"/>
            <w:hideMark/>
          </w:tcPr>
          <w:p w14:paraId="4D3BC62A"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Guinea Ecuatorial </w:t>
            </w:r>
          </w:p>
        </w:tc>
        <w:tc>
          <w:tcPr>
            <w:tcW w:w="1984" w:type="dxa"/>
            <w:tcBorders>
              <w:top w:val="single" w:sz="4" w:space="0" w:color="auto"/>
              <w:bottom w:val="dotted" w:sz="4" w:space="0" w:color="auto"/>
            </w:tcBorders>
            <w:shd w:val="clear" w:color="auto" w:fill="FFFFFF" w:themeFill="background1"/>
            <w:vAlign w:val="center"/>
            <w:hideMark/>
          </w:tcPr>
          <w:p w14:paraId="092E1187"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Bioko Island </w:t>
            </w:r>
          </w:p>
        </w:tc>
        <w:tc>
          <w:tcPr>
            <w:tcW w:w="992" w:type="dxa"/>
            <w:tcBorders>
              <w:top w:val="single" w:sz="4" w:space="0" w:color="auto"/>
              <w:bottom w:val="dotted" w:sz="4" w:space="0" w:color="auto"/>
            </w:tcBorders>
            <w:shd w:val="clear" w:color="auto" w:fill="FFFFFF" w:themeFill="background1"/>
            <w:noWrap/>
            <w:vAlign w:val="center"/>
            <w:hideMark/>
          </w:tcPr>
          <w:p w14:paraId="47631A78" w14:textId="139CB95F"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10595</w:t>
            </w:r>
          </w:p>
        </w:tc>
        <w:tc>
          <w:tcPr>
            <w:tcW w:w="992" w:type="dxa"/>
            <w:tcBorders>
              <w:top w:val="single" w:sz="4" w:space="0" w:color="auto"/>
              <w:bottom w:val="dotted" w:sz="4" w:space="0" w:color="auto"/>
            </w:tcBorders>
            <w:shd w:val="clear" w:color="auto" w:fill="FFFFFF" w:themeFill="background1"/>
            <w:noWrap/>
            <w:vAlign w:val="center"/>
            <w:hideMark/>
          </w:tcPr>
          <w:p w14:paraId="3FFB50CD" w14:textId="7561BD84"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33</w:t>
            </w:r>
          </w:p>
        </w:tc>
        <w:tc>
          <w:tcPr>
            <w:tcW w:w="993" w:type="dxa"/>
            <w:tcBorders>
              <w:top w:val="single" w:sz="4" w:space="0" w:color="auto"/>
              <w:bottom w:val="dotted" w:sz="4" w:space="0" w:color="auto"/>
            </w:tcBorders>
            <w:shd w:val="clear" w:color="auto" w:fill="FFFFFF" w:themeFill="background1"/>
            <w:noWrap/>
            <w:vAlign w:val="center"/>
            <w:hideMark/>
          </w:tcPr>
          <w:p w14:paraId="27578ED5" w14:textId="1754436D"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$ 0.03</w:t>
            </w:r>
          </w:p>
        </w:tc>
        <w:tc>
          <w:tcPr>
            <w:tcW w:w="754" w:type="dxa"/>
            <w:tcBorders>
              <w:top w:val="single" w:sz="4" w:space="0" w:color="auto"/>
              <w:bottom w:val="dotted" w:sz="4" w:space="0" w:color="auto"/>
            </w:tcBorders>
            <w:shd w:val="clear" w:color="auto" w:fill="FFFFFF" w:themeFill="background1"/>
            <w:noWrap/>
            <w:vAlign w:val="center"/>
            <w:hideMark/>
          </w:tcPr>
          <w:p w14:paraId="650F4A5B" w14:textId="4A128DBC"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$ 0.11</w:t>
            </w:r>
          </w:p>
        </w:tc>
        <w:tc>
          <w:tcPr>
            <w:tcW w:w="1207" w:type="dxa"/>
            <w:tcBorders>
              <w:top w:val="single" w:sz="4" w:space="0" w:color="auto"/>
              <w:bottom w:val="dotted" w:sz="4" w:space="0" w:color="auto"/>
            </w:tcBorders>
            <w:shd w:val="clear" w:color="auto" w:fill="FFFFFF" w:themeFill="background1"/>
            <w:noWrap/>
            <w:vAlign w:val="center"/>
            <w:hideMark/>
          </w:tcPr>
          <w:p w14:paraId="16A4821E" w14:textId="1DB7D131"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$ 0.45</w:t>
            </w:r>
          </w:p>
        </w:tc>
      </w:tr>
      <w:tr w:rsidR="003529F4" w:rsidRPr="00C82FF1" w14:paraId="4384C5FE" w14:textId="77777777" w:rsidTr="003C5802">
        <w:trPr>
          <w:trHeight w:val="340"/>
          <w:jc w:val="center"/>
        </w:trPr>
        <w:tc>
          <w:tcPr>
            <w:tcW w:w="1936" w:type="dxa"/>
            <w:vMerge/>
            <w:shd w:val="clear" w:color="auto" w:fill="FFFFFF" w:themeFill="background1"/>
            <w:vAlign w:val="center"/>
            <w:hideMark/>
          </w:tcPr>
          <w:p w14:paraId="37D34613" w14:textId="77777777" w:rsidR="003529F4" w:rsidRPr="00356BA4" w:rsidRDefault="003529F4" w:rsidP="003529F4">
            <w:pPr>
              <w:rPr>
                <w:rFonts w:ascii="Arial" w:hAnsi="Arial" w:cs="Arial"/>
                <w:color w:val="000000"/>
                <w:sz w:val="16"/>
                <w:szCs w:val="16"/>
                <w:lang w:eastAsia="es-CO"/>
              </w:rPr>
            </w:pPr>
          </w:p>
        </w:tc>
        <w:tc>
          <w:tcPr>
            <w:tcW w:w="852" w:type="dxa"/>
            <w:tcBorders>
              <w:top w:val="dotted" w:sz="4" w:space="0" w:color="auto"/>
              <w:bottom w:val="dotted" w:sz="4" w:space="0" w:color="auto"/>
            </w:tcBorders>
            <w:shd w:val="clear" w:color="auto" w:fill="FFFFFF" w:themeFill="background1"/>
            <w:vAlign w:val="center"/>
            <w:hideMark/>
          </w:tcPr>
          <w:p w14:paraId="3F340565"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Nigeria </w:t>
            </w:r>
          </w:p>
        </w:tc>
        <w:tc>
          <w:tcPr>
            <w:tcW w:w="1984" w:type="dxa"/>
            <w:tcBorders>
              <w:top w:val="dotted" w:sz="4" w:space="0" w:color="auto"/>
              <w:bottom w:val="dotted" w:sz="4" w:space="0" w:color="auto"/>
            </w:tcBorders>
            <w:shd w:val="clear" w:color="auto" w:fill="FFFFFF" w:themeFill="background1"/>
            <w:vAlign w:val="center"/>
            <w:hideMark/>
          </w:tcPr>
          <w:p w14:paraId="49BFB9E6"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Bonny Island </w:t>
            </w:r>
          </w:p>
        </w:tc>
        <w:tc>
          <w:tcPr>
            <w:tcW w:w="992" w:type="dxa"/>
            <w:tcBorders>
              <w:top w:val="dotted" w:sz="4" w:space="0" w:color="auto"/>
              <w:bottom w:val="dotted" w:sz="4" w:space="0" w:color="auto"/>
            </w:tcBorders>
            <w:shd w:val="clear" w:color="auto" w:fill="FFFFFF" w:themeFill="background1"/>
            <w:noWrap/>
            <w:vAlign w:val="center"/>
            <w:hideMark/>
          </w:tcPr>
          <w:p w14:paraId="5B4B8DF6" w14:textId="1585162C"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10486</w:t>
            </w:r>
          </w:p>
        </w:tc>
        <w:tc>
          <w:tcPr>
            <w:tcW w:w="992" w:type="dxa"/>
            <w:tcBorders>
              <w:top w:val="dotted" w:sz="4" w:space="0" w:color="auto"/>
              <w:bottom w:val="dotted" w:sz="4" w:space="0" w:color="auto"/>
            </w:tcBorders>
            <w:shd w:val="clear" w:color="auto" w:fill="FFFFFF" w:themeFill="background1"/>
            <w:noWrap/>
            <w:vAlign w:val="center"/>
            <w:hideMark/>
          </w:tcPr>
          <w:p w14:paraId="7C91F54C" w14:textId="29BB143A"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33</w:t>
            </w:r>
          </w:p>
        </w:tc>
        <w:tc>
          <w:tcPr>
            <w:tcW w:w="993" w:type="dxa"/>
            <w:tcBorders>
              <w:top w:val="dotted" w:sz="4" w:space="0" w:color="auto"/>
              <w:bottom w:val="dotted" w:sz="4" w:space="0" w:color="auto"/>
            </w:tcBorders>
            <w:shd w:val="clear" w:color="auto" w:fill="FFFFFF" w:themeFill="background1"/>
            <w:noWrap/>
            <w:vAlign w:val="center"/>
            <w:hideMark/>
          </w:tcPr>
          <w:p w14:paraId="067C6A23" w14:textId="659022BB"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$ 0.03</w:t>
            </w:r>
          </w:p>
        </w:tc>
        <w:tc>
          <w:tcPr>
            <w:tcW w:w="754" w:type="dxa"/>
            <w:tcBorders>
              <w:top w:val="dotted" w:sz="4" w:space="0" w:color="auto"/>
              <w:bottom w:val="dotted" w:sz="4" w:space="0" w:color="auto"/>
            </w:tcBorders>
            <w:shd w:val="clear" w:color="auto" w:fill="FFFFFF" w:themeFill="background1"/>
            <w:noWrap/>
            <w:vAlign w:val="center"/>
            <w:hideMark/>
          </w:tcPr>
          <w:p w14:paraId="6E006833" w14:textId="0FCC8DD2"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$ 0.11</w:t>
            </w:r>
          </w:p>
        </w:tc>
        <w:tc>
          <w:tcPr>
            <w:tcW w:w="1207" w:type="dxa"/>
            <w:tcBorders>
              <w:top w:val="dotted" w:sz="4" w:space="0" w:color="auto"/>
              <w:bottom w:val="dotted" w:sz="4" w:space="0" w:color="auto"/>
            </w:tcBorders>
            <w:shd w:val="clear" w:color="auto" w:fill="FFFFFF" w:themeFill="background1"/>
            <w:noWrap/>
            <w:vAlign w:val="center"/>
            <w:hideMark/>
          </w:tcPr>
          <w:p w14:paraId="20AA622B" w14:textId="275FA3F9"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$ 0.45</w:t>
            </w:r>
          </w:p>
        </w:tc>
      </w:tr>
      <w:tr w:rsidR="003529F4" w:rsidRPr="00C82FF1" w14:paraId="7436F79E" w14:textId="77777777" w:rsidTr="003C5802">
        <w:trPr>
          <w:trHeight w:val="340"/>
          <w:jc w:val="center"/>
        </w:trPr>
        <w:tc>
          <w:tcPr>
            <w:tcW w:w="1936" w:type="dxa"/>
            <w:vMerge/>
            <w:tcBorders>
              <w:bottom w:val="single" w:sz="4" w:space="0" w:color="auto"/>
            </w:tcBorders>
            <w:shd w:val="clear" w:color="auto" w:fill="FFFFFF" w:themeFill="background1"/>
            <w:vAlign w:val="center"/>
            <w:hideMark/>
          </w:tcPr>
          <w:p w14:paraId="57AC67DB" w14:textId="77777777" w:rsidR="003529F4" w:rsidRPr="00356BA4" w:rsidRDefault="003529F4" w:rsidP="003529F4">
            <w:pPr>
              <w:rPr>
                <w:rFonts w:ascii="Arial" w:hAnsi="Arial" w:cs="Arial"/>
                <w:color w:val="000000"/>
                <w:sz w:val="16"/>
                <w:szCs w:val="16"/>
                <w:lang w:eastAsia="es-CO"/>
              </w:rPr>
            </w:pPr>
          </w:p>
        </w:tc>
        <w:tc>
          <w:tcPr>
            <w:tcW w:w="852" w:type="dxa"/>
            <w:tcBorders>
              <w:top w:val="dotted" w:sz="4" w:space="0" w:color="auto"/>
              <w:bottom w:val="single" w:sz="4" w:space="0" w:color="auto"/>
            </w:tcBorders>
            <w:shd w:val="clear" w:color="auto" w:fill="FFFFFF" w:themeFill="background1"/>
            <w:vAlign w:val="center"/>
            <w:hideMark/>
          </w:tcPr>
          <w:p w14:paraId="0C191A72"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Angola </w:t>
            </w:r>
          </w:p>
        </w:tc>
        <w:tc>
          <w:tcPr>
            <w:tcW w:w="1984" w:type="dxa"/>
            <w:tcBorders>
              <w:top w:val="dotted" w:sz="4" w:space="0" w:color="auto"/>
              <w:bottom w:val="single" w:sz="4" w:space="0" w:color="auto"/>
            </w:tcBorders>
            <w:shd w:val="clear" w:color="auto" w:fill="FFFFFF" w:themeFill="background1"/>
            <w:vAlign w:val="center"/>
            <w:hideMark/>
          </w:tcPr>
          <w:p w14:paraId="3A1851BE"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Soyo </w:t>
            </w:r>
          </w:p>
        </w:tc>
        <w:tc>
          <w:tcPr>
            <w:tcW w:w="992" w:type="dxa"/>
            <w:tcBorders>
              <w:top w:val="dotted" w:sz="4" w:space="0" w:color="auto"/>
              <w:bottom w:val="single" w:sz="4" w:space="0" w:color="auto"/>
            </w:tcBorders>
            <w:shd w:val="clear" w:color="auto" w:fill="FFFFFF" w:themeFill="background1"/>
            <w:noWrap/>
            <w:vAlign w:val="center"/>
            <w:hideMark/>
          </w:tcPr>
          <w:p w14:paraId="5204C70E" w14:textId="60A87266"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11277</w:t>
            </w:r>
          </w:p>
        </w:tc>
        <w:tc>
          <w:tcPr>
            <w:tcW w:w="992" w:type="dxa"/>
            <w:tcBorders>
              <w:top w:val="dotted" w:sz="4" w:space="0" w:color="auto"/>
              <w:bottom w:val="single" w:sz="4" w:space="0" w:color="auto"/>
            </w:tcBorders>
            <w:shd w:val="clear" w:color="auto" w:fill="FFFFFF" w:themeFill="background1"/>
            <w:noWrap/>
            <w:vAlign w:val="center"/>
            <w:hideMark/>
          </w:tcPr>
          <w:p w14:paraId="1C55468B" w14:textId="70230977"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35</w:t>
            </w:r>
          </w:p>
        </w:tc>
        <w:tc>
          <w:tcPr>
            <w:tcW w:w="993" w:type="dxa"/>
            <w:tcBorders>
              <w:top w:val="dotted" w:sz="4" w:space="0" w:color="auto"/>
              <w:bottom w:val="single" w:sz="4" w:space="0" w:color="auto"/>
            </w:tcBorders>
            <w:shd w:val="clear" w:color="auto" w:fill="FFFFFF" w:themeFill="background1"/>
            <w:noWrap/>
            <w:vAlign w:val="center"/>
            <w:hideMark/>
          </w:tcPr>
          <w:p w14:paraId="0E800FE6" w14:textId="0C9784DA"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$ 0.03</w:t>
            </w:r>
          </w:p>
        </w:tc>
        <w:tc>
          <w:tcPr>
            <w:tcW w:w="754" w:type="dxa"/>
            <w:tcBorders>
              <w:top w:val="dotted" w:sz="4" w:space="0" w:color="auto"/>
              <w:bottom w:val="single" w:sz="4" w:space="0" w:color="auto"/>
            </w:tcBorders>
            <w:shd w:val="clear" w:color="auto" w:fill="FFFFFF" w:themeFill="background1"/>
            <w:noWrap/>
            <w:vAlign w:val="center"/>
            <w:hideMark/>
          </w:tcPr>
          <w:p w14:paraId="61EEB661" w14:textId="71F202CD"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$ 0.11</w:t>
            </w:r>
          </w:p>
        </w:tc>
        <w:tc>
          <w:tcPr>
            <w:tcW w:w="1207" w:type="dxa"/>
            <w:tcBorders>
              <w:top w:val="dotted" w:sz="4" w:space="0" w:color="auto"/>
              <w:bottom w:val="single" w:sz="4" w:space="0" w:color="auto"/>
            </w:tcBorders>
            <w:shd w:val="clear" w:color="auto" w:fill="FFFFFF" w:themeFill="background1"/>
            <w:noWrap/>
            <w:vAlign w:val="center"/>
            <w:hideMark/>
          </w:tcPr>
          <w:p w14:paraId="1DD7A08D" w14:textId="151BA7F3"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$ 0.47</w:t>
            </w:r>
          </w:p>
        </w:tc>
      </w:tr>
      <w:tr w:rsidR="003529F4" w:rsidRPr="00C82FF1" w14:paraId="2FCFABB3" w14:textId="77777777" w:rsidTr="003C5802">
        <w:trPr>
          <w:trHeight w:val="340"/>
          <w:jc w:val="center"/>
        </w:trPr>
        <w:tc>
          <w:tcPr>
            <w:tcW w:w="1936" w:type="dxa"/>
            <w:tcBorders>
              <w:top w:val="single" w:sz="4" w:space="0" w:color="auto"/>
              <w:bottom w:val="single" w:sz="4" w:space="0" w:color="auto"/>
            </w:tcBorders>
            <w:shd w:val="clear" w:color="auto" w:fill="FFFFFF" w:themeFill="background1"/>
            <w:noWrap/>
            <w:vAlign w:val="center"/>
            <w:hideMark/>
          </w:tcPr>
          <w:p w14:paraId="7BC663A7" w14:textId="77777777" w:rsidR="003529F4" w:rsidRPr="00356BA4" w:rsidRDefault="003529F4" w:rsidP="003529F4">
            <w:pPr>
              <w:jc w:val="center"/>
              <w:rPr>
                <w:rFonts w:ascii="Arial" w:hAnsi="Arial" w:cs="Arial"/>
                <w:color w:val="000000"/>
                <w:sz w:val="16"/>
                <w:szCs w:val="16"/>
                <w:lang w:eastAsia="es-CO"/>
              </w:rPr>
            </w:pPr>
            <w:r w:rsidRPr="00356BA4">
              <w:rPr>
                <w:rFonts w:ascii="Arial" w:hAnsi="Arial" w:cs="Arial"/>
                <w:color w:val="000000"/>
                <w:sz w:val="16"/>
                <w:szCs w:val="16"/>
                <w:lang w:eastAsia="es-CO"/>
              </w:rPr>
              <w:t>Europa</w:t>
            </w:r>
          </w:p>
        </w:tc>
        <w:tc>
          <w:tcPr>
            <w:tcW w:w="852" w:type="dxa"/>
            <w:tcBorders>
              <w:top w:val="single" w:sz="4" w:space="0" w:color="auto"/>
              <w:bottom w:val="single" w:sz="4" w:space="0" w:color="auto"/>
            </w:tcBorders>
            <w:shd w:val="clear" w:color="auto" w:fill="FFFFFF" w:themeFill="background1"/>
            <w:vAlign w:val="center"/>
            <w:hideMark/>
          </w:tcPr>
          <w:p w14:paraId="04E9F63B"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Noruega </w:t>
            </w:r>
          </w:p>
        </w:tc>
        <w:tc>
          <w:tcPr>
            <w:tcW w:w="1984" w:type="dxa"/>
            <w:tcBorders>
              <w:top w:val="single" w:sz="4" w:space="0" w:color="auto"/>
              <w:bottom w:val="single" w:sz="4" w:space="0" w:color="auto"/>
            </w:tcBorders>
            <w:shd w:val="clear" w:color="auto" w:fill="FFFFFF" w:themeFill="background1"/>
            <w:vAlign w:val="center"/>
            <w:hideMark/>
          </w:tcPr>
          <w:p w14:paraId="1E97F2F4"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Hammerfest </w:t>
            </w:r>
          </w:p>
        </w:tc>
        <w:tc>
          <w:tcPr>
            <w:tcW w:w="992" w:type="dxa"/>
            <w:tcBorders>
              <w:top w:val="single" w:sz="4" w:space="0" w:color="auto"/>
              <w:bottom w:val="single" w:sz="4" w:space="0" w:color="auto"/>
            </w:tcBorders>
            <w:shd w:val="clear" w:color="auto" w:fill="FFFFFF" w:themeFill="background1"/>
            <w:noWrap/>
            <w:vAlign w:val="center"/>
            <w:hideMark/>
          </w:tcPr>
          <w:p w14:paraId="465032FD" w14:textId="706338E9"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10351</w:t>
            </w:r>
          </w:p>
        </w:tc>
        <w:tc>
          <w:tcPr>
            <w:tcW w:w="992" w:type="dxa"/>
            <w:tcBorders>
              <w:top w:val="single" w:sz="4" w:space="0" w:color="auto"/>
              <w:bottom w:val="single" w:sz="4" w:space="0" w:color="auto"/>
            </w:tcBorders>
            <w:shd w:val="clear" w:color="auto" w:fill="FFFFFF" w:themeFill="background1"/>
            <w:noWrap/>
            <w:vAlign w:val="center"/>
            <w:hideMark/>
          </w:tcPr>
          <w:p w14:paraId="0DC0DE2B" w14:textId="24953A02"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33</w:t>
            </w:r>
          </w:p>
        </w:tc>
        <w:tc>
          <w:tcPr>
            <w:tcW w:w="993" w:type="dxa"/>
            <w:tcBorders>
              <w:top w:val="single" w:sz="4" w:space="0" w:color="auto"/>
              <w:bottom w:val="single" w:sz="4" w:space="0" w:color="auto"/>
            </w:tcBorders>
            <w:shd w:val="clear" w:color="auto" w:fill="FFFFFF" w:themeFill="background1"/>
            <w:noWrap/>
            <w:vAlign w:val="center"/>
            <w:hideMark/>
          </w:tcPr>
          <w:p w14:paraId="3B17CB52" w14:textId="5CDA5F93"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$ 0.03</w:t>
            </w:r>
          </w:p>
        </w:tc>
        <w:tc>
          <w:tcPr>
            <w:tcW w:w="754" w:type="dxa"/>
            <w:tcBorders>
              <w:top w:val="single" w:sz="4" w:space="0" w:color="auto"/>
              <w:bottom w:val="single" w:sz="4" w:space="0" w:color="auto"/>
            </w:tcBorders>
            <w:shd w:val="clear" w:color="auto" w:fill="FFFFFF" w:themeFill="background1"/>
            <w:noWrap/>
            <w:vAlign w:val="center"/>
            <w:hideMark/>
          </w:tcPr>
          <w:p w14:paraId="1ADFEF5E" w14:textId="2987F91B"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$ 0.11</w:t>
            </w:r>
          </w:p>
        </w:tc>
        <w:tc>
          <w:tcPr>
            <w:tcW w:w="1207" w:type="dxa"/>
            <w:tcBorders>
              <w:top w:val="single" w:sz="4" w:space="0" w:color="auto"/>
              <w:bottom w:val="single" w:sz="4" w:space="0" w:color="auto"/>
            </w:tcBorders>
            <w:shd w:val="clear" w:color="auto" w:fill="FFFFFF" w:themeFill="background1"/>
            <w:noWrap/>
            <w:vAlign w:val="center"/>
            <w:hideMark/>
          </w:tcPr>
          <w:p w14:paraId="1BEEB62D" w14:textId="336C1731"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$ 0.45</w:t>
            </w:r>
          </w:p>
        </w:tc>
      </w:tr>
      <w:tr w:rsidR="003529F4" w:rsidRPr="00C82FF1" w14:paraId="6D2B97F5" w14:textId="77777777" w:rsidTr="003C5802">
        <w:trPr>
          <w:trHeight w:val="340"/>
          <w:jc w:val="center"/>
        </w:trPr>
        <w:tc>
          <w:tcPr>
            <w:tcW w:w="1936" w:type="dxa"/>
            <w:vMerge w:val="restart"/>
            <w:tcBorders>
              <w:top w:val="single" w:sz="4" w:space="0" w:color="auto"/>
            </w:tcBorders>
            <w:shd w:val="clear" w:color="auto" w:fill="FFFFFF" w:themeFill="background1"/>
            <w:noWrap/>
            <w:vAlign w:val="center"/>
            <w:hideMark/>
          </w:tcPr>
          <w:p w14:paraId="4CFAB337" w14:textId="77777777" w:rsidR="003529F4" w:rsidRPr="00356BA4" w:rsidRDefault="003529F4" w:rsidP="003529F4">
            <w:pPr>
              <w:jc w:val="center"/>
              <w:rPr>
                <w:rFonts w:ascii="Arial" w:hAnsi="Arial" w:cs="Arial"/>
                <w:color w:val="000000"/>
                <w:sz w:val="16"/>
                <w:szCs w:val="16"/>
                <w:lang w:eastAsia="es-CO"/>
              </w:rPr>
            </w:pPr>
            <w:r w:rsidRPr="00356BA4">
              <w:rPr>
                <w:rFonts w:ascii="Arial" w:hAnsi="Arial" w:cs="Arial"/>
                <w:color w:val="000000"/>
                <w:sz w:val="16"/>
                <w:szCs w:val="16"/>
                <w:lang w:eastAsia="es-CO"/>
              </w:rPr>
              <w:t>Asia Occidental</w:t>
            </w:r>
          </w:p>
        </w:tc>
        <w:tc>
          <w:tcPr>
            <w:tcW w:w="852" w:type="dxa"/>
            <w:tcBorders>
              <w:top w:val="single" w:sz="4" w:space="0" w:color="auto"/>
              <w:bottom w:val="dotted" w:sz="4" w:space="0" w:color="auto"/>
            </w:tcBorders>
            <w:shd w:val="clear" w:color="auto" w:fill="FFFFFF" w:themeFill="background1"/>
            <w:vAlign w:val="center"/>
            <w:hideMark/>
          </w:tcPr>
          <w:p w14:paraId="48BA1FDE"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Qatar </w:t>
            </w:r>
          </w:p>
        </w:tc>
        <w:tc>
          <w:tcPr>
            <w:tcW w:w="1984" w:type="dxa"/>
            <w:tcBorders>
              <w:top w:val="single" w:sz="4" w:space="0" w:color="auto"/>
              <w:bottom w:val="dotted" w:sz="4" w:space="0" w:color="auto"/>
            </w:tcBorders>
            <w:shd w:val="clear" w:color="auto" w:fill="FFFFFF" w:themeFill="background1"/>
            <w:vAlign w:val="center"/>
            <w:hideMark/>
          </w:tcPr>
          <w:p w14:paraId="27656E27"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Ras Laffan  </w:t>
            </w:r>
          </w:p>
        </w:tc>
        <w:tc>
          <w:tcPr>
            <w:tcW w:w="992" w:type="dxa"/>
            <w:tcBorders>
              <w:top w:val="single" w:sz="4" w:space="0" w:color="auto"/>
              <w:bottom w:val="dotted" w:sz="4" w:space="0" w:color="auto"/>
            </w:tcBorders>
            <w:shd w:val="clear" w:color="auto" w:fill="FFFFFF" w:themeFill="background1"/>
            <w:noWrap/>
            <w:vAlign w:val="center"/>
            <w:hideMark/>
          </w:tcPr>
          <w:p w14:paraId="793F9439" w14:textId="5ED54D79"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17909</w:t>
            </w:r>
          </w:p>
        </w:tc>
        <w:tc>
          <w:tcPr>
            <w:tcW w:w="992" w:type="dxa"/>
            <w:tcBorders>
              <w:top w:val="single" w:sz="4" w:space="0" w:color="auto"/>
              <w:bottom w:val="dotted" w:sz="4" w:space="0" w:color="auto"/>
            </w:tcBorders>
            <w:shd w:val="clear" w:color="auto" w:fill="FFFFFF" w:themeFill="background1"/>
            <w:noWrap/>
            <w:vAlign w:val="center"/>
            <w:hideMark/>
          </w:tcPr>
          <w:p w14:paraId="1726488B" w14:textId="0A3FAA3E"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50</w:t>
            </w:r>
          </w:p>
        </w:tc>
        <w:tc>
          <w:tcPr>
            <w:tcW w:w="993" w:type="dxa"/>
            <w:tcBorders>
              <w:top w:val="single" w:sz="4" w:space="0" w:color="auto"/>
              <w:bottom w:val="dotted" w:sz="4" w:space="0" w:color="auto"/>
            </w:tcBorders>
            <w:shd w:val="clear" w:color="auto" w:fill="FFFFFF" w:themeFill="background1"/>
            <w:noWrap/>
            <w:vAlign w:val="center"/>
            <w:hideMark/>
          </w:tcPr>
          <w:p w14:paraId="32B9BD76" w14:textId="43E2A08C"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$ 0.06</w:t>
            </w:r>
          </w:p>
        </w:tc>
        <w:tc>
          <w:tcPr>
            <w:tcW w:w="754" w:type="dxa"/>
            <w:tcBorders>
              <w:top w:val="single" w:sz="4" w:space="0" w:color="auto"/>
              <w:bottom w:val="dotted" w:sz="4" w:space="0" w:color="auto"/>
            </w:tcBorders>
            <w:shd w:val="clear" w:color="auto" w:fill="FFFFFF" w:themeFill="background1"/>
            <w:noWrap/>
            <w:vAlign w:val="center"/>
            <w:hideMark/>
          </w:tcPr>
          <w:p w14:paraId="1AA61DDA" w14:textId="78E249BB"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$ 0.11</w:t>
            </w:r>
          </w:p>
        </w:tc>
        <w:tc>
          <w:tcPr>
            <w:tcW w:w="1207" w:type="dxa"/>
            <w:tcBorders>
              <w:top w:val="single" w:sz="4" w:space="0" w:color="auto"/>
              <w:bottom w:val="dotted" w:sz="4" w:space="0" w:color="auto"/>
            </w:tcBorders>
            <w:shd w:val="clear" w:color="auto" w:fill="FFFFFF" w:themeFill="background1"/>
            <w:noWrap/>
            <w:vAlign w:val="center"/>
            <w:hideMark/>
          </w:tcPr>
          <w:p w14:paraId="71D400B2" w14:textId="7F8D598C"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$ 0.64</w:t>
            </w:r>
          </w:p>
        </w:tc>
      </w:tr>
      <w:tr w:rsidR="003529F4" w:rsidRPr="00C82FF1" w14:paraId="22B65110" w14:textId="77777777" w:rsidTr="003C5802">
        <w:trPr>
          <w:trHeight w:val="340"/>
          <w:jc w:val="center"/>
        </w:trPr>
        <w:tc>
          <w:tcPr>
            <w:tcW w:w="1936" w:type="dxa"/>
            <w:vMerge/>
            <w:shd w:val="clear" w:color="auto" w:fill="FFFFFF" w:themeFill="background1"/>
            <w:vAlign w:val="center"/>
            <w:hideMark/>
          </w:tcPr>
          <w:p w14:paraId="3C719667" w14:textId="77777777" w:rsidR="003529F4" w:rsidRPr="00356BA4" w:rsidRDefault="003529F4" w:rsidP="003529F4">
            <w:pPr>
              <w:rPr>
                <w:rFonts w:ascii="Arial" w:hAnsi="Arial" w:cs="Arial"/>
                <w:color w:val="000000"/>
                <w:sz w:val="16"/>
                <w:szCs w:val="16"/>
                <w:lang w:eastAsia="es-CO"/>
              </w:rPr>
            </w:pPr>
          </w:p>
        </w:tc>
        <w:tc>
          <w:tcPr>
            <w:tcW w:w="852" w:type="dxa"/>
            <w:tcBorders>
              <w:top w:val="dotted" w:sz="4" w:space="0" w:color="auto"/>
              <w:bottom w:val="dotted" w:sz="4" w:space="0" w:color="auto"/>
            </w:tcBorders>
            <w:shd w:val="clear" w:color="auto" w:fill="FFFFFF" w:themeFill="background1"/>
            <w:vAlign w:val="center"/>
            <w:hideMark/>
          </w:tcPr>
          <w:p w14:paraId="6CA3C5C2"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Yemen </w:t>
            </w:r>
          </w:p>
        </w:tc>
        <w:tc>
          <w:tcPr>
            <w:tcW w:w="1984" w:type="dxa"/>
            <w:tcBorders>
              <w:top w:val="dotted" w:sz="4" w:space="0" w:color="auto"/>
              <w:bottom w:val="dotted" w:sz="4" w:space="0" w:color="auto"/>
            </w:tcBorders>
            <w:shd w:val="clear" w:color="auto" w:fill="FFFFFF" w:themeFill="background1"/>
            <w:vAlign w:val="center"/>
            <w:hideMark/>
          </w:tcPr>
          <w:p w14:paraId="61E6833C"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Balhaf </w:t>
            </w:r>
          </w:p>
        </w:tc>
        <w:tc>
          <w:tcPr>
            <w:tcW w:w="992" w:type="dxa"/>
            <w:tcBorders>
              <w:top w:val="dotted" w:sz="4" w:space="0" w:color="auto"/>
              <w:bottom w:val="dotted" w:sz="4" w:space="0" w:color="auto"/>
            </w:tcBorders>
            <w:shd w:val="clear" w:color="auto" w:fill="FFFFFF" w:themeFill="background1"/>
            <w:noWrap/>
            <w:vAlign w:val="center"/>
            <w:hideMark/>
          </w:tcPr>
          <w:p w14:paraId="63457407" w14:textId="74680098"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14888</w:t>
            </w:r>
          </w:p>
        </w:tc>
        <w:tc>
          <w:tcPr>
            <w:tcW w:w="992" w:type="dxa"/>
            <w:tcBorders>
              <w:top w:val="dotted" w:sz="4" w:space="0" w:color="auto"/>
              <w:bottom w:val="dotted" w:sz="4" w:space="0" w:color="auto"/>
            </w:tcBorders>
            <w:shd w:val="clear" w:color="auto" w:fill="FFFFFF" w:themeFill="background1"/>
            <w:noWrap/>
            <w:vAlign w:val="center"/>
            <w:hideMark/>
          </w:tcPr>
          <w:p w14:paraId="7A812B92" w14:textId="1AE5D306"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43</w:t>
            </w:r>
          </w:p>
        </w:tc>
        <w:tc>
          <w:tcPr>
            <w:tcW w:w="993" w:type="dxa"/>
            <w:tcBorders>
              <w:top w:val="dotted" w:sz="4" w:space="0" w:color="auto"/>
              <w:bottom w:val="dotted" w:sz="4" w:space="0" w:color="auto"/>
            </w:tcBorders>
            <w:shd w:val="clear" w:color="auto" w:fill="FFFFFF" w:themeFill="background1"/>
            <w:noWrap/>
            <w:vAlign w:val="center"/>
            <w:hideMark/>
          </w:tcPr>
          <w:p w14:paraId="487189FB" w14:textId="66C1455B"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$ 0.05</w:t>
            </w:r>
          </w:p>
        </w:tc>
        <w:tc>
          <w:tcPr>
            <w:tcW w:w="754" w:type="dxa"/>
            <w:tcBorders>
              <w:top w:val="dotted" w:sz="4" w:space="0" w:color="auto"/>
              <w:bottom w:val="dotted" w:sz="4" w:space="0" w:color="auto"/>
            </w:tcBorders>
            <w:shd w:val="clear" w:color="auto" w:fill="FFFFFF" w:themeFill="background1"/>
            <w:noWrap/>
            <w:vAlign w:val="center"/>
            <w:hideMark/>
          </w:tcPr>
          <w:p w14:paraId="46C74B75" w14:textId="3F86CCF2"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$ 0.11</w:t>
            </w:r>
          </w:p>
        </w:tc>
        <w:tc>
          <w:tcPr>
            <w:tcW w:w="1207" w:type="dxa"/>
            <w:tcBorders>
              <w:top w:val="dotted" w:sz="4" w:space="0" w:color="auto"/>
              <w:bottom w:val="dotted" w:sz="4" w:space="0" w:color="auto"/>
            </w:tcBorders>
            <w:shd w:val="clear" w:color="auto" w:fill="FFFFFF" w:themeFill="background1"/>
            <w:noWrap/>
            <w:vAlign w:val="center"/>
            <w:hideMark/>
          </w:tcPr>
          <w:p w14:paraId="66A6A935" w14:textId="5E34C4A1"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$ 0.56</w:t>
            </w:r>
          </w:p>
        </w:tc>
      </w:tr>
      <w:tr w:rsidR="003529F4" w:rsidRPr="00C82FF1" w14:paraId="710A21FA" w14:textId="77777777" w:rsidTr="003C5802">
        <w:trPr>
          <w:trHeight w:val="340"/>
          <w:jc w:val="center"/>
        </w:trPr>
        <w:tc>
          <w:tcPr>
            <w:tcW w:w="1936" w:type="dxa"/>
            <w:vMerge/>
            <w:shd w:val="clear" w:color="auto" w:fill="FFFFFF" w:themeFill="background1"/>
            <w:vAlign w:val="center"/>
            <w:hideMark/>
          </w:tcPr>
          <w:p w14:paraId="4750A17D" w14:textId="77777777" w:rsidR="003529F4" w:rsidRPr="00356BA4" w:rsidRDefault="003529F4" w:rsidP="003529F4">
            <w:pPr>
              <w:rPr>
                <w:rFonts w:ascii="Arial" w:hAnsi="Arial" w:cs="Arial"/>
                <w:color w:val="000000"/>
                <w:sz w:val="16"/>
                <w:szCs w:val="16"/>
                <w:lang w:eastAsia="es-CO"/>
              </w:rPr>
            </w:pPr>
          </w:p>
        </w:tc>
        <w:tc>
          <w:tcPr>
            <w:tcW w:w="852" w:type="dxa"/>
            <w:tcBorders>
              <w:top w:val="dotted" w:sz="4" w:space="0" w:color="auto"/>
              <w:bottom w:val="dotted" w:sz="4" w:space="0" w:color="auto"/>
            </w:tcBorders>
            <w:shd w:val="clear" w:color="auto" w:fill="FFFFFF" w:themeFill="background1"/>
            <w:vAlign w:val="center"/>
            <w:hideMark/>
          </w:tcPr>
          <w:p w14:paraId="7B50079B"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Emiratos Arabes </w:t>
            </w:r>
          </w:p>
        </w:tc>
        <w:tc>
          <w:tcPr>
            <w:tcW w:w="1984" w:type="dxa"/>
            <w:tcBorders>
              <w:top w:val="dotted" w:sz="4" w:space="0" w:color="auto"/>
              <w:bottom w:val="dotted" w:sz="4" w:space="0" w:color="auto"/>
            </w:tcBorders>
            <w:shd w:val="clear" w:color="auto" w:fill="FFFFFF" w:themeFill="background1"/>
            <w:vAlign w:val="center"/>
            <w:hideMark/>
          </w:tcPr>
          <w:p w14:paraId="4840C549"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Das Island </w:t>
            </w:r>
          </w:p>
        </w:tc>
        <w:tc>
          <w:tcPr>
            <w:tcW w:w="992" w:type="dxa"/>
            <w:tcBorders>
              <w:top w:val="dotted" w:sz="4" w:space="0" w:color="auto"/>
              <w:bottom w:val="dotted" w:sz="4" w:space="0" w:color="auto"/>
            </w:tcBorders>
            <w:shd w:val="clear" w:color="auto" w:fill="FFFFFF" w:themeFill="background1"/>
            <w:noWrap/>
            <w:vAlign w:val="center"/>
            <w:hideMark/>
          </w:tcPr>
          <w:p w14:paraId="77DD64A6" w14:textId="71155105"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17801</w:t>
            </w:r>
          </w:p>
        </w:tc>
        <w:tc>
          <w:tcPr>
            <w:tcW w:w="992" w:type="dxa"/>
            <w:tcBorders>
              <w:top w:val="dotted" w:sz="4" w:space="0" w:color="auto"/>
              <w:bottom w:val="dotted" w:sz="4" w:space="0" w:color="auto"/>
            </w:tcBorders>
            <w:shd w:val="clear" w:color="auto" w:fill="FFFFFF" w:themeFill="background1"/>
            <w:noWrap/>
            <w:vAlign w:val="center"/>
            <w:hideMark/>
          </w:tcPr>
          <w:p w14:paraId="036B1A10" w14:textId="2F113BA8"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50</w:t>
            </w:r>
          </w:p>
        </w:tc>
        <w:tc>
          <w:tcPr>
            <w:tcW w:w="993" w:type="dxa"/>
            <w:tcBorders>
              <w:top w:val="dotted" w:sz="4" w:space="0" w:color="auto"/>
              <w:bottom w:val="dotted" w:sz="4" w:space="0" w:color="auto"/>
            </w:tcBorders>
            <w:shd w:val="clear" w:color="auto" w:fill="FFFFFF" w:themeFill="background1"/>
            <w:noWrap/>
            <w:vAlign w:val="center"/>
            <w:hideMark/>
          </w:tcPr>
          <w:p w14:paraId="3ED37EB3" w14:textId="2171E864"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$ 0.06</w:t>
            </w:r>
          </w:p>
        </w:tc>
        <w:tc>
          <w:tcPr>
            <w:tcW w:w="754" w:type="dxa"/>
            <w:tcBorders>
              <w:top w:val="dotted" w:sz="4" w:space="0" w:color="auto"/>
              <w:bottom w:val="dotted" w:sz="4" w:space="0" w:color="auto"/>
            </w:tcBorders>
            <w:shd w:val="clear" w:color="auto" w:fill="FFFFFF" w:themeFill="background1"/>
            <w:noWrap/>
            <w:vAlign w:val="center"/>
            <w:hideMark/>
          </w:tcPr>
          <w:p w14:paraId="52B07D48" w14:textId="04A61798"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$ 0.11</w:t>
            </w:r>
          </w:p>
        </w:tc>
        <w:tc>
          <w:tcPr>
            <w:tcW w:w="1207" w:type="dxa"/>
            <w:tcBorders>
              <w:top w:val="dotted" w:sz="4" w:space="0" w:color="auto"/>
              <w:bottom w:val="dotted" w:sz="4" w:space="0" w:color="auto"/>
            </w:tcBorders>
            <w:shd w:val="clear" w:color="auto" w:fill="FFFFFF" w:themeFill="background1"/>
            <w:noWrap/>
            <w:vAlign w:val="center"/>
            <w:hideMark/>
          </w:tcPr>
          <w:p w14:paraId="57C30E58" w14:textId="2C1941DA"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$ 0.64</w:t>
            </w:r>
          </w:p>
        </w:tc>
      </w:tr>
      <w:tr w:rsidR="003529F4" w:rsidRPr="00C82FF1" w14:paraId="0E0D9B77" w14:textId="77777777" w:rsidTr="003C5802">
        <w:trPr>
          <w:trHeight w:val="340"/>
          <w:jc w:val="center"/>
        </w:trPr>
        <w:tc>
          <w:tcPr>
            <w:tcW w:w="1936" w:type="dxa"/>
            <w:vMerge/>
            <w:tcBorders>
              <w:bottom w:val="single" w:sz="4" w:space="0" w:color="auto"/>
            </w:tcBorders>
            <w:shd w:val="clear" w:color="auto" w:fill="FFFFFF" w:themeFill="background1"/>
            <w:vAlign w:val="center"/>
            <w:hideMark/>
          </w:tcPr>
          <w:p w14:paraId="2CC6761F" w14:textId="77777777" w:rsidR="003529F4" w:rsidRPr="00356BA4" w:rsidRDefault="003529F4" w:rsidP="003529F4">
            <w:pPr>
              <w:rPr>
                <w:rFonts w:ascii="Arial" w:hAnsi="Arial" w:cs="Arial"/>
                <w:color w:val="000000"/>
                <w:sz w:val="16"/>
                <w:szCs w:val="16"/>
                <w:lang w:eastAsia="es-CO"/>
              </w:rPr>
            </w:pPr>
          </w:p>
        </w:tc>
        <w:tc>
          <w:tcPr>
            <w:tcW w:w="852" w:type="dxa"/>
            <w:tcBorders>
              <w:top w:val="dotted" w:sz="4" w:space="0" w:color="auto"/>
              <w:bottom w:val="single" w:sz="4" w:space="0" w:color="auto"/>
            </w:tcBorders>
            <w:shd w:val="clear" w:color="auto" w:fill="FFFFFF" w:themeFill="background1"/>
            <w:vAlign w:val="center"/>
            <w:hideMark/>
          </w:tcPr>
          <w:p w14:paraId="54AE584E"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Oman  </w:t>
            </w:r>
          </w:p>
        </w:tc>
        <w:tc>
          <w:tcPr>
            <w:tcW w:w="1984" w:type="dxa"/>
            <w:tcBorders>
              <w:top w:val="dotted" w:sz="4" w:space="0" w:color="auto"/>
              <w:bottom w:val="single" w:sz="4" w:space="0" w:color="auto"/>
            </w:tcBorders>
            <w:shd w:val="clear" w:color="auto" w:fill="FFFFFF" w:themeFill="background1"/>
            <w:vAlign w:val="center"/>
            <w:hideMark/>
          </w:tcPr>
          <w:p w14:paraId="3F7E8865"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Qalhat </w:t>
            </w:r>
          </w:p>
        </w:tc>
        <w:tc>
          <w:tcPr>
            <w:tcW w:w="992" w:type="dxa"/>
            <w:tcBorders>
              <w:top w:val="dotted" w:sz="4" w:space="0" w:color="auto"/>
              <w:bottom w:val="single" w:sz="4" w:space="0" w:color="auto"/>
            </w:tcBorders>
            <w:shd w:val="clear" w:color="auto" w:fill="FFFFFF" w:themeFill="background1"/>
            <w:noWrap/>
            <w:vAlign w:val="center"/>
            <w:hideMark/>
          </w:tcPr>
          <w:p w14:paraId="74435F48" w14:textId="6E0A96AA"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15981</w:t>
            </w:r>
          </w:p>
        </w:tc>
        <w:tc>
          <w:tcPr>
            <w:tcW w:w="992" w:type="dxa"/>
            <w:tcBorders>
              <w:top w:val="dotted" w:sz="4" w:space="0" w:color="auto"/>
              <w:bottom w:val="single" w:sz="4" w:space="0" w:color="auto"/>
            </w:tcBorders>
            <w:shd w:val="clear" w:color="auto" w:fill="FFFFFF" w:themeFill="background1"/>
            <w:noWrap/>
            <w:vAlign w:val="center"/>
            <w:hideMark/>
          </w:tcPr>
          <w:p w14:paraId="57AB5021" w14:textId="4E4685B4"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46</w:t>
            </w:r>
          </w:p>
        </w:tc>
        <w:tc>
          <w:tcPr>
            <w:tcW w:w="993" w:type="dxa"/>
            <w:tcBorders>
              <w:top w:val="dotted" w:sz="4" w:space="0" w:color="auto"/>
              <w:bottom w:val="single" w:sz="4" w:space="0" w:color="auto"/>
            </w:tcBorders>
            <w:shd w:val="clear" w:color="auto" w:fill="FFFFFF" w:themeFill="background1"/>
            <w:noWrap/>
            <w:vAlign w:val="center"/>
            <w:hideMark/>
          </w:tcPr>
          <w:p w14:paraId="622DEF4F" w14:textId="7D46A60C"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$ 0.05</w:t>
            </w:r>
          </w:p>
        </w:tc>
        <w:tc>
          <w:tcPr>
            <w:tcW w:w="754" w:type="dxa"/>
            <w:tcBorders>
              <w:top w:val="dotted" w:sz="4" w:space="0" w:color="auto"/>
              <w:bottom w:val="single" w:sz="4" w:space="0" w:color="auto"/>
            </w:tcBorders>
            <w:shd w:val="clear" w:color="auto" w:fill="FFFFFF" w:themeFill="background1"/>
            <w:noWrap/>
            <w:vAlign w:val="center"/>
            <w:hideMark/>
          </w:tcPr>
          <w:p w14:paraId="17428411" w14:textId="7DDFB9F0"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$ 0.11</w:t>
            </w:r>
          </w:p>
        </w:tc>
        <w:tc>
          <w:tcPr>
            <w:tcW w:w="1207" w:type="dxa"/>
            <w:tcBorders>
              <w:top w:val="dotted" w:sz="4" w:space="0" w:color="auto"/>
              <w:bottom w:val="single" w:sz="4" w:space="0" w:color="auto"/>
            </w:tcBorders>
            <w:shd w:val="clear" w:color="auto" w:fill="FFFFFF" w:themeFill="background1"/>
            <w:noWrap/>
            <w:vAlign w:val="center"/>
            <w:hideMark/>
          </w:tcPr>
          <w:p w14:paraId="6DD135E6" w14:textId="499B952E"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$ 0.59</w:t>
            </w:r>
          </w:p>
        </w:tc>
      </w:tr>
      <w:tr w:rsidR="003529F4" w:rsidRPr="00C82FF1" w14:paraId="1FA56D85" w14:textId="77777777" w:rsidTr="003C5802">
        <w:trPr>
          <w:trHeight w:val="340"/>
          <w:jc w:val="center"/>
        </w:trPr>
        <w:tc>
          <w:tcPr>
            <w:tcW w:w="1936" w:type="dxa"/>
            <w:vMerge w:val="restart"/>
            <w:tcBorders>
              <w:top w:val="single" w:sz="4" w:space="0" w:color="auto"/>
            </w:tcBorders>
            <w:shd w:val="clear" w:color="auto" w:fill="FFFFFF" w:themeFill="background1"/>
            <w:noWrap/>
            <w:vAlign w:val="center"/>
            <w:hideMark/>
          </w:tcPr>
          <w:p w14:paraId="3B11CEB7" w14:textId="77777777" w:rsidR="003529F4" w:rsidRPr="00356BA4" w:rsidRDefault="003529F4" w:rsidP="003529F4">
            <w:pPr>
              <w:jc w:val="center"/>
              <w:rPr>
                <w:rFonts w:ascii="Arial" w:hAnsi="Arial" w:cs="Arial"/>
                <w:color w:val="000000"/>
                <w:sz w:val="16"/>
                <w:szCs w:val="16"/>
                <w:lang w:eastAsia="es-CO"/>
              </w:rPr>
            </w:pPr>
            <w:r w:rsidRPr="00356BA4">
              <w:rPr>
                <w:rFonts w:ascii="Arial" w:hAnsi="Arial" w:cs="Arial"/>
                <w:color w:val="000000"/>
                <w:sz w:val="16"/>
                <w:szCs w:val="16"/>
                <w:lang w:eastAsia="es-CO"/>
              </w:rPr>
              <w:t>Sureste Asiático</w:t>
            </w:r>
          </w:p>
        </w:tc>
        <w:tc>
          <w:tcPr>
            <w:tcW w:w="852" w:type="dxa"/>
            <w:tcBorders>
              <w:top w:val="single" w:sz="4" w:space="0" w:color="auto"/>
              <w:bottom w:val="dotted" w:sz="4" w:space="0" w:color="auto"/>
            </w:tcBorders>
            <w:shd w:val="clear" w:color="auto" w:fill="FFFFFF" w:themeFill="background1"/>
            <w:vAlign w:val="center"/>
            <w:hideMark/>
          </w:tcPr>
          <w:p w14:paraId="35341BF2"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Brunei </w:t>
            </w:r>
          </w:p>
        </w:tc>
        <w:tc>
          <w:tcPr>
            <w:tcW w:w="1984" w:type="dxa"/>
            <w:tcBorders>
              <w:top w:val="single" w:sz="4" w:space="0" w:color="auto"/>
              <w:bottom w:val="dotted" w:sz="4" w:space="0" w:color="auto"/>
            </w:tcBorders>
            <w:shd w:val="clear" w:color="auto" w:fill="FFFFFF" w:themeFill="background1"/>
            <w:vAlign w:val="center"/>
            <w:hideMark/>
          </w:tcPr>
          <w:p w14:paraId="2B20E81C"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Lumut </w:t>
            </w:r>
          </w:p>
        </w:tc>
        <w:tc>
          <w:tcPr>
            <w:tcW w:w="992" w:type="dxa"/>
            <w:tcBorders>
              <w:top w:val="single" w:sz="4" w:space="0" w:color="auto"/>
              <w:bottom w:val="dotted" w:sz="4" w:space="0" w:color="auto"/>
            </w:tcBorders>
            <w:shd w:val="clear" w:color="auto" w:fill="FFFFFF" w:themeFill="background1"/>
            <w:noWrap/>
            <w:vAlign w:val="center"/>
            <w:hideMark/>
          </w:tcPr>
          <w:p w14:paraId="287541CE" w14:textId="4B66B5C5"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18516</w:t>
            </w:r>
          </w:p>
        </w:tc>
        <w:tc>
          <w:tcPr>
            <w:tcW w:w="992" w:type="dxa"/>
            <w:tcBorders>
              <w:top w:val="single" w:sz="4" w:space="0" w:color="auto"/>
              <w:bottom w:val="dotted" w:sz="4" w:space="0" w:color="auto"/>
            </w:tcBorders>
            <w:shd w:val="clear" w:color="auto" w:fill="FFFFFF" w:themeFill="background1"/>
            <w:noWrap/>
            <w:vAlign w:val="center"/>
            <w:hideMark/>
          </w:tcPr>
          <w:p w14:paraId="356A4830" w14:textId="20695463"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52</w:t>
            </w:r>
          </w:p>
        </w:tc>
        <w:tc>
          <w:tcPr>
            <w:tcW w:w="993" w:type="dxa"/>
            <w:tcBorders>
              <w:top w:val="single" w:sz="4" w:space="0" w:color="auto"/>
              <w:bottom w:val="dotted" w:sz="4" w:space="0" w:color="auto"/>
            </w:tcBorders>
            <w:shd w:val="clear" w:color="auto" w:fill="FFFFFF" w:themeFill="background1"/>
            <w:noWrap/>
            <w:vAlign w:val="center"/>
            <w:hideMark/>
          </w:tcPr>
          <w:p w14:paraId="496036CC" w14:textId="30E7AA33"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$ 0.06</w:t>
            </w:r>
          </w:p>
        </w:tc>
        <w:tc>
          <w:tcPr>
            <w:tcW w:w="754" w:type="dxa"/>
            <w:tcBorders>
              <w:top w:val="single" w:sz="4" w:space="0" w:color="auto"/>
              <w:bottom w:val="dotted" w:sz="4" w:space="0" w:color="auto"/>
            </w:tcBorders>
            <w:shd w:val="clear" w:color="auto" w:fill="FFFFFF" w:themeFill="background1"/>
            <w:noWrap/>
            <w:vAlign w:val="center"/>
            <w:hideMark/>
          </w:tcPr>
          <w:p w14:paraId="0B231664" w14:textId="3FD27164"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w:t>
            </w:r>
          </w:p>
        </w:tc>
        <w:tc>
          <w:tcPr>
            <w:tcW w:w="1207" w:type="dxa"/>
            <w:tcBorders>
              <w:top w:val="single" w:sz="4" w:space="0" w:color="auto"/>
              <w:bottom w:val="dotted" w:sz="4" w:space="0" w:color="auto"/>
            </w:tcBorders>
            <w:shd w:val="clear" w:color="auto" w:fill="FFFFFF" w:themeFill="background1"/>
            <w:noWrap/>
            <w:vAlign w:val="center"/>
            <w:hideMark/>
          </w:tcPr>
          <w:p w14:paraId="5C1EAB7B" w14:textId="5E3FBE6E"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$ 0.56</w:t>
            </w:r>
          </w:p>
        </w:tc>
      </w:tr>
      <w:tr w:rsidR="003529F4" w:rsidRPr="00C82FF1" w14:paraId="794B5723" w14:textId="77777777" w:rsidTr="003C5802">
        <w:trPr>
          <w:trHeight w:val="340"/>
          <w:jc w:val="center"/>
        </w:trPr>
        <w:tc>
          <w:tcPr>
            <w:tcW w:w="1936" w:type="dxa"/>
            <w:vMerge/>
            <w:shd w:val="clear" w:color="auto" w:fill="FFFFFF" w:themeFill="background1"/>
            <w:vAlign w:val="center"/>
            <w:hideMark/>
          </w:tcPr>
          <w:p w14:paraId="28674702" w14:textId="77777777" w:rsidR="003529F4" w:rsidRPr="00356BA4" w:rsidRDefault="003529F4" w:rsidP="003529F4">
            <w:pPr>
              <w:rPr>
                <w:rFonts w:ascii="Arial" w:hAnsi="Arial" w:cs="Arial"/>
                <w:color w:val="000000"/>
                <w:sz w:val="16"/>
                <w:szCs w:val="16"/>
                <w:lang w:eastAsia="es-CO"/>
              </w:rPr>
            </w:pPr>
          </w:p>
        </w:tc>
        <w:tc>
          <w:tcPr>
            <w:tcW w:w="852" w:type="dxa"/>
            <w:tcBorders>
              <w:top w:val="dotted" w:sz="4" w:space="0" w:color="auto"/>
              <w:bottom w:val="dotted" w:sz="4" w:space="0" w:color="auto"/>
            </w:tcBorders>
            <w:shd w:val="clear" w:color="auto" w:fill="FFFFFF" w:themeFill="background1"/>
            <w:vAlign w:val="center"/>
            <w:hideMark/>
          </w:tcPr>
          <w:p w14:paraId="1D1BDA57"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Indonesia </w:t>
            </w:r>
          </w:p>
        </w:tc>
        <w:tc>
          <w:tcPr>
            <w:tcW w:w="1984" w:type="dxa"/>
            <w:tcBorders>
              <w:top w:val="dotted" w:sz="4" w:space="0" w:color="auto"/>
              <w:bottom w:val="dotted" w:sz="4" w:space="0" w:color="auto"/>
            </w:tcBorders>
            <w:shd w:val="clear" w:color="auto" w:fill="FFFFFF" w:themeFill="background1"/>
            <w:vAlign w:val="center"/>
            <w:hideMark/>
          </w:tcPr>
          <w:p w14:paraId="50940170" w14:textId="77777777" w:rsidR="003529F4" w:rsidRPr="00356BA4" w:rsidRDefault="003529F4" w:rsidP="003529F4">
            <w:pPr>
              <w:jc w:val="center"/>
              <w:rPr>
                <w:rFonts w:ascii="Arial" w:hAnsi="Arial" w:cs="Arial"/>
                <w:sz w:val="16"/>
                <w:szCs w:val="16"/>
                <w:lang w:val="en-US" w:eastAsia="es-CO"/>
              </w:rPr>
            </w:pPr>
            <w:r w:rsidRPr="00356BA4">
              <w:rPr>
                <w:rFonts w:ascii="Arial" w:hAnsi="Arial" w:cs="Arial"/>
                <w:sz w:val="16"/>
                <w:szCs w:val="16"/>
                <w:lang w:val="en-US" w:eastAsia="es-CO"/>
              </w:rPr>
              <w:t xml:space="preserve"> Blang Lancang Arun</w:t>
            </w:r>
            <w:r w:rsidRPr="00356BA4">
              <w:rPr>
                <w:rFonts w:ascii="Arial" w:hAnsi="Arial" w:cs="Arial"/>
                <w:sz w:val="16"/>
                <w:szCs w:val="16"/>
                <w:lang w:val="en-US" w:eastAsia="es-CO"/>
              </w:rPr>
              <w:br/>
              <w:t>Bontang Badak</w:t>
            </w:r>
            <w:r w:rsidRPr="00356BA4">
              <w:rPr>
                <w:rFonts w:ascii="Arial" w:hAnsi="Arial" w:cs="Arial"/>
                <w:sz w:val="16"/>
                <w:szCs w:val="16"/>
                <w:lang w:val="en-US" w:eastAsia="es-CO"/>
              </w:rPr>
              <w:br/>
              <w:t xml:space="preserve">Tangguh </w:t>
            </w:r>
          </w:p>
        </w:tc>
        <w:tc>
          <w:tcPr>
            <w:tcW w:w="992" w:type="dxa"/>
            <w:tcBorders>
              <w:top w:val="dotted" w:sz="4" w:space="0" w:color="auto"/>
              <w:bottom w:val="dotted" w:sz="4" w:space="0" w:color="auto"/>
            </w:tcBorders>
            <w:shd w:val="clear" w:color="auto" w:fill="FFFFFF" w:themeFill="background1"/>
            <w:noWrap/>
            <w:vAlign w:val="center"/>
            <w:hideMark/>
          </w:tcPr>
          <w:p w14:paraId="59080A9D" w14:textId="590D82DA"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20592</w:t>
            </w:r>
          </w:p>
        </w:tc>
        <w:tc>
          <w:tcPr>
            <w:tcW w:w="992" w:type="dxa"/>
            <w:tcBorders>
              <w:top w:val="dotted" w:sz="4" w:space="0" w:color="auto"/>
              <w:bottom w:val="dotted" w:sz="4" w:space="0" w:color="auto"/>
            </w:tcBorders>
            <w:shd w:val="clear" w:color="auto" w:fill="FFFFFF" w:themeFill="background1"/>
            <w:noWrap/>
            <w:vAlign w:val="center"/>
            <w:hideMark/>
          </w:tcPr>
          <w:p w14:paraId="248C1C94" w14:textId="6E08BB41"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57</w:t>
            </w:r>
          </w:p>
        </w:tc>
        <w:tc>
          <w:tcPr>
            <w:tcW w:w="993" w:type="dxa"/>
            <w:tcBorders>
              <w:top w:val="dotted" w:sz="4" w:space="0" w:color="auto"/>
              <w:bottom w:val="dotted" w:sz="4" w:space="0" w:color="auto"/>
            </w:tcBorders>
            <w:shd w:val="clear" w:color="auto" w:fill="FFFFFF" w:themeFill="background1"/>
            <w:noWrap/>
            <w:vAlign w:val="center"/>
            <w:hideMark/>
          </w:tcPr>
          <w:p w14:paraId="2E3110B1" w14:textId="23363CF4"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$ 0.07</w:t>
            </w:r>
          </w:p>
        </w:tc>
        <w:tc>
          <w:tcPr>
            <w:tcW w:w="754" w:type="dxa"/>
            <w:tcBorders>
              <w:top w:val="dotted" w:sz="4" w:space="0" w:color="auto"/>
              <w:bottom w:val="dotted" w:sz="4" w:space="0" w:color="auto"/>
            </w:tcBorders>
            <w:shd w:val="clear" w:color="auto" w:fill="FFFFFF" w:themeFill="background1"/>
            <w:noWrap/>
            <w:vAlign w:val="center"/>
            <w:hideMark/>
          </w:tcPr>
          <w:p w14:paraId="2B5A0F3F" w14:textId="43377ACF"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w:t>
            </w:r>
          </w:p>
        </w:tc>
        <w:tc>
          <w:tcPr>
            <w:tcW w:w="1207" w:type="dxa"/>
            <w:tcBorders>
              <w:top w:val="dotted" w:sz="4" w:space="0" w:color="auto"/>
              <w:bottom w:val="dotted" w:sz="4" w:space="0" w:color="auto"/>
            </w:tcBorders>
            <w:shd w:val="clear" w:color="auto" w:fill="FFFFFF" w:themeFill="background1"/>
            <w:noWrap/>
            <w:vAlign w:val="center"/>
            <w:hideMark/>
          </w:tcPr>
          <w:p w14:paraId="3907BF86" w14:textId="3C913723"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$ 0.62</w:t>
            </w:r>
          </w:p>
        </w:tc>
      </w:tr>
      <w:tr w:rsidR="003529F4" w:rsidRPr="00C82FF1" w14:paraId="34D88691" w14:textId="77777777" w:rsidTr="003C5802">
        <w:trPr>
          <w:trHeight w:val="340"/>
          <w:jc w:val="center"/>
        </w:trPr>
        <w:tc>
          <w:tcPr>
            <w:tcW w:w="1936" w:type="dxa"/>
            <w:vMerge/>
            <w:tcBorders>
              <w:bottom w:val="single" w:sz="4" w:space="0" w:color="auto"/>
            </w:tcBorders>
            <w:shd w:val="clear" w:color="auto" w:fill="FFFFFF" w:themeFill="background1"/>
            <w:vAlign w:val="center"/>
            <w:hideMark/>
          </w:tcPr>
          <w:p w14:paraId="5A5AC34A" w14:textId="77777777" w:rsidR="003529F4" w:rsidRPr="00356BA4" w:rsidRDefault="003529F4" w:rsidP="003529F4">
            <w:pPr>
              <w:rPr>
                <w:rFonts w:ascii="Arial" w:hAnsi="Arial" w:cs="Arial"/>
                <w:color w:val="000000"/>
                <w:sz w:val="16"/>
                <w:szCs w:val="16"/>
                <w:lang w:eastAsia="es-CO"/>
              </w:rPr>
            </w:pPr>
          </w:p>
        </w:tc>
        <w:tc>
          <w:tcPr>
            <w:tcW w:w="852" w:type="dxa"/>
            <w:tcBorders>
              <w:top w:val="dotted" w:sz="4" w:space="0" w:color="auto"/>
              <w:bottom w:val="single" w:sz="4" w:space="0" w:color="auto"/>
            </w:tcBorders>
            <w:shd w:val="clear" w:color="auto" w:fill="FFFFFF" w:themeFill="background1"/>
            <w:vAlign w:val="center"/>
            <w:hideMark/>
          </w:tcPr>
          <w:p w14:paraId="6702C52C"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Malasia </w:t>
            </w:r>
          </w:p>
        </w:tc>
        <w:tc>
          <w:tcPr>
            <w:tcW w:w="1984" w:type="dxa"/>
            <w:tcBorders>
              <w:top w:val="dotted" w:sz="4" w:space="0" w:color="auto"/>
              <w:bottom w:val="single" w:sz="4" w:space="0" w:color="auto"/>
            </w:tcBorders>
            <w:shd w:val="clear" w:color="auto" w:fill="FFFFFF" w:themeFill="background1"/>
            <w:vAlign w:val="center"/>
            <w:hideMark/>
          </w:tcPr>
          <w:p w14:paraId="70531A46" w14:textId="77777777" w:rsidR="003529F4" w:rsidRPr="00356BA4" w:rsidRDefault="003529F4" w:rsidP="003529F4">
            <w:pPr>
              <w:jc w:val="center"/>
              <w:rPr>
                <w:rFonts w:ascii="Arial" w:hAnsi="Arial" w:cs="Arial"/>
                <w:sz w:val="16"/>
                <w:szCs w:val="16"/>
                <w:lang w:val="en-US" w:eastAsia="es-CO"/>
              </w:rPr>
            </w:pPr>
            <w:r w:rsidRPr="00356BA4">
              <w:rPr>
                <w:rFonts w:ascii="Arial" w:hAnsi="Arial" w:cs="Arial"/>
                <w:sz w:val="16"/>
                <w:szCs w:val="16"/>
                <w:lang w:val="en-US" w:eastAsia="es-CO"/>
              </w:rPr>
              <w:t xml:space="preserve"> Bintulu MLNG 1</w:t>
            </w:r>
            <w:r w:rsidRPr="00356BA4">
              <w:rPr>
                <w:rFonts w:ascii="Arial" w:hAnsi="Arial" w:cs="Arial"/>
                <w:sz w:val="16"/>
                <w:szCs w:val="16"/>
                <w:lang w:val="en-US" w:eastAsia="es-CO"/>
              </w:rPr>
              <w:br/>
              <w:t>Bintulu MLNG 2</w:t>
            </w:r>
            <w:r w:rsidRPr="00356BA4">
              <w:rPr>
                <w:rFonts w:ascii="Arial" w:hAnsi="Arial" w:cs="Arial"/>
                <w:sz w:val="16"/>
                <w:szCs w:val="16"/>
                <w:lang w:val="en-US" w:eastAsia="es-CO"/>
              </w:rPr>
              <w:br/>
              <w:t xml:space="preserve">Bintulu MLNG 3 </w:t>
            </w:r>
          </w:p>
        </w:tc>
        <w:tc>
          <w:tcPr>
            <w:tcW w:w="992" w:type="dxa"/>
            <w:tcBorders>
              <w:top w:val="dotted" w:sz="4" w:space="0" w:color="auto"/>
              <w:bottom w:val="single" w:sz="4" w:space="0" w:color="auto"/>
            </w:tcBorders>
            <w:shd w:val="clear" w:color="auto" w:fill="FFFFFF" w:themeFill="background1"/>
            <w:noWrap/>
            <w:vAlign w:val="center"/>
            <w:hideMark/>
          </w:tcPr>
          <w:p w14:paraId="3F23E1D8" w14:textId="224BC704"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18744</w:t>
            </w:r>
          </w:p>
        </w:tc>
        <w:tc>
          <w:tcPr>
            <w:tcW w:w="992" w:type="dxa"/>
            <w:tcBorders>
              <w:top w:val="dotted" w:sz="4" w:space="0" w:color="auto"/>
              <w:bottom w:val="single" w:sz="4" w:space="0" w:color="auto"/>
            </w:tcBorders>
            <w:shd w:val="clear" w:color="auto" w:fill="FFFFFF" w:themeFill="background1"/>
            <w:noWrap/>
            <w:vAlign w:val="center"/>
            <w:hideMark/>
          </w:tcPr>
          <w:p w14:paraId="5E9C0365" w14:textId="2DF0C50D"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52</w:t>
            </w:r>
          </w:p>
        </w:tc>
        <w:tc>
          <w:tcPr>
            <w:tcW w:w="993" w:type="dxa"/>
            <w:tcBorders>
              <w:top w:val="dotted" w:sz="4" w:space="0" w:color="auto"/>
              <w:bottom w:val="single" w:sz="4" w:space="0" w:color="auto"/>
            </w:tcBorders>
            <w:shd w:val="clear" w:color="auto" w:fill="FFFFFF" w:themeFill="background1"/>
            <w:noWrap/>
            <w:vAlign w:val="center"/>
            <w:hideMark/>
          </w:tcPr>
          <w:p w14:paraId="223B110F" w14:textId="6AAAD9DD"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$ 0.06</w:t>
            </w:r>
          </w:p>
        </w:tc>
        <w:tc>
          <w:tcPr>
            <w:tcW w:w="754" w:type="dxa"/>
            <w:tcBorders>
              <w:top w:val="dotted" w:sz="4" w:space="0" w:color="auto"/>
              <w:bottom w:val="single" w:sz="4" w:space="0" w:color="auto"/>
            </w:tcBorders>
            <w:shd w:val="clear" w:color="auto" w:fill="FFFFFF" w:themeFill="background1"/>
            <w:noWrap/>
            <w:vAlign w:val="center"/>
            <w:hideMark/>
          </w:tcPr>
          <w:p w14:paraId="4F0A3E58" w14:textId="1869853B"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w:t>
            </w:r>
          </w:p>
        </w:tc>
        <w:tc>
          <w:tcPr>
            <w:tcW w:w="1207" w:type="dxa"/>
            <w:tcBorders>
              <w:top w:val="dotted" w:sz="4" w:space="0" w:color="auto"/>
              <w:bottom w:val="single" w:sz="4" w:space="0" w:color="auto"/>
            </w:tcBorders>
            <w:shd w:val="clear" w:color="auto" w:fill="FFFFFF" w:themeFill="background1"/>
            <w:noWrap/>
            <w:vAlign w:val="center"/>
            <w:hideMark/>
          </w:tcPr>
          <w:p w14:paraId="5706A443" w14:textId="706F97FD"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$ 0.56</w:t>
            </w:r>
          </w:p>
        </w:tc>
      </w:tr>
      <w:tr w:rsidR="003529F4" w:rsidRPr="00C82FF1" w14:paraId="6D946E91" w14:textId="77777777" w:rsidTr="003C5802">
        <w:trPr>
          <w:trHeight w:val="340"/>
          <w:jc w:val="center"/>
        </w:trPr>
        <w:tc>
          <w:tcPr>
            <w:tcW w:w="1936" w:type="dxa"/>
            <w:tcBorders>
              <w:top w:val="single" w:sz="4" w:space="0" w:color="auto"/>
              <w:bottom w:val="single" w:sz="4" w:space="0" w:color="auto"/>
            </w:tcBorders>
            <w:shd w:val="clear" w:color="auto" w:fill="FFFFFF" w:themeFill="background1"/>
            <w:vAlign w:val="center"/>
            <w:hideMark/>
          </w:tcPr>
          <w:p w14:paraId="71AF358D" w14:textId="77777777" w:rsidR="003529F4" w:rsidRPr="00356BA4" w:rsidRDefault="003529F4" w:rsidP="003529F4">
            <w:pPr>
              <w:jc w:val="center"/>
              <w:rPr>
                <w:rFonts w:ascii="Arial" w:hAnsi="Arial" w:cs="Arial"/>
                <w:color w:val="000000"/>
                <w:sz w:val="16"/>
                <w:szCs w:val="16"/>
                <w:lang w:eastAsia="es-CO"/>
              </w:rPr>
            </w:pPr>
            <w:r w:rsidRPr="00356BA4">
              <w:rPr>
                <w:rFonts w:ascii="Arial" w:hAnsi="Arial" w:cs="Arial"/>
                <w:color w:val="000000"/>
                <w:sz w:val="16"/>
                <w:szCs w:val="16"/>
                <w:lang w:eastAsia="es-CO"/>
              </w:rPr>
              <w:t>Norte de Asia y Europa Oriental</w:t>
            </w:r>
          </w:p>
        </w:tc>
        <w:tc>
          <w:tcPr>
            <w:tcW w:w="852" w:type="dxa"/>
            <w:tcBorders>
              <w:top w:val="single" w:sz="4" w:space="0" w:color="auto"/>
              <w:bottom w:val="single" w:sz="4" w:space="0" w:color="auto"/>
            </w:tcBorders>
            <w:shd w:val="clear" w:color="auto" w:fill="FFFFFF" w:themeFill="background1"/>
            <w:vAlign w:val="center"/>
            <w:hideMark/>
          </w:tcPr>
          <w:p w14:paraId="69A649FF"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Rusia </w:t>
            </w:r>
          </w:p>
        </w:tc>
        <w:tc>
          <w:tcPr>
            <w:tcW w:w="1984" w:type="dxa"/>
            <w:tcBorders>
              <w:top w:val="single" w:sz="4" w:space="0" w:color="auto"/>
              <w:bottom w:val="single" w:sz="4" w:space="0" w:color="auto"/>
            </w:tcBorders>
            <w:shd w:val="clear" w:color="auto" w:fill="FFFFFF" w:themeFill="background1"/>
            <w:vAlign w:val="center"/>
            <w:hideMark/>
          </w:tcPr>
          <w:p w14:paraId="2B71AB82"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Sakhalin II </w:t>
            </w:r>
          </w:p>
        </w:tc>
        <w:tc>
          <w:tcPr>
            <w:tcW w:w="992" w:type="dxa"/>
            <w:tcBorders>
              <w:top w:val="single" w:sz="4" w:space="0" w:color="auto"/>
              <w:bottom w:val="single" w:sz="4" w:space="0" w:color="auto"/>
            </w:tcBorders>
            <w:shd w:val="clear" w:color="auto" w:fill="FFFFFF" w:themeFill="background1"/>
            <w:noWrap/>
            <w:vAlign w:val="center"/>
            <w:hideMark/>
          </w:tcPr>
          <w:p w14:paraId="42CD54F8" w14:textId="447D2BAE"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13675</w:t>
            </w:r>
          </w:p>
        </w:tc>
        <w:tc>
          <w:tcPr>
            <w:tcW w:w="992" w:type="dxa"/>
            <w:tcBorders>
              <w:top w:val="single" w:sz="4" w:space="0" w:color="auto"/>
              <w:bottom w:val="single" w:sz="4" w:space="0" w:color="auto"/>
            </w:tcBorders>
            <w:shd w:val="clear" w:color="auto" w:fill="FFFFFF" w:themeFill="background1"/>
            <w:noWrap/>
            <w:vAlign w:val="center"/>
            <w:hideMark/>
          </w:tcPr>
          <w:p w14:paraId="5A419784" w14:textId="6EDEDF26"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41</w:t>
            </w:r>
          </w:p>
        </w:tc>
        <w:tc>
          <w:tcPr>
            <w:tcW w:w="993" w:type="dxa"/>
            <w:tcBorders>
              <w:top w:val="single" w:sz="4" w:space="0" w:color="auto"/>
              <w:bottom w:val="single" w:sz="4" w:space="0" w:color="auto"/>
            </w:tcBorders>
            <w:shd w:val="clear" w:color="auto" w:fill="FFFFFF" w:themeFill="background1"/>
            <w:noWrap/>
            <w:vAlign w:val="center"/>
            <w:hideMark/>
          </w:tcPr>
          <w:p w14:paraId="215E9299" w14:textId="5B9BDB5A"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$ 0.04</w:t>
            </w:r>
          </w:p>
        </w:tc>
        <w:tc>
          <w:tcPr>
            <w:tcW w:w="754" w:type="dxa"/>
            <w:tcBorders>
              <w:top w:val="single" w:sz="4" w:space="0" w:color="auto"/>
              <w:bottom w:val="single" w:sz="4" w:space="0" w:color="auto"/>
            </w:tcBorders>
            <w:shd w:val="clear" w:color="auto" w:fill="FFFFFF" w:themeFill="background1"/>
            <w:noWrap/>
            <w:vAlign w:val="center"/>
            <w:hideMark/>
          </w:tcPr>
          <w:p w14:paraId="442AC3C9" w14:textId="442D74C5"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w:t>
            </w:r>
          </w:p>
        </w:tc>
        <w:tc>
          <w:tcPr>
            <w:tcW w:w="1207" w:type="dxa"/>
            <w:tcBorders>
              <w:top w:val="single" w:sz="4" w:space="0" w:color="auto"/>
              <w:bottom w:val="single" w:sz="4" w:space="0" w:color="auto"/>
            </w:tcBorders>
            <w:shd w:val="clear" w:color="auto" w:fill="FFFFFF" w:themeFill="background1"/>
            <w:noWrap/>
            <w:vAlign w:val="center"/>
            <w:hideMark/>
          </w:tcPr>
          <w:p w14:paraId="37A5C572" w14:textId="6847C36C"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$ 0.43</w:t>
            </w:r>
          </w:p>
        </w:tc>
      </w:tr>
      <w:tr w:rsidR="003529F4" w:rsidRPr="00C82FF1" w14:paraId="0AE62639" w14:textId="77777777" w:rsidTr="003C5802">
        <w:trPr>
          <w:trHeight w:val="340"/>
          <w:jc w:val="center"/>
        </w:trPr>
        <w:tc>
          <w:tcPr>
            <w:tcW w:w="1936" w:type="dxa"/>
            <w:tcBorders>
              <w:top w:val="single" w:sz="4" w:space="0" w:color="auto"/>
              <w:bottom w:val="double" w:sz="4" w:space="0" w:color="auto"/>
            </w:tcBorders>
            <w:shd w:val="clear" w:color="auto" w:fill="FFFFFF" w:themeFill="background1"/>
            <w:noWrap/>
            <w:vAlign w:val="center"/>
            <w:hideMark/>
          </w:tcPr>
          <w:p w14:paraId="7262ADCE" w14:textId="77777777" w:rsidR="003529F4" w:rsidRPr="00356BA4" w:rsidRDefault="003529F4" w:rsidP="003529F4">
            <w:pPr>
              <w:jc w:val="center"/>
              <w:rPr>
                <w:rFonts w:ascii="Arial" w:hAnsi="Arial" w:cs="Arial"/>
                <w:color w:val="000000"/>
                <w:sz w:val="16"/>
                <w:szCs w:val="16"/>
                <w:lang w:eastAsia="es-CO"/>
              </w:rPr>
            </w:pPr>
            <w:r w:rsidRPr="00356BA4">
              <w:rPr>
                <w:rFonts w:ascii="Arial" w:hAnsi="Arial" w:cs="Arial"/>
                <w:color w:val="000000"/>
                <w:sz w:val="16"/>
                <w:szCs w:val="16"/>
                <w:lang w:eastAsia="es-CO"/>
              </w:rPr>
              <w:t>Oceanía</w:t>
            </w:r>
          </w:p>
        </w:tc>
        <w:tc>
          <w:tcPr>
            <w:tcW w:w="852" w:type="dxa"/>
            <w:tcBorders>
              <w:top w:val="single" w:sz="4" w:space="0" w:color="auto"/>
              <w:bottom w:val="double" w:sz="4" w:space="0" w:color="auto"/>
            </w:tcBorders>
            <w:shd w:val="clear" w:color="auto" w:fill="FFFFFF" w:themeFill="background1"/>
            <w:vAlign w:val="center"/>
            <w:hideMark/>
          </w:tcPr>
          <w:p w14:paraId="4EB29EDD" w14:textId="77777777" w:rsidR="003529F4" w:rsidRPr="00356BA4" w:rsidRDefault="003529F4" w:rsidP="003529F4">
            <w:pPr>
              <w:jc w:val="center"/>
              <w:rPr>
                <w:rFonts w:ascii="Arial" w:hAnsi="Arial" w:cs="Arial"/>
                <w:sz w:val="16"/>
                <w:szCs w:val="16"/>
                <w:lang w:eastAsia="es-CO"/>
              </w:rPr>
            </w:pPr>
            <w:r w:rsidRPr="00356BA4">
              <w:rPr>
                <w:rFonts w:ascii="Arial" w:hAnsi="Arial" w:cs="Arial"/>
                <w:sz w:val="16"/>
                <w:szCs w:val="16"/>
                <w:lang w:eastAsia="es-CO"/>
              </w:rPr>
              <w:t xml:space="preserve"> Australia </w:t>
            </w:r>
          </w:p>
        </w:tc>
        <w:tc>
          <w:tcPr>
            <w:tcW w:w="1984" w:type="dxa"/>
            <w:tcBorders>
              <w:top w:val="single" w:sz="4" w:space="0" w:color="auto"/>
              <w:bottom w:val="double" w:sz="4" w:space="0" w:color="auto"/>
            </w:tcBorders>
            <w:shd w:val="clear" w:color="auto" w:fill="FFFFFF" w:themeFill="background1"/>
            <w:vAlign w:val="center"/>
            <w:hideMark/>
          </w:tcPr>
          <w:p w14:paraId="358554D6" w14:textId="77777777" w:rsidR="003529F4" w:rsidRPr="00356BA4" w:rsidRDefault="003529F4" w:rsidP="003529F4">
            <w:pPr>
              <w:jc w:val="center"/>
              <w:rPr>
                <w:rFonts w:ascii="Arial" w:hAnsi="Arial" w:cs="Arial"/>
                <w:sz w:val="16"/>
                <w:szCs w:val="16"/>
                <w:lang w:val="en-US" w:eastAsia="es-CO"/>
              </w:rPr>
            </w:pPr>
            <w:r w:rsidRPr="00356BA4">
              <w:rPr>
                <w:rFonts w:ascii="Arial" w:hAnsi="Arial" w:cs="Arial"/>
                <w:sz w:val="16"/>
                <w:szCs w:val="16"/>
                <w:lang w:val="en-US" w:eastAsia="es-CO"/>
              </w:rPr>
              <w:t xml:space="preserve"> Darwin</w:t>
            </w:r>
            <w:r w:rsidRPr="00356BA4">
              <w:rPr>
                <w:rFonts w:ascii="Arial" w:hAnsi="Arial" w:cs="Arial"/>
                <w:sz w:val="16"/>
                <w:szCs w:val="16"/>
                <w:lang w:val="en-US" w:eastAsia="es-CO"/>
              </w:rPr>
              <w:br/>
              <w:t>Pluto</w:t>
            </w:r>
            <w:r w:rsidRPr="00356BA4">
              <w:rPr>
                <w:rFonts w:ascii="Arial" w:hAnsi="Arial" w:cs="Arial"/>
                <w:sz w:val="16"/>
                <w:szCs w:val="16"/>
                <w:lang w:val="en-US" w:eastAsia="es-CO"/>
              </w:rPr>
              <w:br/>
              <w:t>Withnell Bay Traines 1-4</w:t>
            </w:r>
            <w:r w:rsidRPr="00356BA4">
              <w:rPr>
                <w:rFonts w:ascii="Arial" w:hAnsi="Arial" w:cs="Arial"/>
                <w:sz w:val="16"/>
                <w:szCs w:val="16"/>
                <w:lang w:val="en-US" w:eastAsia="es-CO"/>
              </w:rPr>
              <w:br/>
              <w:t xml:space="preserve">Withnell Bay Train 5 </w:t>
            </w:r>
          </w:p>
        </w:tc>
        <w:tc>
          <w:tcPr>
            <w:tcW w:w="992" w:type="dxa"/>
            <w:tcBorders>
              <w:top w:val="single" w:sz="4" w:space="0" w:color="auto"/>
              <w:bottom w:val="double" w:sz="4" w:space="0" w:color="auto"/>
            </w:tcBorders>
            <w:shd w:val="clear" w:color="auto" w:fill="FFFFFF" w:themeFill="background1"/>
            <w:noWrap/>
            <w:vAlign w:val="center"/>
            <w:hideMark/>
          </w:tcPr>
          <w:p w14:paraId="57145355" w14:textId="02CB6762"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17000</w:t>
            </w:r>
          </w:p>
        </w:tc>
        <w:tc>
          <w:tcPr>
            <w:tcW w:w="992" w:type="dxa"/>
            <w:tcBorders>
              <w:top w:val="single" w:sz="4" w:space="0" w:color="auto"/>
              <w:bottom w:val="double" w:sz="4" w:space="0" w:color="auto"/>
            </w:tcBorders>
            <w:shd w:val="clear" w:color="auto" w:fill="FFFFFF" w:themeFill="background1"/>
            <w:noWrap/>
            <w:vAlign w:val="center"/>
            <w:hideMark/>
          </w:tcPr>
          <w:p w14:paraId="41CDC98F" w14:textId="2C886611" w:rsidR="003529F4" w:rsidRPr="003529F4" w:rsidRDefault="003529F4" w:rsidP="003529F4">
            <w:pPr>
              <w:jc w:val="center"/>
              <w:rPr>
                <w:rFonts w:ascii="Arial" w:hAnsi="Arial" w:cs="Arial"/>
                <w:color w:val="000000"/>
                <w:sz w:val="16"/>
                <w:szCs w:val="16"/>
                <w:lang w:eastAsia="es-CO"/>
              </w:rPr>
            </w:pPr>
            <w:r w:rsidRPr="003529F4">
              <w:rPr>
                <w:rFonts w:ascii="Arial" w:hAnsi="Arial" w:cs="Arial"/>
                <w:color w:val="000000"/>
                <w:sz w:val="16"/>
                <w:szCs w:val="16"/>
                <w:lang w:eastAsia="es-CO"/>
              </w:rPr>
              <w:t>48</w:t>
            </w:r>
          </w:p>
        </w:tc>
        <w:tc>
          <w:tcPr>
            <w:tcW w:w="993" w:type="dxa"/>
            <w:tcBorders>
              <w:top w:val="single" w:sz="4" w:space="0" w:color="auto"/>
              <w:bottom w:val="double" w:sz="4" w:space="0" w:color="auto"/>
            </w:tcBorders>
            <w:shd w:val="clear" w:color="auto" w:fill="FFFFFF" w:themeFill="background1"/>
            <w:noWrap/>
            <w:vAlign w:val="center"/>
            <w:hideMark/>
          </w:tcPr>
          <w:p w14:paraId="0EBA3916" w14:textId="1F578703"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$ 0.06</w:t>
            </w:r>
          </w:p>
        </w:tc>
        <w:tc>
          <w:tcPr>
            <w:tcW w:w="754" w:type="dxa"/>
            <w:tcBorders>
              <w:top w:val="single" w:sz="4" w:space="0" w:color="auto"/>
              <w:bottom w:val="double" w:sz="4" w:space="0" w:color="auto"/>
            </w:tcBorders>
            <w:shd w:val="clear" w:color="auto" w:fill="FFFFFF" w:themeFill="background1"/>
            <w:noWrap/>
            <w:vAlign w:val="center"/>
            <w:hideMark/>
          </w:tcPr>
          <w:p w14:paraId="192CB512" w14:textId="58839BBB"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w:t>
            </w:r>
          </w:p>
        </w:tc>
        <w:tc>
          <w:tcPr>
            <w:tcW w:w="1207" w:type="dxa"/>
            <w:tcBorders>
              <w:top w:val="single" w:sz="4" w:space="0" w:color="auto"/>
              <w:bottom w:val="double" w:sz="4" w:space="0" w:color="auto"/>
            </w:tcBorders>
            <w:shd w:val="clear" w:color="auto" w:fill="FFFFFF" w:themeFill="background1"/>
            <w:noWrap/>
            <w:vAlign w:val="center"/>
            <w:hideMark/>
          </w:tcPr>
          <w:p w14:paraId="632B303B" w14:textId="5A2019BC" w:rsidR="003529F4" w:rsidRPr="003529F4" w:rsidRDefault="003529F4" w:rsidP="003529F4">
            <w:pPr>
              <w:jc w:val="center"/>
              <w:rPr>
                <w:rFonts w:ascii="Arial" w:hAnsi="Arial" w:cs="Arial"/>
                <w:color w:val="000000"/>
                <w:sz w:val="16"/>
                <w:szCs w:val="16"/>
                <w:lang w:eastAsia="es-CO"/>
              </w:rPr>
            </w:pPr>
            <w:r w:rsidRPr="003529F4">
              <w:rPr>
                <w:rFonts w:ascii="Arial" w:hAnsi="Arial" w:cs="Arial"/>
                <w:sz w:val="16"/>
                <w:szCs w:val="16"/>
              </w:rPr>
              <w:t>$ 0.51</w:t>
            </w:r>
          </w:p>
        </w:tc>
      </w:tr>
    </w:tbl>
    <w:p w14:paraId="3A550391" w14:textId="50E4D2A8" w:rsidR="00914134" w:rsidRDefault="00F46246" w:rsidP="00914134">
      <w:pPr>
        <w:spacing w:after="240" w:line="276" w:lineRule="auto"/>
        <w:jc w:val="center"/>
        <w:rPr>
          <w:rFonts w:ascii="Arial" w:hAnsi="Arial" w:cs="Arial"/>
          <w:sz w:val="22"/>
          <w:szCs w:val="22"/>
          <w:highlight w:val="yellow"/>
        </w:rPr>
      </w:pPr>
      <w:r w:rsidRPr="00F46246">
        <w:rPr>
          <w:rFonts w:ascii="Arial" w:hAnsi="Arial" w:cs="Arial"/>
          <w:b/>
          <w:color w:val="000000" w:themeColor="text1"/>
          <w:sz w:val="16"/>
        </w:rPr>
        <w:t>Fuente:</w:t>
      </w:r>
      <w:r w:rsidRPr="00F46246">
        <w:rPr>
          <w:rFonts w:ascii="Arial" w:hAnsi="Arial" w:cs="Arial"/>
        </w:rPr>
        <w:t xml:space="preserve"> </w:t>
      </w:r>
      <w:r w:rsidRPr="006E33EF">
        <w:rPr>
          <w:rFonts w:ascii="Arial" w:hAnsi="Arial" w:cs="Arial"/>
          <w:sz w:val="16"/>
        </w:rPr>
        <w:t xml:space="preserve">ARGUS </w:t>
      </w:r>
      <w:r w:rsidRPr="006E33EF">
        <w:rPr>
          <w:rFonts w:ascii="Arial" w:hAnsi="Arial" w:cs="Arial"/>
          <w:sz w:val="16"/>
        </w:rPr>
        <w:fldChar w:fldCharType="begin"/>
      </w:r>
      <w:r w:rsidRPr="006E33EF">
        <w:rPr>
          <w:rFonts w:ascii="Arial" w:hAnsi="Arial" w:cs="Arial"/>
          <w:sz w:val="16"/>
        </w:rPr>
        <w:instrText xml:space="preserve"> REF _Ref529882427 \r \h  \* MERGEFORMAT </w:instrText>
      </w:r>
      <w:r w:rsidRPr="006E33EF">
        <w:rPr>
          <w:rFonts w:ascii="Arial" w:hAnsi="Arial" w:cs="Arial"/>
          <w:sz w:val="16"/>
        </w:rPr>
      </w:r>
      <w:r w:rsidRPr="006E33EF">
        <w:rPr>
          <w:rFonts w:ascii="Arial" w:hAnsi="Arial" w:cs="Arial"/>
          <w:sz w:val="16"/>
        </w:rPr>
        <w:fldChar w:fldCharType="separate"/>
      </w:r>
      <w:r w:rsidR="00915705" w:rsidRPr="006E33EF">
        <w:rPr>
          <w:rFonts w:ascii="Arial" w:hAnsi="Arial" w:cs="Arial"/>
          <w:sz w:val="16"/>
        </w:rPr>
        <w:t>[18]</w:t>
      </w:r>
      <w:r w:rsidRPr="006E33EF">
        <w:rPr>
          <w:rFonts w:ascii="Arial" w:hAnsi="Arial" w:cs="Arial"/>
          <w:sz w:val="16"/>
        </w:rPr>
        <w:fldChar w:fldCharType="end"/>
      </w:r>
      <w:r w:rsidRPr="00F46246">
        <w:rPr>
          <w:rFonts w:ascii="Arial" w:hAnsi="Arial" w:cs="Arial"/>
          <w:color w:val="000000" w:themeColor="text1"/>
          <w:sz w:val="16"/>
        </w:rPr>
        <w:t>, PLATTS</w:t>
      </w:r>
      <w:r w:rsidRPr="00F46246">
        <w:rPr>
          <w:rFonts w:ascii="Arial" w:hAnsi="Arial" w:cs="Arial"/>
          <w:color w:val="000000" w:themeColor="text1"/>
          <w:sz w:val="16"/>
        </w:rPr>
        <w:fldChar w:fldCharType="begin"/>
      </w:r>
      <w:r w:rsidRPr="00F46246">
        <w:rPr>
          <w:rFonts w:ascii="Arial" w:hAnsi="Arial" w:cs="Arial"/>
          <w:color w:val="000000" w:themeColor="text1"/>
          <w:sz w:val="16"/>
        </w:rPr>
        <w:instrText xml:space="preserve"> REF _Ref529882345 \r \h </w:instrText>
      </w:r>
      <w:r>
        <w:rPr>
          <w:rFonts w:ascii="Arial" w:hAnsi="Arial" w:cs="Arial"/>
          <w:color w:val="000000" w:themeColor="text1"/>
          <w:sz w:val="16"/>
        </w:rPr>
        <w:instrText xml:space="preserve"> \* MERGEFORMAT </w:instrText>
      </w:r>
      <w:r w:rsidRPr="00F46246">
        <w:rPr>
          <w:rFonts w:ascii="Arial" w:hAnsi="Arial" w:cs="Arial"/>
          <w:color w:val="000000" w:themeColor="text1"/>
          <w:sz w:val="16"/>
        </w:rPr>
      </w:r>
      <w:r w:rsidRPr="00F46246">
        <w:rPr>
          <w:rFonts w:ascii="Arial" w:hAnsi="Arial" w:cs="Arial"/>
          <w:color w:val="000000" w:themeColor="text1"/>
          <w:sz w:val="16"/>
        </w:rPr>
        <w:fldChar w:fldCharType="separate"/>
      </w:r>
      <w:r w:rsidR="00915705">
        <w:rPr>
          <w:rFonts w:ascii="Arial" w:hAnsi="Arial" w:cs="Arial"/>
          <w:color w:val="000000" w:themeColor="text1"/>
          <w:sz w:val="16"/>
        </w:rPr>
        <w:t>[17]</w:t>
      </w:r>
      <w:r w:rsidRPr="00F46246">
        <w:rPr>
          <w:rFonts w:ascii="Arial" w:hAnsi="Arial" w:cs="Arial"/>
          <w:color w:val="000000" w:themeColor="text1"/>
          <w:sz w:val="16"/>
        </w:rPr>
        <w:fldChar w:fldCharType="end"/>
      </w:r>
      <w:r w:rsidRPr="00F46246">
        <w:rPr>
          <w:rFonts w:ascii="Arial" w:hAnsi="Arial" w:cs="Arial"/>
          <w:color w:val="000000" w:themeColor="text1"/>
          <w:sz w:val="16"/>
        </w:rPr>
        <w:t>, UPME</w:t>
      </w:r>
      <w:r w:rsidR="00914134" w:rsidRPr="00C82FF1">
        <w:rPr>
          <w:rFonts w:ascii="Arial" w:hAnsi="Arial" w:cs="Arial"/>
          <w:color w:val="000000" w:themeColor="text1"/>
          <w:sz w:val="16"/>
        </w:rPr>
        <w:t>.</w:t>
      </w:r>
    </w:p>
    <w:p w14:paraId="6A76A79E" w14:textId="0CCEDA50" w:rsidR="00914134" w:rsidRPr="00B7304F" w:rsidRDefault="00914134" w:rsidP="00914134">
      <w:pPr>
        <w:spacing w:before="240" w:after="240" w:line="276" w:lineRule="auto"/>
        <w:jc w:val="both"/>
        <w:rPr>
          <w:rFonts w:ascii="Arial" w:hAnsi="Arial" w:cs="Arial"/>
          <w:sz w:val="22"/>
          <w:szCs w:val="22"/>
        </w:rPr>
      </w:pPr>
      <w:r w:rsidRPr="00B7304F">
        <w:rPr>
          <w:rFonts w:ascii="Arial" w:hAnsi="Arial" w:cs="Arial"/>
          <w:sz w:val="22"/>
          <w:szCs w:val="22"/>
        </w:rPr>
        <w:t xml:space="preserve">Los resultados indican que las fuentes que optimizan el costo de transporte para Buenaventura, teniendo en cuenta </w:t>
      </w:r>
      <w:r w:rsidR="004203C6">
        <w:rPr>
          <w:rFonts w:ascii="Arial" w:hAnsi="Arial" w:cs="Arial"/>
          <w:sz w:val="22"/>
          <w:szCs w:val="22"/>
        </w:rPr>
        <w:t xml:space="preserve">la distancia recorrida es Perú con un costo de </w:t>
      </w:r>
      <w:r w:rsidR="004203C6" w:rsidRPr="00B7304F">
        <w:rPr>
          <w:rFonts w:ascii="Arial" w:hAnsi="Arial" w:cs="Arial"/>
          <w:sz w:val="22"/>
          <w:szCs w:val="22"/>
        </w:rPr>
        <w:t>USD$ 0.1</w:t>
      </w:r>
      <w:r w:rsidR="004203C6">
        <w:rPr>
          <w:rFonts w:ascii="Arial" w:hAnsi="Arial" w:cs="Arial"/>
          <w:sz w:val="22"/>
          <w:szCs w:val="22"/>
        </w:rPr>
        <w:t>3</w:t>
      </w:r>
      <w:r w:rsidR="003C5802">
        <w:rPr>
          <w:rFonts w:ascii="Arial" w:hAnsi="Arial" w:cs="Arial"/>
          <w:sz w:val="22"/>
          <w:szCs w:val="22"/>
        </w:rPr>
        <w:t>/</w:t>
      </w:r>
      <w:r w:rsidR="004203C6" w:rsidRPr="00B7304F">
        <w:rPr>
          <w:rFonts w:ascii="Arial" w:hAnsi="Arial" w:cs="Arial"/>
          <w:sz w:val="22"/>
          <w:szCs w:val="22"/>
        </w:rPr>
        <w:t>MMBTU</w:t>
      </w:r>
      <w:r w:rsidR="004203C6">
        <w:rPr>
          <w:rFonts w:ascii="Arial" w:hAnsi="Arial" w:cs="Arial"/>
          <w:sz w:val="22"/>
          <w:szCs w:val="22"/>
        </w:rPr>
        <w:t xml:space="preserve"> y </w:t>
      </w:r>
      <w:r w:rsidR="00B7304F" w:rsidRPr="00B7304F">
        <w:rPr>
          <w:rFonts w:ascii="Arial" w:hAnsi="Arial" w:cs="Arial"/>
          <w:sz w:val="22"/>
          <w:szCs w:val="22"/>
        </w:rPr>
        <w:t>Trinidad y Tobago</w:t>
      </w:r>
      <w:r w:rsidRPr="00B7304F">
        <w:rPr>
          <w:rFonts w:ascii="Arial" w:hAnsi="Arial" w:cs="Arial"/>
          <w:sz w:val="22"/>
          <w:szCs w:val="22"/>
        </w:rPr>
        <w:t>, con un costo de USD$ 0.18</w:t>
      </w:r>
      <w:r w:rsidR="003C5802">
        <w:rPr>
          <w:rFonts w:ascii="Arial" w:hAnsi="Arial" w:cs="Arial"/>
          <w:sz w:val="22"/>
          <w:szCs w:val="22"/>
        </w:rPr>
        <w:t>/</w:t>
      </w:r>
      <w:r w:rsidR="00E67D05" w:rsidRPr="00B7304F">
        <w:rPr>
          <w:rFonts w:ascii="Arial" w:hAnsi="Arial" w:cs="Arial"/>
          <w:sz w:val="22"/>
          <w:szCs w:val="22"/>
        </w:rPr>
        <w:t>M</w:t>
      </w:r>
      <w:r w:rsidRPr="00B7304F">
        <w:rPr>
          <w:rFonts w:ascii="Arial" w:hAnsi="Arial" w:cs="Arial"/>
          <w:sz w:val="22"/>
          <w:szCs w:val="22"/>
        </w:rPr>
        <w:t>MBTU</w:t>
      </w:r>
      <w:r w:rsidR="00B7304F" w:rsidRPr="00B7304F">
        <w:rPr>
          <w:rFonts w:ascii="Arial" w:hAnsi="Arial" w:cs="Arial"/>
          <w:sz w:val="22"/>
          <w:szCs w:val="22"/>
        </w:rPr>
        <w:t xml:space="preserve">. </w:t>
      </w:r>
      <w:r w:rsidRPr="00B7304F">
        <w:rPr>
          <w:rFonts w:ascii="Arial" w:hAnsi="Arial" w:cs="Arial"/>
          <w:sz w:val="22"/>
          <w:szCs w:val="22"/>
        </w:rPr>
        <w:t xml:space="preserve">Por otra parte, la opción más costosa se encuentra </w:t>
      </w:r>
      <w:r w:rsidRPr="00B7304F">
        <w:rPr>
          <w:rFonts w:ascii="Arial" w:hAnsi="Arial" w:cs="Arial"/>
          <w:sz w:val="22"/>
          <w:szCs w:val="22"/>
        </w:rPr>
        <w:lastRenderedPageBreak/>
        <w:t xml:space="preserve">en el </w:t>
      </w:r>
      <w:r w:rsidR="004203C6">
        <w:rPr>
          <w:rFonts w:ascii="Arial" w:hAnsi="Arial" w:cs="Arial"/>
          <w:sz w:val="22"/>
          <w:szCs w:val="22"/>
        </w:rPr>
        <w:t xml:space="preserve">Medio Oriente con Emiratos </w:t>
      </w:r>
      <w:r w:rsidR="003D6E95">
        <w:rPr>
          <w:rFonts w:ascii="Arial" w:hAnsi="Arial" w:cs="Arial"/>
          <w:sz w:val="22"/>
          <w:szCs w:val="22"/>
        </w:rPr>
        <w:t>Árabes</w:t>
      </w:r>
      <w:r w:rsidR="004203C6">
        <w:rPr>
          <w:rFonts w:ascii="Arial" w:hAnsi="Arial" w:cs="Arial"/>
          <w:sz w:val="22"/>
          <w:szCs w:val="22"/>
        </w:rPr>
        <w:t xml:space="preserve"> y Qatar con un costo de </w:t>
      </w:r>
      <w:r w:rsidRPr="00B7304F">
        <w:rPr>
          <w:rFonts w:ascii="Arial" w:hAnsi="Arial" w:cs="Arial"/>
          <w:sz w:val="22"/>
          <w:szCs w:val="22"/>
        </w:rPr>
        <w:t>USD$ 0.</w:t>
      </w:r>
      <w:r w:rsidR="003C5802">
        <w:rPr>
          <w:rFonts w:ascii="Arial" w:hAnsi="Arial" w:cs="Arial"/>
          <w:sz w:val="22"/>
          <w:szCs w:val="22"/>
        </w:rPr>
        <w:t>64/</w:t>
      </w:r>
      <w:r w:rsidRPr="00B7304F">
        <w:rPr>
          <w:rFonts w:ascii="Arial" w:hAnsi="Arial" w:cs="Arial"/>
          <w:sz w:val="22"/>
          <w:szCs w:val="22"/>
        </w:rPr>
        <w:t>M</w:t>
      </w:r>
      <w:r w:rsidR="00E67D05" w:rsidRPr="00B7304F">
        <w:rPr>
          <w:rFonts w:ascii="Arial" w:hAnsi="Arial" w:cs="Arial"/>
          <w:sz w:val="22"/>
          <w:szCs w:val="22"/>
        </w:rPr>
        <w:t>M</w:t>
      </w:r>
      <w:r w:rsidRPr="00B7304F">
        <w:rPr>
          <w:rFonts w:ascii="Arial" w:hAnsi="Arial" w:cs="Arial"/>
          <w:sz w:val="22"/>
          <w:szCs w:val="22"/>
        </w:rPr>
        <w:t>BTU</w:t>
      </w:r>
      <w:r w:rsidR="00B7304F" w:rsidRPr="00B7304F">
        <w:rPr>
          <w:rFonts w:ascii="Arial" w:hAnsi="Arial" w:cs="Arial"/>
          <w:sz w:val="22"/>
          <w:szCs w:val="22"/>
        </w:rPr>
        <w:t xml:space="preserve">, seguido por </w:t>
      </w:r>
      <w:r w:rsidR="004203C6">
        <w:rPr>
          <w:rFonts w:ascii="Arial" w:hAnsi="Arial" w:cs="Arial"/>
          <w:sz w:val="22"/>
          <w:szCs w:val="22"/>
        </w:rPr>
        <w:t>Indonesia</w:t>
      </w:r>
      <w:r w:rsidR="003C5802">
        <w:rPr>
          <w:rFonts w:ascii="Arial" w:hAnsi="Arial" w:cs="Arial"/>
          <w:sz w:val="22"/>
          <w:szCs w:val="22"/>
        </w:rPr>
        <w:t xml:space="preserve"> con USD$ 0.62/</w:t>
      </w:r>
      <w:r w:rsidR="00B7304F" w:rsidRPr="00B7304F">
        <w:rPr>
          <w:rFonts w:ascii="Arial" w:hAnsi="Arial" w:cs="Arial"/>
          <w:sz w:val="22"/>
          <w:szCs w:val="22"/>
        </w:rPr>
        <w:t>MMBTU</w:t>
      </w:r>
      <w:r w:rsidR="003D6E95">
        <w:rPr>
          <w:rFonts w:ascii="Arial" w:hAnsi="Arial" w:cs="Arial"/>
          <w:sz w:val="22"/>
          <w:szCs w:val="22"/>
        </w:rPr>
        <w:t>.</w:t>
      </w:r>
    </w:p>
    <w:p w14:paraId="65093F59" w14:textId="3220F810" w:rsidR="00914134" w:rsidRPr="002F24D2" w:rsidRDefault="00914134" w:rsidP="00914134">
      <w:pPr>
        <w:spacing w:before="240" w:after="240" w:line="276" w:lineRule="auto"/>
        <w:jc w:val="both"/>
        <w:rPr>
          <w:rFonts w:ascii="Arial" w:hAnsi="Arial" w:cs="Arial"/>
          <w:sz w:val="22"/>
          <w:szCs w:val="22"/>
        </w:rPr>
      </w:pPr>
      <w:r w:rsidRPr="003C5802">
        <w:rPr>
          <w:rFonts w:ascii="Arial" w:hAnsi="Arial" w:cs="Arial"/>
          <w:sz w:val="22"/>
          <w:szCs w:val="22"/>
        </w:rPr>
        <w:t xml:space="preserve">En la </w:t>
      </w:r>
      <w:r w:rsidRPr="003C5802">
        <w:rPr>
          <w:rFonts w:ascii="Arial" w:hAnsi="Arial" w:cs="Arial"/>
          <w:sz w:val="22"/>
          <w:szCs w:val="22"/>
          <w:highlight w:val="yellow"/>
        </w:rPr>
        <w:fldChar w:fldCharType="begin"/>
      </w:r>
      <w:r w:rsidRPr="003C5802">
        <w:rPr>
          <w:rFonts w:ascii="Arial" w:hAnsi="Arial" w:cs="Arial"/>
          <w:sz w:val="22"/>
          <w:szCs w:val="22"/>
          <w:highlight w:val="yellow"/>
        </w:rPr>
        <w:instrText xml:space="preserve"> REF _Ref401271157 \h  \* MERGEFORMAT </w:instrText>
      </w:r>
      <w:r w:rsidRPr="003C5802">
        <w:rPr>
          <w:rFonts w:ascii="Arial" w:hAnsi="Arial" w:cs="Arial"/>
          <w:sz w:val="22"/>
          <w:szCs w:val="22"/>
          <w:highlight w:val="yellow"/>
        </w:rPr>
      </w:r>
      <w:r w:rsidRPr="003C5802">
        <w:rPr>
          <w:rFonts w:ascii="Arial" w:hAnsi="Arial" w:cs="Arial"/>
          <w:sz w:val="22"/>
          <w:szCs w:val="22"/>
          <w:highlight w:val="yellow"/>
        </w:rPr>
        <w:fldChar w:fldCharType="separate"/>
      </w:r>
      <w:r w:rsidR="00915705" w:rsidRPr="003C5802">
        <w:rPr>
          <w:rFonts w:ascii="Arial" w:hAnsi="Arial" w:cs="Arial"/>
          <w:sz w:val="22"/>
          <w:szCs w:val="22"/>
          <w:highlight w:val="yellow"/>
        </w:rPr>
        <w:t>Gráfica 3</w:t>
      </w:r>
      <w:r w:rsidR="00915705" w:rsidRPr="003C5802">
        <w:rPr>
          <w:rFonts w:ascii="Arial" w:hAnsi="Arial" w:cs="Arial"/>
          <w:sz w:val="22"/>
          <w:szCs w:val="22"/>
          <w:highlight w:val="yellow"/>
        </w:rPr>
        <w:noBreakHyphen/>
        <w:t>10</w:t>
      </w:r>
      <w:r w:rsidRPr="003C5802">
        <w:rPr>
          <w:rFonts w:ascii="Arial" w:hAnsi="Arial" w:cs="Arial"/>
          <w:sz w:val="22"/>
          <w:szCs w:val="22"/>
          <w:highlight w:val="yellow"/>
        </w:rPr>
        <w:fldChar w:fldCharType="end"/>
      </w:r>
      <w:r w:rsidRPr="003C5802">
        <w:rPr>
          <w:rFonts w:ascii="Arial" w:hAnsi="Arial" w:cs="Arial"/>
          <w:sz w:val="22"/>
          <w:szCs w:val="22"/>
        </w:rPr>
        <w:t xml:space="preserve"> se</w:t>
      </w:r>
      <w:r w:rsidRPr="002F24D2">
        <w:rPr>
          <w:rFonts w:ascii="Arial" w:hAnsi="Arial" w:cs="Arial"/>
          <w:sz w:val="22"/>
          <w:szCs w:val="22"/>
        </w:rPr>
        <w:t xml:space="preserve"> puede apreciar la disponibilidad del gas, por país, para exportación. Teniendo en cuenta </w:t>
      </w:r>
      <w:r w:rsidR="002F24D2">
        <w:rPr>
          <w:rFonts w:ascii="Arial" w:hAnsi="Arial" w:cs="Arial"/>
          <w:sz w:val="22"/>
          <w:szCs w:val="22"/>
        </w:rPr>
        <w:t>las tarifas por transporte antes mencionadas,</w:t>
      </w:r>
      <w:r w:rsidRPr="002F24D2">
        <w:rPr>
          <w:rFonts w:ascii="Arial" w:hAnsi="Arial" w:cs="Arial"/>
          <w:sz w:val="22"/>
          <w:szCs w:val="22"/>
        </w:rPr>
        <w:t xml:space="preserve"> la capacidad y disponibilidad del GNL para exportación, </w:t>
      </w:r>
      <w:r w:rsidR="002F24D2">
        <w:rPr>
          <w:rFonts w:ascii="Arial" w:hAnsi="Arial" w:cs="Arial"/>
          <w:sz w:val="22"/>
          <w:szCs w:val="22"/>
        </w:rPr>
        <w:t xml:space="preserve">para </w:t>
      </w:r>
      <w:r w:rsidR="002F24D2" w:rsidRPr="002F24D2">
        <w:rPr>
          <w:rFonts w:ascii="Arial" w:hAnsi="Arial" w:cs="Arial"/>
          <w:sz w:val="22"/>
          <w:szCs w:val="22"/>
        </w:rPr>
        <w:t>Colombia resulta más eficiente tomar la oferta</w:t>
      </w:r>
      <w:r w:rsidR="002077CA" w:rsidRPr="002F24D2">
        <w:rPr>
          <w:rFonts w:ascii="Arial" w:hAnsi="Arial" w:cs="Arial"/>
          <w:sz w:val="22"/>
          <w:szCs w:val="22"/>
        </w:rPr>
        <w:t xml:space="preserve"> Estados Unidos y </w:t>
      </w:r>
      <w:r w:rsidRPr="002F24D2">
        <w:rPr>
          <w:rFonts w:ascii="Arial" w:hAnsi="Arial" w:cs="Arial"/>
          <w:sz w:val="22"/>
          <w:szCs w:val="22"/>
        </w:rPr>
        <w:t>Trinidad y Tobago.</w:t>
      </w:r>
    </w:p>
    <w:p w14:paraId="2ED02934" w14:textId="77777777" w:rsidR="00914134" w:rsidRPr="002F24D2" w:rsidRDefault="00914134" w:rsidP="00914134">
      <w:pPr>
        <w:spacing w:before="240" w:after="240" w:line="276" w:lineRule="auto"/>
        <w:jc w:val="both"/>
        <w:rPr>
          <w:rFonts w:ascii="Arial" w:hAnsi="Arial" w:cs="Arial"/>
          <w:sz w:val="22"/>
          <w:szCs w:val="22"/>
        </w:rPr>
      </w:pPr>
      <w:r w:rsidRPr="002F24D2">
        <w:rPr>
          <w:rFonts w:ascii="Arial" w:hAnsi="Arial" w:cs="Arial"/>
          <w:sz w:val="22"/>
          <w:szCs w:val="22"/>
        </w:rPr>
        <w:t xml:space="preserve">Ahora bien, ya calculados los costos de transporte y conociendo que la necesidad de importación para el país será creciente, es posible que se requieran diferentes fuentes de importación de GNL, </w:t>
      </w:r>
      <w:r w:rsidRPr="003E788A">
        <w:rPr>
          <w:rFonts w:ascii="Arial" w:hAnsi="Arial" w:cs="Arial"/>
          <w:sz w:val="22"/>
          <w:szCs w:val="22"/>
        </w:rPr>
        <w:t xml:space="preserve">tal y como ocurre en Argentina, Brasil y Chile (Ver </w:t>
      </w:r>
      <w:r w:rsidRPr="003E788A">
        <w:rPr>
          <w:rFonts w:ascii="Arial" w:hAnsi="Arial" w:cs="Arial"/>
          <w:sz w:val="22"/>
          <w:szCs w:val="22"/>
        </w:rPr>
        <w:fldChar w:fldCharType="begin"/>
      </w:r>
      <w:r w:rsidRPr="003E788A">
        <w:rPr>
          <w:rFonts w:ascii="Arial" w:hAnsi="Arial" w:cs="Arial"/>
          <w:sz w:val="22"/>
          <w:szCs w:val="22"/>
        </w:rPr>
        <w:instrText xml:space="preserve"> REF _Ref447011883 \h  \* MERGEFORMAT </w:instrText>
      </w:r>
      <w:r w:rsidRPr="003E788A">
        <w:rPr>
          <w:rFonts w:ascii="Arial" w:hAnsi="Arial" w:cs="Arial"/>
          <w:sz w:val="22"/>
          <w:szCs w:val="22"/>
        </w:rPr>
      </w:r>
      <w:r w:rsidRPr="003E788A">
        <w:rPr>
          <w:rFonts w:ascii="Arial" w:hAnsi="Arial" w:cs="Arial"/>
          <w:sz w:val="22"/>
          <w:szCs w:val="22"/>
        </w:rPr>
        <w:fldChar w:fldCharType="separate"/>
      </w:r>
      <w:r w:rsidR="002F24D2" w:rsidRPr="003E788A">
        <w:rPr>
          <w:rFonts w:ascii="Arial" w:hAnsi="Arial" w:cs="Arial"/>
          <w:sz w:val="22"/>
          <w:szCs w:val="22"/>
        </w:rPr>
        <w:t>Gráfica 3</w:t>
      </w:r>
      <w:r w:rsidR="002F24D2" w:rsidRPr="003E788A">
        <w:rPr>
          <w:rFonts w:ascii="Arial" w:hAnsi="Arial" w:cs="Arial"/>
          <w:sz w:val="22"/>
          <w:szCs w:val="22"/>
        </w:rPr>
        <w:noBreakHyphen/>
        <w:t>9</w:t>
      </w:r>
      <w:r w:rsidRPr="003E788A">
        <w:rPr>
          <w:rFonts w:ascii="Arial" w:hAnsi="Arial" w:cs="Arial"/>
          <w:sz w:val="22"/>
          <w:szCs w:val="22"/>
        </w:rPr>
        <w:fldChar w:fldCharType="end"/>
      </w:r>
      <w:r w:rsidRPr="003E788A">
        <w:rPr>
          <w:rFonts w:ascii="Arial" w:hAnsi="Arial" w:cs="Arial"/>
          <w:sz w:val="22"/>
          <w:szCs w:val="22"/>
        </w:rPr>
        <w:t xml:space="preserve">). </w:t>
      </w:r>
      <w:r w:rsidRPr="002F24D2">
        <w:rPr>
          <w:rFonts w:ascii="Arial" w:hAnsi="Arial" w:cs="Arial"/>
          <w:sz w:val="22"/>
          <w:szCs w:val="22"/>
        </w:rPr>
        <w:t>Así entonces, es factible que se establezcan compromisos comerciales con diferentes fuentes de suministro.</w:t>
      </w:r>
    </w:p>
    <w:p w14:paraId="76201712" w14:textId="77777777" w:rsidR="00914134" w:rsidRPr="003E3D46" w:rsidRDefault="00914134" w:rsidP="00914134">
      <w:pPr>
        <w:spacing w:before="240" w:after="240" w:line="276" w:lineRule="auto"/>
        <w:jc w:val="both"/>
        <w:rPr>
          <w:rFonts w:ascii="Arial" w:hAnsi="Arial" w:cs="Arial"/>
          <w:sz w:val="22"/>
          <w:szCs w:val="22"/>
        </w:rPr>
      </w:pPr>
      <w:r w:rsidRPr="003E3D46">
        <w:rPr>
          <w:rFonts w:ascii="Arial" w:hAnsi="Arial" w:cs="Arial"/>
          <w:sz w:val="22"/>
          <w:szCs w:val="22"/>
        </w:rPr>
        <w:t xml:space="preserve">Las anteriores opciones se consideran en un escenario de contratos a largo plazo, en el cual el principal índice de negociación es el Henry Hub más el componente de exportación. Finalmente, la </w:t>
      </w:r>
      <w:r w:rsidRPr="003E3D46">
        <w:rPr>
          <w:rFonts w:ascii="Arial" w:hAnsi="Arial" w:cs="Arial"/>
          <w:sz w:val="22"/>
          <w:szCs w:val="22"/>
        </w:rPr>
        <w:fldChar w:fldCharType="begin"/>
      </w:r>
      <w:r w:rsidRPr="003E3D46">
        <w:rPr>
          <w:rFonts w:ascii="Arial" w:hAnsi="Arial" w:cs="Arial"/>
          <w:sz w:val="22"/>
          <w:szCs w:val="22"/>
        </w:rPr>
        <w:instrText xml:space="preserve"> REF _Ref447720738 \h  \* MERGEFORMAT </w:instrText>
      </w:r>
      <w:r w:rsidRPr="003E3D46">
        <w:rPr>
          <w:rFonts w:ascii="Arial" w:hAnsi="Arial" w:cs="Arial"/>
          <w:sz w:val="22"/>
          <w:szCs w:val="22"/>
        </w:rPr>
      </w:r>
      <w:r w:rsidRPr="003E3D46">
        <w:rPr>
          <w:rFonts w:ascii="Arial" w:hAnsi="Arial" w:cs="Arial"/>
          <w:sz w:val="22"/>
          <w:szCs w:val="22"/>
        </w:rPr>
        <w:fldChar w:fldCharType="separate"/>
      </w:r>
      <w:r w:rsidR="00915705" w:rsidRPr="003E3D46">
        <w:rPr>
          <w:rFonts w:ascii="Arial" w:hAnsi="Arial" w:cs="Arial"/>
          <w:sz w:val="22"/>
          <w:szCs w:val="22"/>
        </w:rPr>
        <w:t>Gráfica 3</w:t>
      </w:r>
      <w:r w:rsidR="00915705" w:rsidRPr="003E3D46">
        <w:rPr>
          <w:rFonts w:ascii="Arial" w:hAnsi="Arial" w:cs="Arial"/>
          <w:sz w:val="22"/>
          <w:szCs w:val="22"/>
        </w:rPr>
        <w:noBreakHyphen/>
        <w:t>13</w:t>
      </w:r>
      <w:r w:rsidRPr="003E3D46">
        <w:rPr>
          <w:rFonts w:ascii="Arial" w:hAnsi="Arial" w:cs="Arial"/>
          <w:sz w:val="22"/>
          <w:szCs w:val="22"/>
        </w:rPr>
        <w:fldChar w:fldCharType="end"/>
      </w:r>
      <w:r w:rsidRPr="003E3D46">
        <w:rPr>
          <w:rFonts w:ascii="Arial" w:hAnsi="Arial" w:cs="Arial"/>
          <w:sz w:val="22"/>
          <w:szCs w:val="22"/>
        </w:rPr>
        <w:t xml:space="preserve"> presenta los costos de transporte históricos de GNL en los que se han incurrido Argentina, Brasil y Chile, partiendo de Trinidad y Tobago. Lo anterior, para poder comparar con los casos más cercanos al caso de Colombia, y poder mostrar la similitud de los costos de transporte especialmente con Brasil, el cual es el país más cercano.</w:t>
      </w:r>
    </w:p>
    <w:p w14:paraId="48221719" w14:textId="4A942E27" w:rsidR="00914134" w:rsidRPr="000D6504" w:rsidRDefault="00914134" w:rsidP="00914134">
      <w:pPr>
        <w:pStyle w:val="Descripcin"/>
        <w:spacing w:after="0"/>
        <w:jc w:val="center"/>
        <w:rPr>
          <w:rFonts w:cs="Arial"/>
          <w:b/>
          <w:i w:val="0"/>
          <w:color w:val="auto"/>
          <w:sz w:val="20"/>
          <w:szCs w:val="20"/>
          <w:highlight w:val="yellow"/>
        </w:rPr>
      </w:pPr>
      <w:bookmarkStart w:id="239" w:name="_Ref447720738"/>
      <w:bookmarkStart w:id="240" w:name="_Toc447097997"/>
      <w:bookmarkStart w:id="241" w:name="_Toc499799369"/>
      <w:bookmarkStart w:id="242" w:name="_Toc530033416"/>
      <w:r w:rsidRPr="000D6504">
        <w:rPr>
          <w:rFonts w:cs="Arial"/>
          <w:b/>
          <w:i w:val="0"/>
          <w:color w:val="auto"/>
          <w:sz w:val="20"/>
          <w:szCs w:val="20"/>
          <w:highlight w:val="yellow"/>
        </w:rPr>
        <w:t xml:space="preserve">Gráfica </w:t>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STYLEREF 1 \s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3</w:t>
      </w:r>
      <w:r w:rsidR="00DA50A5">
        <w:rPr>
          <w:rFonts w:cs="Arial"/>
          <w:b/>
          <w:i w:val="0"/>
          <w:color w:val="auto"/>
          <w:sz w:val="20"/>
          <w:szCs w:val="20"/>
          <w:highlight w:val="yellow"/>
        </w:rPr>
        <w:fldChar w:fldCharType="end"/>
      </w:r>
      <w:r w:rsidR="00DA50A5">
        <w:rPr>
          <w:rFonts w:cs="Arial"/>
          <w:b/>
          <w:i w:val="0"/>
          <w:color w:val="auto"/>
          <w:sz w:val="20"/>
          <w:szCs w:val="20"/>
          <w:highlight w:val="yellow"/>
        </w:rPr>
        <w:noBreakHyphen/>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SEQ Gráfica \* ARABIC \s 1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13</w:t>
      </w:r>
      <w:r w:rsidR="00DA50A5">
        <w:rPr>
          <w:rFonts w:cs="Arial"/>
          <w:b/>
          <w:i w:val="0"/>
          <w:color w:val="auto"/>
          <w:sz w:val="20"/>
          <w:szCs w:val="20"/>
          <w:highlight w:val="yellow"/>
        </w:rPr>
        <w:fldChar w:fldCharType="end"/>
      </w:r>
      <w:bookmarkEnd w:id="239"/>
      <w:r w:rsidRPr="000D6504">
        <w:rPr>
          <w:rFonts w:cs="Arial"/>
          <w:b/>
          <w:i w:val="0"/>
          <w:color w:val="auto"/>
          <w:sz w:val="20"/>
          <w:szCs w:val="20"/>
          <w:highlight w:val="yellow"/>
        </w:rPr>
        <w:t xml:space="preserve">. </w:t>
      </w:r>
      <w:bookmarkEnd w:id="240"/>
      <w:r w:rsidRPr="000D6504">
        <w:rPr>
          <w:rFonts w:cs="Arial"/>
          <w:i w:val="0"/>
          <w:color w:val="auto"/>
          <w:sz w:val="20"/>
          <w:szCs w:val="20"/>
        </w:rPr>
        <w:t>Costos de transporte de GNL</w:t>
      </w:r>
      <w:bookmarkEnd w:id="241"/>
      <w:bookmarkEnd w:id="242"/>
      <w:r w:rsidRPr="000D6504">
        <w:rPr>
          <w:rFonts w:cs="Arial"/>
          <w:b/>
          <w:i w:val="0"/>
          <w:color w:val="auto"/>
          <w:sz w:val="20"/>
          <w:szCs w:val="20"/>
        </w:rPr>
        <w:t xml:space="preserve"> </w:t>
      </w:r>
    </w:p>
    <w:p w14:paraId="5EDCF7AA" w14:textId="77777777" w:rsidR="00914134" w:rsidRPr="000D6504" w:rsidRDefault="00914134" w:rsidP="00914134">
      <w:pPr>
        <w:jc w:val="center"/>
        <w:rPr>
          <w:lang w:val="es-CO" w:eastAsia="es-ES"/>
        </w:rPr>
      </w:pPr>
      <w:r w:rsidRPr="00FD2AB2">
        <w:rPr>
          <w:noProof/>
          <w:lang w:val="es-ES" w:eastAsia="es-ES"/>
        </w:rPr>
        <w:drawing>
          <wp:inline distT="0" distB="0" distL="0" distR="0" wp14:anchorId="0BBEDB63" wp14:editId="33F31F7C">
            <wp:extent cx="5400040" cy="3240405"/>
            <wp:effectExtent l="0" t="0" r="0" b="0"/>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040" cy="3240405"/>
                    </a:xfrm>
                    <a:prstGeom prst="rect">
                      <a:avLst/>
                    </a:prstGeom>
                    <a:noFill/>
                    <a:ln>
                      <a:noFill/>
                    </a:ln>
                  </pic:spPr>
                </pic:pic>
              </a:graphicData>
            </a:graphic>
          </wp:inline>
        </w:drawing>
      </w:r>
    </w:p>
    <w:p w14:paraId="6A92078C" w14:textId="4B5A4626" w:rsidR="00F46246" w:rsidRDefault="00F46246" w:rsidP="00F46246">
      <w:pPr>
        <w:spacing w:after="240" w:line="276" w:lineRule="auto"/>
        <w:jc w:val="center"/>
        <w:rPr>
          <w:rFonts w:ascii="Arial" w:hAnsi="Arial" w:cs="Arial"/>
          <w:sz w:val="22"/>
          <w:szCs w:val="22"/>
        </w:rPr>
      </w:pPr>
      <w:r w:rsidRPr="00F46246">
        <w:rPr>
          <w:rFonts w:ascii="Arial" w:hAnsi="Arial" w:cs="Arial"/>
          <w:b/>
          <w:color w:val="000000" w:themeColor="text1"/>
          <w:sz w:val="16"/>
        </w:rPr>
        <w:t>Fuente:</w:t>
      </w:r>
      <w:r w:rsidRPr="00F46246">
        <w:rPr>
          <w:rFonts w:ascii="Arial" w:hAnsi="Arial" w:cs="Arial"/>
        </w:rPr>
        <w:t xml:space="preserve"> </w:t>
      </w:r>
      <w:r w:rsidRPr="006E33EF">
        <w:rPr>
          <w:rFonts w:ascii="Arial" w:hAnsi="Arial" w:cs="Arial"/>
          <w:sz w:val="16"/>
        </w:rPr>
        <w:t xml:space="preserve">ARGUS </w:t>
      </w:r>
      <w:r w:rsidRPr="006E33EF">
        <w:rPr>
          <w:rFonts w:ascii="Arial" w:hAnsi="Arial" w:cs="Arial"/>
          <w:sz w:val="16"/>
        </w:rPr>
        <w:fldChar w:fldCharType="begin"/>
      </w:r>
      <w:r w:rsidRPr="006E33EF">
        <w:rPr>
          <w:rFonts w:ascii="Arial" w:hAnsi="Arial" w:cs="Arial"/>
          <w:sz w:val="16"/>
        </w:rPr>
        <w:instrText xml:space="preserve"> REF _Ref529882427 \r \h  \* MERGEFORMAT </w:instrText>
      </w:r>
      <w:r w:rsidRPr="006E33EF">
        <w:rPr>
          <w:rFonts w:ascii="Arial" w:hAnsi="Arial" w:cs="Arial"/>
          <w:sz w:val="16"/>
        </w:rPr>
      </w:r>
      <w:r w:rsidRPr="006E33EF">
        <w:rPr>
          <w:rFonts w:ascii="Arial" w:hAnsi="Arial" w:cs="Arial"/>
          <w:sz w:val="16"/>
        </w:rPr>
        <w:fldChar w:fldCharType="separate"/>
      </w:r>
      <w:r w:rsidR="00915705" w:rsidRPr="006E33EF">
        <w:rPr>
          <w:rFonts w:ascii="Arial" w:hAnsi="Arial" w:cs="Arial"/>
          <w:sz w:val="16"/>
        </w:rPr>
        <w:t>[18]</w:t>
      </w:r>
      <w:r w:rsidRPr="006E33EF">
        <w:rPr>
          <w:rFonts w:ascii="Arial" w:hAnsi="Arial" w:cs="Arial"/>
          <w:sz w:val="16"/>
        </w:rPr>
        <w:fldChar w:fldCharType="end"/>
      </w:r>
      <w:r>
        <w:rPr>
          <w:rFonts w:ascii="Arial" w:hAnsi="Arial" w:cs="Arial"/>
          <w:color w:val="000000" w:themeColor="text1"/>
          <w:sz w:val="16"/>
        </w:rPr>
        <w:t>,</w:t>
      </w:r>
      <w:r w:rsidRPr="00F46246">
        <w:rPr>
          <w:rFonts w:ascii="Arial" w:hAnsi="Arial" w:cs="Arial"/>
          <w:color w:val="000000" w:themeColor="text1"/>
          <w:sz w:val="16"/>
        </w:rPr>
        <w:t xml:space="preserve"> UPME</w:t>
      </w:r>
    </w:p>
    <w:p w14:paraId="1439FBB5" w14:textId="621AB0D0" w:rsidR="00914134" w:rsidRPr="003C1F8A" w:rsidRDefault="00914134" w:rsidP="00914134">
      <w:pPr>
        <w:spacing w:before="240" w:after="240" w:line="276" w:lineRule="auto"/>
        <w:jc w:val="both"/>
        <w:rPr>
          <w:rFonts w:ascii="Arial" w:hAnsi="Arial" w:cs="Arial"/>
          <w:sz w:val="22"/>
          <w:szCs w:val="22"/>
        </w:rPr>
      </w:pPr>
      <w:r w:rsidRPr="003C1F8A">
        <w:rPr>
          <w:rFonts w:ascii="Arial" w:hAnsi="Arial" w:cs="Arial"/>
          <w:sz w:val="22"/>
          <w:szCs w:val="22"/>
        </w:rPr>
        <w:t>Respecto al costo de regasificación, según los resultados obtenidos del ejercicio de regasificación éste se ubica en los USD$ 0</w:t>
      </w:r>
      <w:r>
        <w:rPr>
          <w:rFonts w:ascii="Arial" w:hAnsi="Arial" w:cs="Arial"/>
          <w:sz w:val="22"/>
          <w:szCs w:val="22"/>
        </w:rPr>
        <w:t>.</w:t>
      </w:r>
      <w:r w:rsidRPr="003C1F8A">
        <w:rPr>
          <w:rFonts w:ascii="Arial" w:hAnsi="Arial" w:cs="Arial"/>
          <w:sz w:val="22"/>
          <w:szCs w:val="22"/>
        </w:rPr>
        <w:t>4/M</w:t>
      </w:r>
      <w:r w:rsidR="00835C9C">
        <w:rPr>
          <w:rFonts w:ascii="Arial" w:hAnsi="Arial" w:cs="Arial"/>
          <w:sz w:val="22"/>
          <w:szCs w:val="22"/>
        </w:rPr>
        <w:t>M</w:t>
      </w:r>
      <w:r w:rsidRPr="003C1F8A">
        <w:rPr>
          <w:rFonts w:ascii="Arial" w:hAnsi="Arial" w:cs="Arial"/>
          <w:sz w:val="22"/>
          <w:szCs w:val="22"/>
        </w:rPr>
        <w:t>BTU</w:t>
      </w:r>
    </w:p>
    <w:p w14:paraId="0F7A095A" w14:textId="77777777" w:rsidR="00914134" w:rsidRPr="00A323A7" w:rsidRDefault="00914134" w:rsidP="00914134">
      <w:pPr>
        <w:pStyle w:val="EstiloTitulos"/>
        <w:ind w:left="1276" w:hanging="357"/>
        <w:rPr>
          <w:rFonts w:ascii="Arial" w:hAnsi="Arial" w:cs="Arial"/>
          <w:color w:val="auto"/>
          <w:sz w:val="22"/>
          <w:szCs w:val="22"/>
        </w:rPr>
      </w:pPr>
      <w:bookmarkStart w:id="243" w:name="_Toc403636386"/>
      <w:bookmarkStart w:id="244" w:name="_Toc403637352"/>
      <w:bookmarkStart w:id="245" w:name="_Toc403638052"/>
      <w:bookmarkStart w:id="246" w:name="_Toc403638296"/>
      <w:bookmarkStart w:id="247" w:name="_Toc530045839"/>
      <w:r w:rsidRPr="00A323A7">
        <w:rPr>
          <w:rFonts w:ascii="Arial" w:hAnsi="Arial" w:cs="Arial"/>
          <w:color w:val="auto"/>
          <w:sz w:val="22"/>
          <w:szCs w:val="22"/>
        </w:rPr>
        <w:lastRenderedPageBreak/>
        <w:t>Costos totales</w:t>
      </w:r>
      <w:bookmarkEnd w:id="243"/>
      <w:bookmarkEnd w:id="244"/>
      <w:bookmarkEnd w:id="245"/>
      <w:bookmarkEnd w:id="246"/>
      <w:bookmarkEnd w:id="247"/>
    </w:p>
    <w:p w14:paraId="57C576D1" w14:textId="7C45C4FF" w:rsidR="00914134" w:rsidRPr="00406AFF" w:rsidRDefault="00914134" w:rsidP="00914134">
      <w:pPr>
        <w:spacing w:before="240" w:after="240" w:line="276" w:lineRule="auto"/>
        <w:jc w:val="both"/>
        <w:rPr>
          <w:rFonts w:ascii="Arial" w:hAnsi="Arial" w:cs="Arial"/>
          <w:sz w:val="22"/>
          <w:szCs w:val="22"/>
        </w:rPr>
      </w:pPr>
      <w:r w:rsidRPr="00A323A7">
        <w:rPr>
          <w:rFonts w:ascii="Arial" w:hAnsi="Arial" w:cs="Arial"/>
          <w:sz w:val="22"/>
          <w:szCs w:val="22"/>
        </w:rPr>
        <w:t xml:space="preserve">La experiencia en Colombia ha mostrado que </w:t>
      </w:r>
      <w:r w:rsidR="00A323A7" w:rsidRPr="00A323A7">
        <w:rPr>
          <w:rFonts w:ascii="Arial" w:hAnsi="Arial" w:cs="Arial"/>
          <w:sz w:val="22"/>
          <w:szCs w:val="22"/>
        </w:rPr>
        <w:t xml:space="preserve">los </w:t>
      </w:r>
      <w:r w:rsidRPr="00A323A7">
        <w:rPr>
          <w:rFonts w:ascii="Arial" w:hAnsi="Arial" w:cs="Arial"/>
          <w:sz w:val="22"/>
          <w:szCs w:val="22"/>
        </w:rPr>
        <w:t>costos de transporte son</w:t>
      </w:r>
      <w:r w:rsidR="00A323A7" w:rsidRPr="00A323A7">
        <w:rPr>
          <w:rFonts w:ascii="Arial" w:hAnsi="Arial" w:cs="Arial"/>
          <w:sz w:val="22"/>
          <w:szCs w:val="22"/>
        </w:rPr>
        <w:t xml:space="preserve"> de US$0.11/MMBTU y </w:t>
      </w:r>
      <w:r w:rsidRPr="00A323A7">
        <w:rPr>
          <w:rFonts w:ascii="Arial" w:hAnsi="Arial" w:cs="Arial"/>
          <w:sz w:val="22"/>
          <w:szCs w:val="22"/>
        </w:rPr>
        <w:t xml:space="preserve"> US$0.18/</w:t>
      </w:r>
      <w:r w:rsidR="00A323A7" w:rsidRPr="00A323A7">
        <w:rPr>
          <w:rFonts w:ascii="Arial" w:hAnsi="Arial" w:cs="Arial"/>
          <w:sz w:val="22"/>
          <w:szCs w:val="22"/>
        </w:rPr>
        <w:t>M</w:t>
      </w:r>
      <w:r w:rsidR="00835C9C" w:rsidRPr="00A323A7">
        <w:rPr>
          <w:rFonts w:ascii="Arial" w:hAnsi="Arial" w:cs="Arial"/>
          <w:sz w:val="22"/>
          <w:szCs w:val="22"/>
        </w:rPr>
        <w:t>M</w:t>
      </w:r>
      <w:r w:rsidRPr="00A323A7">
        <w:rPr>
          <w:rFonts w:ascii="Arial" w:hAnsi="Arial" w:cs="Arial"/>
          <w:sz w:val="22"/>
          <w:szCs w:val="22"/>
        </w:rPr>
        <w:t xml:space="preserve">BTU </w:t>
      </w:r>
      <w:r w:rsidR="00A323A7" w:rsidRPr="00A323A7">
        <w:rPr>
          <w:rFonts w:ascii="Arial" w:hAnsi="Arial" w:cs="Arial"/>
          <w:sz w:val="22"/>
          <w:szCs w:val="22"/>
        </w:rPr>
        <w:t>para Cartagena y Buenaventura respectivamente. Adicionalmente, también se ha establecido que el costo de regasificación es de</w:t>
      </w:r>
      <w:r w:rsidRPr="00A323A7">
        <w:rPr>
          <w:rFonts w:ascii="Arial" w:hAnsi="Arial" w:cs="Arial"/>
          <w:sz w:val="22"/>
          <w:szCs w:val="22"/>
        </w:rPr>
        <w:t xml:space="preserve"> US$0.4/MMBTU.</w:t>
      </w:r>
    </w:p>
    <w:p w14:paraId="4D6C27D0" w14:textId="77777777" w:rsidR="00914134" w:rsidRPr="00406AFF" w:rsidRDefault="00914134" w:rsidP="00914134">
      <w:pPr>
        <w:spacing w:before="240" w:after="240" w:line="276" w:lineRule="auto"/>
        <w:jc w:val="both"/>
        <w:rPr>
          <w:rFonts w:ascii="Arial" w:hAnsi="Arial" w:cs="Arial"/>
          <w:sz w:val="22"/>
          <w:szCs w:val="22"/>
        </w:rPr>
      </w:pPr>
      <w:r w:rsidRPr="00406AFF">
        <w:rPr>
          <w:rFonts w:ascii="Arial" w:hAnsi="Arial" w:cs="Arial"/>
          <w:sz w:val="22"/>
          <w:szCs w:val="22"/>
        </w:rPr>
        <w:t xml:space="preserve">Al ser Europa el mercado importador de competencia directa para Colombia debido a que Trinidad y Tobago es su principal exportador, se escogió el índice internacional NBP como el indexador para los siguientes años de proyección. </w:t>
      </w:r>
    </w:p>
    <w:p w14:paraId="49402204" w14:textId="677A4986" w:rsidR="00914134" w:rsidRPr="00127A88" w:rsidRDefault="00914134" w:rsidP="00914134">
      <w:pPr>
        <w:spacing w:before="240" w:after="240" w:line="276" w:lineRule="auto"/>
        <w:jc w:val="both"/>
        <w:rPr>
          <w:rFonts w:ascii="Arial" w:hAnsi="Arial" w:cs="Arial"/>
          <w:sz w:val="22"/>
          <w:szCs w:val="22"/>
          <w:highlight w:val="yellow"/>
        </w:rPr>
      </w:pPr>
      <w:r w:rsidRPr="00406AFF">
        <w:rPr>
          <w:rFonts w:ascii="Arial" w:hAnsi="Arial" w:cs="Arial"/>
          <w:sz w:val="22"/>
          <w:szCs w:val="22"/>
        </w:rPr>
        <w:t>La UPME continuará trabajando en establecer el abastecimiento ideal del gas natural licuado, teniendo en cuenta las variables de precio, oferta, demanda, costo y capacidad de transporte, así como en la proyección de los precios presentados, con base en los escenarios actuales de negociaciones de contratos futuros y su efecto en el precio final. A continuación, se analiza el panorama nacional del gas natural, de acuerdo con lo ocurrido con las negociaciones bi</w:t>
      </w:r>
      <w:r w:rsidR="00A323A7">
        <w:rPr>
          <w:rFonts w:ascii="Arial" w:hAnsi="Arial" w:cs="Arial"/>
          <w:sz w:val="22"/>
          <w:szCs w:val="22"/>
        </w:rPr>
        <w:t>laterales a finales del año 2017</w:t>
      </w:r>
      <w:r w:rsidRPr="00406AFF">
        <w:rPr>
          <w:rFonts w:ascii="Arial" w:hAnsi="Arial" w:cs="Arial"/>
          <w:sz w:val="22"/>
          <w:szCs w:val="22"/>
        </w:rPr>
        <w:t xml:space="preserve"> y como se planea desde la UPME, una conformación de precios a partir de los índices internacionales calculados en esta sección y los actuales precios nacionales.</w:t>
      </w:r>
    </w:p>
    <w:p w14:paraId="3C65C9EC" w14:textId="77777777" w:rsidR="00914134" w:rsidRPr="00A323A7" w:rsidRDefault="00914134" w:rsidP="00914134">
      <w:pPr>
        <w:pStyle w:val="Ttulo2"/>
      </w:pPr>
      <w:r w:rsidRPr="00A323A7">
        <w:t xml:space="preserve"> </w:t>
      </w:r>
      <w:bookmarkStart w:id="248" w:name="_Toc499539625"/>
      <w:bookmarkStart w:id="249" w:name="_Toc530045840"/>
      <w:r w:rsidRPr="00A323A7">
        <w:t>Precios Nacionales del gas natural</w:t>
      </w:r>
      <w:bookmarkEnd w:id="248"/>
      <w:bookmarkEnd w:id="249"/>
    </w:p>
    <w:p w14:paraId="28002DBD" w14:textId="77777777" w:rsidR="00914134" w:rsidRPr="00127A88" w:rsidRDefault="00914134" w:rsidP="00914134">
      <w:pPr>
        <w:spacing w:before="240" w:after="240" w:line="276" w:lineRule="auto"/>
        <w:jc w:val="both"/>
        <w:rPr>
          <w:rFonts w:ascii="Arial" w:hAnsi="Arial" w:cs="Arial"/>
          <w:sz w:val="22"/>
          <w:szCs w:val="22"/>
          <w:highlight w:val="yellow"/>
        </w:rPr>
      </w:pPr>
      <w:r w:rsidRPr="009044AD">
        <w:rPr>
          <w:rFonts w:ascii="Arial" w:hAnsi="Arial" w:cs="Arial"/>
          <w:sz w:val="22"/>
          <w:szCs w:val="22"/>
        </w:rPr>
        <w:t xml:space="preserve">Luego de la desregulación del precio del gas natural de La Guajira y de la aplicación de la Resolución CREG 089 de 2013, los precios del gas natural en Colombia se redujeron de manera notable gracias al esquema de negociación bilateral entre productores y comercializadores, consecuencia directa de un balance con excedentes por tres años consecutivos. </w:t>
      </w:r>
    </w:p>
    <w:p w14:paraId="29E77EAF" w14:textId="77777777" w:rsidR="00914134" w:rsidRPr="009044AD" w:rsidRDefault="00914134" w:rsidP="00914134">
      <w:pPr>
        <w:spacing w:before="240" w:after="240" w:line="276" w:lineRule="auto"/>
        <w:jc w:val="both"/>
        <w:rPr>
          <w:rFonts w:ascii="Arial" w:hAnsi="Arial" w:cs="Arial"/>
          <w:sz w:val="22"/>
          <w:szCs w:val="22"/>
        </w:rPr>
      </w:pPr>
      <w:r w:rsidRPr="009044AD">
        <w:rPr>
          <w:rFonts w:ascii="Arial" w:hAnsi="Arial" w:cs="Arial"/>
          <w:sz w:val="22"/>
          <w:szCs w:val="22"/>
        </w:rPr>
        <w:t xml:space="preserve">A mediados de 2015 se intensificó el fenómeno Niño, y era evidente la necesidad de gas natural para generación térmica. Por tal razón, la CREG emitió adicionalmente la Resolución 170 de octubre 2015, en virtud de la manifestación de algunos productores-comercializadores de gas natural de ajustar las declaraciones de producción totales disponibles para la venta en firme (PTDVF) y de las cantidades importadas disponibles para la venta en firme (CIDVF), realizada al Misterio de Minas y Energía en mayo de 2015. Para algunos de los actores del mercado, era necesario flexibilizar los mecanismos de comercialización de gas y poder negociar contratos de suministro por un período inferior a un año. </w:t>
      </w:r>
    </w:p>
    <w:p w14:paraId="30F3BCF1" w14:textId="77777777" w:rsidR="00914134" w:rsidRPr="009044AD" w:rsidRDefault="00914134" w:rsidP="00914134">
      <w:pPr>
        <w:spacing w:before="240" w:after="240" w:line="276" w:lineRule="auto"/>
        <w:jc w:val="both"/>
        <w:rPr>
          <w:rFonts w:ascii="Arial" w:hAnsi="Arial" w:cs="Arial"/>
          <w:sz w:val="22"/>
          <w:szCs w:val="22"/>
        </w:rPr>
      </w:pPr>
      <w:r w:rsidRPr="009044AD">
        <w:rPr>
          <w:rFonts w:ascii="Arial" w:hAnsi="Arial" w:cs="Arial"/>
          <w:sz w:val="22"/>
          <w:szCs w:val="22"/>
        </w:rPr>
        <w:t>El Gestor del Mercado, dentro de su Informe gestor del mercado de gas 2017, presenta en el capítulo 2 los precios promedio ponderado por cantidades de los contratos vigentes entre Enero de 2015 a Diciembre de 2017 por campo de producción. En esta información se incluyen todas las modalidades de contratos permitidas por la Resolución CREG 089 de 2013 y que se encuentran vigentes a la fecha.</w:t>
      </w:r>
    </w:p>
    <w:p w14:paraId="11A43A54" w14:textId="77777777" w:rsidR="00914134" w:rsidRDefault="00914134" w:rsidP="00914134">
      <w:pPr>
        <w:spacing w:before="240" w:after="240" w:line="276" w:lineRule="auto"/>
        <w:jc w:val="both"/>
        <w:rPr>
          <w:rFonts w:ascii="Arial" w:hAnsi="Arial" w:cs="Arial"/>
          <w:sz w:val="22"/>
          <w:szCs w:val="22"/>
        </w:rPr>
      </w:pPr>
      <w:r w:rsidRPr="009044AD">
        <w:rPr>
          <w:rFonts w:ascii="Arial" w:hAnsi="Arial" w:cs="Arial"/>
          <w:sz w:val="22"/>
          <w:szCs w:val="22"/>
        </w:rPr>
        <w:t xml:space="preserve">La presentación de estos precios es estructurada en 6 grupos: Ballena, Cusiana y Cupiagua, La Creciente, Nelson, Zonas Aisladas y Campos Menores. </w:t>
      </w:r>
      <w:r w:rsidRPr="009044AD">
        <w:rPr>
          <w:rFonts w:ascii="Arial" w:hAnsi="Arial" w:cs="Arial"/>
          <w:sz w:val="22"/>
          <w:szCs w:val="22"/>
          <w:highlight w:val="yellow"/>
        </w:rPr>
        <w:t xml:space="preserve">En la </w:t>
      </w:r>
      <w:r w:rsidRPr="009044AD">
        <w:rPr>
          <w:rFonts w:ascii="Arial" w:hAnsi="Arial" w:cs="Arial"/>
          <w:sz w:val="22"/>
          <w:szCs w:val="22"/>
          <w:highlight w:val="yellow"/>
        </w:rPr>
        <w:fldChar w:fldCharType="begin"/>
      </w:r>
      <w:r w:rsidRPr="009044AD">
        <w:rPr>
          <w:rFonts w:ascii="Arial" w:hAnsi="Arial" w:cs="Arial"/>
          <w:sz w:val="22"/>
          <w:szCs w:val="22"/>
          <w:highlight w:val="yellow"/>
        </w:rPr>
        <w:instrText xml:space="preserve"> REF _Ref499543334 \h  \* MERGEFORMAT </w:instrText>
      </w:r>
      <w:r w:rsidRPr="009044AD">
        <w:rPr>
          <w:rFonts w:ascii="Arial" w:hAnsi="Arial" w:cs="Arial"/>
          <w:sz w:val="22"/>
          <w:szCs w:val="22"/>
          <w:highlight w:val="yellow"/>
        </w:rPr>
      </w:r>
      <w:r w:rsidRPr="009044AD">
        <w:rPr>
          <w:rFonts w:ascii="Arial" w:hAnsi="Arial" w:cs="Arial"/>
          <w:sz w:val="22"/>
          <w:szCs w:val="22"/>
          <w:highlight w:val="yellow"/>
        </w:rPr>
        <w:fldChar w:fldCharType="separate"/>
      </w:r>
      <w:r w:rsidR="00915705" w:rsidRPr="00915705">
        <w:rPr>
          <w:rFonts w:ascii="Arial" w:hAnsi="Arial" w:cs="Arial"/>
          <w:sz w:val="22"/>
          <w:szCs w:val="22"/>
          <w:highlight w:val="yellow"/>
        </w:rPr>
        <w:t>Gráfica 3</w:t>
      </w:r>
      <w:r w:rsidR="00915705" w:rsidRPr="00915705">
        <w:rPr>
          <w:rFonts w:ascii="Arial" w:hAnsi="Arial" w:cs="Arial"/>
          <w:sz w:val="22"/>
          <w:szCs w:val="22"/>
          <w:highlight w:val="yellow"/>
        </w:rPr>
        <w:noBreakHyphen/>
        <w:t>14</w:t>
      </w:r>
      <w:r w:rsidRPr="009044AD">
        <w:rPr>
          <w:rFonts w:ascii="Arial" w:hAnsi="Arial" w:cs="Arial"/>
          <w:sz w:val="22"/>
          <w:szCs w:val="22"/>
          <w:highlight w:val="yellow"/>
        </w:rPr>
        <w:fldChar w:fldCharType="end"/>
      </w:r>
      <w:r w:rsidRPr="009044AD">
        <w:rPr>
          <w:rFonts w:ascii="Arial" w:hAnsi="Arial" w:cs="Arial"/>
          <w:sz w:val="22"/>
          <w:szCs w:val="22"/>
        </w:rPr>
        <w:t xml:space="preserve">, se muestra la evolución de estos precios, y sobre los cuales se pueden obtener conclusiones interesantes. La primera, es que a simple vista se puede observar como los precios de los campos de la costa </w:t>
      </w:r>
      <w:r w:rsidRPr="009044AD">
        <w:rPr>
          <w:rFonts w:ascii="Arial" w:hAnsi="Arial" w:cs="Arial"/>
          <w:sz w:val="22"/>
          <w:szCs w:val="22"/>
        </w:rPr>
        <w:lastRenderedPageBreak/>
        <w:t xml:space="preserve">(Ballena, Nelson y la Creciente) superan notablemente a los precios del Interior (Cusiana y Cupiagua). </w:t>
      </w:r>
    </w:p>
    <w:p w14:paraId="7B06C3B0" w14:textId="4CE9583A" w:rsidR="00914134" w:rsidRPr="00FD2AB2" w:rsidRDefault="00914134" w:rsidP="00914134">
      <w:pPr>
        <w:pStyle w:val="Descripcin"/>
        <w:spacing w:after="0"/>
        <w:jc w:val="center"/>
        <w:rPr>
          <w:rFonts w:cs="Arial"/>
          <w:b/>
          <w:i w:val="0"/>
          <w:color w:val="auto"/>
          <w:sz w:val="20"/>
          <w:szCs w:val="20"/>
          <w:highlight w:val="yellow"/>
        </w:rPr>
      </w:pPr>
      <w:bookmarkStart w:id="250" w:name="_Ref499543334"/>
      <w:bookmarkStart w:id="251" w:name="_Toc499799370"/>
      <w:bookmarkStart w:id="252" w:name="_Toc530033417"/>
      <w:r w:rsidRPr="00FD2AB2">
        <w:rPr>
          <w:rFonts w:cs="Arial"/>
          <w:b/>
          <w:i w:val="0"/>
          <w:color w:val="auto"/>
          <w:sz w:val="20"/>
          <w:szCs w:val="20"/>
          <w:highlight w:val="yellow"/>
        </w:rPr>
        <w:t xml:space="preserve">Gráfica </w:t>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STYLEREF 1 \s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3</w:t>
      </w:r>
      <w:r w:rsidR="00DA50A5">
        <w:rPr>
          <w:rFonts w:cs="Arial"/>
          <w:b/>
          <w:i w:val="0"/>
          <w:color w:val="auto"/>
          <w:sz w:val="20"/>
          <w:szCs w:val="20"/>
          <w:highlight w:val="yellow"/>
        </w:rPr>
        <w:fldChar w:fldCharType="end"/>
      </w:r>
      <w:r w:rsidR="00DA50A5">
        <w:rPr>
          <w:rFonts w:cs="Arial"/>
          <w:b/>
          <w:i w:val="0"/>
          <w:color w:val="auto"/>
          <w:sz w:val="20"/>
          <w:szCs w:val="20"/>
          <w:highlight w:val="yellow"/>
        </w:rPr>
        <w:noBreakHyphen/>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SEQ Gráfica \* ARABIC \s 1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14</w:t>
      </w:r>
      <w:r w:rsidR="00DA50A5">
        <w:rPr>
          <w:rFonts w:cs="Arial"/>
          <w:b/>
          <w:i w:val="0"/>
          <w:color w:val="auto"/>
          <w:sz w:val="20"/>
          <w:szCs w:val="20"/>
          <w:highlight w:val="yellow"/>
        </w:rPr>
        <w:fldChar w:fldCharType="end"/>
      </w:r>
      <w:bookmarkEnd w:id="250"/>
      <w:r w:rsidRPr="00FD2AB2">
        <w:rPr>
          <w:rFonts w:cs="Arial"/>
          <w:b/>
          <w:i w:val="0"/>
          <w:color w:val="auto"/>
          <w:sz w:val="20"/>
          <w:szCs w:val="20"/>
          <w:highlight w:val="yellow"/>
        </w:rPr>
        <w:t xml:space="preserve">. </w:t>
      </w:r>
      <w:r w:rsidRPr="00FD2AB2">
        <w:rPr>
          <w:rFonts w:cs="Arial"/>
          <w:i w:val="0"/>
          <w:color w:val="auto"/>
          <w:sz w:val="20"/>
          <w:szCs w:val="20"/>
        </w:rPr>
        <w:t>Precios Nacionales por campo (2015 - 2017)</w:t>
      </w:r>
      <w:bookmarkEnd w:id="251"/>
      <w:bookmarkEnd w:id="252"/>
    </w:p>
    <w:p w14:paraId="4D8E28E7" w14:textId="77777777" w:rsidR="00914134" w:rsidRPr="00FD2AB2" w:rsidRDefault="00914134" w:rsidP="00914134">
      <w:pPr>
        <w:jc w:val="center"/>
        <w:rPr>
          <w:highlight w:val="yellow"/>
          <w:lang w:val="es-CO" w:eastAsia="es-ES"/>
        </w:rPr>
      </w:pPr>
      <w:r w:rsidRPr="00FD2AB2">
        <w:rPr>
          <w:noProof/>
          <w:lang w:val="es-ES" w:eastAsia="es-ES"/>
        </w:rPr>
        <w:drawing>
          <wp:inline distT="0" distB="0" distL="0" distR="0" wp14:anchorId="110BAC92" wp14:editId="07E80C53">
            <wp:extent cx="5401945" cy="3242945"/>
            <wp:effectExtent l="0" t="0" r="8255" b="0"/>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1945" cy="3242945"/>
                    </a:xfrm>
                    <a:prstGeom prst="rect">
                      <a:avLst/>
                    </a:prstGeom>
                    <a:noFill/>
                    <a:ln>
                      <a:noFill/>
                    </a:ln>
                  </pic:spPr>
                </pic:pic>
              </a:graphicData>
            </a:graphic>
          </wp:inline>
        </w:drawing>
      </w:r>
    </w:p>
    <w:p w14:paraId="61C40A65" w14:textId="20C8566A" w:rsidR="00914134" w:rsidRPr="005D0524" w:rsidRDefault="00914134" w:rsidP="00914134">
      <w:pPr>
        <w:jc w:val="center"/>
        <w:rPr>
          <w:rFonts w:cs="Arial"/>
          <w:sz w:val="16"/>
          <w:szCs w:val="16"/>
        </w:rPr>
      </w:pPr>
      <w:r w:rsidRPr="005D0524">
        <w:rPr>
          <w:rFonts w:ascii="Arial" w:hAnsi="Arial" w:cs="Arial"/>
          <w:b/>
          <w:sz w:val="16"/>
          <w:szCs w:val="16"/>
        </w:rPr>
        <w:t>Fuente</w:t>
      </w:r>
      <w:r w:rsidRPr="005D0524">
        <w:rPr>
          <w:rFonts w:ascii="Arial" w:hAnsi="Arial" w:cs="Arial"/>
          <w:sz w:val="16"/>
          <w:szCs w:val="16"/>
        </w:rPr>
        <w:t xml:space="preserve">: </w:t>
      </w:r>
      <w:r w:rsidR="00F46246" w:rsidRPr="005D0524">
        <w:rPr>
          <w:rFonts w:ascii="Arial" w:hAnsi="Arial" w:cs="Arial"/>
          <w:sz w:val="16"/>
          <w:szCs w:val="16"/>
        </w:rPr>
        <w:t>GMG</w:t>
      </w:r>
      <w:r w:rsidR="005D0524" w:rsidRPr="005D0524">
        <w:rPr>
          <w:rFonts w:ascii="Arial" w:hAnsi="Arial" w:cs="Arial"/>
          <w:sz w:val="16"/>
          <w:szCs w:val="16"/>
        </w:rPr>
        <w:t>N</w:t>
      </w:r>
      <w:r w:rsidR="00F46246" w:rsidRPr="005D0524">
        <w:rPr>
          <w:rFonts w:ascii="Arial" w:hAnsi="Arial" w:cs="Arial"/>
          <w:sz w:val="16"/>
          <w:szCs w:val="16"/>
        </w:rPr>
        <w:t>C</w:t>
      </w:r>
      <w:r w:rsidR="005D0524" w:rsidRPr="005D0524">
        <w:rPr>
          <w:rFonts w:ascii="Arial" w:hAnsi="Arial" w:cs="Arial"/>
          <w:sz w:val="16"/>
          <w:szCs w:val="16"/>
        </w:rPr>
        <w:t xml:space="preserve"> </w:t>
      </w:r>
      <w:r w:rsidR="005D0524" w:rsidRPr="005D0524">
        <w:rPr>
          <w:rFonts w:ascii="Arial" w:hAnsi="Arial" w:cs="Arial"/>
          <w:sz w:val="16"/>
          <w:szCs w:val="16"/>
        </w:rPr>
        <w:fldChar w:fldCharType="begin"/>
      </w:r>
      <w:r w:rsidR="005D0524" w:rsidRPr="005D0524">
        <w:rPr>
          <w:rFonts w:ascii="Arial" w:hAnsi="Arial" w:cs="Arial"/>
          <w:sz w:val="16"/>
          <w:szCs w:val="16"/>
        </w:rPr>
        <w:instrText xml:space="preserve"> REF _Ref529882705 \r \h  \* MERGEFORMAT </w:instrText>
      </w:r>
      <w:r w:rsidR="005D0524" w:rsidRPr="005D0524">
        <w:rPr>
          <w:rFonts w:ascii="Arial" w:hAnsi="Arial" w:cs="Arial"/>
          <w:sz w:val="16"/>
          <w:szCs w:val="16"/>
        </w:rPr>
      </w:r>
      <w:r w:rsidR="005D0524" w:rsidRPr="005D0524">
        <w:rPr>
          <w:rFonts w:ascii="Arial" w:hAnsi="Arial" w:cs="Arial"/>
          <w:sz w:val="16"/>
          <w:szCs w:val="16"/>
        </w:rPr>
        <w:fldChar w:fldCharType="separate"/>
      </w:r>
      <w:r w:rsidR="00915705">
        <w:rPr>
          <w:rFonts w:ascii="Arial" w:hAnsi="Arial" w:cs="Arial"/>
          <w:sz w:val="16"/>
          <w:szCs w:val="16"/>
        </w:rPr>
        <w:t>[19]</w:t>
      </w:r>
      <w:r w:rsidR="005D0524" w:rsidRPr="005D0524">
        <w:rPr>
          <w:rFonts w:ascii="Arial" w:hAnsi="Arial" w:cs="Arial"/>
          <w:sz w:val="16"/>
          <w:szCs w:val="16"/>
        </w:rPr>
        <w:fldChar w:fldCharType="end"/>
      </w:r>
      <w:r w:rsidRPr="005D0524">
        <w:rPr>
          <w:rFonts w:cs="Arial"/>
          <w:sz w:val="16"/>
          <w:szCs w:val="16"/>
        </w:rPr>
        <w:t>.</w:t>
      </w:r>
    </w:p>
    <w:p w14:paraId="38CFB4C9" w14:textId="77777777" w:rsidR="00914134" w:rsidRPr="00860E22" w:rsidRDefault="00914134" w:rsidP="00914134">
      <w:pPr>
        <w:spacing w:before="240" w:after="240" w:line="276" w:lineRule="auto"/>
        <w:jc w:val="both"/>
        <w:rPr>
          <w:rFonts w:ascii="Arial" w:hAnsi="Arial" w:cs="Arial"/>
          <w:sz w:val="22"/>
          <w:szCs w:val="22"/>
        </w:rPr>
      </w:pPr>
      <w:r w:rsidRPr="00860E22">
        <w:rPr>
          <w:rFonts w:ascii="Arial" w:hAnsi="Arial" w:cs="Arial"/>
          <w:sz w:val="22"/>
          <w:szCs w:val="22"/>
        </w:rPr>
        <w:t>En la costa, los precios de Ballena y La Creciente se han reducido notablemente en estos tres años. Para el campo Ballena, podemos ver como el má</w:t>
      </w:r>
      <w:r>
        <w:rPr>
          <w:rFonts w:ascii="Arial" w:hAnsi="Arial" w:cs="Arial"/>
          <w:sz w:val="22"/>
          <w:szCs w:val="22"/>
        </w:rPr>
        <w:t>ximo alcanzado en 2015 de US$ 5.</w:t>
      </w:r>
      <w:r w:rsidRPr="00860E22">
        <w:rPr>
          <w:rFonts w:ascii="Arial" w:hAnsi="Arial" w:cs="Arial"/>
          <w:sz w:val="22"/>
          <w:szCs w:val="22"/>
        </w:rPr>
        <w:t>7/</w:t>
      </w:r>
      <w:r>
        <w:rPr>
          <w:rFonts w:ascii="Arial" w:hAnsi="Arial" w:cs="Arial"/>
          <w:sz w:val="22"/>
          <w:szCs w:val="22"/>
        </w:rPr>
        <w:t>MMBTU se redujo hasta los US$ 5.</w:t>
      </w:r>
      <w:r w:rsidRPr="00860E22">
        <w:rPr>
          <w:rFonts w:ascii="Arial" w:hAnsi="Arial" w:cs="Arial"/>
          <w:sz w:val="22"/>
          <w:szCs w:val="22"/>
        </w:rPr>
        <w:t>1/MMBTU en 2017, y para La Creciente, como en 20</w:t>
      </w:r>
      <w:r>
        <w:rPr>
          <w:rFonts w:ascii="Arial" w:hAnsi="Arial" w:cs="Arial"/>
          <w:sz w:val="22"/>
          <w:szCs w:val="22"/>
        </w:rPr>
        <w:t>15 alcanzaba un máximo de US$ 5.</w:t>
      </w:r>
      <w:r w:rsidRPr="00860E22">
        <w:rPr>
          <w:rFonts w:ascii="Arial" w:hAnsi="Arial" w:cs="Arial"/>
          <w:sz w:val="22"/>
          <w:szCs w:val="22"/>
        </w:rPr>
        <w:t xml:space="preserve">2/MMBTU y terminó en 2017 para </w:t>
      </w:r>
      <w:r>
        <w:rPr>
          <w:rFonts w:ascii="Arial" w:hAnsi="Arial" w:cs="Arial"/>
          <w:sz w:val="22"/>
          <w:szCs w:val="22"/>
        </w:rPr>
        <w:t>los contratos vigentes en US$ 4.</w:t>
      </w:r>
      <w:r w:rsidRPr="00860E22">
        <w:rPr>
          <w:rFonts w:ascii="Arial" w:hAnsi="Arial" w:cs="Arial"/>
          <w:sz w:val="22"/>
          <w:szCs w:val="22"/>
        </w:rPr>
        <w:t>4/MMBTU. Contrario a este comportamiento, el campo Nelson tuvo un incremento en sus contratos vigentes, pasand</w:t>
      </w:r>
      <w:r>
        <w:rPr>
          <w:rFonts w:ascii="Arial" w:hAnsi="Arial" w:cs="Arial"/>
          <w:sz w:val="22"/>
          <w:szCs w:val="22"/>
        </w:rPr>
        <w:t>o en 2015 de un precio de US$ 4.</w:t>
      </w:r>
      <w:r w:rsidRPr="00860E22">
        <w:rPr>
          <w:rFonts w:ascii="Arial" w:hAnsi="Arial" w:cs="Arial"/>
          <w:sz w:val="22"/>
          <w:szCs w:val="22"/>
        </w:rPr>
        <w:t>8/MMBTU ha</w:t>
      </w:r>
      <w:r>
        <w:rPr>
          <w:rFonts w:ascii="Arial" w:hAnsi="Arial" w:cs="Arial"/>
          <w:sz w:val="22"/>
          <w:szCs w:val="22"/>
        </w:rPr>
        <w:t>sta alcanzar un máximo de US$ 5.</w:t>
      </w:r>
      <w:r w:rsidRPr="00860E22">
        <w:rPr>
          <w:rFonts w:ascii="Arial" w:hAnsi="Arial" w:cs="Arial"/>
          <w:sz w:val="22"/>
          <w:szCs w:val="22"/>
        </w:rPr>
        <w:t>5/MMBTU en 2017.</w:t>
      </w:r>
    </w:p>
    <w:p w14:paraId="135752AC" w14:textId="77777777" w:rsidR="00914134" w:rsidRPr="00127A88" w:rsidRDefault="00914134" w:rsidP="00914134">
      <w:pPr>
        <w:spacing w:before="240" w:after="240" w:line="276" w:lineRule="auto"/>
        <w:jc w:val="both"/>
        <w:rPr>
          <w:rFonts w:ascii="Arial" w:hAnsi="Arial" w:cs="Arial"/>
          <w:sz w:val="22"/>
          <w:szCs w:val="22"/>
          <w:highlight w:val="yellow"/>
        </w:rPr>
      </w:pPr>
      <w:r w:rsidRPr="00860E22">
        <w:rPr>
          <w:rFonts w:ascii="Arial" w:hAnsi="Arial" w:cs="Arial"/>
          <w:sz w:val="22"/>
          <w:szCs w:val="22"/>
        </w:rPr>
        <w:t>Sobre los precios del interior, es interesante ver como el campo Cusiana y Cupiagua es e</w:t>
      </w:r>
      <w:r>
        <w:rPr>
          <w:rFonts w:ascii="Arial" w:hAnsi="Arial" w:cs="Arial"/>
          <w:sz w:val="22"/>
          <w:szCs w:val="22"/>
        </w:rPr>
        <w:t>l más estable, pasando de US$ 3.</w:t>
      </w:r>
      <w:r w:rsidRPr="00860E22">
        <w:rPr>
          <w:rFonts w:ascii="Arial" w:hAnsi="Arial" w:cs="Arial"/>
          <w:sz w:val="22"/>
          <w:szCs w:val="22"/>
        </w:rPr>
        <w:t>2/MMBTU en 2015 ha</w:t>
      </w:r>
      <w:r>
        <w:rPr>
          <w:rFonts w:ascii="Arial" w:hAnsi="Arial" w:cs="Arial"/>
          <w:sz w:val="22"/>
          <w:szCs w:val="22"/>
        </w:rPr>
        <w:t>sta alcanzar un máximo de US$ 3.</w:t>
      </w:r>
      <w:r w:rsidRPr="00860E22">
        <w:rPr>
          <w:rFonts w:ascii="Arial" w:hAnsi="Arial" w:cs="Arial"/>
          <w:sz w:val="22"/>
          <w:szCs w:val="22"/>
        </w:rPr>
        <w:t>4/MMBTU en 2017. Contrario a Cusiana y Cupiagua, los precios de los Campos Menores y las Zonas Aisladas, que pueden reunir tanto campos de la costa como del interior, tienen una alta volatilidad, principalmente el segundo que en Abril de 2016 p</w:t>
      </w:r>
      <w:r>
        <w:rPr>
          <w:rFonts w:ascii="Arial" w:hAnsi="Arial" w:cs="Arial"/>
          <w:sz w:val="22"/>
          <w:szCs w:val="22"/>
        </w:rPr>
        <w:t>aso de tener un precio de US$ 2.</w:t>
      </w:r>
      <w:r w:rsidRPr="00860E22">
        <w:rPr>
          <w:rFonts w:ascii="Arial" w:hAnsi="Arial" w:cs="Arial"/>
          <w:sz w:val="22"/>
          <w:szCs w:val="22"/>
        </w:rPr>
        <w:t>16/MMBTU a</w:t>
      </w:r>
      <w:r>
        <w:rPr>
          <w:rFonts w:ascii="Arial" w:hAnsi="Arial" w:cs="Arial"/>
          <w:sz w:val="22"/>
          <w:szCs w:val="22"/>
        </w:rPr>
        <w:t xml:space="preserve"> US$ 4.</w:t>
      </w:r>
      <w:r w:rsidRPr="00860E22">
        <w:rPr>
          <w:rFonts w:ascii="Arial" w:hAnsi="Arial" w:cs="Arial"/>
          <w:sz w:val="22"/>
          <w:szCs w:val="22"/>
        </w:rPr>
        <w:t>32/MMBTU, superando así los precios de Cusiana y Cupiagu</w:t>
      </w:r>
      <w:r>
        <w:rPr>
          <w:rFonts w:ascii="Arial" w:hAnsi="Arial" w:cs="Arial"/>
          <w:sz w:val="22"/>
          <w:szCs w:val="22"/>
        </w:rPr>
        <w:t>a. De igual manera, los Campos m</w:t>
      </w:r>
      <w:r w:rsidRPr="00860E22">
        <w:rPr>
          <w:rFonts w:ascii="Arial" w:hAnsi="Arial" w:cs="Arial"/>
          <w:sz w:val="22"/>
          <w:szCs w:val="22"/>
        </w:rPr>
        <w:t>enores muestran un incremento importante en sus contratos, pasando en 2015, pasando de US$ 3</w:t>
      </w:r>
      <w:r>
        <w:rPr>
          <w:rFonts w:ascii="Arial" w:hAnsi="Arial" w:cs="Arial"/>
          <w:sz w:val="22"/>
          <w:szCs w:val="22"/>
        </w:rPr>
        <w:t>.9/MMBTU a US$ 5.</w:t>
      </w:r>
      <w:r w:rsidRPr="00860E22">
        <w:rPr>
          <w:rFonts w:ascii="Arial" w:hAnsi="Arial" w:cs="Arial"/>
          <w:sz w:val="22"/>
          <w:szCs w:val="22"/>
        </w:rPr>
        <w:t>0/MMBTU en 2017.</w:t>
      </w:r>
    </w:p>
    <w:p w14:paraId="180B472F" w14:textId="77777777" w:rsidR="00914134" w:rsidRPr="00860E22" w:rsidRDefault="00914134" w:rsidP="00914134">
      <w:pPr>
        <w:spacing w:before="240" w:after="240" w:line="276" w:lineRule="auto"/>
        <w:jc w:val="both"/>
        <w:rPr>
          <w:rFonts w:ascii="Arial" w:hAnsi="Arial" w:cs="Arial"/>
          <w:sz w:val="22"/>
          <w:szCs w:val="22"/>
        </w:rPr>
      </w:pPr>
      <w:r w:rsidRPr="00860E22">
        <w:rPr>
          <w:rFonts w:ascii="Arial" w:hAnsi="Arial" w:cs="Arial"/>
          <w:sz w:val="22"/>
          <w:szCs w:val="22"/>
        </w:rPr>
        <w:t>Como puede verse, el comportamiento de los precios por campo no siguen algún comportamiento general, es decir, las negociaciones bilaterales tienen un comportamiento independiente y mientras unos campos incrementan sus precios, otros lo reducen y otros lo mantienen estables.</w:t>
      </w:r>
    </w:p>
    <w:p w14:paraId="03B6A07B" w14:textId="77777777" w:rsidR="00914134" w:rsidRPr="004C69A9" w:rsidRDefault="00914134" w:rsidP="00006B6F">
      <w:pPr>
        <w:pStyle w:val="Ttulo3"/>
      </w:pPr>
      <w:bookmarkStart w:id="253" w:name="_Toc417888848"/>
      <w:bookmarkStart w:id="254" w:name="_Toc530045841"/>
      <w:r w:rsidRPr="004C69A9">
        <w:lastRenderedPageBreak/>
        <w:t>Supuestos y metodología de proyección</w:t>
      </w:r>
      <w:bookmarkEnd w:id="253"/>
      <w:bookmarkEnd w:id="254"/>
    </w:p>
    <w:p w14:paraId="10375053" w14:textId="77777777" w:rsidR="00914134" w:rsidRPr="005F2135" w:rsidRDefault="00914134" w:rsidP="00914134">
      <w:pPr>
        <w:spacing w:before="240" w:after="240" w:line="276" w:lineRule="auto"/>
        <w:jc w:val="both"/>
        <w:rPr>
          <w:rFonts w:ascii="Arial" w:hAnsi="Arial" w:cs="Arial"/>
          <w:sz w:val="22"/>
          <w:szCs w:val="22"/>
        </w:rPr>
      </w:pPr>
      <w:r w:rsidRPr="005F2135">
        <w:rPr>
          <w:rFonts w:ascii="Arial" w:hAnsi="Arial" w:cs="Arial"/>
          <w:sz w:val="22"/>
          <w:szCs w:val="22"/>
        </w:rPr>
        <w:t>La elaboración de la estimación de precios requiere de la definición de parámetros de entrada en los modelos, valores sobre los cuales se asumen comportamientos futuros que deben ser entendidos como cifras de referencia que emplean los modelos para definir los p</w:t>
      </w:r>
      <w:r>
        <w:rPr>
          <w:rFonts w:ascii="Arial" w:hAnsi="Arial" w:cs="Arial"/>
          <w:sz w:val="22"/>
          <w:szCs w:val="22"/>
        </w:rPr>
        <w:t>robables “futuros energéticos”.</w:t>
      </w:r>
    </w:p>
    <w:p w14:paraId="35113820" w14:textId="77777777" w:rsidR="00914134" w:rsidRPr="005F2135" w:rsidRDefault="00914134" w:rsidP="00914134">
      <w:pPr>
        <w:spacing w:before="240" w:after="240" w:line="276" w:lineRule="auto"/>
        <w:jc w:val="both"/>
        <w:rPr>
          <w:rFonts w:ascii="Arial" w:hAnsi="Arial" w:cs="Arial"/>
          <w:sz w:val="22"/>
          <w:szCs w:val="22"/>
        </w:rPr>
      </w:pPr>
      <w:r w:rsidRPr="005F2135">
        <w:rPr>
          <w:rFonts w:ascii="Arial" w:hAnsi="Arial" w:cs="Arial"/>
          <w:sz w:val="22"/>
          <w:szCs w:val="22"/>
        </w:rPr>
        <w:t xml:space="preserve">Estos parámetros, conocidos como “supuestos de proyección”, de ninguna manera son mandatorios ni deben ser entendidos como políticas establecidas. Dado el alto grado de incertidumbre, se establecerán franjas o rangos sobre los diferentes supuestos para incrementar la probabilidad de que los valores futuros estén incluidos dentro de los análisis realizados durante el proceso de la planeación. </w:t>
      </w:r>
    </w:p>
    <w:p w14:paraId="70A2F166" w14:textId="77777777" w:rsidR="00914134" w:rsidRPr="005F2135" w:rsidRDefault="00914134" w:rsidP="00914134">
      <w:pPr>
        <w:spacing w:before="240" w:after="240" w:line="276" w:lineRule="auto"/>
        <w:jc w:val="both"/>
        <w:rPr>
          <w:rFonts w:ascii="Arial" w:hAnsi="Arial" w:cs="Arial"/>
          <w:sz w:val="22"/>
          <w:szCs w:val="22"/>
        </w:rPr>
      </w:pPr>
      <w:r w:rsidRPr="005F2135">
        <w:rPr>
          <w:rFonts w:ascii="Arial" w:hAnsi="Arial" w:cs="Arial"/>
          <w:sz w:val="22"/>
          <w:szCs w:val="22"/>
        </w:rPr>
        <w:t>Para el desarrollo de este trabajo se revisó toda la información disponible, tanto nacional como internacional, a diciembre de 2017, así como el reporte del Gestor del Mercado de Gas Natural denominado: “Informe contratación proceso de comercialización 2017”. A continuación se definen los supuestos para la estimación del precio de gas natural.</w:t>
      </w:r>
    </w:p>
    <w:p w14:paraId="3613C4BA" w14:textId="77777777" w:rsidR="00914134" w:rsidRPr="004C69A9" w:rsidRDefault="00914134" w:rsidP="00914134">
      <w:pPr>
        <w:pStyle w:val="EstiloTitulos"/>
        <w:ind w:left="1276" w:hanging="357"/>
        <w:rPr>
          <w:rFonts w:ascii="Arial" w:hAnsi="Arial" w:cs="Arial"/>
          <w:color w:val="auto"/>
          <w:sz w:val="22"/>
          <w:szCs w:val="22"/>
        </w:rPr>
      </w:pPr>
      <w:bookmarkStart w:id="255" w:name="_Toc530045842"/>
      <w:r w:rsidRPr="004C69A9">
        <w:rPr>
          <w:rFonts w:ascii="Arial" w:hAnsi="Arial" w:cs="Arial"/>
          <w:color w:val="auto"/>
          <w:sz w:val="22"/>
          <w:szCs w:val="22"/>
        </w:rPr>
        <w:t>Supuestos de Mercado</w:t>
      </w:r>
      <w:bookmarkEnd w:id="255"/>
    </w:p>
    <w:p w14:paraId="2F6ED1FD" w14:textId="77777777" w:rsidR="00914134" w:rsidRPr="00356BA4" w:rsidRDefault="00914134" w:rsidP="00914134">
      <w:pPr>
        <w:numPr>
          <w:ilvl w:val="0"/>
          <w:numId w:val="9"/>
        </w:numPr>
        <w:spacing w:after="240"/>
        <w:jc w:val="both"/>
        <w:rPr>
          <w:rFonts w:ascii="Arial" w:hAnsi="Arial" w:cs="Arial"/>
          <w:sz w:val="22"/>
        </w:rPr>
      </w:pPr>
      <w:r w:rsidRPr="00356BA4">
        <w:rPr>
          <w:rFonts w:ascii="Arial" w:hAnsi="Arial" w:cs="Arial"/>
          <w:sz w:val="22"/>
        </w:rPr>
        <w:t>Funcionamiento de la planta de regasificación de Cartagena.</w:t>
      </w:r>
    </w:p>
    <w:p w14:paraId="497A9626" w14:textId="77777777" w:rsidR="00914134" w:rsidRPr="00356BA4" w:rsidRDefault="00914134" w:rsidP="00914134">
      <w:pPr>
        <w:numPr>
          <w:ilvl w:val="0"/>
          <w:numId w:val="9"/>
        </w:numPr>
        <w:spacing w:after="240"/>
        <w:jc w:val="both"/>
        <w:rPr>
          <w:rFonts w:ascii="Arial" w:hAnsi="Arial" w:cs="Arial"/>
          <w:sz w:val="22"/>
        </w:rPr>
      </w:pPr>
      <w:r w:rsidRPr="00356BA4">
        <w:rPr>
          <w:rFonts w:ascii="Arial" w:hAnsi="Arial" w:cs="Arial"/>
          <w:sz w:val="22"/>
        </w:rPr>
        <w:t>Entrada en funcionamiento de planta de regasificación de Buenaventura para el año 2023 y por tanto de importaciones de gas natural, según los reportes de distintos agentes.</w:t>
      </w:r>
    </w:p>
    <w:p w14:paraId="7EDF1554" w14:textId="77777777" w:rsidR="00914134" w:rsidRPr="00356BA4" w:rsidRDefault="00914134" w:rsidP="00914134">
      <w:pPr>
        <w:numPr>
          <w:ilvl w:val="0"/>
          <w:numId w:val="9"/>
        </w:numPr>
        <w:spacing w:after="240"/>
        <w:jc w:val="both"/>
        <w:rPr>
          <w:rFonts w:ascii="Arial" w:hAnsi="Arial" w:cs="Arial"/>
          <w:sz w:val="22"/>
        </w:rPr>
      </w:pPr>
      <w:r w:rsidRPr="00356BA4">
        <w:rPr>
          <w:rFonts w:ascii="Arial" w:hAnsi="Arial" w:cs="Arial"/>
          <w:sz w:val="22"/>
        </w:rPr>
        <w:t>La entrada de las importaciones y un precio internacional de gas natural afectará de manera directa el mercado de gas natural, al igual que los precios nacionales, y su afectación será mayor en la medida que las importaciones tengan más peso sobre la oferta nacional. Se calcula un precio paridad importación para el mercado de la Costa y un precio compuesto para los precios del Interior.</w:t>
      </w:r>
    </w:p>
    <w:p w14:paraId="4F423C70" w14:textId="77777777" w:rsidR="00914134" w:rsidRPr="00356BA4" w:rsidRDefault="00914134" w:rsidP="00914134">
      <w:pPr>
        <w:numPr>
          <w:ilvl w:val="0"/>
          <w:numId w:val="9"/>
        </w:numPr>
        <w:jc w:val="both"/>
        <w:rPr>
          <w:rFonts w:ascii="Arial" w:hAnsi="Arial" w:cs="Arial"/>
          <w:sz w:val="22"/>
        </w:rPr>
      </w:pPr>
      <w:r w:rsidRPr="00356BA4">
        <w:rPr>
          <w:rFonts w:ascii="Arial" w:hAnsi="Arial" w:cs="Arial"/>
          <w:sz w:val="22"/>
        </w:rPr>
        <w:t>El peso de las importaciones sobre la oferta total se toma del balance oferta-demanda, que muestra la necesidad de importación en el corto plazo por suministro insuficiente en la medida que la oferta nacional se reduce para los próximos años.</w:t>
      </w:r>
    </w:p>
    <w:p w14:paraId="3B157785" w14:textId="77777777" w:rsidR="00914134" w:rsidRPr="004C69A9" w:rsidRDefault="00914134" w:rsidP="00914134">
      <w:pPr>
        <w:pStyle w:val="EstiloTitulos"/>
        <w:ind w:left="1276" w:hanging="357"/>
        <w:rPr>
          <w:rFonts w:ascii="Arial" w:hAnsi="Arial" w:cs="Arial"/>
          <w:color w:val="auto"/>
          <w:sz w:val="22"/>
          <w:szCs w:val="22"/>
        </w:rPr>
      </w:pPr>
      <w:bookmarkStart w:id="256" w:name="_Toc530045843"/>
      <w:r w:rsidRPr="004C69A9">
        <w:rPr>
          <w:rFonts w:ascii="Arial" w:hAnsi="Arial" w:cs="Arial"/>
          <w:color w:val="auto"/>
          <w:sz w:val="22"/>
          <w:szCs w:val="22"/>
        </w:rPr>
        <w:t>Supuestos de Precios</w:t>
      </w:r>
      <w:bookmarkEnd w:id="256"/>
    </w:p>
    <w:p w14:paraId="4196F332" w14:textId="77777777" w:rsidR="00914134" w:rsidRPr="00C778D3" w:rsidRDefault="00914134" w:rsidP="00914134">
      <w:pPr>
        <w:numPr>
          <w:ilvl w:val="0"/>
          <w:numId w:val="9"/>
        </w:numPr>
        <w:spacing w:after="240"/>
        <w:jc w:val="both"/>
        <w:rPr>
          <w:rFonts w:ascii="Arial" w:hAnsi="Arial" w:cs="Arial"/>
          <w:sz w:val="22"/>
        </w:rPr>
      </w:pPr>
      <w:r w:rsidRPr="00C778D3">
        <w:rPr>
          <w:rFonts w:ascii="Arial" w:hAnsi="Arial" w:cs="Arial"/>
          <w:sz w:val="22"/>
        </w:rPr>
        <w:t>Se toman Guajira y Cusiana como las principales fuentes de producción, la primera representando el mercado de la Costa y la segunda representando el mercado del Interior. La información es tomada del informe de comercialización 2017 del Gestor del Mercado.</w:t>
      </w:r>
    </w:p>
    <w:p w14:paraId="56FCA2C0" w14:textId="77777777" w:rsidR="00914134" w:rsidRPr="00C778D3" w:rsidRDefault="00914134" w:rsidP="00914134">
      <w:pPr>
        <w:numPr>
          <w:ilvl w:val="0"/>
          <w:numId w:val="9"/>
        </w:numPr>
        <w:spacing w:after="240"/>
        <w:jc w:val="both"/>
        <w:rPr>
          <w:rFonts w:ascii="Arial" w:hAnsi="Arial" w:cs="Arial"/>
          <w:sz w:val="22"/>
        </w:rPr>
      </w:pPr>
      <w:r w:rsidRPr="00C778D3">
        <w:rPr>
          <w:rFonts w:ascii="Arial" w:hAnsi="Arial" w:cs="Arial"/>
          <w:sz w:val="22"/>
        </w:rPr>
        <w:t>El precio del gas nacional de las fuentes Guajira y Cusiana se indexan con el índice del crudo BRENT, que representa el mercado petrolero de Europa.</w:t>
      </w:r>
    </w:p>
    <w:p w14:paraId="34FC7492" w14:textId="77777777" w:rsidR="00914134" w:rsidRDefault="00914134" w:rsidP="00914134">
      <w:pPr>
        <w:numPr>
          <w:ilvl w:val="0"/>
          <w:numId w:val="9"/>
        </w:numPr>
        <w:spacing w:after="240"/>
        <w:jc w:val="both"/>
        <w:rPr>
          <w:rFonts w:ascii="Arial" w:hAnsi="Arial" w:cs="Arial"/>
          <w:sz w:val="22"/>
        </w:rPr>
      </w:pPr>
      <w:r>
        <w:rPr>
          <w:rFonts w:ascii="Arial" w:hAnsi="Arial" w:cs="Arial"/>
          <w:sz w:val="22"/>
        </w:rPr>
        <w:t>En el caso de Cartagena, e</w:t>
      </w:r>
      <w:r w:rsidRPr="00C778D3">
        <w:rPr>
          <w:rFonts w:ascii="Arial" w:hAnsi="Arial" w:cs="Arial"/>
          <w:sz w:val="22"/>
        </w:rPr>
        <w:t xml:space="preserve">l precio internacional se calculó tomando los precios FOB suministrados por Argus. Para los precios que no se encuentran disponibles en FOB, se tomó el precio CIF y se restó el costo del transporte, también tomado de Argus. Se tuvieron </w:t>
      </w:r>
      <w:r w:rsidRPr="00C778D3">
        <w:rPr>
          <w:rFonts w:ascii="Arial" w:hAnsi="Arial" w:cs="Arial"/>
          <w:sz w:val="22"/>
        </w:rPr>
        <w:lastRenderedPageBreak/>
        <w:t>en cuenta los precios importand</w:t>
      </w:r>
      <w:r>
        <w:rPr>
          <w:rFonts w:ascii="Arial" w:hAnsi="Arial" w:cs="Arial"/>
          <w:sz w:val="22"/>
        </w:rPr>
        <w:t>o desde Estados Unidos y</w:t>
      </w:r>
      <w:r w:rsidRPr="00C778D3">
        <w:rPr>
          <w:rFonts w:ascii="Arial" w:hAnsi="Arial" w:cs="Arial"/>
          <w:sz w:val="22"/>
        </w:rPr>
        <w:t xml:space="preserve"> Trin</w:t>
      </w:r>
      <w:r>
        <w:rPr>
          <w:rFonts w:ascii="Arial" w:hAnsi="Arial" w:cs="Arial"/>
          <w:sz w:val="22"/>
        </w:rPr>
        <w:t>idad y Tobago</w:t>
      </w:r>
      <w:r w:rsidRPr="00C778D3">
        <w:rPr>
          <w:rFonts w:ascii="Arial" w:hAnsi="Arial" w:cs="Arial"/>
          <w:sz w:val="22"/>
        </w:rPr>
        <w:t xml:space="preserve">, dependiendo de cada caso. </w:t>
      </w:r>
    </w:p>
    <w:p w14:paraId="5410D031" w14:textId="77777777" w:rsidR="00914134" w:rsidRPr="00C778D3" w:rsidRDefault="00914134" w:rsidP="00914134">
      <w:pPr>
        <w:numPr>
          <w:ilvl w:val="0"/>
          <w:numId w:val="9"/>
        </w:numPr>
        <w:spacing w:after="240"/>
        <w:jc w:val="both"/>
        <w:rPr>
          <w:rFonts w:ascii="Arial" w:hAnsi="Arial" w:cs="Arial"/>
          <w:sz w:val="22"/>
        </w:rPr>
      </w:pPr>
      <w:r>
        <w:rPr>
          <w:rFonts w:ascii="Arial" w:hAnsi="Arial" w:cs="Arial"/>
          <w:sz w:val="22"/>
        </w:rPr>
        <w:t>Para el caso de Buenaventura, se realizó el promedio de los precios FOB de Latinoamérica disponibles en el mercado, suministrados por Argus.</w:t>
      </w:r>
    </w:p>
    <w:p w14:paraId="240FC8C3" w14:textId="77777777" w:rsidR="00914134" w:rsidRPr="00E0229F" w:rsidRDefault="00914134" w:rsidP="00914134">
      <w:pPr>
        <w:numPr>
          <w:ilvl w:val="0"/>
          <w:numId w:val="9"/>
        </w:numPr>
        <w:jc w:val="both"/>
        <w:rPr>
          <w:rFonts w:ascii="Arial" w:hAnsi="Arial" w:cs="Arial"/>
          <w:sz w:val="22"/>
        </w:rPr>
      </w:pPr>
      <w:r w:rsidRPr="00E0229F">
        <w:rPr>
          <w:rFonts w:ascii="Arial" w:hAnsi="Arial" w:cs="Arial"/>
          <w:sz w:val="22"/>
        </w:rPr>
        <w:t>Los precios de la Costa se obtienen  tomando como base los precios internacionales y los precios del interior se obtienen de un precio compuesto que parte de los precios nacionales y de los internacionales, ajustados por su participación en la atención total de la demanda nacional, considerado de la siguiente forma:</w:t>
      </w:r>
    </w:p>
    <w:p w14:paraId="0C9595F8" w14:textId="77777777" w:rsidR="00914134" w:rsidRPr="007E23C5" w:rsidRDefault="00914134" w:rsidP="00914134">
      <w:pPr>
        <w:rPr>
          <w:rFonts w:cs="Arial"/>
          <w:highlight w:val="yellow"/>
        </w:rPr>
      </w:pPr>
    </w:p>
    <w:p w14:paraId="61A6F640" w14:textId="77777777" w:rsidR="00914134" w:rsidRPr="00BC2AB1" w:rsidRDefault="00D31F30" w:rsidP="00914134">
      <w:pPr>
        <w:ind w:left="851"/>
        <w:rPr>
          <w:b/>
        </w:rPr>
      </w:pPr>
      <m:oMathPara>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C</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I</m:t>
              </m:r>
            </m:sub>
          </m:sSub>
          <m:r>
            <m:rPr>
              <m:sty m:val="bi"/>
            </m:rPr>
            <w:rPr>
              <w:rFonts w:ascii="Cambria Math" w:hAnsi="Cambria Math"/>
            </w:rPr>
            <m:t>*</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I</m:t>
                  </m:r>
                </m:sub>
              </m:sSub>
            </m:num>
            <m:den>
              <m:r>
                <m:rPr>
                  <m:sty m:val="bi"/>
                </m:rPr>
                <w:rPr>
                  <w:rFonts w:ascii="Cambria Math" w:hAnsi="Cambria Math"/>
                </w:rPr>
                <m:t>D</m:t>
              </m:r>
            </m:den>
          </m:f>
          <m:r>
            <m:rPr>
              <m:sty m:val="bi"/>
            </m:rPr>
            <w:rPr>
              <w:rFonts w:ascii="Cambria Math" w:hAnsi="Cambria Math"/>
            </w:rPr>
            <m:t>+</m:t>
          </m:r>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N</m:t>
              </m:r>
            </m:sub>
          </m:sSub>
          <m:r>
            <m:rPr>
              <m:sty m:val="bi"/>
            </m:rPr>
            <w:rPr>
              <w:rFonts w:ascii="Cambria Math" w:hAnsi="Cambria Math"/>
            </w:rPr>
            <m:t>*</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N</m:t>
                  </m:r>
                </m:sub>
              </m:sSub>
            </m:num>
            <m:den>
              <m:r>
                <m:rPr>
                  <m:sty m:val="bi"/>
                </m:rPr>
                <w:rPr>
                  <w:rFonts w:ascii="Cambria Math" w:hAnsi="Cambria Math"/>
                </w:rPr>
                <m:t>D</m:t>
              </m:r>
            </m:den>
          </m:f>
          <m:r>
            <m:rPr>
              <m:sty m:val="bi"/>
            </m:rPr>
            <w:rPr>
              <w:rFonts w:ascii="Cambria Math" w:hAnsi="Cambria Math"/>
            </w:rPr>
            <m:t xml:space="preserve">;         siendo </m:t>
          </m:r>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N</m:t>
              </m:r>
            </m:sub>
          </m:sSub>
          <m:r>
            <m:rPr>
              <m:sty m:val="bi"/>
            </m:rPr>
            <w:rPr>
              <w:rFonts w:ascii="Cambria Math" w:hAnsi="Cambria Math"/>
            </w:rPr>
            <m:t xml:space="preserve">=D </m:t>
          </m:r>
        </m:oMath>
      </m:oMathPara>
    </w:p>
    <w:p w14:paraId="5D41E711" w14:textId="77777777" w:rsidR="00914134" w:rsidRPr="00482F07" w:rsidRDefault="00914134" w:rsidP="003E788A">
      <w:pPr>
        <w:spacing w:after="240"/>
        <w:ind w:left="851"/>
        <w:rPr>
          <w:rFonts w:ascii="Arial" w:hAnsi="Arial" w:cs="Arial"/>
          <w:sz w:val="22"/>
          <w:szCs w:val="22"/>
        </w:rPr>
      </w:pPr>
      <w:r w:rsidRPr="00482F07">
        <w:rPr>
          <w:rFonts w:ascii="Arial" w:hAnsi="Arial" w:cs="Arial"/>
          <w:sz w:val="22"/>
          <w:szCs w:val="22"/>
        </w:rPr>
        <w:t>Donde,</w:t>
      </w:r>
    </w:p>
    <w:p w14:paraId="444A4DA5" w14:textId="77777777" w:rsidR="00914134" w:rsidRPr="00BC2AB1" w:rsidRDefault="00D31F30" w:rsidP="00914134">
      <w:pPr>
        <w:ind w:left="851"/>
        <w:rPr>
          <w:rFonts w:eastAsiaTheme="minorEastAsia"/>
        </w:rPr>
      </w:pPr>
      <m:oMathPara>
        <m:oMathParaPr>
          <m:jc m:val="left"/>
        </m:oMathParaPr>
        <m:oMath>
          <m:sSub>
            <m:sSubPr>
              <m:ctrlPr>
                <w:rPr>
                  <w:rFonts w:ascii="Cambria Math" w:hAnsi="Cambria Math"/>
                  <w:i/>
                  <w:sz w:val="20"/>
                </w:rPr>
              </m:ctrlPr>
            </m:sSubPr>
            <m:e>
              <m:r>
                <w:rPr>
                  <w:rFonts w:ascii="Cambria Math" w:hAnsi="Cambria Math"/>
                  <w:sz w:val="20"/>
                </w:rPr>
                <m:t>P</m:t>
              </m:r>
            </m:e>
            <m:sub>
              <m:r>
                <w:rPr>
                  <w:rFonts w:ascii="Cambria Math" w:hAnsi="Cambria Math"/>
                  <w:sz w:val="20"/>
                </w:rPr>
                <m:t>C</m:t>
              </m:r>
            </m:sub>
          </m:sSub>
          <m:r>
            <w:rPr>
              <w:rFonts w:ascii="Cambria Math" w:hAnsi="Cambria Math"/>
              <w:sz w:val="20"/>
            </w:rPr>
            <m:t>=Precio Compuesto</m:t>
          </m:r>
        </m:oMath>
      </m:oMathPara>
    </w:p>
    <w:p w14:paraId="71917DF1" w14:textId="77777777" w:rsidR="00914134" w:rsidRPr="00BC2AB1" w:rsidRDefault="00D31F30" w:rsidP="00914134">
      <w:pPr>
        <w:ind w:left="851"/>
        <w:rPr>
          <w:rFonts w:eastAsiaTheme="minorEastAsia"/>
        </w:rPr>
      </w:pPr>
      <m:oMathPara>
        <m:oMathParaPr>
          <m:jc m:val="left"/>
        </m:oMathParaPr>
        <m:oMath>
          <m:sSub>
            <m:sSubPr>
              <m:ctrlPr>
                <w:rPr>
                  <w:rFonts w:ascii="Cambria Math" w:hAnsi="Cambria Math"/>
                  <w:i/>
                  <w:sz w:val="20"/>
                </w:rPr>
              </m:ctrlPr>
            </m:sSubPr>
            <m:e>
              <m:r>
                <w:rPr>
                  <w:rFonts w:ascii="Cambria Math" w:hAnsi="Cambria Math"/>
                  <w:sz w:val="20"/>
                </w:rPr>
                <m:t>P</m:t>
              </m:r>
            </m:e>
            <m:sub>
              <m:r>
                <w:rPr>
                  <w:rFonts w:ascii="Cambria Math" w:hAnsi="Cambria Math"/>
                  <w:sz w:val="20"/>
                </w:rPr>
                <m:t>I</m:t>
              </m:r>
            </m:sub>
          </m:sSub>
          <m:r>
            <w:rPr>
              <w:rFonts w:ascii="Cambria Math" w:hAnsi="Cambria Math"/>
              <w:sz w:val="20"/>
            </w:rPr>
            <m:t>=Precio Internacional</m:t>
          </m:r>
        </m:oMath>
      </m:oMathPara>
    </w:p>
    <w:p w14:paraId="75997FEF" w14:textId="77777777" w:rsidR="00914134" w:rsidRPr="00BC2AB1" w:rsidRDefault="00D31F30" w:rsidP="00914134">
      <w:pPr>
        <w:ind w:left="851"/>
        <w:rPr>
          <w:rFonts w:eastAsiaTheme="minorEastAsia"/>
        </w:rPr>
      </w:pPr>
      <m:oMathPara>
        <m:oMathParaPr>
          <m:jc m:val="left"/>
        </m:oMathParaPr>
        <m:oMath>
          <m:sSub>
            <m:sSubPr>
              <m:ctrlPr>
                <w:rPr>
                  <w:rFonts w:ascii="Cambria Math" w:hAnsi="Cambria Math"/>
                  <w:i/>
                  <w:sz w:val="20"/>
                </w:rPr>
              </m:ctrlPr>
            </m:sSubPr>
            <m:e>
              <m:r>
                <w:rPr>
                  <w:rFonts w:ascii="Cambria Math" w:hAnsi="Cambria Math"/>
                  <w:sz w:val="20"/>
                </w:rPr>
                <m:t>P</m:t>
              </m:r>
            </m:e>
            <m:sub>
              <m:r>
                <w:rPr>
                  <w:rFonts w:ascii="Cambria Math" w:hAnsi="Cambria Math"/>
                  <w:sz w:val="20"/>
                </w:rPr>
                <m:t>N</m:t>
              </m:r>
            </m:sub>
          </m:sSub>
          <m:r>
            <w:rPr>
              <w:rFonts w:ascii="Cambria Math" w:hAnsi="Cambria Math"/>
              <w:sz w:val="20"/>
            </w:rPr>
            <m:t>=Precio Nacional</m:t>
          </m:r>
        </m:oMath>
      </m:oMathPara>
    </w:p>
    <w:p w14:paraId="1CCDD78E" w14:textId="77777777" w:rsidR="00914134" w:rsidRPr="00BC2AB1" w:rsidRDefault="00D31F30" w:rsidP="00914134">
      <w:pPr>
        <w:ind w:left="851"/>
        <w:rPr>
          <w:rFonts w:eastAsiaTheme="minorEastAsia"/>
        </w:rPr>
      </w:pPr>
      <m:oMathPara>
        <m:oMathParaPr>
          <m:jc m:val="left"/>
        </m:oMathParaPr>
        <m:oMath>
          <m:sSub>
            <m:sSubPr>
              <m:ctrlPr>
                <w:rPr>
                  <w:rFonts w:ascii="Cambria Math" w:hAnsi="Cambria Math"/>
                  <w:i/>
                  <w:sz w:val="20"/>
                </w:rPr>
              </m:ctrlPr>
            </m:sSubPr>
            <m:e>
              <m:r>
                <w:rPr>
                  <w:rFonts w:ascii="Cambria Math" w:hAnsi="Cambria Math"/>
                  <w:sz w:val="20"/>
                </w:rPr>
                <m:t>V</m:t>
              </m:r>
            </m:e>
            <m:sub>
              <m:r>
                <w:rPr>
                  <w:rFonts w:ascii="Cambria Math" w:hAnsi="Cambria Math"/>
                  <w:sz w:val="20"/>
                </w:rPr>
                <m:t>I</m:t>
              </m:r>
            </m:sub>
          </m:sSub>
          <m:r>
            <w:rPr>
              <w:rFonts w:ascii="Cambria Math" w:hAnsi="Cambria Math"/>
              <w:sz w:val="20"/>
            </w:rPr>
            <m:t>=Volumen Importado</m:t>
          </m:r>
        </m:oMath>
      </m:oMathPara>
    </w:p>
    <w:p w14:paraId="1FD33370" w14:textId="77777777" w:rsidR="00914134" w:rsidRPr="00BC2AB1" w:rsidRDefault="00D31F30" w:rsidP="00914134">
      <w:pPr>
        <w:ind w:left="851"/>
        <w:rPr>
          <w:rFonts w:eastAsiaTheme="minorEastAsia"/>
        </w:rPr>
      </w:pPr>
      <m:oMathPara>
        <m:oMathParaPr>
          <m:jc m:val="left"/>
        </m:oMathParaPr>
        <m:oMath>
          <m:sSub>
            <m:sSubPr>
              <m:ctrlPr>
                <w:rPr>
                  <w:rFonts w:ascii="Cambria Math" w:hAnsi="Cambria Math"/>
                  <w:i/>
                  <w:sz w:val="20"/>
                </w:rPr>
              </m:ctrlPr>
            </m:sSubPr>
            <m:e>
              <m:r>
                <w:rPr>
                  <w:rFonts w:ascii="Cambria Math" w:hAnsi="Cambria Math"/>
                  <w:sz w:val="20"/>
                </w:rPr>
                <m:t>V</m:t>
              </m:r>
            </m:e>
            <m:sub>
              <m:r>
                <w:rPr>
                  <w:rFonts w:ascii="Cambria Math" w:hAnsi="Cambria Math"/>
                  <w:sz w:val="20"/>
                </w:rPr>
                <m:t>N</m:t>
              </m:r>
            </m:sub>
          </m:sSub>
          <m:r>
            <w:rPr>
              <w:rFonts w:ascii="Cambria Math" w:hAnsi="Cambria Math"/>
              <w:sz w:val="20"/>
            </w:rPr>
            <m:t>=Volumen Nacional</m:t>
          </m:r>
        </m:oMath>
      </m:oMathPara>
    </w:p>
    <w:p w14:paraId="046902CB" w14:textId="77777777" w:rsidR="00914134" w:rsidRPr="00BC2AB1" w:rsidRDefault="00914134" w:rsidP="00914134">
      <w:pPr>
        <w:ind w:left="851"/>
        <w:rPr>
          <w:rFonts w:eastAsiaTheme="minorEastAsia"/>
        </w:rPr>
      </w:pPr>
      <m:oMathPara>
        <m:oMathParaPr>
          <m:jc m:val="left"/>
        </m:oMathParaPr>
        <m:oMath>
          <m:r>
            <w:rPr>
              <w:rFonts w:ascii="Cambria Math" w:hAnsi="Cambria Math"/>
              <w:sz w:val="20"/>
            </w:rPr>
            <m:t>D=Demanda Total</m:t>
          </m:r>
        </m:oMath>
      </m:oMathPara>
    </w:p>
    <w:p w14:paraId="4B9CD493" w14:textId="77777777" w:rsidR="00914134" w:rsidRPr="007E23C5" w:rsidRDefault="00914134" w:rsidP="00914134">
      <w:pPr>
        <w:ind w:left="851"/>
        <w:rPr>
          <w:rFonts w:eastAsiaTheme="minorEastAsia" w:cs="Arial"/>
          <w:highlight w:val="yellow"/>
        </w:rPr>
      </w:pPr>
    </w:p>
    <w:p w14:paraId="5A93F965" w14:textId="77777777" w:rsidR="00914134" w:rsidRPr="00BC2AB1" w:rsidRDefault="00914134" w:rsidP="00914134">
      <w:pPr>
        <w:numPr>
          <w:ilvl w:val="0"/>
          <w:numId w:val="9"/>
        </w:numPr>
        <w:spacing w:after="240"/>
        <w:jc w:val="both"/>
        <w:rPr>
          <w:rFonts w:ascii="Arial" w:hAnsi="Arial" w:cs="Arial"/>
          <w:sz w:val="22"/>
          <w:szCs w:val="22"/>
        </w:rPr>
      </w:pPr>
      <w:r w:rsidRPr="00BC2AB1">
        <w:rPr>
          <w:rFonts w:ascii="Arial" w:hAnsi="Arial" w:cs="Arial"/>
          <w:sz w:val="22"/>
          <w:szCs w:val="22"/>
        </w:rPr>
        <w:t>Se define como corto p</w:t>
      </w:r>
      <w:r>
        <w:rPr>
          <w:rFonts w:ascii="Arial" w:hAnsi="Arial" w:cs="Arial"/>
          <w:sz w:val="22"/>
          <w:szCs w:val="22"/>
        </w:rPr>
        <w:t>lazo el periodo de enero de 2018 a diciembre de 2019</w:t>
      </w:r>
      <w:r w:rsidRPr="00BC2AB1">
        <w:rPr>
          <w:rFonts w:ascii="Arial" w:hAnsi="Arial" w:cs="Arial"/>
          <w:sz w:val="22"/>
          <w:szCs w:val="22"/>
        </w:rPr>
        <w:t>, y como largo plazo de enero de 20</w:t>
      </w:r>
      <w:r>
        <w:rPr>
          <w:rFonts w:ascii="Arial" w:hAnsi="Arial" w:cs="Arial"/>
          <w:sz w:val="22"/>
          <w:szCs w:val="22"/>
        </w:rPr>
        <w:t>20</w:t>
      </w:r>
      <w:r w:rsidRPr="00BC2AB1">
        <w:rPr>
          <w:rFonts w:ascii="Arial" w:hAnsi="Arial" w:cs="Arial"/>
          <w:sz w:val="22"/>
          <w:szCs w:val="22"/>
        </w:rPr>
        <w:t xml:space="preserve"> a diciembre de 2040.</w:t>
      </w:r>
    </w:p>
    <w:p w14:paraId="79D38A67" w14:textId="77777777" w:rsidR="00914134" w:rsidRPr="00BC2AB1" w:rsidRDefault="00914134" w:rsidP="00914134">
      <w:pPr>
        <w:numPr>
          <w:ilvl w:val="0"/>
          <w:numId w:val="9"/>
        </w:numPr>
        <w:spacing w:after="240"/>
        <w:jc w:val="both"/>
        <w:rPr>
          <w:rFonts w:ascii="Arial" w:hAnsi="Arial" w:cs="Arial"/>
          <w:sz w:val="22"/>
          <w:szCs w:val="22"/>
        </w:rPr>
      </w:pPr>
      <w:r w:rsidRPr="00BC2AB1">
        <w:rPr>
          <w:rFonts w:ascii="Arial" w:hAnsi="Arial" w:cs="Arial"/>
          <w:sz w:val="22"/>
          <w:szCs w:val="22"/>
        </w:rPr>
        <w:t>Dentro del análisis se excluye el uso del Henry Hub como driver de la estimación, debido al alto costo que este marcador tiene y que considera gas sin la cadena de valor de GNL que lo hace inviable para Suramérica. Además, teniendo en cuenta que la mayoría del gas de Estados Unidos proviene de formaciones de shale gas, requieren altas rentabilidades por los costos de exploración.</w:t>
      </w:r>
    </w:p>
    <w:p w14:paraId="43719524" w14:textId="77777777" w:rsidR="00914134" w:rsidRPr="00C80D84" w:rsidRDefault="00914134" w:rsidP="00914134">
      <w:pPr>
        <w:pStyle w:val="Prrafodelista"/>
        <w:numPr>
          <w:ilvl w:val="0"/>
          <w:numId w:val="14"/>
        </w:numPr>
        <w:suppressAutoHyphens w:val="0"/>
        <w:spacing w:before="0"/>
        <w:rPr>
          <w:rFonts w:cs="Arial"/>
          <w:b w:val="0"/>
          <w:sz w:val="22"/>
          <w:szCs w:val="22"/>
        </w:rPr>
      </w:pPr>
      <w:r w:rsidRPr="00C80D84">
        <w:rPr>
          <w:rFonts w:cs="Arial"/>
          <w:b w:val="0"/>
          <w:sz w:val="22"/>
          <w:szCs w:val="22"/>
        </w:rPr>
        <w:t xml:space="preserve">Los precios en este documento son presentados en términos constantes de diciembre de 2017. Los precios son ajustados con los comportamientos de las proyecciones presentadas por Wood Mackenzie en </w:t>
      </w:r>
      <w:r>
        <w:rPr>
          <w:rFonts w:cs="Arial"/>
          <w:b w:val="0"/>
          <w:sz w:val="22"/>
          <w:szCs w:val="22"/>
        </w:rPr>
        <w:t>febrero</w:t>
      </w:r>
      <w:r w:rsidRPr="00C80D84">
        <w:rPr>
          <w:rFonts w:cs="Arial"/>
          <w:b w:val="0"/>
          <w:sz w:val="22"/>
          <w:szCs w:val="22"/>
        </w:rPr>
        <w:t xml:space="preserve"> de 2017 y los precios históricos de las negociaciones de GNL presentadas por la fuente Argus.</w:t>
      </w:r>
    </w:p>
    <w:p w14:paraId="77736C81" w14:textId="77777777" w:rsidR="00914134" w:rsidRPr="004E1005" w:rsidRDefault="00914134" w:rsidP="00914134">
      <w:pPr>
        <w:rPr>
          <w:highlight w:val="yellow"/>
        </w:rPr>
      </w:pPr>
    </w:p>
    <w:p w14:paraId="22167651" w14:textId="77777777" w:rsidR="00914134" w:rsidRPr="00AC2F16" w:rsidRDefault="00914134" w:rsidP="00914134">
      <w:pPr>
        <w:pStyle w:val="Prrafodelista"/>
        <w:numPr>
          <w:ilvl w:val="3"/>
          <w:numId w:val="15"/>
        </w:numPr>
        <w:suppressAutoHyphens w:val="0"/>
        <w:spacing w:before="0" w:after="0"/>
        <w:rPr>
          <w:sz w:val="22"/>
          <w:szCs w:val="22"/>
          <w:lang w:val="es-ES_tradnl"/>
        </w:rPr>
      </w:pPr>
      <w:r w:rsidRPr="00AC2F16">
        <w:rPr>
          <w:sz w:val="22"/>
          <w:szCs w:val="22"/>
          <w:lang w:val="es-ES_tradnl"/>
        </w:rPr>
        <w:t>Supuestos de Escenarios:</w:t>
      </w:r>
    </w:p>
    <w:p w14:paraId="52C5D92A" w14:textId="77777777" w:rsidR="00914134" w:rsidRDefault="00914134" w:rsidP="00914134">
      <w:pPr>
        <w:spacing w:before="240" w:after="240" w:line="276" w:lineRule="auto"/>
        <w:jc w:val="both"/>
        <w:rPr>
          <w:rFonts w:ascii="Arial" w:hAnsi="Arial" w:cs="Arial"/>
          <w:sz w:val="22"/>
          <w:szCs w:val="22"/>
        </w:rPr>
      </w:pPr>
      <w:r w:rsidRPr="00AC2F16">
        <w:rPr>
          <w:rFonts w:ascii="Arial" w:hAnsi="Arial" w:cs="Arial"/>
          <w:sz w:val="22"/>
          <w:szCs w:val="22"/>
        </w:rPr>
        <w:t>Se consideran tres escenarios (alto, medio y bajo) para representar las posibles trayectorias futuras con la mayor apertura posible ante la incertidumbre de los mercados internacionales y las negociaciones bilaterales. En seguida se especifican los supuestos para los precios de la Costa e Interior, con base en hipótesis de mercado y los precios detallados anteriormente. Estos supuestos fueron resultado de discusiones con el objetivo de representar de la mejor manera los posibles precios futuros.</w:t>
      </w:r>
    </w:p>
    <w:p w14:paraId="0B291500" w14:textId="77777777" w:rsidR="00914134" w:rsidRPr="00CE43D6" w:rsidRDefault="00914134" w:rsidP="00914134">
      <w:pPr>
        <w:pStyle w:val="EstiloTitulos"/>
        <w:ind w:left="1276" w:hanging="357"/>
        <w:rPr>
          <w:rFonts w:ascii="Arial" w:hAnsi="Arial" w:cs="Arial"/>
          <w:color w:val="auto"/>
          <w:sz w:val="22"/>
          <w:szCs w:val="22"/>
        </w:rPr>
      </w:pPr>
      <w:bookmarkStart w:id="257" w:name="_Toc530045844"/>
      <w:r w:rsidRPr="00CE43D6">
        <w:rPr>
          <w:rFonts w:ascii="Arial" w:hAnsi="Arial" w:cs="Arial"/>
          <w:color w:val="auto"/>
          <w:sz w:val="22"/>
          <w:szCs w:val="22"/>
        </w:rPr>
        <w:t>Supuestos de Escenarios</w:t>
      </w:r>
      <w:bookmarkEnd w:id="257"/>
    </w:p>
    <w:p w14:paraId="42175453" w14:textId="77777777" w:rsidR="00914134" w:rsidRPr="00AC2F16" w:rsidRDefault="00914134" w:rsidP="003E788A">
      <w:pPr>
        <w:spacing w:before="240" w:after="240" w:line="276" w:lineRule="auto"/>
        <w:ind w:left="284"/>
        <w:jc w:val="both"/>
        <w:rPr>
          <w:rFonts w:ascii="Arial" w:hAnsi="Arial" w:cs="Arial"/>
          <w:sz w:val="22"/>
          <w:szCs w:val="22"/>
        </w:rPr>
      </w:pPr>
      <w:r w:rsidRPr="00AC2F16">
        <w:rPr>
          <w:rFonts w:ascii="Arial" w:hAnsi="Arial" w:cs="Arial"/>
          <w:sz w:val="22"/>
          <w:szCs w:val="22"/>
        </w:rPr>
        <w:t xml:space="preserve">Para la Costa, se considera que los precios están afectados en mayor medida por los índices internacionales, debido a la ubicación de la planta de regasificación en Cartagena y su mayor </w:t>
      </w:r>
      <w:r w:rsidRPr="00AC2F16">
        <w:rPr>
          <w:rFonts w:ascii="Arial" w:hAnsi="Arial" w:cs="Arial"/>
          <w:sz w:val="22"/>
          <w:szCs w:val="22"/>
        </w:rPr>
        <w:lastRenderedPageBreak/>
        <w:t>incidencia en el suministro de los usuarios de la región. Toda vez que la planta puede tener excedentes, éstos  podrían ser puestos al servicio de los sectores de consumo distintos al térmico.</w:t>
      </w:r>
    </w:p>
    <w:p w14:paraId="1CD99654" w14:textId="77777777" w:rsidR="00F603B3" w:rsidRPr="00F603B3" w:rsidRDefault="00914134" w:rsidP="00C17C8E">
      <w:pPr>
        <w:spacing w:before="240" w:after="240" w:line="276" w:lineRule="auto"/>
        <w:ind w:left="851" w:right="425"/>
        <w:jc w:val="both"/>
        <w:rPr>
          <w:rFonts w:ascii="Arial" w:hAnsi="Arial" w:cs="Arial"/>
          <w:sz w:val="22"/>
          <w:szCs w:val="22"/>
        </w:rPr>
      </w:pPr>
      <w:r w:rsidRPr="00F603B3">
        <w:rPr>
          <w:rFonts w:ascii="Arial" w:hAnsi="Arial" w:cs="Arial"/>
          <w:b/>
          <w:sz w:val="22"/>
          <w:szCs w:val="22"/>
        </w:rPr>
        <w:t>Escenario Alto:</w:t>
      </w:r>
      <w:r w:rsidRPr="00F603B3">
        <w:rPr>
          <w:rFonts w:ascii="Arial" w:hAnsi="Arial" w:cs="Arial"/>
          <w:sz w:val="22"/>
          <w:szCs w:val="22"/>
        </w:rPr>
        <w:t xml:space="preserve"> Para estimar el precio del gas natural en la Costa se aplicó la metodología Net-back al gas natural de Trinidad y Tobago puesto en el mercado Asiático. Este valor fue indexado con la estimación de largo plazo del JKM. Posteriormente se adicionó un costo de transporte desde Trinidad y Tobago al puerto de Cartagena calculado en US$0.</w:t>
      </w:r>
      <w:r w:rsidR="00F603B3" w:rsidRPr="00F603B3">
        <w:rPr>
          <w:rFonts w:ascii="Arial" w:hAnsi="Arial" w:cs="Arial"/>
          <w:sz w:val="22"/>
          <w:szCs w:val="22"/>
        </w:rPr>
        <w:t>11</w:t>
      </w:r>
      <w:r w:rsidRPr="00F603B3">
        <w:rPr>
          <w:rFonts w:ascii="Arial" w:hAnsi="Arial" w:cs="Arial"/>
          <w:sz w:val="22"/>
          <w:szCs w:val="22"/>
        </w:rPr>
        <w:t xml:space="preserve">/MMBTU </w:t>
      </w:r>
      <w:r w:rsidR="00F603B3" w:rsidRPr="00F603B3">
        <w:rPr>
          <w:rFonts w:ascii="Arial" w:hAnsi="Arial" w:cs="Arial"/>
          <w:sz w:val="22"/>
          <w:szCs w:val="22"/>
        </w:rPr>
        <w:t xml:space="preserve">y al puerto de Buenaventura US$0.18/MMBTU. Adicionalmente también se tuvo en cuenta la regasificación, la cual está en US$0.4/MMBTU. </w:t>
      </w:r>
    </w:p>
    <w:p w14:paraId="7FFD1EE1" w14:textId="0B6AD77D" w:rsidR="00914134" w:rsidRPr="00F603B3" w:rsidRDefault="00914134" w:rsidP="00C17C8E">
      <w:pPr>
        <w:spacing w:before="240" w:after="240" w:line="276" w:lineRule="auto"/>
        <w:ind w:left="851" w:right="425"/>
        <w:jc w:val="both"/>
        <w:rPr>
          <w:rFonts w:ascii="Arial" w:hAnsi="Arial" w:cs="Arial"/>
          <w:sz w:val="22"/>
          <w:szCs w:val="22"/>
        </w:rPr>
      </w:pPr>
      <w:r w:rsidRPr="00AC2F16">
        <w:rPr>
          <w:rFonts w:ascii="Arial" w:hAnsi="Arial" w:cs="Arial"/>
          <w:b/>
          <w:sz w:val="22"/>
          <w:szCs w:val="22"/>
        </w:rPr>
        <w:t>Escenario Medio:</w:t>
      </w:r>
      <w:r w:rsidRPr="00AC2F16">
        <w:rPr>
          <w:rFonts w:ascii="Arial" w:hAnsi="Arial" w:cs="Arial"/>
          <w:sz w:val="22"/>
          <w:szCs w:val="22"/>
        </w:rPr>
        <w:t xml:space="preserve"> En este escenario, se utiliza el análisis Net-back del gas natural de Trinidad y Tobago puesto en el mercado suramericano y posteriormente se le sumó el costo de transporte de Trinidad y Tobago al puerto de </w:t>
      </w:r>
      <w:r w:rsidRPr="00F603B3">
        <w:rPr>
          <w:rFonts w:ascii="Arial" w:hAnsi="Arial" w:cs="Arial"/>
          <w:sz w:val="22"/>
          <w:szCs w:val="22"/>
        </w:rPr>
        <w:t>Cartagena de US$0.</w:t>
      </w:r>
      <w:r w:rsidR="00F603B3" w:rsidRPr="00F603B3">
        <w:rPr>
          <w:rFonts w:ascii="Arial" w:hAnsi="Arial" w:cs="Arial"/>
          <w:sz w:val="22"/>
          <w:szCs w:val="22"/>
        </w:rPr>
        <w:t>11</w:t>
      </w:r>
      <w:r w:rsidRPr="00F603B3">
        <w:rPr>
          <w:rFonts w:ascii="Arial" w:hAnsi="Arial" w:cs="Arial"/>
          <w:sz w:val="22"/>
          <w:szCs w:val="22"/>
        </w:rPr>
        <w:t>/</w:t>
      </w:r>
      <w:r w:rsidR="00835C9C" w:rsidRPr="00F603B3">
        <w:rPr>
          <w:rFonts w:ascii="Arial" w:hAnsi="Arial" w:cs="Arial"/>
          <w:sz w:val="22"/>
          <w:szCs w:val="22"/>
        </w:rPr>
        <w:t>M</w:t>
      </w:r>
      <w:r w:rsidRPr="00F603B3">
        <w:rPr>
          <w:rFonts w:ascii="Arial" w:hAnsi="Arial" w:cs="Arial"/>
          <w:sz w:val="22"/>
          <w:szCs w:val="22"/>
        </w:rPr>
        <w:t>MBTU y</w:t>
      </w:r>
      <w:r w:rsidR="00F603B3" w:rsidRPr="00F603B3">
        <w:rPr>
          <w:rFonts w:ascii="Arial" w:hAnsi="Arial" w:cs="Arial"/>
          <w:sz w:val="22"/>
          <w:szCs w:val="22"/>
        </w:rPr>
        <w:t xml:space="preserve"> al puerto de Buenaventura US$0.18/MMBTU. Adicionalmente también se tuvo en cuenta</w:t>
      </w:r>
      <w:r w:rsidRPr="00F603B3">
        <w:rPr>
          <w:rFonts w:ascii="Arial" w:hAnsi="Arial" w:cs="Arial"/>
          <w:sz w:val="22"/>
          <w:szCs w:val="22"/>
        </w:rPr>
        <w:t xml:space="preserve"> la regasificación</w:t>
      </w:r>
      <w:r w:rsidR="00F603B3" w:rsidRPr="00F603B3">
        <w:rPr>
          <w:rFonts w:ascii="Arial" w:hAnsi="Arial" w:cs="Arial"/>
          <w:sz w:val="22"/>
          <w:szCs w:val="22"/>
        </w:rPr>
        <w:t>, la cual está en</w:t>
      </w:r>
      <w:r w:rsidRPr="00F603B3">
        <w:rPr>
          <w:rFonts w:ascii="Arial" w:hAnsi="Arial" w:cs="Arial"/>
          <w:sz w:val="22"/>
          <w:szCs w:val="22"/>
        </w:rPr>
        <w:t xml:space="preserve"> US$0.4/M</w:t>
      </w:r>
      <w:r w:rsidR="00835C9C" w:rsidRPr="00F603B3">
        <w:rPr>
          <w:rFonts w:ascii="Arial" w:hAnsi="Arial" w:cs="Arial"/>
          <w:sz w:val="22"/>
          <w:szCs w:val="22"/>
        </w:rPr>
        <w:t>M</w:t>
      </w:r>
      <w:r w:rsidRPr="00F603B3">
        <w:rPr>
          <w:rFonts w:ascii="Arial" w:hAnsi="Arial" w:cs="Arial"/>
          <w:sz w:val="22"/>
          <w:szCs w:val="22"/>
        </w:rPr>
        <w:t xml:space="preserve">BTU. </w:t>
      </w:r>
    </w:p>
    <w:p w14:paraId="2C969194" w14:textId="77777777" w:rsidR="00914134" w:rsidRPr="00AC2F16" w:rsidRDefault="00914134" w:rsidP="00C17C8E">
      <w:pPr>
        <w:spacing w:before="240" w:after="240" w:line="276" w:lineRule="auto"/>
        <w:ind w:left="851" w:right="425"/>
        <w:jc w:val="both"/>
        <w:rPr>
          <w:rFonts w:ascii="Arial" w:hAnsi="Arial" w:cs="Arial"/>
          <w:sz w:val="22"/>
          <w:szCs w:val="22"/>
        </w:rPr>
      </w:pPr>
      <w:r w:rsidRPr="00AC2F16">
        <w:rPr>
          <w:rFonts w:ascii="Arial" w:hAnsi="Arial" w:cs="Arial"/>
          <w:sz w:val="22"/>
          <w:szCs w:val="22"/>
        </w:rPr>
        <w:t>Para la estimación de largo plazo, se aplicó al valor base del gas natural en Trinidad y Tobago las tasas de crecimiento del marcado NBP, establecidas en la proyección de largo plazo realizada p</w:t>
      </w:r>
      <w:r>
        <w:rPr>
          <w:rFonts w:ascii="Arial" w:hAnsi="Arial" w:cs="Arial"/>
          <w:sz w:val="22"/>
          <w:szCs w:val="22"/>
        </w:rPr>
        <w:t>or el consultor Wood Mackenzie.</w:t>
      </w:r>
    </w:p>
    <w:p w14:paraId="275BADB7" w14:textId="77777777" w:rsidR="00914134" w:rsidRDefault="00914134" w:rsidP="00C17C8E">
      <w:pPr>
        <w:spacing w:before="240" w:after="240" w:line="276" w:lineRule="auto"/>
        <w:ind w:left="851" w:right="425"/>
        <w:jc w:val="both"/>
        <w:rPr>
          <w:rFonts w:ascii="Arial" w:hAnsi="Arial" w:cs="Arial"/>
          <w:sz w:val="22"/>
          <w:szCs w:val="22"/>
        </w:rPr>
      </w:pPr>
      <w:r w:rsidRPr="00F603B3">
        <w:rPr>
          <w:rFonts w:ascii="Arial" w:hAnsi="Arial" w:cs="Arial"/>
          <w:b/>
          <w:sz w:val="22"/>
          <w:szCs w:val="22"/>
        </w:rPr>
        <w:t>Escenario Bajo:</w:t>
      </w:r>
      <w:r w:rsidRPr="00F603B3">
        <w:rPr>
          <w:rFonts w:ascii="Arial" w:hAnsi="Arial" w:cs="Arial"/>
          <w:sz w:val="22"/>
          <w:szCs w:val="22"/>
        </w:rPr>
        <w:t xml:space="preserve"> En este escenario, se empleó como semilla el precio del marcador Estadounidense Henry Hub definido en las estimaciones de largo plazo de consultor Wood Mackenzie. Debido a que este marcador es presenta un precio local, se procedió a adicionar el costo de licuefacción, transporte hasta el puesto de Cartagena y Buenaventura y se sumó el costo de la regasificación.</w:t>
      </w:r>
    </w:p>
    <w:p w14:paraId="0323FBE2" w14:textId="77777777" w:rsidR="00914134" w:rsidRPr="00925C4E" w:rsidRDefault="00914134" w:rsidP="00006B6F">
      <w:pPr>
        <w:pStyle w:val="Ttulo3"/>
      </w:pPr>
      <w:bookmarkStart w:id="258" w:name="_Toc417888849"/>
      <w:bookmarkStart w:id="259" w:name="_Toc530045845"/>
      <w:r w:rsidRPr="00925C4E">
        <w:t>Precios del gas natural (2017 – 2040)</w:t>
      </w:r>
      <w:bookmarkEnd w:id="258"/>
      <w:bookmarkEnd w:id="259"/>
    </w:p>
    <w:p w14:paraId="1682BBA3" w14:textId="0E51B975" w:rsidR="00914134" w:rsidRPr="00925C4E" w:rsidRDefault="00914134" w:rsidP="00914134">
      <w:pPr>
        <w:spacing w:before="240" w:after="240" w:line="276" w:lineRule="auto"/>
        <w:jc w:val="both"/>
        <w:rPr>
          <w:rFonts w:ascii="Arial" w:hAnsi="Arial" w:cs="Arial"/>
          <w:sz w:val="22"/>
          <w:szCs w:val="22"/>
        </w:rPr>
      </w:pPr>
      <w:r w:rsidRPr="00925C4E">
        <w:rPr>
          <w:rFonts w:ascii="Arial" w:hAnsi="Arial" w:cs="Arial"/>
          <w:sz w:val="22"/>
          <w:szCs w:val="22"/>
        </w:rPr>
        <w:t xml:space="preserve">Los precios nacionales parten de las negociaciones publicadas por el gestor del mercado. Se adopta como punto de partida para la estimación de los precios de largo plazo de la Costa el valor obtenido en la negociación bilateral de 2017 y se aplica la misma metodología dada a los precios internacionales, como se puede observar en las gráficas </w:t>
      </w:r>
      <w:r w:rsidRPr="00127A88">
        <w:rPr>
          <w:rFonts w:ascii="Arial" w:hAnsi="Arial" w:cs="Arial"/>
          <w:sz w:val="22"/>
          <w:szCs w:val="22"/>
          <w:highlight w:val="yellow"/>
        </w:rPr>
        <w:fldChar w:fldCharType="begin"/>
      </w:r>
      <w:r w:rsidRPr="00127A88">
        <w:rPr>
          <w:rFonts w:ascii="Arial" w:hAnsi="Arial" w:cs="Arial"/>
          <w:sz w:val="22"/>
          <w:szCs w:val="22"/>
          <w:highlight w:val="yellow"/>
        </w:rPr>
        <w:instrText xml:space="preserve"> REF _Ref499543275 \h  \* MERGEFORMAT </w:instrText>
      </w:r>
      <w:r w:rsidRPr="00127A88">
        <w:rPr>
          <w:rFonts w:ascii="Arial" w:hAnsi="Arial" w:cs="Arial"/>
          <w:sz w:val="22"/>
          <w:szCs w:val="22"/>
          <w:highlight w:val="yellow"/>
        </w:rPr>
      </w:r>
      <w:r w:rsidRPr="00127A88">
        <w:rPr>
          <w:rFonts w:ascii="Arial" w:hAnsi="Arial" w:cs="Arial"/>
          <w:sz w:val="22"/>
          <w:szCs w:val="22"/>
          <w:highlight w:val="yellow"/>
        </w:rPr>
        <w:fldChar w:fldCharType="separate"/>
      </w:r>
      <w:r w:rsidR="00915705" w:rsidRPr="00915705">
        <w:rPr>
          <w:rFonts w:ascii="Arial" w:hAnsi="Arial" w:cs="Arial"/>
          <w:sz w:val="22"/>
          <w:szCs w:val="22"/>
          <w:highlight w:val="yellow"/>
        </w:rPr>
        <w:t>Gráfica 3</w:t>
      </w:r>
      <w:r w:rsidR="00915705" w:rsidRPr="00915705">
        <w:rPr>
          <w:rFonts w:ascii="Arial" w:hAnsi="Arial" w:cs="Arial"/>
          <w:sz w:val="22"/>
          <w:szCs w:val="22"/>
          <w:highlight w:val="yellow"/>
        </w:rPr>
        <w:noBreakHyphen/>
        <w:t>15</w:t>
      </w:r>
      <w:r w:rsidRPr="00127A88">
        <w:rPr>
          <w:rFonts w:ascii="Arial" w:hAnsi="Arial" w:cs="Arial"/>
          <w:sz w:val="22"/>
          <w:szCs w:val="22"/>
          <w:highlight w:val="yellow"/>
        </w:rPr>
        <w:fldChar w:fldCharType="end"/>
      </w:r>
      <w:r w:rsidRPr="00127A88">
        <w:rPr>
          <w:rFonts w:ascii="Arial" w:hAnsi="Arial" w:cs="Arial"/>
          <w:sz w:val="22"/>
          <w:szCs w:val="22"/>
          <w:highlight w:val="yellow"/>
        </w:rPr>
        <w:t xml:space="preserve"> y </w:t>
      </w:r>
      <w:r w:rsidRPr="00127A88">
        <w:rPr>
          <w:rFonts w:ascii="Arial" w:hAnsi="Arial" w:cs="Arial"/>
          <w:sz w:val="22"/>
          <w:szCs w:val="22"/>
          <w:highlight w:val="yellow"/>
        </w:rPr>
        <w:fldChar w:fldCharType="begin"/>
      </w:r>
      <w:r w:rsidRPr="00127A88">
        <w:rPr>
          <w:rFonts w:ascii="Arial" w:hAnsi="Arial" w:cs="Arial"/>
          <w:sz w:val="22"/>
          <w:szCs w:val="22"/>
          <w:highlight w:val="yellow"/>
        </w:rPr>
        <w:instrText xml:space="preserve"> REF _Ref499626667 \h  \* MERGEFORMAT </w:instrText>
      </w:r>
      <w:r w:rsidRPr="00127A88">
        <w:rPr>
          <w:rFonts w:ascii="Arial" w:hAnsi="Arial" w:cs="Arial"/>
          <w:sz w:val="22"/>
          <w:szCs w:val="22"/>
          <w:highlight w:val="yellow"/>
        </w:rPr>
      </w:r>
      <w:r w:rsidRPr="00127A88">
        <w:rPr>
          <w:rFonts w:ascii="Arial" w:hAnsi="Arial" w:cs="Arial"/>
          <w:sz w:val="22"/>
          <w:szCs w:val="22"/>
          <w:highlight w:val="yellow"/>
        </w:rPr>
        <w:fldChar w:fldCharType="separate"/>
      </w:r>
      <w:r w:rsidR="00915705" w:rsidRPr="00915705">
        <w:rPr>
          <w:rFonts w:ascii="Arial" w:hAnsi="Arial" w:cs="Arial"/>
          <w:sz w:val="22"/>
          <w:szCs w:val="22"/>
          <w:highlight w:val="yellow"/>
        </w:rPr>
        <w:t>Gráfica 3</w:t>
      </w:r>
      <w:r w:rsidR="00915705" w:rsidRPr="00915705">
        <w:rPr>
          <w:rFonts w:ascii="Arial" w:hAnsi="Arial" w:cs="Arial"/>
          <w:sz w:val="22"/>
          <w:szCs w:val="22"/>
          <w:highlight w:val="yellow"/>
        </w:rPr>
        <w:noBreakHyphen/>
        <w:t>16</w:t>
      </w:r>
      <w:r w:rsidRPr="00127A88">
        <w:rPr>
          <w:rFonts w:ascii="Arial" w:hAnsi="Arial" w:cs="Arial"/>
          <w:sz w:val="22"/>
          <w:szCs w:val="22"/>
          <w:highlight w:val="yellow"/>
        </w:rPr>
        <w:fldChar w:fldCharType="end"/>
      </w:r>
      <w:r w:rsidRPr="00925C4E">
        <w:rPr>
          <w:rFonts w:ascii="Arial" w:hAnsi="Arial" w:cs="Arial"/>
          <w:sz w:val="22"/>
          <w:szCs w:val="22"/>
        </w:rPr>
        <w:t xml:space="preserve">. De la manera como está estipulado en los supuestos de mercado, se obtendría un precio de corto plazo </w:t>
      </w:r>
      <w:r w:rsidR="00FF5859">
        <w:rPr>
          <w:rFonts w:ascii="Arial" w:hAnsi="Arial" w:cs="Arial"/>
          <w:sz w:val="22"/>
          <w:szCs w:val="22"/>
        </w:rPr>
        <w:t>creciente en el escenario medio, tanto para Mamonal como Guajira,</w:t>
      </w:r>
      <w:r w:rsidRPr="00925C4E">
        <w:rPr>
          <w:rFonts w:ascii="Arial" w:hAnsi="Arial" w:cs="Arial"/>
          <w:sz w:val="22"/>
          <w:szCs w:val="22"/>
        </w:rPr>
        <w:t xml:space="preserve"> y en el largo plazo </w:t>
      </w:r>
      <w:r w:rsidR="00FF5859">
        <w:rPr>
          <w:rFonts w:ascii="Arial" w:hAnsi="Arial" w:cs="Arial"/>
          <w:sz w:val="22"/>
          <w:szCs w:val="22"/>
        </w:rPr>
        <w:t xml:space="preserve">se presenta </w:t>
      </w:r>
      <w:r w:rsidRPr="00925C4E">
        <w:rPr>
          <w:rFonts w:ascii="Arial" w:hAnsi="Arial" w:cs="Arial"/>
          <w:sz w:val="22"/>
          <w:szCs w:val="22"/>
        </w:rPr>
        <w:t>un incremento constante que sigue las tasas de crecimiento del índice NBP</w:t>
      </w:r>
      <w:r w:rsidR="00FF5859">
        <w:rPr>
          <w:rFonts w:ascii="Arial" w:hAnsi="Arial" w:cs="Arial"/>
          <w:sz w:val="22"/>
          <w:szCs w:val="22"/>
        </w:rPr>
        <w:t xml:space="preserve"> a partir del año 2024 para ambos puntos de referencia</w:t>
      </w:r>
      <w:r w:rsidRPr="00925C4E">
        <w:rPr>
          <w:rFonts w:ascii="Arial" w:hAnsi="Arial" w:cs="Arial"/>
          <w:sz w:val="22"/>
          <w:szCs w:val="22"/>
        </w:rPr>
        <w:t>.</w:t>
      </w:r>
    </w:p>
    <w:p w14:paraId="40F06968" w14:textId="77777777" w:rsidR="00914134" w:rsidRDefault="00914134" w:rsidP="00914134">
      <w:pPr>
        <w:spacing w:before="240" w:after="240" w:line="276" w:lineRule="auto"/>
        <w:jc w:val="both"/>
        <w:rPr>
          <w:rFonts w:ascii="Arial" w:hAnsi="Arial" w:cs="Arial"/>
          <w:sz w:val="22"/>
          <w:szCs w:val="22"/>
          <w:highlight w:val="yellow"/>
        </w:rPr>
      </w:pPr>
    </w:p>
    <w:p w14:paraId="01CAE9BF" w14:textId="77777777" w:rsidR="00835C9C" w:rsidRDefault="00835C9C" w:rsidP="00914134">
      <w:pPr>
        <w:spacing w:before="240" w:after="240" w:line="276" w:lineRule="auto"/>
        <w:jc w:val="both"/>
        <w:rPr>
          <w:rFonts w:ascii="Arial" w:hAnsi="Arial" w:cs="Arial"/>
          <w:sz w:val="22"/>
          <w:szCs w:val="22"/>
          <w:highlight w:val="yellow"/>
        </w:rPr>
      </w:pPr>
    </w:p>
    <w:p w14:paraId="4D0C5218" w14:textId="77777777" w:rsidR="00C17C8E" w:rsidRDefault="00C17C8E" w:rsidP="00914134">
      <w:pPr>
        <w:spacing w:before="240" w:after="240" w:line="276" w:lineRule="auto"/>
        <w:jc w:val="both"/>
        <w:rPr>
          <w:rFonts w:ascii="Arial" w:hAnsi="Arial" w:cs="Arial"/>
          <w:sz w:val="22"/>
          <w:szCs w:val="22"/>
          <w:highlight w:val="yellow"/>
        </w:rPr>
      </w:pPr>
    </w:p>
    <w:p w14:paraId="7699F4D1" w14:textId="77777777" w:rsidR="003C5802" w:rsidRDefault="003C5802" w:rsidP="00914134">
      <w:pPr>
        <w:jc w:val="center"/>
        <w:rPr>
          <w:rFonts w:ascii="Arial" w:eastAsia="Times New Roman" w:hAnsi="Arial" w:cs="Arial"/>
          <w:b/>
          <w:iCs/>
          <w:sz w:val="20"/>
          <w:szCs w:val="20"/>
          <w:highlight w:val="yellow"/>
          <w:lang w:val="es-CO" w:eastAsia="es-ES"/>
        </w:rPr>
      </w:pPr>
      <w:bookmarkStart w:id="260" w:name="_Ref499543275"/>
      <w:bookmarkStart w:id="261" w:name="_Toc499799371"/>
    </w:p>
    <w:p w14:paraId="4F7CD2C9" w14:textId="4B65C732" w:rsidR="00914134" w:rsidRDefault="00914134" w:rsidP="00914134">
      <w:pPr>
        <w:jc w:val="center"/>
        <w:rPr>
          <w:rFonts w:ascii="Arial" w:eastAsia="Times New Roman" w:hAnsi="Arial" w:cs="Arial"/>
          <w:iCs/>
          <w:sz w:val="20"/>
          <w:szCs w:val="20"/>
          <w:lang w:val="es-CO" w:eastAsia="es-ES"/>
        </w:rPr>
      </w:pPr>
      <w:bookmarkStart w:id="262" w:name="_Toc530033418"/>
      <w:r w:rsidRPr="00482F07">
        <w:rPr>
          <w:rFonts w:ascii="Arial" w:eastAsia="Times New Roman" w:hAnsi="Arial" w:cs="Arial"/>
          <w:b/>
          <w:iCs/>
          <w:sz w:val="20"/>
          <w:szCs w:val="20"/>
          <w:highlight w:val="yellow"/>
          <w:lang w:val="es-CO" w:eastAsia="es-ES"/>
        </w:rPr>
        <w:lastRenderedPageBreak/>
        <w:t xml:space="preserve">Gráfica </w:t>
      </w:r>
      <w:r w:rsidR="00DA50A5">
        <w:rPr>
          <w:rFonts w:ascii="Arial" w:eastAsia="Times New Roman" w:hAnsi="Arial" w:cs="Arial"/>
          <w:b/>
          <w:iCs/>
          <w:sz w:val="20"/>
          <w:szCs w:val="20"/>
          <w:highlight w:val="yellow"/>
          <w:lang w:val="es-CO" w:eastAsia="es-ES"/>
        </w:rPr>
        <w:fldChar w:fldCharType="begin"/>
      </w:r>
      <w:r w:rsidR="00DA50A5">
        <w:rPr>
          <w:rFonts w:ascii="Arial" w:eastAsia="Times New Roman" w:hAnsi="Arial" w:cs="Arial"/>
          <w:b/>
          <w:iCs/>
          <w:sz w:val="20"/>
          <w:szCs w:val="20"/>
          <w:highlight w:val="yellow"/>
          <w:lang w:val="es-CO" w:eastAsia="es-ES"/>
        </w:rPr>
        <w:instrText xml:space="preserve"> STYLEREF 1 \s </w:instrText>
      </w:r>
      <w:r w:rsidR="00DA50A5">
        <w:rPr>
          <w:rFonts w:ascii="Arial" w:eastAsia="Times New Roman" w:hAnsi="Arial" w:cs="Arial"/>
          <w:b/>
          <w:iCs/>
          <w:sz w:val="20"/>
          <w:szCs w:val="20"/>
          <w:highlight w:val="yellow"/>
          <w:lang w:val="es-CO" w:eastAsia="es-ES"/>
        </w:rPr>
        <w:fldChar w:fldCharType="separate"/>
      </w:r>
      <w:r w:rsidR="00DA50A5">
        <w:rPr>
          <w:rFonts w:ascii="Arial" w:eastAsia="Times New Roman" w:hAnsi="Arial" w:cs="Arial"/>
          <w:b/>
          <w:iCs/>
          <w:noProof/>
          <w:sz w:val="20"/>
          <w:szCs w:val="20"/>
          <w:highlight w:val="yellow"/>
          <w:lang w:val="es-CO" w:eastAsia="es-ES"/>
        </w:rPr>
        <w:t>3</w:t>
      </w:r>
      <w:r w:rsidR="00DA50A5">
        <w:rPr>
          <w:rFonts w:ascii="Arial" w:eastAsia="Times New Roman" w:hAnsi="Arial" w:cs="Arial"/>
          <w:b/>
          <w:iCs/>
          <w:sz w:val="20"/>
          <w:szCs w:val="20"/>
          <w:highlight w:val="yellow"/>
          <w:lang w:val="es-CO" w:eastAsia="es-ES"/>
        </w:rPr>
        <w:fldChar w:fldCharType="end"/>
      </w:r>
      <w:r w:rsidR="00DA50A5">
        <w:rPr>
          <w:rFonts w:ascii="Arial" w:eastAsia="Times New Roman" w:hAnsi="Arial" w:cs="Arial"/>
          <w:b/>
          <w:iCs/>
          <w:sz w:val="20"/>
          <w:szCs w:val="20"/>
          <w:highlight w:val="yellow"/>
          <w:lang w:val="es-CO" w:eastAsia="es-ES"/>
        </w:rPr>
        <w:noBreakHyphen/>
      </w:r>
      <w:r w:rsidR="00DA50A5">
        <w:rPr>
          <w:rFonts w:ascii="Arial" w:eastAsia="Times New Roman" w:hAnsi="Arial" w:cs="Arial"/>
          <w:b/>
          <w:iCs/>
          <w:sz w:val="20"/>
          <w:szCs w:val="20"/>
          <w:highlight w:val="yellow"/>
          <w:lang w:val="es-CO" w:eastAsia="es-ES"/>
        </w:rPr>
        <w:fldChar w:fldCharType="begin"/>
      </w:r>
      <w:r w:rsidR="00DA50A5">
        <w:rPr>
          <w:rFonts w:ascii="Arial" w:eastAsia="Times New Roman" w:hAnsi="Arial" w:cs="Arial"/>
          <w:b/>
          <w:iCs/>
          <w:sz w:val="20"/>
          <w:szCs w:val="20"/>
          <w:highlight w:val="yellow"/>
          <w:lang w:val="es-CO" w:eastAsia="es-ES"/>
        </w:rPr>
        <w:instrText xml:space="preserve"> SEQ Gráfica \* ARABIC \s 1 </w:instrText>
      </w:r>
      <w:r w:rsidR="00DA50A5">
        <w:rPr>
          <w:rFonts w:ascii="Arial" w:eastAsia="Times New Roman" w:hAnsi="Arial" w:cs="Arial"/>
          <w:b/>
          <w:iCs/>
          <w:sz w:val="20"/>
          <w:szCs w:val="20"/>
          <w:highlight w:val="yellow"/>
          <w:lang w:val="es-CO" w:eastAsia="es-ES"/>
        </w:rPr>
        <w:fldChar w:fldCharType="separate"/>
      </w:r>
      <w:r w:rsidR="00DA50A5">
        <w:rPr>
          <w:rFonts w:ascii="Arial" w:eastAsia="Times New Roman" w:hAnsi="Arial" w:cs="Arial"/>
          <w:b/>
          <w:iCs/>
          <w:noProof/>
          <w:sz w:val="20"/>
          <w:szCs w:val="20"/>
          <w:highlight w:val="yellow"/>
          <w:lang w:val="es-CO" w:eastAsia="es-ES"/>
        </w:rPr>
        <w:t>15</w:t>
      </w:r>
      <w:r w:rsidR="00DA50A5">
        <w:rPr>
          <w:rFonts w:ascii="Arial" w:eastAsia="Times New Roman" w:hAnsi="Arial" w:cs="Arial"/>
          <w:b/>
          <w:iCs/>
          <w:sz w:val="20"/>
          <w:szCs w:val="20"/>
          <w:highlight w:val="yellow"/>
          <w:lang w:val="es-CO" w:eastAsia="es-ES"/>
        </w:rPr>
        <w:fldChar w:fldCharType="end"/>
      </w:r>
      <w:bookmarkEnd w:id="260"/>
      <w:r w:rsidRPr="00482F07">
        <w:rPr>
          <w:rFonts w:ascii="Arial" w:eastAsia="Times New Roman" w:hAnsi="Arial" w:cs="Arial"/>
          <w:b/>
          <w:iCs/>
          <w:sz w:val="20"/>
          <w:szCs w:val="20"/>
          <w:highlight w:val="yellow"/>
          <w:lang w:val="es-CO" w:eastAsia="es-ES"/>
        </w:rPr>
        <w:t xml:space="preserve">. </w:t>
      </w:r>
      <w:r w:rsidRPr="00482F07">
        <w:rPr>
          <w:rFonts w:ascii="Arial" w:eastAsia="Times New Roman" w:hAnsi="Arial" w:cs="Arial"/>
          <w:iCs/>
          <w:sz w:val="20"/>
          <w:szCs w:val="20"/>
          <w:lang w:val="es-CO" w:eastAsia="es-ES"/>
        </w:rPr>
        <w:t>Escenarios Precios Costa para Guajira (2017 – 2040)</w:t>
      </w:r>
      <w:bookmarkEnd w:id="261"/>
      <w:bookmarkEnd w:id="262"/>
    </w:p>
    <w:p w14:paraId="43E53159" w14:textId="5CE7E249" w:rsidR="00DA50A5" w:rsidRDefault="00DA50A5" w:rsidP="00914134">
      <w:pPr>
        <w:jc w:val="center"/>
        <w:rPr>
          <w:rFonts w:ascii="Arial" w:eastAsia="Times New Roman" w:hAnsi="Arial" w:cs="Arial"/>
          <w:iCs/>
          <w:sz w:val="20"/>
          <w:szCs w:val="20"/>
          <w:lang w:val="es-CO" w:eastAsia="es-ES"/>
        </w:rPr>
      </w:pPr>
      <w:r w:rsidRPr="00DA50A5">
        <w:rPr>
          <w:noProof/>
          <w:lang w:val="es-ES" w:eastAsia="es-ES"/>
        </w:rPr>
        <w:drawing>
          <wp:inline distT="0" distB="0" distL="0" distR="0" wp14:anchorId="2225871B" wp14:editId="06242306">
            <wp:extent cx="5397055" cy="3240000"/>
            <wp:effectExtent l="0" t="0" r="0" b="0"/>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97055" cy="3240000"/>
                    </a:xfrm>
                    <a:prstGeom prst="rect">
                      <a:avLst/>
                    </a:prstGeom>
                    <a:noFill/>
                    <a:ln>
                      <a:noFill/>
                    </a:ln>
                  </pic:spPr>
                </pic:pic>
              </a:graphicData>
            </a:graphic>
          </wp:inline>
        </w:drawing>
      </w:r>
    </w:p>
    <w:p w14:paraId="1A2BB202" w14:textId="77777777" w:rsidR="00914134" w:rsidRPr="005D0524" w:rsidRDefault="00914134" w:rsidP="00914134">
      <w:pPr>
        <w:jc w:val="center"/>
        <w:rPr>
          <w:rFonts w:ascii="Arial" w:hAnsi="Arial" w:cs="Arial"/>
        </w:rPr>
      </w:pPr>
      <w:r w:rsidRPr="005D0524">
        <w:rPr>
          <w:rFonts w:ascii="Arial" w:hAnsi="Arial" w:cs="Arial"/>
          <w:b/>
          <w:sz w:val="16"/>
        </w:rPr>
        <w:t>Fuente:</w:t>
      </w:r>
      <w:r w:rsidRPr="005D0524">
        <w:rPr>
          <w:rFonts w:ascii="Arial" w:hAnsi="Arial" w:cs="Arial"/>
          <w:sz w:val="16"/>
        </w:rPr>
        <w:t xml:space="preserve"> UPME</w:t>
      </w:r>
    </w:p>
    <w:p w14:paraId="1958B8BE" w14:textId="77777777" w:rsidR="00914134" w:rsidRPr="007E23C5" w:rsidRDefault="00914134" w:rsidP="00914134">
      <w:pPr>
        <w:jc w:val="center"/>
        <w:rPr>
          <w:rFonts w:asciiTheme="majorHAnsi" w:hAnsiTheme="majorHAnsi"/>
          <w:b/>
          <w:i/>
          <w:color w:val="002060"/>
          <w:highlight w:val="yellow"/>
        </w:rPr>
      </w:pPr>
      <w:bookmarkStart w:id="263" w:name="_Ref499543292"/>
    </w:p>
    <w:p w14:paraId="7BB41C79" w14:textId="716F3A42" w:rsidR="00914134" w:rsidRDefault="00914134" w:rsidP="00914134">
      <w:pPr>
        <w:jc w:val="center"/>
        <w:rPr>
          <w:rFonts w:ascii="Arial" w:eastAsia="Times New Roman" w:hAnsi="Arial" w:cs="Arial"/>
          <w:iCs/>
          <w:sz w:val="20"/>
          <w:szCs w:val="20"/>
          <w:lang w:val="es-CO" w:eastAsia="es-ES"/>
        </w:rPr>
      </w:pPr>
      <w:bookmarkStart w:id="264" w:name="_Ref499626667"/>
      <w:bookmarkStart w:id="265" w:name="_Toc499799372"/>
      <w:bookmarkStart w:id="266" w:name="_Toc530033419"/>
      <w:r w:rsidRPr="00482F07">
        <w:rPr>
          <w:rFonts w:ascii="Arial" w:eastAsia="Times New Roman" w:hAnsi="Arial" w:cs="Arial"/>
          <w:b/>
          <w:iCs/>
          <w:sz w:val="20"/>
          <w:szCs w:val="20"/>
          <w:highlight w:val="yellow"/>
          <w:lang w:val="es-CO" w:eastAsia="es-ES"/>
        </w:rPr>
        <w:t xml:space="preserve">Gráfica </w:t>
      </w:r>
      <w:r w:rsidR="00DA50A5">
        <w:rPr>
          <w:rFonts w:ascii="Arial" w:eastAsia="Times New Roman" w:hAnsi="Arial" w:cs="Arial"/>
          <w:b/>
          <w:iCs/>
          <w:sz w:val="20"/>
          <w:szCs w:val="20"/>
          <w:highlight w:val="yellow"/>
          <w:lang w:val="es-CO" w:eastAsia="es-ES"/>
        </w:rPr>
        <w:fldChar w:fldCharType="begin"/>
      </w:r>
      <w:r w:rsidR="00DA50A5">
        <w:rPr>
          <w:rFonts w:ascii="Arial" w:eastAsia="Times New Roman" w:hAnsi="Arial" w:cs="Arial"/>
          <w:b/>
          <w:iCs/>
          <w:sz w:val="20"/>
          <w:szCs w:val="20"/>
          <w:highlight w:val="yellow"/>
          <w:lang w:val="es-CO" w:eastAsia="es-ES"/>
        </w:rPr>
        <w:instrText xml:space="preserve"> STYLEREF 1 \s </w:instrText>
      </w:r>
      <w:r w:rsidR="00DA50A5">
        <w:rPr>
          <w:rFonts w:ascii="Arial" w:eastAsia="Times New Roman" w:hAnsi="Arial" w:cs="Arial"/>
          <w:b/>
          <w:iCs/>
          <w:sz w:val="20"/>
          <w:szCs w:val="20"/>
          <w:highlight w:val="yellow"/>
          <w:lang w:val="es-CO" w:eastAsia="es-ES"/>
        </w:rPr>
        <w:fldChar w:fldCharType="separate"/>
      </w:r>
      <w:r w:rsidR="00DA50A5">
        <w:rPr>
          <w:rFonts w:ascii="Arial" w:eastAsia="Times New Roman" w:hAnsi="Arial" w:cs="Arial"/>
          <w:b/>
          <w:iCs/>
          <w:noProof/>
          <w:sz w:val="20"/>
          <w:szCs w:val="20"/>
          <w:highlight w:val="yellow"/>
          <w:lang w:val="es-CO" w:eastAsia="es-ES"/>
        </w:rPr>
        <w:t>3</w:t>
      </w:r>
      <w:r w:rsidR="00DA50A5">
        <w:rPr>
          <w:rFonts w:ascii="Arial" w:eastAsia="Times New Roman" w:hAnsi="Arial" w:cs="Arial"/>
          <w:b/>
          <w:iCs/>
          <w:sz w:val="20"/>
          <w:szCs w:val="20"/>
          <w:highlight w:val="yellow"/>
          <w:lang w:val="es-CO" w:eastAsia="es-ES"/>
        </w:rPr>
        <w:fldChar w:fldCharType="end"/>
      </w:r>
      <w:r w:rsidR="00DA50A5">
        <w:rPr>
          <w:rFonts w:ascii="Arial" w:eastAsia="Times New Roman" w:hAnsi="Arial" w:cs="Arial"/>
          <w:b/>
          <w:iCs/>
          <w:sz w:val="20"/>
          <w:szCs w:val="20"/>
          <w:highlight w:val="yellow"/>
          <w:lang w:val="es-CO" w:eastAsia="es-ES"/>
        </w:rPr>
        <w:noBreakHyphen/>
      </w:r>
      <w:r w:rsidR="00DA50A5">
        <w:rPr>
          <w:rFonts w:ascii="Arial" w:eastAsia="Times New Roman" w:hAnsi="Arial" w:cs="Arial"/>
          <w:b/>
          <w:iCs/>
          <w:sz w:val="20"/>
          <w:szCs w:val="20"/>
          <w:highlight w:val="yellow"/>
          <w:lang w:val="es-CO" w:eastAsia="es-ES"/>
        </w:rPr>
        <w:fldChar w:fldCharType="begin"/>
      </w:r>
      <w:r w:rsidR="00DA50A5">
        <w:rPr>
          <w:rFonts w:ascii="Arial" w:eastAsia="Times New Roman" w:hAnsi="Arial" w:cs="Arial"/>
          <w:b/>
          <w:iCs/>
          <w:sz w:val="20"/>
          <w:szCs w:val="20"/>
          <w:highlight w:val="yellow"/>
          <w:lang w:val="es-CO" w:eastAsia="es-ES"/>
        </w:rPr>
        <w:instrText xml:space="preserve"> SEQ Gráfica \* ARABIC \s 1 </w:instrText>
      </w:r>
      <w:r w:rsidR="00DA50A5">
        <w:rPr>
          <w:rFonts w:ascii="Arial" w:eastAsia="Times New Roman" w:hAnsi="Arial" w:cs="Arial"/>
          <w:b/>
          <w:iCs/>
          <w:sz w:val="20"/>
          <w:szCs w:val="20"/>
          <w:highlight w:val="yellow"/>
          <w:lang w:val="es-CO" w:eastAsia="es-ES"/>
        </w:rPr>
        <w:fldChar w:fldCharType="separate"/>
      </w:r>
      <w:r w:rsidR="00DA50A5">
        <w:rPr>
          <w:rFonts w:ascii="Arial" w:eastAsia="Times New Roman" w:hAnsi="Arial" w:cs="Arial"/>
          <w:b/>
          <w:iCs/>
          <w:noProof/>
          <w:sz w:val="20"/>
          <w:szCs w:val="20"/>
          <w:highlight w:val="yellow"/>
          <w:lang w:val="es-CO" w:eastAsia="es-ES"/>
        </w:rPr>
        <w:t>16</w:t>
      </w:r>
      <w:r w:rsidR="00DA50A5">
        <w:rPr>
          <w:rFonts w:ascii="Arial" w:eastAsia="Times New Roman" w:hAnsi="Arial" w:cs="Arial"/>
          <w:b/>
          <w:iCs/>
          <w:sz w:val="20"/>
          <w:szCs w:val="20"/>
          <w:highlight w:val="yellow"/>
          <w:lang w:val="es-CO" w:eastAsia="es-ES"/>
        </w:rPr>
        <w:fldChar w:fldCharType="end"/>
      </w:r>
      <w:bookmarkEnd w:id="263"/>
      <w:bookmarkEnd w:id="264"/>
      <w:r w:rsidRPr="00482F07">
        <w:rPr>
          <w:rFonts w:ascii="Arial" w:eastAsia="Times New Roman" w:hAnsi="Arial" w:cs="Arial"/>
          <w:b/>
          <w:iCs/>
          <w:sz w:val="20"/>
          <w:szCs w:val="20"/>
          <w:highlight w:val="yellow"/>
          <w:lang w:val="es-CO" w:eastAsia="es-ES"/>
        </w:rPr>
        <w:t xml:space="preserve"> </w:t>
      </w:r>
      <w:r w:rsidRPr="00482F07">
        <w:rPr>
          <w:rFonts w:ascii="Arial" w:eastAsia="Times New Roman" w:hAnsi="Arial" w:cs="Arial"/>
          <w:iCs/>
          <w:sz w:val="20"/>
          <w:szCs w:val="20"/>
          <w:lang w:val="es-CO" w:eastAsia="es-ES"/>
        </w:rPr>
        <w:t>Escenarios Precios Costa para Mamonal (2017 – 2040)</w:t>
      </w:r>
      <w:bookmarkEnd w:id="265"/>
      <w:bookmarkEnd w:id="266"/>
    </w:p>
    <w:p w14:paraId="3FDE69FA" w14:textId="19E72C0B" w:rsidR="00DA50A5" w:rsidRPr="00482F07" w:rsidRDefault="00DA50A5" w:rsidP="00914134">
      <w:pPr>
        <w:jc w:val="center"/>
        <w:rPr>
          <w:rFonts w:ascii="Arial" w:eastAsia="Times New Roman" w:hAnsi="Arial" w:cs="Arial"/>
          <w:b/>
          <w:iCs/>
          <w:sz w:val="20"/>
          <w:szCs w:val="20"/>
          <w:highlight w:val="yellow"/>
          <w:lang w:val="es-CO" w:eastAsia="es-ES"/>
        </w:rPr>
      </w:pPr>
      <w:r w:rsidRPr="00DA50A5">
        <w:rPr>
          <w:noProof/>
          <w:lang w:val="es-ES" w:eastAsia="es-ES"/>
        </w:rPr>
        <w:drawing>
          <wp:inline distT="0" distB="0" distL="0" distR="0" wp14:anchorId="34D51156" wp14:editId="0E4B6E01">
            <wp:extent cx="5399790" cy="3240000"/>
            <wp:effectExtent l="0" t="0" r="0" b="0"/>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99790" cy="3240000"/>
                    </a:xfrm>
                    <a:prstGeom prst="rect">
                      <a:avLst/>
                    </a:prstGeom>
                    <a:noFill/>
                    <a:ln>
                      <a:noFill/>
                    </a:ln>
                  </pic:spPr>
                </pic:pic>
              </a:graphicData>
            </a:graphic>
          </wp:inline>
        </w:drawing>
      </w:r>
    </w:p>
    <w:p w14:paraId="1102F28A" w14:textId="77777777" w:rsidR="00914134" w:rsidRPr="005D0524" w:rsidRDefault="00914134" w:rsidP="00914134">
      <w:pPr>
        <w:jc w:val="center"/>
        <w:rPr>
          <w:rFonts w:ascii="Arial" w:hAnsi="Arial" w:cs="Arial"/>
        </w:rPr>
      </w:pPr>
      <w:r w:rsidRPr="005D0524">
        <w:rPr>
          <w:rFonts w:ascii="Arial" w:hAnsi="Arial" w:cs="Arial"/>
          <w:b/>
          <w:sz w:val="16"/>
        </w:rPr>
        <w:t>Fuente:</w:t>
      </w:r>
      <w:r w:rsidRPr="005D0524">
        <w:rPr>
          <w:rFonts w:ascii="Arial" w:hAnsi="Arial" w:cs="Arial"/>
          <w:sz w:val="16"/>
        </w:rPr>
        <w:t xml:space="preserve"> UPME</w:t>
      </w:r>
    </w:p>
    <w:p w14:paraId="7E26CC19" w14:textId="77777777" w:rsidR="00914134" w:rsidRPr="00593930" w:rsidRDefault="00914134" w:rsidP="00914134">
      <w:pPr>
        <w:spacing w:before="240" w:after="240" w:line="276" w:lineRule="auto"/>
        <w:jc w:val="both"/>
        <w:rPr>
          <w:rFonts w:ascii="Arial" w:hAnsi="Arial" w:cs="Arial"/>
          <w:sz w:val="22"/>
          <w:szCs w:val="22"/>
        </w:rPr>
      </w:pPr>
      <w:r w:rsidRPr="00593930">
        <w:rPr>
          <w:rFonts w:ascii="Arial" w:hAnsi="Arial" w:cs="Arial"/>
          <w:sz w:val="22"/>
          <w:szCs w:val="22"/>
        </w:rPr>
        <w:t xml:space="preserve">Así entonces, se espera que en el corto plazo los precios del gas natural no tengan un incremento que afecte de manera importante la demanda nacional. De igual manera, se espera que mediante los análisis de mercado adecuados, los entes reguladores puedan generar las herramientas y </w:t>
      </w:r>
      <w:r w:rsidRPr="00593930">
        <w:rPr>
          <w:rFonts w:ascii="Arial" w:hAnsi="Arial" w:cs="Arial"/>
          <w:sz w:val="22"/>
          <w:szCs w:val="22"/>
        </w:rPr>
        <w:lastRenderedPageBreak/>
        <w:t xml:space="preserve">mecanismos pertinentes para que en el mercado no se generen incentivos a un alza de los precios como consecuencia de la entrada de los mercados internacionales. </w:t>
      </w:r>
    </w:p>
    <w:p w14:paraId="3170D31E" w14:textId="77777777" w:rsidR="00914134" w:rsidRPr="00593930" w:rsidRDefault="00914134" w:rsidP="00914134">
      <w:pPr>
        <w:pStyle w:val="Ttulo2"/>
      </w:pPr>
      <w:bookmarkStart w:id="267" w:name="_Toc403636390"/>
      <w:bookmarkStart w:id="268" w:name="_Toc403637356"/>
      <w:bookmarkStart w:id="269" w:name="_Toc403637946"/>
      <w:bookmarkStart w:id="270" w:name="_Toc403638056"/>
      <w:bookmarkStart w:id="271" w:name="_Toc403638300"/>
      <w:bookmarkStart w:id="272" w:name="_Toc499539626"/>
      <w:bookmarkStart w:id="273" w:name="_Toc530045846"/>
      <w:r w:rsidRPr="00593930">
        <w:t>Tarifas de transporte por gasoducto</w:t>
      </w:r>
      <w:bookmarkEnd w:id="267"/>
      <w:bookmarkEnd w:id="268"/>
      <w:bookmarkEnd w:id="269"/>
      <w:bookmarkEnd w:id="270"/>
      <w:bookmarkEnd w:id="271"/>
      <w:bookmarkEnd w:id="272"/>
      <w:bookmarkEnd w:id="273"/>
      <w:r w:rsidRPr="00593930">
        <w:t xml:space="preserve"> </w:t>
      </w:r>
      <w:bookmarkStart w:id="274" w:name="_Toc383530414"/>
    </w:p>
    <w:bookmarkEnd w:id="274"/>
    <w:p w14:paraId="505FFF70" w14:textId="77777777" w:rsidR="00914134" w:rsidRPr="00593930" w:rsidRDefault="00914134" w:rsidP="00914134">
      <w:pPr>
        <w:spacing w:before="240" w:after="240" w:line="276" w:lineRule="auto"/>
        <w:jc w:val="both"/>
        <w:rPr>
          <w:rFonts w:ascii="Arial" w:hAnsi="Arial" w:cs="Arial"/>
          <w:sz w:val="22"/>
          <w:szCs w:val="22"/>
        </w:rPr>
      </w:pPr>
      <w:r w:rsidRPr="00593930">
        <w:rPr>
          <w:rFonts w:ascii="Arial" w:hAnsi="Arial" w:cs="Arial"/>
          <w:sz w:val="22"/>
          <w:szCs w:val="22"/>
        </w:rPr>
        <w:t xml:space="preserve">Para determinar el precio final puesto en planta térmica, además del costo del gas puesto en gasoducto, se debe determinar el costo máximo de transporte por gasoducto, teniendo en cuenta la metodología definida por la CREG. Por ello, se consideraron las resoluciones vigentes aplicables a cada uno de los tramos de los sistemas de la Costa y del Interior al momento de la realización del ejercicio, considerando que las tarifas se mantienen con el mismo valor del último año después del vencimiento de las resoluciones. </w:t>
      </w:r>
    </w:p>
    <w:p w14:paraId="0DD747DA" w14:textId="77777777" w:rsidR="00914134" w:rsidRPr="00593930" w:rsidRDefault="00914134" w:rsidP="00914134">
      <w:pPr>
        <w:spacing w:before="240" w:after="240" w:line="276" w:lineRule="auto"/>
        <w:jc w:val="both"/>
        <w:rPr>
          <w:rFonts w:ascii="Arial" w:hAnsi="Arial" w:cs="Arial"/>
          <w:sz w:val="22"/>
          <w:szCs w:val="22"/>
        </w:rPr>
      </w:pPr>
      <w:r w:rsidRPr="00593930">
        <w:rPr>
          <w:rFonts w:ascii="Arial" w:hAnsi="Arial" w:cs="Arial"/>
          <w:sz w:val="22"/>
          <w:szCs w:val="22"/>
        </w:rPr>
        <w:t>Adicionalmente, se tomó una pareja de cargos regulados, cargo fijo/cargo variable (50%/50%) durante todo el período de proyección.</w:t>
      </w:r>
    </w:p>
    <w:p w14:paraId="16EC39B5" w14:textId="77777777" w:rsidR="00914134" w:rsidRPr="00593930" w:rsidRDefault="00914134" w:rsidP="00914134">
      <w:pPr>
        <w:numPr>
          <w:ilvl w:val="0"/>
          <w:numId w:val="8"/>
        </w:numPr>
        <w:ind w:left="993"/>
        <w:jc w:val="both"/>
        <w:rPr>
          <w:rFonts w:ascii="Arial" w:hAnsi="Arial" w:cs="Arial"/>
          <w:sz w:val="22"/>
        </w:rPr>
      </w:pPr>
      <w:r w:rsidRPr="00593930">
        <w:rPr>
          <w:rFonts w:ascii="Arial" w:hAnsi="Arial" w:cs="Arial"/>
          <w:sz w:val="22"/>
        </w:rPr>
        <w:t>TRANSORIENTE: Resoluciones CREG 111 de 2011</w:t>
      </w:r>
    </w:p>
    <w:p w14:paraId="7F6EA17A" w14:textId="77777777" w:rsidR="00914134" w:rsidRPr="00593930" w:rsidRDefault="00914134" w:rsidP="00914134">
      <w:pPr>
        <w:numPr>
          <w:ilvl w:val="0"/>
          <w:numId w:val="8"/>
        </w:numPr>
        <w:ind w:left="993"/>
        <w:jc w:val="both"/>
        <w:rPr>
          <w:rFonts w:ascii="Arial" w:hAnsi="Arial" w:cs="Arial"/>
          <w:sz w:val="22"/>
        </w:rPr>
      </w:pPr>
      <w:r w:rsidRPr="00593930">
        <w:rPr>
          <w:rFonts w:ascii="Arial" w:hAnsi="Arial" w:cs="Arial"/>
          <w:sz w:val="22"/>
        </w:rPr>
        <w:t>PROGASUR: Resoluciones CREG 112 de 2011</w:t>
      </w:r>
    </w:p>
    <w:p w14:paraId="5235C586" w14:textId="77777777" w:rsidR="00914134" w:rsidRPr="00593930" w:rsidRDefault="00914134" w:rsidP="00914134">
      <w:pPr>
        <w:numPr>
          <w:ilvl w:val="0"/>
          <w:numId w:val="8"/>
        </w:numPr>
        <w:ind w:left="993"/>
        <w:jc w:val="both"/>
        <w:rPr>
          <w:rFonts w:ascii="Arial" w:hAnsi="Arial" w:cs="Arial"/>
          <w:sz w:val="22"/>
        </w:rPr>
      </w:pPr>
      <w:r w:rsidRPr="00593930">
        <w:rPr>
          <w:rFonts w:ascii="Arial" w:hAnsi="Arial" w:cs="Arial"/>
          <w:sz w:val="22"/>
        </w:rPr>
        <w:t>TRANSMETANO: Resoluciones CREG 114 de 2011</w:t>
      </w:r>
    </w:p>
    <w:p w14:paraId="73E7776C" w14:textId="77777777" w:rsidR="00914134" w:rsidRPr="00593930" w:rsidRDefault="00914134" w:rsidP="00914134">
      <w:pPr>
        <w:numPr>
          <w:ilvl w:val="0"/>
          <w:numId w:val="8"/>
        </w:numPr>
        <w:ind w:left="993"/>
        <w:jc w:val="both"/>
        <w:rPr>
          <w:rFonts w:ascii="Arial" w:hAnsi="Arial" w:cs="Arial"/>
          <w:sz w:val="22"/>
        </w:rPr>
      </w:pPr>
      <w:r w:rsidRPr="00593930">
        <w:rPr>
          <w:rFonts w:ascii="Arial" w:hAnsi="Arial" w:cs="Arial"/>
          <w:sz w:val="22"/>
        </w:rPr>
        <w:t>TRANSGASTOL: Resoluciones CREG 018 de 2012</w:t>
      </w:r>
    </w:p>
    <w:p w14:paraId="11DD70F5" w14:textId="77777777" w:rsidR="00914134" w:rsidRPr="00593930" w:rsidRDefault="00914134" w:rsidP="00914134">
      <w:pPr>
        <w:numPr>
          <w:ilvl w:val="0"/>
          <w:numId w:val="8"/>
        </w:numPr>
        <w:ind w:left="993"/>
        <w:jc w:val="both"/>
        <w:rPr>
          <w:rFonts w:ascii="Arial" w:hAnsi="Arial" w:cs="Arial"/>
          <w:sz w:val="22"/>
        </w:rPr>
      </w:pPr>
      <w:r w:rsidRPr="00593930">
        <w:rPr>
          <w:rFonts w:ascii="Arial" w:hAnsi="Arial" w:cs="Arial"/>
          <w:sz w:val="22"/>
        </w:rPr>
        <w:t>TGI: Resoluciones CREG 121 de 2012</w:t>
      </w:r>
    </w:p>
    <w:p w14:paraId="77433141" w14:textId="77777777" w:rsidR="00914134" w:rsidRPr="00593930" w:rsidRDefault="00914134" w:rsidP="00914134">
      <w:pPr>
        <w:numPr>
          <w:ilvl w:val="0"/>
          <w:numId w:val="8"/>
        </w:numPr>
        <w:ind w:left="993"/>
        <w:jc w:val="both"/>
        <w:rPr>
          <w:rFonts w:ascii="Arial" w:hAnsi="Arial" w:cs="Arial"/>
          <w:sz w:val="22"/>
        </w:rPr>
      </w:pPr>
      <w:r w:rsidRPr="00593930">
        <w:rPr>
          <w:rFonts w:ascii="Arial" w:hAnsi="Arial" w:cs="Arial"/>
          <w:sz w:val="22"/>
        </w:rPr>
        <w:t>PROMIGAS: Resolución CREG 122 de 2012</w:t>
      </w:r>
    </w:p>
    <w:p w14:paraId="67C58B0A" w14:textId="77777777" w:rsidR="00914134" w:rsidRPr="00593930" w:rsidRDefault="00914134" w:rsidP="00914134">
      <w:pPr>
        <w:numPr>
          <w:ilvl w:val="0"/>
          <w:numId w:val="8"/>
        </w:numPr>
        <w:ind w:left="993"/>
        <w:jc w:val="both"/>
        <w:rPr>
          <w:rFonts w:ascii="Arial" w:hAnsi="Arial" w:cs="Arial"/>
          <w:sz w:val="22"/>
        </w:rPr>
      </w:pPr>
      <w:r w:rsidRPr="00593930">
        <w:rPr>
          <w:rFonts w:ascii="Arial" w:hAnsi="Arial" w:cs="Arial"/>
          <w:sz w:val="22"/>
        </w:rPr>
        <w:t>TRANSOCCIDENTE: Resolución CREG 123 de 2012</w:t>
      </w:r>
    </w:p>
    <w:p w14:paraId="2073E55D" w14:textId="2F33B87B" w:rsidR="00914134" w:rsidRPr="00593930" w:rsidRDefault="00914134" w:rsidP="00914134">
      <w:pPr>
        <w:spacing w:before="240" w:after="240" w:line="276" w:lineRule="auto"/>
        <w:jc w:val="both"/>
        <w:rPr>
          <w:rFonts w:ascii="Arial" w:hAnsi="Arial" w:cs="Arial"/>
          <w:sz w:val="22"/>
          <w:szCs w:val="22"/>
        </w:rPr>
      </w:pPr>
      <w:r w:rsidRPr="00593930">
        <w:rPr>
          <w:rFonts w:ascii="Arial" w:hAnsi="Arial" w:cs="Arial"/>
          <w:sz w:val="22"/>
          <w:szCs w:val="22"/>
        </w:rPr>
        <w:t xml:space="preserve">La determinación del costo de transporte de cada planta térmica, consideró los puntos de entrada y salida de gas, tomando el menor costo de suministro (precio del gas compuesto más transporte), desde las alternativas de abastecimiento que tiene cada planta de generación. Los costos de transporte para cada una de las parejas se </w:t>
      </w:r>
      <w:r w:rsidR="00593930" w:rsidRPr="00593930">
        <w:rPr>
          <w:rFonts w:ascii="Arial" w:hAnsi="Arial" w:cs="Arial"/>
          <w:sz w:val="22"/>
          <w:szCs w:val="22"/>
        </w:rPr>
        <w:t>indexaron</w:t>
      </w:r>
      <w:r w:rsidRPr="00593930">
        <w:rPr>
          <w:rFonts w:ascii="Arial" w:hAnsi="Arial" w:cs="Arial"/>
          <w:sz w:val="22"/>
          <w:szCs w:val="22"/>
        </w:rPr>
        <w:t xml:space="preserve"> de acuerdo con el procedimiento definido en la Resolución CREG 126 de 2010 y se utilizó el índice de precios al productor de los Estados Unidos de América.</w:t>
      </w:r>
    </w:p>
    <w:p w14:paraId="1932D563" w14:textId="148A4F7A" w:rsidR="00914134" w:rsidRPr="00593930" w:rsidRDefault="00914134" w:rsidP="00914134">
      <w:pPr>
        <w:spacing w:before="240" w:after="240" w:line="276" w:lineRule="auto"/>
        <w:jc w:val="both"/>
        <w:rPr>
          <w:rFonts w:ascii="Arial" w:hAnsi="Arial" w:cs="Arial"/>
          <w:sz w:val="22"/>
          <w:szCs w:val="22"/>
        </w:rPr>
      </w:pPr>
      <w:r w:rsidRPr="00593930">
        <w:rPr>
          <w:rFonts w:ascii="Arial" w:hAnsi="Arial" w:cs="Arial"/>
          <w:sz w:val="22"/>
          <w:szCs w:val="22"/>
        </w:rPr>
        <w:t xml:space="preserve">Finalmente, en </w:t>
      </w:r>
      <w:r w:rsidR="00593930">
        <w:rPr>
          <w:rFonts w:ascii="Arial" w:hAnsi="Arial" w:cs="Arial"/>
          <w:sz w:val="22"/>
          <w:szCs w:val="22"/>
        </w:rPr>
        <w:t>los</w:t>
      </w:r>
      <w:r w:rsidRPr="00593930">
        <w:rPr>
          <w:rFonts w:ascii="Arial" w:hAnsi="Arial" w:cs="Arial"/>
          <w:sz w:val="22"/>
          <w:szCs w:val="22"/>
        </w:rPr>
        <w:t xml:space="preserve"> </w:t>
      </w:r>
      <w:r w:rsidR="00593930" w:rsidRPr="00CF4964">
        <w:rPr>
          <w:rFonts w:ascii="Arial" w:hAnsi="Arial" w:cs="Arial"/>
          <w:b/>
          <w:sz w:val="22"/>
          <w:szCs w:val="22"/>
          <w:highlight w:val="yellow"/>
        </w:rPr>
        <w:t>Anexos</w:t>
      </w:r>
      <w:r w:rsidRPr="00593930">
        <w:rPr>
          <w:rFonts w:ascii="Arial" w:hAnsi="Arial" w:cs="Arial"/>
          <w:sz w:val="22"/>
          <w:szCs w:val="22"/>
        </w:rPr>
        <w:t>, se muestran los resultados del ejercicio de estimación de precios máximos de gas natural para las plantas de generación térmicas bajo los escenario de medio, alto y bajo. En las mismas, se incluyen tanto la cuota de fomento (3 % de la tarifa de transporte), como el impuesto de transporte (6% de la tarifa de transporte). Los precios de gas natural para las plantas de generación térmicas se encuentran en dólares</w:t>
      </w:r>
      <w:r w:rsidR="00593930">
        <w:rPr>
          <w:rFonts w:ascii="Arial" w:hAnsi="Arial" w:cs="Arial"/>
          <w:sz w:val="22"/>
          <w:szCs w:val="22"/>
        </w:rPr>
        <w:t xml:space="preserve"> constantes de diciembre de 2017</w:t>
      </w:r>
      <w:r w:rsidRPr="00593930">
        <w:rPr>
          <w:rFonts w:ascii="Arial" w:hAnsi="Arial" w:cs="Arial"/>
          <w:sz w:val="22"/>
          <w:szCs w:val="22"/>
        </w:rPr>
        <w:t>.</w:t>
      </w:r>
    </w:p>
    <w:p w14:paraId="4E30FE12" w14:textId="77777777" w:rsidR="00914134" w:rsidRPr="00593930" w:rsidRDefault="00914134" w:rsidP="00914134">
      <w:pPr>
        <w:pStyle w:val="Ttulo2"/>
      </w:pPr>
      <w:bookmarkStart w:id="275" w:name="_Toc499539627"/>
      <w:bookmarkStart w:id="276" w:name="_Toc530045847"/>
      <w:r w:rsidRPr="00593930">
        <w:t>Precio del gas natural en Térmicas</w:t>
      </w:r>
      <w:bookmarkEnd w:id="275"/>
      <w:bookmarkEnd w:id="276"/>
    </w:p>
    <w:p w14:paraId="0544C893" w14:textId="3BDB540B" w:rsidR="00857188" w:rsidRPr="00857188" w:rsidRDefault="00914134" w:rsidP="00914134">
      <w:pPr>
        <w:spacing w:before="240" w:after="240" w:line="276" w:lineRule="auto"/>
        <w:jc w:val="both"/>
        <w:rPr>
          <w:rFonts w:ascii="Arial" w:hAnsi="Arial" w:cs="Arial"/>
          <w:sz w:val="22"/>
          <w:szCs w:val="22"/>
        </w:rPr>
      </w:pPr>
      <w:r w:rsidRPr="00857188">
        <w:rPr>
          <w:rFonts w:ascii="Arial" w:hAnsi="Arial" w:cs="Arial"/>
          <w:sz w:val="22"/>
          <w:szCs w:val="22"/>
        </w:rPr>
        <w:t>De acuerdo con la proyección de precios del gas natural y con los transportes actualizados a Diciembre 201</w:t>
      </w:r>
      <w:r w:rsidR="00593930" w:rsidRPr="00857188">
        <w:rPr>
          <w:rFonts w:ascii="Arial" w:hAnsi="Arial" w:cs="Arial"/>
          <w:sz w:val="22"/>
          <w:szCs w:val="22"/>
        </w:rPr>
        <w:t>7</w:t>
      </w:r>
      <w:r w:rsidRPr="00857188">
        <w:rPr>
          <w:rFonts w:ascii="Arial" w:hAnsi="Arial" w:cs="Arial"/>
          <w:sz w:val="22"/>
          <w:szCs w:val="22"/>
        </w:rPr>
        <w:t xml:space="preserve">, se calculan tres escenarios de posibles de precios a corto y largo plazo. En el caso de la costa, como se presenta en la </w:t>
      </w:r>
      <w:r w:rsidR="00593930" w:rsidRPr="00857188">
        <w:rPr>
          <w:rFonts w:ascii="Arial" w:hAnsi="Arial" w:cs="Arial"/>
          <w:sz w:val="22"/>
          <w:szCs w:val="22"/>
          <w:highlight w:val="yellow"/>
        </w:rPr>
        <w:fldChar w:fldCharType="begin"/>
      </w:r>
      <w:r w:rsidR="00593930" w:rsidRPr="00857188">
        <w:rPr>
          <w:rFonts w:ascii="Arial" w:hAnsi="Arial" w:cs="Arial"/>
          <w:sz w:val="22"/>
          <w:szCs w:val="22"/>
          <w:highlight w:val="yellow"/>
        </w:rPr>
        <w:instrText xml:space="preserve"> REF _Ref493491177 \h  \* MERGEFORMAT </w:instrText>
      </w:r>
      <w:r w:rsidR="00593930" w:rsidRPr="00857188">
        <w:rPr>
          <w:rFonts w:ascii="Arial" w:hAnsi="Arial" w:cs="Arial"/>
          <w:sz w:val="22"/>
          <w:szCs w:val="22"/>
          <w:highlight w:val="yellow"/>
        </w:rPr>
      </w:r>
      <w:r w:rsidR="00593930" w:rsidRPr="00857188">
        <w:rPr>
          <w:rFonts w:ascii="Arial" w:hAnsi="Arial" w:cs="Arial"/>
          <w:sz w:val="22"/>
          <w:szCs w:val="22"/>
          <w:highlight w:val="yellow"/>
        </w:rPr>
        <w:fldChar w:fldCharType="separate"/>
      </w:r>
      <w:r w:rsidR="00593930" w:rsidRPr="00857188">
        <w:rPr>
          <w:rFonts w:ascii="Arial" w:hAnsi="Arial" w:cs="Arial"/>
          <w:sz w:val="22"/>
          <w:szCs w:val="22"/>
          <w:highlight w:val="yellow"/>
        </w:rPr>
        <w:t>Gráfica 3</w:t>
      </w:r>
      <w:r w:rsidR="00593930" w:rsidRPr="00857188">
        <w:rPr>
          <w:rFonts w:ascii="Arial" w:hAnsi="Arial" w:cs="Arial"/>
          <w:sz w:val="22"/>
          <w:szCs w:val="22"/>
          <w:highlight w:val="yellow"/>
        </w:rPr>
        <w:noBreakHyphen/>
        <w:t>19</w:t>
      </w:r>
      <w:r w:rsidR="00593930" w:rsidRPr="00857188">
        <w:rPr>
          <w:rFonts w:ascii="Arial" w:hAnsi="Arial" w:cs="Arial"/>
          <w:sz w:val="22"/>
          <w:szCs w:val="22"/>
          <w:highlight w:val="yellow"/>
        </w:rPr>
        <w:fldChar w:fldCharType="end"/>
      </w:r>
      <w:r w:rsidRPr="00857188">
        <w:rPr>
          <w:rFonts w:ascii="Arial" w:hAnsi="Arial" w:cs="Arial"/>
          <w:sz w:val="22"/>
          <w:szCs w:val="22"/>
        </w:rPr>
        <w:t xml:space="preserve">, se puede observar </w:t>
      </w:r>
      <w:r w:rsidR="00857188" w:rsidRPr="00857188">
        <w:rPr>
          <w:rFonts w:ascii="Arial" w:hAnsi="Arial" w:cs="Arial"/>
          <w:sz w:val="22"/>
          <w:szCs w:val="22"/>
        </w:rPr>
        <w:t>un</w:t>
      </w:r>
      <w:r w:rsidRPr="00857188">
        <w:rPr>
          <w:rFonts w:ascii="Arial" w:hAnsi="Arial" w:cs="Arial"/>
          <w:sz w:val="22"/>
          <w:szCs w:val="22"/>
        </w:rPr>
        <w:t xml:space="preserve">a tendencia </w:t>
      </w:r>
      <w:r w:rsidR="00857188" w:rsidRPr="00857188">
        <w:rPr>
          <w:rFonts w:ascii="Arial" w:hAnsi="Arial" w:cs="Arial"/>
          <w:sz w:val="22"/>
          <w:szCs w:val="22"/>
        </w:rPr>
        <w:t xml:space="preserve">creciente entre enero los años 2020 y 2040, con excepción del periodo comprendido entre los año 2024 y 2028 cuando los precios presentan una estabilización para luego continuar su crecimiento </w:t>
      </w:r>
      <w:r w:rsidRPr="00857188">
        <w:rPr>
          <w:rFonts w:ascii="Arial" w:hAnsi="Arial" w:cs="Arial"/>
          <w:sz w:val="22"/>
          <w:szCs w:val="22"/>
        </w:rPr>
        <w:t>llegando a los USD$</w:t>
      </w:r>
      <w:r w:rsidR="00857188" w:rsidRPr="00857188">
        <w:rPr>
          <w:rFonts w:ascii="Arial" w:hAnsi="Arial" w:cs="Arial"/>
          <w:sz w:val="22"/>
          <w:szCs w:val="22"/>
        </w:rPr>
        <w:t xml:space="preserve"> </w:t>
      </w:r>
      <w:r w:rsidRPr="00857188">
        <w:rPr>
          <w:rFonts w:ascii="Arial" w:hAnsi="Arial" w:cs="Arial"/>
          <w:sz w:val="22"/>
          <w:szCs w:val="22"/>
        </w:rPr>
        <w:t>1</w:t>
      </w:r>
      <w:r w:rsidR="00857188" w:rsidRPr="00857188">
        <w:rPr>
          <w:rFonts w:ascii="Arial" w:hAnsi="Arial" w:cs="Arial"/>
          <w:sz w:val="22"/>
          <w:szCs w:val="22"/>
        </w:rPr>
        <w:t>7.11</w:t>
      </w:r>
      <w:r w:rsidRPr="00857188">
        <w:rPr>
          <w:rFonts w:ascii="Arial" w:hAnsi="Arial" w:cs="Arial"/>
          <w:sz w:val="22"/>
          <w:szCs w:val="22"/>
        </w:rPr>
        <w:t>/M</w:t>
      </w:r>
      <w:r w:rsidR="00835C9C" w:rsidRPr="00857188">
        <w:rPr>
          <w:rFonts w:ascii="Arial" w:hAnsi="Arial" w:cs="Arial"/>
          <w:sz w:val="22"/>
          <w:szCs w:val="22"/>
        </w:rPr>
        <w:t>M</w:t>
      </w:r>
      <w:r w:rsidRPr="00857188">
        <w:rPr>
          <w:rFonts w:ascii="Arial" w:hAnsi="Arial" w:cs="Arial"/>
          <w:sz w:val="22"/>
          <w:szCs w:val="22"/>
        </w:rPr>
        <w:t>BTU en Mamonal y los USD$</w:t>
      </w:r>
      <w:r w:rsidR="00857188" w:rsidRPr="00857188">
        <w:rPr>
          <w:rFonts w:ascii="Arial" w:hAnsi="Arial" w:cs="Arial"/>
          <w:sz w:val="22"/>
          <w:szCs w:val="22"/>
        </w:rPr>
        <w:t xml:space="preserve"> </w:t>
      </w:r>
      <w:r w:rsidRPr="00857188">
        <w:rPr>
          <w:rFonts w:ascii="Arial" w:hAnsi="Arial" w:cs="Arial"/>
          <w:sz w:val="22"/>
          <w:szCs w:val="22"/>
        </w:rPr>
        <w:t>1</w:t>
      </w:r>
      <w:r w:rsidR="00857188" w:rsidRPr="00857188">
        <w:rPr>
          <w:rFonts w:ascii="Arial" w:hAnsi="Arial" w:cs="Arial"/>
          <w:sz w:val="22"/>
          <w:szCs w:val="22"/>
        </w:rPr>
        <w:t>5.43</w:t>
      </w:r>
      <w:r w:rsidRPr="00857188">
        <w:rPr>
          <w:rFonts w:ascii="Arial" w:hAnsi="Arial" w:cs="Arial"/>
          <w:sz w:val="22"/>
          <w:szCs w:val="22"/>
        </w:rPr>
        <w:t>/M</w:t>
      </w:r>
      <w:r w:rsidR="00835C9C" w:rsidRPr="00857188">
        <w:rPr>
          <w:rFonts w:ascii="Arial" w:hAnsi="Arial" w:cs="Arial"/>
          <w:sz w:val="22"/>
          <w:szCs w:val="22"/>
        </w:rPr>
        <w:t>M</w:t>
      </w:r>
      <w:r w:rsidRPr="00857188">
        <w:rPr>
          <w:rFonts w:ascii="Arial" w:hAnsi="Arial" w:cs="Arial"/>
          <w:sz w:val="22"/>
          <w:szCs w:val="22"/>
        </w:rPr>
        <w:t>BTU en Guajira</w:t>
      </w:r>
      <w:r w:rsidR="00857188" w:rsidRPr="00857188">
        <w:rPr>
          <w:rFonts w:ascii="Arial" w:hAnsi="Arial" w:cs="Arial"/>
          <w:sz w:val="22"/>
          <w:szCs w:val="22"/>
        </w:rPr>
        <w:t xml:space="preserve"> y a los USD$ 15.88/MMBTU en Barranquilla.</w:t>
      </w:r>
    </w:p>
    <w:p w14:paraId="4A426CBF" w14:textId="3DF08AED" w:rsidR="00914134" w:rsidRDefault="00914134" w:rsidP="00914134">
      <w:pPr>
        <w:pStyle w:val="Descripcin"/>
        <w:spacing w:after="0"/>
        <w:jc w:val="center"/>
        <w:rPr>
          <w:rFonts w:cs="Arial"/>
          <w:i w:val="0"/>
          <w:color w:val="auto"/>
          <w:sz w:val="20"/>
          <w:szCs w:val="20"/>
        </w:rPr>
      </w:pPr>
      <w:bookmarkStart w:id="277" w:name="_Ref493491177"/>
      <w:bookmarkStart w:id="278" w:name="_Toc499799375"/>
      <w:bookmarkStart w:id="279" w:name="_Toc530033420"/>
      <w:r w:rsidRPr="00482F07">
        <w:rPr>
          <w:rFonts w:cs="Arial"/>
          <w:b/>
          <w:i w:val="0"/>
          <w:color w:val="auto"/>
          <w:sz w:val="20"/>
          <w:szCs w:val="20"/>
          <w:highlight w:val="yellow"/>
        </w:rPr>
        <w:lastRenderedPageBreak/>
        <w:t xml:space="preserve">Gráfica </w:t>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STYLEREF 1 \s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3</w:t>
      </w:r>
      <w:r w:rsidR="00DA50A5">
        <w:rPr>
          <w:rFonts w:cs="Arial"/>
          <w:b/>
          <w:i w:val="0"/>
          <w:color w:val="auto"/>
          <w:sz w:val="20"/>
          <w:szCs w:val="20"/>
          <w:highlight w:val="yellow"/>
        </w:rPr>
        <w:fldChar w:fldCharType="end"/>
      </w:r>
      <w:r w:rsidR="00DA50A5">
        <w:rPr>
          <w:rFonts w:cs="Arial"/>
          <w:b/>
          <w:i w:val="0"/>
          <w:color w:val="auto"/>
          <w:sz w:val="20"/>
          <w:szCs w:val="20"/>
          <w:highlight w:val="yellow"/>
        </w:rPr>
        <w:noBreakHyphen/>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SEQ Gráfica \* ARABIC \s 1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17</w:t>
      </w:r>
      <w:r w:rsidR="00DA50A5">
        <w:rPr>
          <w:rFonts w:cs="Arial"/>
          <w:b/>
          <w:i w:val="0"/>
          <w:color w:val="auto"/>
          <w:sz w:val="20"/>
          <w:szCs w:val="20"/>
          <w:highlight w:val="yellow"/>
        </w:rPr>
        <w:fldChar w:fldCharType="end"/>
      </w:r>
      <w:bookmarkEnd w:id="277"/>
      <w:r w:rsidRPr="00482F07">
        <w:rPr>
          <w:rFonts w:cs="Arial"/>
          <w:b/>
          <w:i w:val="0"/>
          <w:color w:val="auto"/>
          <w:sz w:val="20"/>
          <w:szCs w:val="20"/>
          <w:highlight w:val="yellow"/>
        </w:rPr>
        <w:t xml:space="preserve"> </w:t>
      </w:r>
      <w:r w:rsidRPr="0053107F">
        <w:rPr>
          <w:rFonts w:cs="Arial"/>
          <w:i w:val="0"/>
          <w:color w:val="auto"/>
          <w:sz w:val="20"/>
          <w:szCs w:val="20"/>
        </w:rPr>
        <w:t>Proyección escenario de referencia por ramal</w:t>
      </w:r>
      <w:bookmarkEnd w:id="278"/>
      <w:bookmarkEnd w:id="279"/>
    </w:p>
    <w:p w14:paraId="7152B23A" w14:textId="5A113DB9" w:rsidR="00914134" w:rsidRPr="00482F07" w:rsidRDefault="00DA50A5" w:rsidP="00914134">
      <w:pPr>
        <w:jc w:val="center"/>
        <w:rPr>
          <w:lang w:val="es-CO" w:eastAsia="es-ES"/>
        </w:rPr>
      </w:pPr>
      <w:r w:rsidRPr="00DA50A5">
        <w:rPr>
          <w:noProof/>
          <w:lang w:val="es-ES" w:eastAsia="es-ES"/>
        </w:rPr>
        <w:drawing>
          <wp:inline distT="0" distB="0" distL="0" distR="0" wp14:anchorId="5ED46EC6" wp14:editId="5A5A7D5F">
            <wp:extent cx="5434330" cy="3252470"/>
            <wp:effectExtent l="0" t="0" r="0" b="5080"/>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34330" cy="3252470"/>
                    </a:xfrm>
                    <a:prstGeom prst="rect">
                      <a:avLst/>
                    </a:prstGeom>
                    <a:noFill/>
                    <a:ln>
                      <a:noFill/>
                    </a:ln>
                  </pic:spPr>
                </pic:pic>
              </a:graphicData>
            </a:graphic>
          </wp:inline>
        </w:drawing>
      </w:r>
    </w:p>
    <w:p w14:paraId="0C8C48EB" w14:textId="77777777" w:rsidR="00914134" w:rsidRPr="008B4816" w:rsidRDefault="00914134" w:rsidP="00914134">
      <w:pPr>
        <w:jc w:val="center"/>
        <w:rPr>
          <w:rFonts w:ascii="Arial" w:hAnsi="Arial" w:cs="Arial"/>
          <w:color w:val="000000" w:themeColor="text1"/>
          <w:sz w:val="16"/>
        </w:rPr>
      </w:pPr>
      <w:r w:rsidRPr="008B4816">
        <w:rPr>
          <w:rFonts w:ascii="Arial" w:hAnsi="Arial" w:cs="Arial"/>
          <w:b/>
          <w:sz w:val="16"/>
        </w:rPr>
        <w:t>Fuente:</w:t>
      </w:r>
      <w:r w:rsidRPr="008B4816">
        <w:rPr>
          <w:rFonts w:ascii="Arial" w:hAnsi="Arial" w:cs="Arial"/>
          <w:sz w:val="16"/>
        </w:rPr>
        <w:t xml:space="preserve"> UPME</w:t>
      </w:r>
    </w:p>
    <w:p w14:paraId="589A6A43" w14:textId="77777777" w:rsidR="00CF4964" w:rsidRPr="00CF4964" w:rsidRDefault="00CF4964" w:rsidP="00CF4964">
      <w:pPr>
        <w:spacing w:before="240" w:after="240" w:line="276" w:lineRule="auto"/>
        <w:jc w:val="both"/>
        <w:rPr>
          <w:rFonts w:ascii="Arial" w:hAnsi="Arial" w:cs="Arial"/>
          <w:sz w:val="22"/>
          <w:szCs w:val="22"/>
        </w:rPr>
      </w:pPr>
      <w:r w:rsidRPr="00CF4964">
        <w:rPr>
          <w:rFonts w:ascii="Arial" w:hAnsi="Arial" w:cs="Arial"/>
          <w:sz w:val="22"/>
          <w:szCs w:val="22"/>
        </w:rPr>
        <w:t xml:space="preserve">En cuanto a los precios del Interior, tal como fue explicado en los supuestos, se puede observar en la </w:t>
      </w:r>
      <w:r w:rsidRPr="00CF4964">
        <w:rPr>
          <w:rFonts w:ascii="Arial" w:hAnsi="Arial" w:cs="Arial"/>
          <w:sz w:val="22"/>
          <w:szCs w:val="22"/>
          <w:highlight w:val="yellow"/>
        </w:rPr>
        <w:fldChar w:fldCharType="begin"/>
      </w:r>
      <w:r w:rsidRPr="00CF4964">
        <w:rPr>
          <w:rFonts w:ascii="Arial" w:hAnsi="Arial" w:cs="Arial"/>
          <w:sz w:val="22"/>
          <w:szCs w:val="22"/>
          <w:highlight w:val="yellow"/>
        </w:rPr>
        <w:instrText xml:space="preserve"> REF _Ref449089028 \h  \* MERGEFORMAT </w:instrText>
      </w:r>
      <w:r w:rsidRPr="00CF4964">
        <w:rPr>
          <w:rFonts w:ascii="Arial" w:hAnsi="Arial" w:cs="Arial"/>
          <w:sz w:val="22"/>
          <w:szCs w:val="22"/>
          <w:highlight w:val="yellow"/>
        </w:rPr>
      </w:r>
      <w:r w:rsidRPr="00CF4964">
        <w:rPr>
          <w:rFonts w:ascii="Arial" w:hAnsi="Arial" w:cs="Arial"/>
          <w:sz w:val="22"/>
          <w:szCs w:val="22"/>
          <w:highlight w:val="yellow"/>
        </w:rPr>
        <w:fldChar w:fldCharType="separate"/>
      </w:r>
      <w:r w:rsidR="000149C8" w:rsidRPr="000149C8">
        <w:rPr>
          <w:rFonts w:ascii="Arial" w:hAnsi="Arial" w:cs="Arial"/>
          <w:sz w:val="22"/>
          <w:szCs w:val="22"/>
          <w:highlight w:val="yellow"/>
        </w:rPr>
        <w:t>Gráfica 3</w:t>
      </w:r>
      <w:r w:rsidR="000149C8" w:rsidRPr="000149C8">
        <w:rPr>
          <w:rFonts w:ascii="Arial" w:hAnsi="Arial" w:cs="Arial"/>
          <w:sz w:val="22"/>
          <w:szCs w:val="22"/>
          <w:highlight w:val="yellow"/>
        </w:rPr>
        <w:noBreakHyphen/>
        <w:t>18</w:t>
      </w:r>
      <w:r w:rsidRPr="00CF4964">
        <w:rPr>
          <w:rFonts w:ascii="Arial" w:hAnsi="Arial" w:cs="Arial"/>
          <w:sz w:val="22"/>
          <w:szCs w:val="22"/>
          <w:highlight w:val="yellow"/>
        </w:rPr>
        <w:fldChar w:fldCharType="end"/>
      </w:r>
      <w:r w:rsidRPr="00CF4964">
        <w:rPr>
          <w:rFonts w:ascii="Arial" w:hAnsi="Arial" w:cs="Arial"/>
          <w:sz w:val="22"/>
          <w:szCs w:val="22"/>
        </w:rPr>
        <w:t>, se tiene un precio compuesto entre los índices internacionales y los precios nacionales, los cuales presentan un crecimiento muy bajo entre los años 2020 y 2022 estando alrededor de los USD$ 8.3/MMBTU. Entre los años 2023 y 2025 presenta un crecimiento promedio de 0,56% llegando hasta los USD$ 11.3/MMBTU en diciembre de 2025. Entre los años 2026 y 2028 los precios presentan un leve crecimiento el cual está en promedio en 0,12%. A partir de enero de 2029 y hasta diciembre de 2040 presenta un crecimiento promedio 0.26% llegando a los USD$ 16.8/MMBTU.</w:t>
      </w:r>
    </w:p>
    <w:p w14:paraId="00AAB380" w14:textId="22A4F637" w:rsidR="00612BAF" w:rsidRDefault="00914134" w:rsidP="00914134">
      <w:pPr>
        <w:spacing w:before="240" w:after="240" w:line="276" w:lineRule="auto"/>
        <w:jc w:val="both"/>
        <w:rPr>
          <w:rFonts w:ascii="Arial" w:hAnsi="Arial" w:cs="Arial"/>
          <w:sz w:val="22"/>
          <w:szCs w:val="22"/>
        </w:rPr>
      </w:pPr>
      <w:r w:rsidRPr="008B4816">
        <w:rPr>
          <w:rFonts w:ascii="Arial" w:hAnsi="Arial" w:cs="Arial"/>
          <w:sz w:val="22"/>
          <w:szCs w:val="22"/>
        </w:rPr>
        <w:t xml:space="preserve">Para las plantas térmicas del interior que funcionan a gas, tienen como fuente principal el gas proveniente de Cusiana. Como puede verse en la </w:t>
      </w:r>
      <w:r w:rsidRPr="00127A88">
        <w:rPr>
          <w:rFonts w:ascii="Arial" w:hAnsi="Arial" w:cs="Arial"/>
          <w:sz w:val="22"/>
          <w:szCs w:val="22"/>
          <w:highlight w:val="yellow"/>
        </w:rPr>
        <w:fldChar w:fldCharType="begin"/>
      </w:r>
      <w:r w:rsidRPr="00127A88">
        <w:rPr>
          <w:rFonts w:ascii="Arial" w:hAnsi="Arial" w:cs="Arial"/>
          <w:sz w:val="22"/>
          <w:szCs w:val="22"/>
          <w:highlight w:val="yellow"/>
        </w:rPr>
        <w:instrText xml:space="preserve"> REF _Ref449089028 \h  \* MERGEFORMAT </w:instrText>
      </w:r>
      <w:r w:rsidRPr="00127A88">
        <w:rPr>
          <w:rFonts w:ascii="Arial" w:hAnsi="Arial" w:cs="Arial"/>
          <w:sz w:val="22"/>
          <w:szCs w:val="22"/>
          <w:highlight w:val="yellow"/>
        </w:rPr>
      </w:r>
      <w:r w:rsidRPr="00127A88">
        <w:rPr>
          <w:rFonts w:ascii="Arial" w:hAnsi="Arial" w:cs="Arial"/>
          <w:sz w:val="22"/>
          <w:szCs w:val="22"/>
          <w:highlight w:val="yellow"/>
        </w:rPr>
        <w:fldChar w:fldCharType="separate"/>
      </w:r>
      <w:r w:rsidR="00CF4964" w:rsidRPr="00CF4964">
        <w:rPr>
          <w:rFonts w:ascii="Arial" w:hAnsi="Arial" w:cs="Arial"/>
          <w:sz w:val="22"/>
          <w:szCs w:val="22"/>
          <w:highlight w:val="yellow"/>
        </w:rPr>
        <w:t>Gráfica 3</w:t>
      </w:r>
      <w:r w:rsidR="00CF4964" w:rsidRPr="00CF4964">
        <w:rPr>
          <w:rFonts w:ascii="Arial" w:hAnsi="Arial" w:cs="Arial"/>
          <w:sz w:val="22"/>
          <w:szCs w:val="22"/>
          <w:highlight w:val="yellow"/>
        </w:rPr>
        <w:noBreakHyphen/>
        <w:t>18</w:t>
      </w:r>
      <w:r w:rsidRPr="00127A88">
        <w:rPr>
          <w:rFonts w:ascii="Arial" w:hAnsi="Arial" w:cs="Arial"/>
          <w:sz w:val="22"/>
          <w:szCs w:val="22"/>
          <w:highlight w:val="yellow"/>
        </w:rPr>
        <w:fldChar w:fldCharType="end"/>
      </w:r>
      <w:r w:rsidRPr="00127A88">
        <w:rPr>
          <w:rFonts w:ascii="Arial" w:hAnsi="Arial" w:cs="Arial"/>
          <w:sz w:val="22"/>
          <w:szCs w:val="22"/>
          <w:highlight w:val="yellow"/>
        </w:rPr>
        <w:t xml:space="preserve"> </w:t>
      </w:r>
      <w:r w:rsidRPr="008B4816">
        <w:rPr>
          <w:rFonts w:ascii="Arial" w:hAnsi="Arial" w:cs="Arial"/>
          <w:sz w:val="22"/>
          <w:szCs w:val="22"/>
        </w:rPr>
        <w:t xml:space="preserve">en donde se muestra el escenario de referencia calculado para cada ramal, los precios se podrían catalogar en 3 grupos. El precio más bajo sería para termo Yopal, el cual no incluye transporte por estar en la fuente. Por otro lado, se encuentra el grupo de Ramal Vasconia, Ramal Sebastopol, Ramal Mariquita y Ramal Barranca, quienes presentan una pequeña diferencia la cual tiene que ver con el transporte siendo el más económico Ramal Vasconia por estar más cerca de la fuente. </w:t>
      </w:r>
    </w:p>
    <w:p w14:paraId="4C30A5D5" w14:textId="77777777" w:rsidR="00C17C8E" w:rsidRDefault="00C17C8E" w:rsidP="00C17C8E">
      <w:pPr>
        <w:spacing w:before="240" w:after="240" w:line="276" w:lineRule="auto"/>
        <w:jc w:val="both"/>
        <w:rPr>
          <w:rFonts w:ascii="Arial" w:hAnsi="Arial" w:cs="Arial"/>
          <w:sz w:val="22"/>
          <w:szCs w:val="22"/>
        </w:rPr>
      </w:pPr>
      <w:r w:rsidRPr="008B4816">
        <w:rPr>
          <w:rFonts w:ascii="Arial" w:hAnsi="Arial" w:cs="Arial"/>
          <w:sz w:val="22"/>
          <w:szCs w:val="22"/>
        </w:rPr>
        <w:t>El tercer grupo es Cali y Ramal Valle, siendo estos los más costosos, debido a que toman precio internacional</w:t>
      </w:r>
      <w:r>
        <w:rPr>
          <w:rFonts w:ascii="Arial" w:hAnsi="Arial" w:cs="Arial"/>
          <w:sz w:val="22"/>
          <w:szCs w:val="22"/>
        </w:rPr>
        <w:t>. Aún con la entrada en operación de la planta de regasificación del Pacífico éstas térmicas continúan siendo las más costosas del país, sin embargo se presenta un alivio en el precio el cual impacta directamente en el precio final al consumidor.</w:t>
      </w:r>
    </w:p>
    <w:p w14:paraId="0FD58112" w14:textId="7520C4F4" w:rsidR="00612BAF" w:rsidRDefault="00612BAF" w:rsidP="00914134">
      <w:pPr>
        <w:spacing w:before="240" w:after="240" w:line="276" w:lineRule="auto"/>
        <w:jc w:val="both"/>
        <w:rPr>
          <w:rFonts w:ascii="Arial" w:hAnsi="Arial" w:cs="Arial"/>
          <w:sz w:val="22"/>
          <w:szCs w:val="22"/>
        </w:rPr>
      </w:pPr>
    </w:p>
    <w:p w14:paraId="248B3D45" w14:textId="77777777" w:rsidR="00C17C8E" w:rsidRPr="008B4816" w:rsidRDefault="00C17C8E" w:rsidP="00914134">
      <w:pPr>
        <w:spacing w:before="240" w:after="240" w:line="276" w:lineRule="auto"/>
        <w:jc w:val="both"/>
        <w:rPr>
          <w:rFonts w:ascii="Arial" w:hAnsi="Arial" w:cs="Arial"/>
          <w:sz w:val="22"/>
          <w:szCs w:val="22"/>
        </w:rPr>
      </w:pPr>
    </w:p>
    <w:p w14:paraId="57C680F3" w14:textId="23185E19" w:rsidR="00914134" w:rsidRDefault="00914134" w:rsidP="00914134">
      <w:pPr>
        <w:pStyle w:val="Descripcin"/>
        <w:spacing w:after="0"/>
        <w:jc w:val="center"/>
        <w:rPr>
          <w:rFonts w:cs="Arial"/>
          <w:i w:val="0"/>
          <w:color w:val="auto"/>
          <w:sz w:val="20"/>
          <w:szCs w:val="20"/>
        </w:rPr>
      </w:pPr>
      <w:bookmarkStart w:id="280" w:name="_Ref449089028"/>
      <w:bookmarkStart w:id="281" w:name="_Ref493493541"/>
      <w:bookmarkStart w:id="282" w:name="_Toc499799376"/>
      <w:bookmarkStart w:id="283" w:name="_Toc530033421"/>
      <w:r w:rsidRPr="00482F07">
        <w:rPr>
          <w:rFonts w:cs="Arial"/>
          <w:b/>
          <w:i w:val="0"/>
          <w:color w:val="auto"/>
          <w:sz w:val="20"/>
          <w:szCs w:val="20"/>
          <w:highlight w:val="yellow"/>
        </w:rPr>
        <w:lastRenderedPageBreak/>
        <w:t xml:space="preserve">Gráfica </w:t>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STYLEREF 1 \s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3</w:t>
      </w:r>
      <w:r w:rsidR="00DA50A5">
        <w:rPr>
          <w:rFonts w:cs="Arial"/>
          <w:b/>
          <w:i w:val="0"/>
          <w:color w:val="auto"/>
          <w:sz w:val="20"/>
          <w:szCs w:val="20"/>
          <w:highlight w:val="yellow"/>
        </w:rPr>
        <w:fldChar w:fldCharType="end"/>
      </w:r>
      <w:r w:rsidR="00DA50A5">
        <w:rPr>
          <w:rFonts w:cs="Arial"/>
          <w:b/>
          <w:i w:val="0"/>
          <w:color w:val="auto"/>
          <w:sz w:val="20"/>
          <w:szCs w:val="20"/>
          <w:highlight w:val="yellow"/>
        </w:rPr>
        <w:noBreakHyphen/>
      </w:r>
      <w:r w:rsidR="00DA50A5">
        <w:rPr>
          <w:rFonts w:cs="Arial"/>
          <w:b/>
          <w:i w:val="0"/>
          <w:color w:val="auto"/>
          <w:sz w:val="20"/>
          <w:szCs w:val="20"/>
          <w:highlight w:val="yellow"/>
        </w:rPr>
        <w:fldChar w:fldCharType="begin"/>
      </w:r>
      <w:r w:rsidR="00DA50A5">
        <w:rPr>
          <w:rFonts w:cs="Arial"/>
          <w:b/>
          <w:i w:val="0"/>
          <w:color w:val="auto"/>
          <w:sz w:val="20"/>
          <w:szCs w:val="20"/>
          <w:highlight w:val="yellow"/>
        </w:rPr>
        <w:instrText xml:space="preserve"> SEQ Gráfica \* ARABIC \s 1 </w:instrText>
      </w:r>
      <w:r w:rsidR="00DA50A5">
        <w:rPr>
          <w:rFonts w:cs="Arial"/>
          <w:b/>
          <w:i w:val="0"/>
          <w:color w:val="auto"/>
          <w:sz w:val="20"/>
          <w:szCs w:val="20"/>
          <w:highlight w:val="yellow"/>
        </w:rPr>
        <w:fldChar w:fldCharType="separate"/>
      </w:r>
      <w:r w:rsidR="00DA50A5">
        <w:rPr>
          <w:rFonts w:cs="Arial"/>
          <w:b/>
          <w:i w:val="0"/>
          <w:noProof/>
          <w:color w:val="auto"/>
          <w:sz w:val="20"/>
          <w:szCs w:val="20"/>
          <w:highlight w:val="yellow"/>
        </w:rPr>
        <w:t>18</w:t>
      </w:r>
      <w:r w:rsidR="00DA50A5">
        <w:rPr>
          <w:rFonts w:cs="Arial"/>
          <w:b/>
          <w:i w:val="0"/>
          <w:color w:val="auto"/>
          <w:sz w:val="20"/>
          <w:szCs w:val="20"/>
          <w:highlight w:val="yellow"/>
        </w:rPr>
        <w:fldChar w:fldCharType="end"/>
      </w:r>
      <w:bookmarkEnd w:id="280"/>
      <w:bookmarkEnd w:id="281"/>
      <w:r w:rsidRPr="00482F07">
        <w:rPr>
          <w:rFonts w:cs="Arial"/>
          <w:b/>
          <w:i w:val="0"/>
          <w:color w:val="auto"/>
          <w:sz w:val="20"/>
          <w:szCs w:val="20"/>
          <w:highlight w:val="yellow"/>
        </w:rPr>
        <w:t xml:space="preserve">. </w:t>
      </w:r>
      <w:r w:rsidRPr="00482F07">
        <w:rPr>
          <w:rFonts w:cs="Arial"/>
          <w:i w:val="0"/>
          <w:color w:val="auto"/>
          <w:sz w:val="20"/>
          <w:szCs w:val="20"/>
        </w:rPr>
        <w:t>Estimación del precio del Gas en plantas Térmicas del Interior</w:t>
      </w:r>
      <w:bookmarkEnd w:id="282"/>
      <w:bookmarkEnd w:id="283"/>
    </w:p>
    <w:p w14:paraId="4956C369" w14:textId="33E042B8" w:rsidR="000149C8" w:rsidRPr="000149C8" w:rsidRDefault="000149C8" w:rsidP="000149C8">
      <w:pPr>
        <w:jc w:val="center"/>
        <w:rPr>
          <w:highlight w:val="yellow"/>
          <w:lang w:val="es-CO" w:eastAsia="es-ES"/>
        </w:rPr>
      </w:pPr>
      <w:r w:rsidRPr="000149C8">
        <w:rPr>
          <w:noProof/>
          <w:lang w:val="es-ES" w:eastAsia="es-ES"/>
        </w:rPr>
        <w:drawing>
          <wp:inline distT="0" distB="0" distL="0" distR="0" wp14:anchorId="684D4C52" wp14:editId="34FB9DC4">
            <wp:extent cx="5434330" cy="307086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34330" cy="3070860"/>
                    </a:xfrm>
                    <a:prstGeom prst="rect">
                      <a:avLst/>
                    </a:prstGeom>
                    <a:noFill/>
                    <a:ln>
                      <a:noFill/>
                    </a:ln>
                  </pic:spPr>
                </pic:pic>
              </a:graphicData>
            </a:graphic>
          </wp:inline>
        </w:drawing>
      </w:r>
    </w:p>
    <w:p w14:paraId="42E26AA6" w14:textId="77777777" w:rsidR="00914134" w:rsidRDefault="00914134" w:rsidP="00914134">
      <w:pPr>
        <w:jc w:val="center"/>
        <w:rPr>
          <w:rFonts w:ascii="Arial" w:hAnsi="Arial" w:cs="Arial"/>
          <w:sz w:val="16"/>
        </w:rPr>
      </w:pPr>
      <w:r w:rsidRPr="00482F07">
        <w:rPr>
          <w:rFonts w:ascii="Arial" w:hAnsi="Arial" w:cs="Arial"/>
          <w:b/>
          <w:sz w:val="16"/>
        </w:rPr>
        <w:t>Fuente:</w:t>
      </w:r>
      <w:r w:rsidRPr="00482F07">
        <w:rPr>
          <w:rFonts w:ascii="Arial" w:hAnsi="Arial" w:cs="Arial"/>
          <w:sz w:val="16"/>
        </w:rPr>
        <w:t xml:space="preserve"> UPME</w:t>
      </w:r>
    </w:p>
    <w:p w14:paraId="5BDC1129" w14:textId="77777777" w:rsidR="00C17C8E" w:rsidRDefault="00C17C8E" w:rsidP="00C17C8E">
      <w:pPr>
        <w:spacing w:before="240" w:after="240" w:line="276" w:lineRule="auto"/>
        <w:jc w:val="both"/>
        <w:rPr>
          <w:rFonts w:ascii="Arial" w:hAnsi="Arial" w:cs="Arial"/>
          <w:sz w:val="22"/>
          <w:szCs w:val="22"/>
        </w:rPr>
      </w:pPr>
      <w:r w:rsidRPr="00612BAF">
        <w:rPr>
          <w:rFonts w:ascii="Arial" w:hAnsi="Arial" w:cs="Arial"/>
          <w:sz w:val="22"/>
          <w:szCs w:val="22"/>
        </w:rPr>
        <w:t xml:space="preserve">Así mismo se puede observar en la </w:t>
      </w:r>
      <w:r w:rsidRPr="00DA50A5">
        <w:rPr>
          <w:rFonts w:ascii="Arial" w:hAnsi="Arial" w:cs="Arial"/>
          <w:sz w:val="22"/>
          <w:szCs w:val="22"/>
          <w:highlight w:val="yellow"/>
        </w:rPr>
        <w:fldChar w:fldCharType="begin"/>
      </w:r>
      <w:r w:rsidRPr="00DA50A5">
        <w:rPr>
          <w:rFonts w:ascii="Arial" w:hAnsi="Arial" w:cs="Arial"/>
          <w:sz w:val="22"/>
          <w:szCs w:val="22"/>
        </w:rPr>
        <w:instrText xml:space="preserve"> REF _Ref529979449 \h </w:instrText>
      </w:r>
      <w:r w:rsidRPr="00DA50A5">
        <w:rPr>
          <w:rFonts w:ascii="Arial" w:hAnsi="Arial" w:cs="Arial"/>
          <w:sz w:val="22"/>
          <w:szCs w:val="22"/>
          <w:highlight w:val="yellow"/>
        </w:rPr>
        <w:instrText xml:space="preserve"> \* MERGEFORMAT </w:instrText>
      </w:r>
      <w:r w:rsidRPr="00DA50A5">
        <w:rPr>
          <w:rFonts w:ascii="Arial" w:hAnsi="Arial" w:cs="Arial"/>
          <w:sz w:val="22"/>
          <w:szCs w:val="22"/>
          <w:highlight w:val="yellow"/>
        </w:rPr>
      </w:r>
      <w:r w:rsidRPr="00DA50A5">
        <w:rPr>
          <w:rFonts w:ascii="Arial" w:hAnsi="Arial" w:cs="Arial"/>
          <w:sz w:val="22"/>
          <w:szCs w:val="22"/>
          <w:highlight w:val="yellow"/>
        </w:rPr>
        <w:fldChar w:fldCharType="separate"/>
      </w:r>
      <w:r w:rsidRPr="00DA50A5">
        <w:rPr>
          <w:rFonts w:ascii="Arial" w:hAnsi="Arial" w:cs="Arial"/>
          <w:sz w:val="22"/>
          <w:szCs w:val="22"/>
          <w:highlight w:val="yellow"/>
        </w:rPr>
        <w:t>Gráfica 3</w:t>
      </w:r>
      <w:r w:rsidRPr="00DA50A5">
        <w:rPr>
          <w:rFonts w:ascii="Arial" w:hAnsi="Arial" w:cs="Arial"/>
          <w:sz w:val="22"/>
          <w:szCs w:val="22"/>
          <w:highlight w:val="yellow"/>
        </w:rPr>
        <w:noBreakHyphen/>
      </w:r>
      <w:r w:rsidRPr="00DA50A5">
        <w:rPr>
          <w:rFonts w:ascii="Arial" w:hAnsi="Arial" w:cs="Arial"/>
          <w:noProof/>
          <w:sz w:val="22"/>
          <w:szCs w:val="22"/>
          <w:highlight w:val="yellow"/>
        </w:rPr>
        <w:t>19</w:t>
      </w:r>
      <w:r w:rsidRPr="00DA50A5">
        <w:rPr>
          <w:rFonts w:ascii="Arial" w:hAnsi="Arial" w:cs="Arial"/>
          <w:sz w:val="22"/>
          <w:szCs w:val="22"/>
          <w:highlight w:val="yellow"/>
        </w:rPr>
        <w:fldChar w:fldCharType="end"/>
      </w:r>
      <w:r w:rsidRPr="00612BAF">
        <w:rPr>
          <w:rFonts w:ascii="Arial" w:hAnsi="Arial" w:cs="Arial"/>
          <w:sz w:val="22"/>
          <w:szCs w:val="22"/>
        </w:rPr>
        <w:t xml:space="preserve"> el efecto que tendría la planta de regasificación en el pacífico colombiano sobre las térmicas del occidente del país, reduciendo su precio de compra para generación en promedio </w:t>
      </w:r>
      <w:r w:rsidRPr="00857188">
        <w:rPr>
          <w:rFonts w:ascii="Arial" w:hAnsi="Arial" w:cs="Arial"/>
          <w:sz w:val="22"/>
          <w:szCs w:val="22"/>
        </w:rPr>
        <w:t xml:space="preserve">USD$ </w:t>
      </w:r>
      <w:r>
        <w:rPr>
          <w:rFonts w:ascii="Arial" w:hAnsi="Arial" w:cs="Arial"/>
          <w:sz w:val="22"/>
          <w:szCs w:val="22"/>
        </w:rPr>
        <w:t>4.71</w:t>
      </w:r>
      <w:r w:rsidRPr="00857188">
        <w:rPr>
          <w:rFonts w:ascii="Arial" w:hAnsi="Arial" w:cs="Arial"/>
          <w:sz w:val="22"/>
          <w:szCs w:val="22"/>
        </w:rPr>
        <w:t>/MMBTU</w:t>
      </w:r>
      <w:r>
        <w:rPr>
          <w:rFonts w:ascii="Arial" w:hAnsi="Arial" w:cs="Arial"/>
          <w:sz w:val="22"/>
          <w:szCs w:val="22"/>
        </w:rPr>
        <w:t xml:space="preserve"> para Valle mientras que para Cali la diferencia sería de </w:t>
      </w:r>
      <w:r w:rsidRPr="00857188">
        <w:rPr>
          <w:rFonts w:ascii="Arial" w:hAnsi="Arial" w:cs="Arial"/>
          <w:sz w:val="22"/>
          <w:szCs w:val="22"/>
        </w:rPr>
        <w:t>USD$ 5</w:t>
      </w:r>
      <w:r>
        <w:rPr>
          <w:rFonts w:ascii="Arial" w:hAnsi="Arial" w:cs="Arial"/>
          <w:sz w:val="22"/>
          <w:szCs w:val="22"/>
        </w:rPr>
        <w:t>.00</w:t>
      </w:r>
      <w:r w:rsidRPr="00857188">
        <w:rPr>
          <w:rFonts w:ascii="Arial" w:hAnsi="Arial" w:cs="Arial"/>
          <w:sz w:val="22"/>
          <w:szCs w:val="22"/>
        </w:rPr>
        <w:t>/MMBTU</w:t>
      </w:r>
      <w:r>
        <w:rPr>
          <w:rFonts w:ascii="Arial" w:hAnsi="Arial" w:cs="Arial"/>
          <w:sz w:val="22"/>
          <w:szCs w:val="22"/>
        </w:rPr>
        <w:t>.</w:t>
      </w:r>
    </w:p>
    <w:p w14:paraId="3A74BBD1" w14:textId="3316E53B" w:rsidR="00DA50A5" w:rsidRDefault="00DA50A5" w:rsidP="00DA50A5">
      <w:pPr>
        <w:pStyle w:val="Descripcin"/>
        <w:keepNext/>
        <w:spacing w:after="0"/>
        <w:jc w:val="center"/>
      </w:pPr>
      <w:bookmarkStart w:id="284" w:name="_Ref529979449"/>
      <w:bookmarkStart w:id="285" w:name="_Toc530033422"/>
      <w:r w:rsidRPr="00DA50A5">
        <w:rPr>
          <w:rFonts w:cs="Arial"/>
          <w:b/>
          <w:i w:val="0"/>
          <w:color w:val="auto"/>
          <w:sz w:val="20"/>
          <w:szCs w:val="20"/>
          <w:highlight w:val="yellow"/>
        </w:rPr>
        <w:t xml:space="preserve">Gráfica </w:t>
      </w:r>
      <w:r w:rsidRPr="00DA50A5">
        <w:rPr>
          <w:rFonts w:cs="Arial"/>
          <w:b/>
          <w:i w:val="0"/>
          <w:color w:val="auto"/>
          <w:sz w:val="20"/>
          <w:szCs w:val="20"/>
          <w:highlight w:val="yellow"/>
        </w:rPr>
        <w:fldChar w:fldCharType="begin"/>
      </w:r>
      <w:r w:rsidRPr="00DA50A5">
        <w:rPr>
          <w:rFonts w:cs="Arial"/>
          <w:b/>
          <w:i w:val="0"/>
          <w:color w:val="auto"/>
          <w:sz w:val="20"/>
          <w:szCs w:val="20"/>
          <w:highlight w:val="yellow"/>
        </w:rPr>
        <w:instrText xml:space="preserve"> STYLEREF 1 \s </w:instrText>
      </w:r>
      <w:r w:rsidRPr="00DA50A5">
        <w:rPr>
          <w:rFonts w:cs="Arial"/>
          <w:b/>
          <w:i w:val="0"/>
          <w:color w:val="auto"/>
          <w:sz w:val="20"/>
          <w:szCs w:val="20"/>
          <w:highlight w:val="yellow"/>
        </w:rPr>
        <w:fldChar w:fldCharType="separate"/>
      </w:r>
      <w:r w:rsidRPr="00DA50A5">
        <w:rPr>
          <w:rFonts w:cs="Arial"/>
          <w:b/>
          <w:i w:val="0"/>
          <w:color w:val="auto"/>
          <w:sz w:val="20"/>
          <w:szCs w:val="20"/>
          <w:highlight w:val="yellow"/>
        </w:rPr>
        <w:t>3</w:t>
      </w:r>
      <w:r w:rsidRPr="00DA50A5">
        <w:rPr>
          <w:rFonts w:cs="Arial"/>
          <w:b/>
          <w:i w:val="0"/>
          <w:color w:val="auto"/>
          <w:sz w:val="20"/>
          <w:szCs w:val="20"/>
          <w:highlight w:val="yellow"/>
        </w:rPr>
        <w:fldChar w:fldCharType="end"/>
      </w:r>
      <w:r w:rsidRPr="00DA50A5">
        <w:rPr>
          <w:rFonts w:cs="Arial"/>
          <w:b/>
          <w:i w:val="0"/>
          <w:color w:val="auto"/>
          <w:sz w:val="20"/>
          <w:szCs w:val="20"/>
          <w:highlight w:val="yellow"/>
        </w:rPr>
        <w:noBreakHyphen/>
      </w:r>
      <w:r w:rsidRPr="00DA50A5">
        <w:rPr>
          <w:rFonts w:cs="Arial"/>
          <w:b/>
          <w:i w:val="0"/>
          <w:color w:val="auto"/>
          <w:sz w:val="20"/>
          <w:szCs w:val="20"/>
          <w:highlight w:val="yellow"/>
        </w:rPr>
        <w:fldChar w:fldCharType="begin"/>
      </w:r>
      <w:r w:rsidRPr="00DA50A5">
        <w:rPr>
          <w:rFonts w:cs="Arial"/>
          <w:b/>
          <w:i w:val="0"/>
          <w:color w:val="auto"/>
          <w:sz w:val="20"/>
          <w:szCs w:val="20"/>
          <w:highlight w:val="yellow"/>
        </w:rPr>
        <w:instrText xml:space="preserve"> SEQ Gráfica \* ARABIC \s 1 </w:instrText>
      </w:r>
      <w:r w:rsidRPr="00DA50A5">
        <w:rPr>
          <w:rFonts w:cs="Arial"/>
          <w:b/>
          <w:i w:val="0"/>
          <w:color w:val="auto"/>
          <w:sz w:val="20"/>
          <w:szCs w:val="20"/>
          <w:highlight w:val="yellow"/>
        </w:rPr>
        <w:fldChar w:fldCharType="separate"/>
      </w:r>
      <w:r>
        <w:rPr>
          <w:rFonts w:cs="Arial"/>
          <w:b/>
          <w:i w:val="0"/>
          <w:noProof/>
          <w:color w:val="auto"/>
          <w:sz w:val="20"/>
          <w:szCs w:val="20"/>
          <w:highlight w:val="yellow"/>
        </w:rPr>
        <w:t>19</w:t>
      </w:r>
      <w:r w:rsidRPr="00DA50A5">
        <w:rPr>
          <w:rFonts w:cs="Arial"/>
          <w:b/>
          <w:i w:val="0"/>
          <w:color w:val="auto"/>
          <w:sz w:val="20"/>
          <w:szCs w:val="20"/>
          <w:highlight w:val="yellow"/>
        </w:rPr>
        <w:fldChar w:fldCharType="end"/>
      </w:r>
      <w:bookmarkEnd w:id="284"/>
      <w:r w:rsidRPr="00DA50A5">
        <w:rPr>
          <w:rFonts w:cs="Arial"/>
          <w:b/>
          <w:i w:val="0"/>
          <w:color w:val="auto"/>
          <w:sz w:val="20"/>
          <w:szCs w:val="20"/>
          <w:highlight w:val="yellow"/>
        </w:rPr>
        <w:t xml:space="preserve"> </w:t>
      </w:r>
      <w:r w:rsidRPr="00DA50A5">
        <w:rPr>
          <w:rFonts w:cs="Arial"/>
          <w:i w:val="0"/>
          <w:color w:val="auto"/>
          <w:sz w:val="20"/>
          <w:szCs w:val="20"/>
        </w:rPr>
        <w:t>Precio térmicas de occidente con y sin Planta de Regasificación en Buenaventura</w:t>
      </w:r>
      <w:bookmarkEnd w:id="285"/>
    </w:p>
    <w:p w14:paraId="53A3A687" w14:textId="77777777" w:rsidR="00914134" w:rsidRDefault="00914134" w:rsidP="00612BAF">
      <w:pPr>
        <w:tabs>
          <w:tab w:val="left" w:pos="364"/>
        </w:tabs>
        <w:jc w:val="center"/>
      </w:pPr>
      <w:r w:rsidRPr="00482F07">
        <w:rPr>
          <w:noProof/>
          <w:lang w:val="es-ES" w:eastAsia="es-ES"/>
        </w:rPr>
        <w:drawing>
          <wp:inline distT="0" distB="0" distL="0" distR="0" wp14:anchorId="30711E5E" wp14:editId="7EA6D0F7">
            <wp:extent cx="5401310" cy="3242945"/>
            <wp:effectExtent l="0" t="0" r="889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1310" cy="3242945"/>
                    </a:xfrm>
                    <a:prstGeom prst="rect">
                      <a:avLst/>
                    </a:prstGeom>
                    <a:noFill/>
                    <a:ln>
                      <a:noFill/>
                    </a:ln>
                  </pic:spPr>
                </pic:pic>
              </a:graphicData>
            </a:graphic>
          </wp:inline>
        </w:drawing>
      </w:r>
    </w:p>
    <w:p w14:paraId="48385CBD" w14:textId="77777777" w:rsidR="00914134" w:rsidRPr="00482F07" w:rsidRDefault="00914134" w:rsidP="00914134">
      <w:pPr>
        <w:jc w:val="center"/>
        <w:rPr>
          <w:rFonts w:ascii="Arial" w:hAnsi="Arial" w:cs="Arial"/>
        </w:rPr>
      </w:pPr>
      <w:r w:rsidRPr="00482F07">
        <w:rPr>
          <w:rFonts w:ascii="Arial" w:hAnsi="Arial" w:cs="Arial"/>
          <w:b/>
          <w:sz w:val="16"/>
        </w:rPr>
        <w:t>Fuente:</w:t>
      </w:r>
      <w:r w:rsidRPr="00482F07">
        <w:rPr>
          <w:rFonts w:ascii="Arial" w:hAnsi="Arial" w:cs="Arial"/>
          <w:sz w:val="16"/>
        </w:rPr>
        <w:t xml:space="preserve"> UPME</w:t>
      </w:r>
    </w:p>
    <w:p w14:paraId="354AAB62" w14:textId="0A0B8273" w:rsidR="00612BAF" w:rsidRDefault="00612BAF">
      <w:pPr>
        <w:rPr>
          <w:rFonts w:ascii="Arial" w:hAnsi="Arial" w:cs="Arial"/>
          <w:sz w:val="22"/>
          <w:szCs w:val="22"/>
        </w:rPr>
      </w:pPr>
      <w:r>
        <w:rPr>
          <w:rFonts w:ascii="Arial" w:hAnsi="Arial" w:cs="Arial"/>
          <w:sz w:val="22"/>
          <w:szCs w:val="22"/>
        </w:rPr>
        <w:br w:type="page"/>
      </w:r>
    </w:p>
    <w:p w14:paraId="14CD05D3" w14:textId="77777777" w:rsidR="00914134" w:rsidRPr="004327CD" w:rsidRDefault="00914134" w:rsidP="00914134">
      <w:pPr>
        <w:pStyle w:val="Ttulo1"/>
        <w:ind w:right="-284"/>
      </w:pPr>
      <w:bookmarkStart w:id="286" w:name="_Toc530045848"/>
      <w:r>
        <w:lastRenderedPageBreak/>
        <w:t>JET FUEL</w:t>
      </w:r>
      <w:bookmarkEnd w:id="286"/>
    </w:p>
    <w:p w14:paraId="18652933" w14:textId="77777777" w:rsidR="00914134" w:rsidRPr="00D52AEC" w:rsidRDefault="00914134" w:rsidP="00914134">
      <w:pPr>
        <w:spacing w:before="240" w:after="240" w:line="276" w:lineRule="auto"/>
        <w:jc w:val="both"/>
        <w:rPr>
          <w:rFonts w:ascii="Arial" w:hAnsi="Arial" w:cs="Arial"/>
          <w:sz w:val="22"/>
          <w:szCs w:val="22"/>
        </w:rPr>
      </w:pPr>
      <w:r w:rsidRPr="00D52AEC">
        <w:rPr>
          <w:rFonts w:ascii="Arial" w:hAnsi="Arial" w:cs="Arial"/>
          <w:sz w:val="22"/>
        </w:rPr>
        <w:t xml:space="preserve">La metodología utilizada para la estimación del precio colombiano del JET FUEL incorporó la </w:t>
      </w:r>
      <w:r w:rsidRPr="00D52AEC">
        <w:rPr>
          <w:rFonts w:ascii="Arial" w:hAnsi="Arial" w:cs="Arial"/>
          <w:sz w:val="22"/>
          <w:szCs w:val="22"/>
        </w:rPr>
        <w:t>normatividad definida por la Ley 681 de 2001 y la Resolución Minminas 8 0299 de 2001, modificada posteriormente por la Resolución 18 0088 de 2003 y el artículo 116 de la Ley 1450 de 2011, las cuales hacen referencia a la estructura del precio para su comercialización nacional. Adicionalmente y para efectos del análisis se incluye un costo de transporte entre la planta de abasto y planta de generación, así como un margen para el distribuidor mayorista, ítems que no hacen parte de la regulación, así:</w:t>
      </w:r>
    </w:p>
    <w:p w14:paraId="7BEA502E" w14:textId="77777777" w:rsidR="00914134" w:rsidRPr="002809CB" w:rsidRDefault="00914134" w:rsidP="00914134">
      <w:pPr>
        <w:rPr>
          <w:rFonts w:asciiTheme="majorHAnsi" w:hAnsiTheme="majorHAnsi"/>
          <w:b/>
          <w:i/>
          <w:sz w:val="26"/>
          <w:szCs w:val="26"/>
        </w:rPr>
      </w:pPr>
      <m:oMathPara>
        <m:oMath>
          <m:r>
            <m:rPr>
              <m:sty m:val="bi"/>
            </m:rPr>
            <w:rPr>
              <w:rFonts w:ascii="Cambria Math" w:hAnsi="Cambria Math"/>
              <w:sz w:val="26"/>
              <w:szCs w:val="26"/>
            </w:rPr>
            <m:t>PMV=IP+IVA+IC+ TI+IVA MY+Otros</m:t>
          </m:r>
        </m:oMath>
      </m:oMathPara>
    </w:p>
    <w:p w14:paraId="6712FFED" w14:textId="77777777" w:rsidR="00914134" w:rsidRPr="00D52AEC" w:rsidRDefault="00914134" w:rsidP="00914134">
      <w:pPr>
        <w:rPr>
          <w:rFonts w:ascii="Arial" w:hAnsi="Arial" w:cs="Arial"/>
          <w:sz w:val="22"/>
        </w:rPr>
      </w:pPr>
      <w:r w:rsidRPr="00D52AEC">
        <w:rPr>
          <w:rFonts w:ascii="Arial" w:hAnsi="Arial" w:cs="Arial"/>
          <w:sz w:val="22"/>
        </w:rPr>
        <w:t xml:space="preserve">Donde, </w:t>
      </w:r>
    </w:p>
    <w:p w14:paraId="5EF113D1" w14:textId="77777777" w:rsidR="00914134" w:rsidRPr="002809CB" w:rsidRDefault="00914134" w:rsidP="00914134">
      <w:pPr>
        <w:rPr>
          <w:rFonts w:asciiTheme="majorHAnsi" w:hAnsiTheme="majorHAnsi" w:cs="Arial"/>
        </w:rPr>
      </w:pPr>
    </w:p>
    <w:p w14:paraId="61922844" w14:textId="77777777" w:rsidR="00914134" w:rsidRPr="00781FEA" w:rsidRDefault="00914134" w:rsidP="00914134">
      <w:pPr>
        <w:ind w:left="567" w:right="567"/>
        <w:rPr>
          <w:rFonts w:ascii="Cambria Math" w:hAnsi="Cambria Math"/>
          <w:b/>
          <w:i/>
          <w:color w:val="000000" w:themeColor="text1"/>
        </w:rPr>
      </w:pPr>
      <m:oMath>
        <m:r>
          <m:rPr>
            <m:sty m:val="bi"/>
          </m:rPr>
          <w:rPr>
            <w:rFonts w:ascii="Cambria Math" w:hAnsi="Cambria Math"/>
            <w:color w:val="000000" w:themeColor="text1"/>
          </w:rPr>
          <m:t xml:space="preserve">PMV            =  </m:t>
        </m:r>
      </m:oMath>
      <w:r w:rsidRPr="00D52AEC">
        <w:rPr>
          <w:rFonts w:ascii="Cambria Math" w:hAnsi="Cambria Math" w:cs="Arial"/>
          <w:color w:val="000000" w:themeColor="text1"/>
          <w:sz w:val="20"/>
          <w:szCs w:val="20"/>
        </w:rPr>
        <w:t>Precio de venta de la gasolina de aviación Jet al distribuidor mayorista</w:t>
      </w:r>
    </w:p>
    <w:p w14:paraId="3F1FB5C2" w14:textId="77777777" w:rsidR="00914134" w:rsidRPr="00781FEA"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IP                 =  </m:t>
        </m:r>
      </m:oMath>
      <w:r w:rsidRPr="00D52AEC">
        <w:rPr>
          <w:rFonts w:ascii="Cambria Math" w:hAnsi="Cambria Math" w:cs="Arial"/>
          <w:color w:val="000000" w:themeColor="text1"/>
          <w:sz w:val="20"/>
          <w:szCs w:val="20"/>
        </w:rPr>
        <w:t>Ingreso al Productor</w:t>
      </w:r>
    </w:p>
    <w:p w14:paraId="3E8CB363" w14:textId="77777777" w:rsidR="00914134" w:rsidRPr="00781FEA" w:rsidRDefault="00914134" w:rsidP="00914134">
      <w:pPr>
        <w:ind w:left="567" w:right="567"/>
        <w:rPr>
          <w:rFonts w:ascii="Cambria Math" w:hAnsi="Cambria Math"/>
          <w:color w:val="000000" w:themeColor="text1"/>
        </w:rPr>
      </w:pPr>
      <m:oMath>
        <m:r>
          <m:rPr>
            <m:sty m:val="bi"/>
          </m:rPr>
          <w:rPr>
            <w:rFonts w:ascii="Cambria Math" w:hAnsi="Cambria Math"/>
            <w:color w:val="000000" w:themeColor="text1"/>
          </w:rPr>
          <m:t xml:space="preserve">IC                 =  </m:t>
        </m:r>
      </m:oMath>
      <w:r w:rsidRPr="00D52AEC">
        <w:rPr>
          <w:rFonts w:ascii="Cambria Math" w:hAnsi="Cambria Math" w:cs="Arial"/>
          <w:color w:val="000000" w:themeColor="text1"/>
          <w:sz w:val="20"/>
          <w:szCs w:val="20"/>
        </w:rPr>
        <w:t>Impuesto al Carbono</w:t>
      </w:r>
    </w:p>
    <w:p w14:paraId="36CAA3A0" w14:textId="77777777" w:rsidR="00914134" w:rsidRPr="00781FEA" w:rsidRDefault="00914134" w:rsidP="00914134">
      <w:pPr>
        <w:ind w:left="567" w:right="567"/>
        <w:rPr>
          <w:rFonts w:ascii="Cambria Math" w:hAnsi="Cambria Math"/>
          <w:b/>
          <w:i/>
          <w:color w:val="000000" w:themeColor="text1"/>
        </w:rPr>
      </w:pPr>
      <m:oMath>
        <m:r>
          <m:rPr>
            <m:sty m:val="bi"/>
          </m:rPr>
          <w:rPr>
            <w:rFonts w:ascii="Cambria Math" w:hAnsi="Cambria Math"/>
            <w:color w:val="000000" w:themeColor="text1"/>
          </w:rPr>
          <m:t xml:space="preserve">TI                 =  </m:t>
        </m:r>
      </m:oMath>
      <w:r w:rsidRPr="00D52AEC">
        <w:rPr>
          <w:rFonts w:ascii="Cambria Math" w:hAnsi="Cambria Math" w:cs="Arial"/>
          <w:color w:val="000000" w:themeColor="text1"/>
          <w:sz w:val="20"/>
          <w:szCs w:val="20"/>
        </w:rPr>
        <w:t>Valor del transporte a través del sistema de poliductos</w:t>
      </w:r>
    </w:p>
    <w:p w14:paraId="16F3EF9E" w14:textId="77777777" w:rsidR="00914134" w:rsidRPr="00781FEA" w:rsidRDefault="00914134" w:rsidP="00914134">
      <w:pPr>
        <w:ind w:left="567" w:right="567"/>
        <w:rPr>
          <w:rFonts w:ascii="Cambria Math" w:hAnsi="Cambria Math"/>
          <w:b/>
          <w:i/>
          <w:color w:val="000000" w:themeColor="text1"/>
        </w:rPr>
      </w:pPr>
      <m:oMath>
        <m:r>
          <m:rPr>
            <m:sty m:val="bi"/>
          </m:rPr>
          <w:rPr>
            <w:rFonts w:ascii="Cambria Math" w:hAnsi="Cambria Math"/>
            <w:color w:val="000000" w:themeColor="text1"/>
          </w:rPr>
          <m:t xml:space="preserve">IVA MY      =  </m:t>
        </m:r>
      </m:oMath>
      <w:r w:rsidRPr="00D52AEC">
        <w:rPr>
          <w:rFonts w:ascii="Cambria Math" w:hAnsi="Cambria Math" w:cs="Arial"/>
          <w:color w:val="000000" w:themeColor="text1"/>
          <w:sz w:val="20"/>
          <w:szCs w:val="20"/>
        </w:rPr>
        <w:t>IVA Margen mayorista</w:t>
      </w:r>
    </w:p>
    <w:p w14:paraId="273C469C" w14:textId="77777777" w:rsidR="00914134" w:rsidRPr="00781FEA"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Otros         =  </m:t>
        </m:r>
      </m:oMath>
      <w:r w:rsidRPr="00D52AEC">
        <w:rPr>
          <w:rFonts w:ascii="Cambria Math" w:hAnsi="Cambria Math" w:cs="Arial"/>
          <w:color w:val="000000" w:themeColor="text1"/>
          <w:sz w:val="20"/>
          <w:szCs w:val="20"/>
        </w:rPr>
        <w:t>Comercialización y margen de continuidad</w:t>
      </w:r>
    </w:p>
    <w:p w14:paraId="4E6D89B7" w14:textId="78B70316" w:rsidR="00914134" w:rsidRPr="00D52AEC" w:rsidRDefault="00914134" w:rsidP="00914134">
      <w:pPr>
        <w:spacing w:before="240" w:after="240" w:line="276" w:lineRule="auto"/>
        <w:jc w:val="both"/>
        <w:rPr>
          <w:rFonts w:ascii="Arial" w:hAnsi="Arial" w:cs="Arial"/>
          <w:sz w:val="22"/>
        </w:rPr>
      </w:pPr>
      <w:r w:rsidRPr="00D52AEC">
        <w:rPr>
          <w:rFonts w:ascii="Arial" w:hAnsi="Arial" w:cs="Arial"/>
          <w:sz w:val="22"/>
        </w:rPr>
        <w:t>Según lo estipulado en la Reforma Tributaria, Ley 1819 del 29 de diciembre de 2016, en el Artículo 221 de la Parte 9, se establece el Impuesto al Carbono el cual se define como “gravamen que recae sobre el contenido de carbono de todos los combustibles fósiles, incluyendo todos los derivados de petróleo y todos los tipos de gas fósil que sean usados con fines energéticos, siempre que sean usados para combustión”. Adicionalmente, en el Artículo 222 de la misma Ley, se establece la base gravable y tarifa por tipo de combustible fósil, dentro de los cuales está incluido el Jet Fuel con un</w:t>
      </w:r>
      <w:r w:rsidR="00950C9F">
        <w:rPr>
          <w:rFonts w:ascii="Arial" w:hAnsi="Arial" w:cs="Arial"/>
          <w:sz w:val="22"/>
        </w:rPr>
        <w:t xml:space="preserve">a tarifa de COP$148.0 por galón la cual se </w:t>
      </w:r>
      <w:r w:rsidR="00950C9F" w:rsidRPr="00950C9F">
        <w:rPr>
          <w:rFonts w:ascii="Arial" w:hAnsi="Arial" w:cs="Arial"/>
          <w:sz w:val="22"/>
        </w:rPr>
        <w:t>e ajustará con la inflación del año anterior más un punto hasta que sea equivalente a una (1) UVT por tonelada de CO2</w:t>
      </w:r>
      <w:r w:rsidR="00950C9F">
        <w:rPr>
          <w:rFonts w:ascii="Arial" w:hAnsi="Arial" w:cs="Arial"/>
          <w:sz w:val="22"/>
        </w:rPr>
        <w:t>.</w:t>
      </w:r>
    </w:p>
    <w:p w14:paraId="5B49106A" w14:textId="77777777" w:rsidR="00914134" w:rsidRPr="00D52AEC" w:rsidRDefault="00914134" w:rsidP="00914134">
      <w:pPr>
        <w:spacing w:before="240" w:after="240" w:line="276" w:lineRule="auto"/>
        <w:jc w:val="both"/>
        <w:rPr>
          <w:rFonts w:ascii="Arial" w:hAnsi="Arial" w:cs="Arial"/>
          <w:sz w:val="22"/>
        </w:rPr>
      </w:pPr>
      <w:r w:rsidRPr="00D52AEC">
        <w:rPr>
          <w:rFonts w:ascii="Arial" w:hAnsi="Arial" w:cs="Arial"/>
          <w:sz w:val="22"/>
        </w:rPr>
        <w:t xml:space="preserve">La estimación del primer componente o ingreso al productor (IP) comprendió en primera instancia la selección de un driver con el cual se pudiera efectuar un análisis comparativo de los precios internos publicados por Ecopetrol y su equivalente en la Costa del Golfo, el cual según la normatividad hace referencia al índice Platt's JET 54 U.S. Gulf Coast. </w:t>
      </w:r>
    </w:p>
    <w:p w14:paraId="1D0791AB" w14:textId="77777777" w:rsidR="00914134" w:rsidRPr="00D52AEC" w:rsidRDefault="00914134" w:rsidP="00914134">
      <w:pPr>
        <w:spacing w:before="240" w:after="240" w:line="276" w:lineRule="auto"/>
        <w:jc w:val="both"/>
        <w:rPr>
          <w:rFonts w:ascii="Arial" w:hAnsi="Arial" w:cs="Arial"/>
          <w:sz w:val="22"/>
        </w:rPr>
      </w:pPr>
      <w:r w:rsidRPr="00D52AEC">
        <w:rPr>
          <w:rFonts w:ascii="Arial" w:hAnsi="Arial" w:cs="Arial"/>
          <w:sz w:val="22"/>
        </w:rPr>
        <w:t xml:space="preserve">En la </w:t>
      </w:r>
      <w:r w:rsidRPr="00D52AEC">
        <w:rPr>
          <w:rFonts w:ascii="Arial" w:hAnsi="Arial" w:cs="Arial"/>
          <w:sz w:val="22"/>
          <w:szCs w:val="22"/>
          <w:highlight w:val="yellow"/>
        </w:rPr>
        <w:fldChar w:fldCharType="begin"/>
      </w:r>
      <w:r w:rsidRPr="00D52AEC">
        <w:rPr>
          <w:rFonts w:ascii="Arial" w:hAnsi="Arial" w:cs="Arial"/>
          <w:sz w:val="22"/>
          <w:szCs w:val="22"/>
          <w:highlight w:val="yellow"/>
        </w:rPr>
        <w:instrText xml:space="preserve"> REF _Ref514334453 \h  \* MERGEFORMAT </w:instrText>
      </w:r>
      <w:r w:rsidRPr="00D52AEC">
        <w:rPr>
          <w:rFonts w:ascii="Arial" w:hAnsi="Arial" w:cs="Arial"/>
          <w:sz w:val="22"/>
          <w:szCs w:val="22"/>
          <w:highlight w:val="yellow"/>
        </w:rPr>
      </w:r>
      <w:r w:rsidRPr="00D52AEC">
        <w:rPr>
          <w:rFonts w:ascii="Arial" w:hAnsi="Arial" w:cs="Arial"/>
          <w:sz w:val="22"/>
          <w:szCs w:val="22"/>
          <w:highlight w:val="yellow"/>
        </w:rPr>
        <w:fldChar w:fldCharType="separate"/>
      </w:r>
      <w:r w:rsidR="00915705" w:rsidRPr="00915705">
        <w:rPr>
          <w:rFonts w:ascii="Arial" w:hAnsi="Arial" w:cs="Arial"/>
          <w:sz w:val="22"/>
          <w:szCs w:val="22"/>
          <w:highlight w:val="yellow"/>
        </w:rPr>
        <w:t>Gráfica 4</w:t>
      </w:r>
      <w:r w:rsidR="00915705" w:rsidRPr="00915705">
        <w:rPr>
          <w:rFonts w:ascii="Arial" w:hAnsi="Arial" w:cs="Arial"/>
          <w:sz w:val="22"/>
          <w:szCs w:val="22"/>
          <w:highlight w:val="yellow"/>
        </w:rPr>
        <w:noBreakHyphen/>
        <w:t>1</w:t>
      </w:r>
      <w:r w:rsidRPr="00D52AEC">
        <w:rPr>
          <w:rFonts w:ascii="Arial" w:hAnsi="Arial" w:cs="Arial"/>
          <w:sz w:val="22"/>
          <w:szCs w:val="22"/>
          <w:highlight w:val="yellow"/>
        </w:rPr>
        <w:fldChar w:fldCharType="end"/>
      </w:r>
      <w:r w:rsidRPr="00D52AEC">
        <w:rPr>
          <w:rFonts w:ascii="Arial" w:hAnsi="Arial" w:cs="Arial"/>
          <w:sz w:val="22"/>
          <w:szCs w:val="22"/>
          <w:highlight w:val="yellow"/>
        </w:rPr>
        <w:t>,</w:t>
      </w:r>
      <w:r w:rsidRPr="00D52AEC">
        <w:rPr>
          <w:rFonts w:ascii="Arial" w:hAnsi="Arial" w:cs="Arial"/>
          <w:sz w:val="22"/>
        </w:rPr>
        <w:t xml:space="preserve"> se presenta la comparación histórica del comportamiento del ingreso al productor colombiano del Jet Fuel y del índice internacional de referencia del U.S. Gulf Coast. El resultado muestra alta correlación con unas pequeñas diferencias, específicamente entre julio de 2008 y marzo de 2009 en donde el precio interno es ligeramente más alto, mientras que entre abril de 2009 y mayo de 2011 el precio internacional fue ligeramente más alto que el precio local. Desde esa fecha y hasta diciembre de 2017 no se ha presentado mayores diferencias entre el precio nacional y el internacional.</w:t>
      </w:r>
    </w:p>
    <w:p w14:paraId="466C1AD2" w14:textId="77777777" w:rsidR="00914134" w:rsidRPr="00D52AEC" w:rsidRDefault="00914134" w:rsidP="00914134">
      <w:pPr>
        <w:spacing w:before="240" w:after="240" w:line="276" w:lineRule="auto"/>
        <w:jc w:val="both"/>
        <w:rPr>
          <w:rFonts w:ascii="Arial" w:hAnsi="Arial" w:cs="Arial"/>
          <w:sz w:val="22"/>
        </w:rPr>
      </w:pPr>
      <w:r w:rsidRPr="00D52AEC">
        <w:rPr>
          <w:rFonts w:ascii="Arial" w:hAnsi="Arial" w:cs="Arial"/>
          <w:sz w:val="22"/>
        </w:rPr>
        <w:t xml:space="preserve">En el periodo enero de 2011 a septiembre de 2014, el precio ha mantenido bajas fluctuaciones y se estabilizó en los $2.9 dólares por galón. A partir de octubre de 2014, por efecto de los bajos valores el WTI, el Ingreso al Productor alcanzó el valor de $1.6 dólares por galón en diciembre de </w:t>
      </w:r>
      <w:r w:rsidRPr="00D52AEC">
        <w:rPr>
          <w:rFonts w:ascii="Arial" w:hAnsi="Arial" w:cs="Arial"/>
          <w:sz w:val="22"/>
        </w:rPr>
        <w:lastRenderedPageBreak/>
        <w:t>2014 y de $1.0 dólares por galón en Diciembre de 2015. Este comportamiento de precios internacionales a la baja permite observar como el precio nacional sigue la referencia del índice internacional JET 54 de la Costa del Golfo, alcanzando valores más bajos que los mínimos alcanzados desde el año 2009. A partir de la recuperación del precio del crudo el ingreso al productor ha tenido una recuperación, entre enero de 2016 y diciembre de 2017, del 94.8% alcanzado los niveles que se tenían en el último semestre de 2009.</w:t>
      </w:r>
    </w:p>
    <w:p w14:paraId="3C4DD1FE" w14:textId="0C6B97D5" w:rsidR="00914134" w:rsidRDefault="00914134" w:rsidP="00914134">
      <w:pPr>
        <w:pStyle w:val="Descripcin"/>
        <w:keepNext/>
        <w:spacing w:after="0"/>
        <w:jc w:val="center"/>
        <w:rPr>
          <w:i w:val="0"/>
          <w:color w:val="auto"/>
          <w:sz w:val="20"/>
        </w:rPr>
      </w:pPr>
      <w:bookmarkStart w:id="287" w:name="_Ref514334453"/>
      <w:bookmarkStart w:id="288" w:name="_Toc530033423"/>
      <w:r w:rsidRPr="00A176CE">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4</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bookmarkEnd w:id="287"/>
      <w:r w:rsidRPr="00A176CE">
        <w:rPr>
          <w:b/>
          <w:i w:val="0"/>
          <w:color w:val="auto"/>
          <w:sz w:val="20"/>
          <w:highlight w:val="yellow"/>
        </w:rPr>
        <w:t xml:space="preserve">. </w:t>
      </w:r>
      <w:r w:rsidRPr="00A176CE">
        <w:rPr>
          <w:i w:val="0"/>
          <w:color w:val="auto"/>
          <w:sz w:val="20"/>
        </w:rPr>
        <w:t>Ingreso al productor de Jet Fuel Colombia e Índice Jet 54 U.S. Gulf Coast</w:t>
      </w:r>
      <w:bookmarkEnd w:id="288"/>
    </w:p>
    <w:p w14:paraId="107DBFBD" w14:textId="77777777" w:rsidR="00914134" w:rsidRPr="008F3AE9" w:rsidRDefault="00914134" w:rsidP="00914134">
      <w:pPr>
        <w:jc w:val="center"/>
        <w:rPr>
          <w:highlight w:val="yellow"/>
        </w:rPr>
      </w:pPr>
      <w:r w:rsidRPr="00645257">
        <w:rPr>
          <w:noProof/>
          <w:lang w:val="es-ES" w:eastAsia="es-ES"/>
        </w:rPr>
        <w:drawing>
          <wp:inline distT="0" distB="0" distL="0" distR="0" wp14:anchorId="60AB853F" wp14:editId="2F23A2EC">
            <wp:extent cx="5400675" cy="32385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43316D8F" w14:textId="3AF4D45C" w:rsidR="00914134" w:rsidRPr="00CB2C85" w:rsidRDefault="00914134" w:rsidP="00914134">
      <w:pPr>
        <w:spacing w:after="240"/>
        <w:jc w:val="center"/>
        <w:rPr>
          <w:rFonts w:ascii="Arial" w:hAnsi="Arial" w:cs="Arial"/>
          <w:sz w:val="16"/>
        </w:rPr>
      </w:pPr>
      <w:r w:rsidRPr="005D0524">
        <w:rPr>
          <w:rFonts w:ascii="Arial" w:hAnsi="Arial" w:cs="Arial"/>
          <w:b/>
          <w:sz w:val="16"/>
        </w:rPr>
        <w:t>Fuente:</w:t>
      </w:r>
      <w:r w:rsidR="005D0524" w:rsidRPr="005D0524">
        <w:rPr>
          <w:rFonts w:ascii="Arial" w:hAnsi="Arial" w:cs="Arial"/>
          <w:sz w:val="16"/>
        </w:rPr>
        <w:t xml:space="preserve"> ECP </w:t>
      </w:r>
      <w:r w:rsidR="005D0524" w:rsidRPr="005D0524">
        <w:rPr>
          <w:rFonts w:ascii="Arial" w:hAnsi="Arial" w:cs="Arial"/>
          <w:sz w:val="16"/>
        </w:rPr>
        <w:fldChar w:fldCharType="begin"/>
      </w:r>
      <w:r w:rsidR="005D0524" w:rsidRPr="005D0524">
        <w:rPr>
          <w:rFonts w:ascii="Arial" w:hAnsi="Arial" w:cs="Arial"/>
          <w:sz w:val="16"/>
        </w:rPr>
        <w:instrText xml:space="preserve"> REF _Ref529882807 \r \h </w:instrText>
      </w:r>
      <w:r w:rsidR="005D0524">
        <w:rPr>
          <w:rFonts w:ascii="Arial" w:hAnsi="Arial" w:cs="Arial"/>
          <w:sz w:val="16"/>
        </w:rPr>
        <w:instrText xml:space="preserve"> \* MERGEFORMAT </w:instrText>
      </w:r>
      <w:r w:rsidR="005D0524" w:rsidRPr="005D0524">
        <w:rPr>
          <w:rFonts w:ascii="Arial" w:hAnsi="Arial" w:cs="Arial"/>
          <w:sz w:val="16"/>
        </w:rPr>
      </w:r>
      <w:r w:rsidR="005D0524" w:rsidRPr="005D0524">
        <w:rPr>
          <w:rFonts w:ascii="Arial" w:hAnsi="Arial" w:cs="Arial"/>
          <w:sz w:val="16"/>
        </w:rPr>
        <w:fldChar w:fldCharType="separate"/>
      </w:r>
      <w:r w:rsidR="00915705">
        <w:rPr>
          <w:rFonts w:ascii="Arial" w:hAnsi="Arial" w:cs="Arial"/>
          <w:sz w:val="16"/>
        </w:rPr>
        <w:t>[20]</w:t>
      </w:r>
      <w:r w:rsidR="005D0524" w:rsidRPr="005D0524">
        <w:rPr>
          <w:rFonts w:ascii="Arial" w:hAnsi="Arial" w:cs="Arial"/>
          <w:sz w:val="16"/>
        </w:rPr>
        <w:fldChar w:fldCharType="end"/>
      </w:r>
      <w:r w:rsidR="005D0524" w:rsidRPr="005D0524">
        <w:rPr>
          <w:rFonts w:ascii="Arial" w:hAnsi="Arial" w:cs="Arial"/>
          <w:sz w:val="16"/>
        </w:rPr>
        <w:t>, PLATTS</w:t>
      </w:r>
      <w:r w:rsidR="005D0524" w:rsidRPr="005D0524">
        <w:rPr>
          <w:rFonts w:ascii="Arial" w:hAnsi="Arial" w:cs="Arial"/>
          <w:sz w:val="16"/>
        </w:rPr>
        <w:fldChar w:fldCharType="begin"/>
      </w:r>
      <w:r w:rsidR="005D0524" w:rsidRPr="005D0524">
        <w:rPr>
          <w:rFonts w:ascii="Arial" w:hAnsi="Arial" w:cs="Arial"/>
          <w:sz w:val="16"/>
        </w:rPr>
        <w:instrText xml:space="preserve"> REF _Ref529882813 \r \h </w:instrText>
      </w:r>
      <w:r w:rsidR="005D0524">
        <w:rPr>
          <w:rFonts w:ascii="Arial" w:hAnsi="Arial" w:cs="Arial"/>
          <w:sz w:val="16"/>
        </w:rPr>
        <w:instrText xml:space="preserve"> \* MERGEFORMAT </w:instrText>
      </w:r>
      <w:r w:rsidR="005D0524" w:rsidRPr="005D0524">
        <w:rPr>
          <w:rFonts w:ascii="Arial" w:hAnsi="Arial" w:cs="Arial"/>
          <w:sz w:val="16"/>
        </w:rPr>
      </w:r>
      <w:r w:rsidR="005D0524" w:rsidRPr="005D0524">
        <w:rPr>
          <w:rFonts w:ascii="Arial" w:hAnsi="Arial" w:cs="Arial"/>
          <w:sz w:val="16"/>
        </w:rPr>
        <w:fldChar w:fldCharType="separate"/>
      </w:r>
      <w:r w:rsidR="00915705">
        <w:rPr>
          <w:rFonts w:ascii="Arial" w:hAnsi="Arial" w:cs="Arial"/>
          <w:sz w:val="16"/>
        </w:rPr>
        <w:t>[21]</w:t>
      </w:r>
      <w:r w:rsidR="005D0524" w:rsidRPr="005D0524">
        <w:rPr>
          <w:rFonts w:ascii="Arial" w:hAnsi="Arial" w:cs="Arial"/>
          <w:sz w:val="16"/>
        </w:rPr>
        <w:fldChar w:fldCharType="end"/>
      </w:r>
    </w:p>
    <w:p w14:paraId="5A44CDC1" w14:textId="77777777" w:rsidR="00914134" w:rsidRPr="00D52AEC" w:rsidRDefault="00914134" w:rsidP="00914134">
      <w:pPr>
        <w:spacing w:after="240" w:line="276" w:lineRule="auto"/>
        <w:jc w:val="both"/>
        <w:rPr>
          <w:rFonts w:ascii="Arial" w:hAnsi="Arial" w:cs="Arial"/>
          <w:sz w:val="22"/>
        </w:rPr>
      </w:pPr>
      <w:r w:rsidRPr="00D52AEC">
        <w:rPr>
          <w:rFonts w:ascii="Arial" w:hAnsi="Arial" w:cs="Arial"/>
          <w:sz w:val="22"/>
        </w:rPr>
        <w:t xml:space="preserve">Como puede verse en </w:t>
      </w:r>
      <w:r w:rsidRPr="00D52AEC">
        <w:rPr>
          <w:rFonts w:ascii="Arial" w:hAnsi="Arial" w:cs="Arial"/>
          <w:sz w:val="22"/>
          <w:highlight w:val="yellow"/>
        </w:rPr>
        <w:t xml:space="preserve">la </w:t>
      </w:r>
      <w:r w:rsidRPr="00D52AEC">
        <w:rPr>
          <w:rFonts w:ascii="Arial" w:hAnsi="Arial" w:cs="Arial"/>
          <w:sz w:val="22"/>
          <w:szCs w:val="22"/>
          <w:highlight w:val="yellow"/>
        </w:rPr>
        <w:fldChar w:fldCharType="begin"/>
      </w:r>
      <w:r w:rsidRPr="00D52AEC">
        <w:rPr>
          <w:rFonts w:ascii="Arial" w:hAnsi="Arial" w:cs="Arial"/>
          <w:sz w:val="22"/>
          <w:szCs w:val="22"/>
          <w:highlight w:val="yellow"/>
        </w:rPr>
        <w:instrText xml:space="preserve"> REF _Ref514335962 \h  \* MERGEFORMAT </w:instrText>
      </w:r>
      <w:r w:rsidRPr="00D52AEC">
        <w:rPr>
          <w:rFonts w:ascii="Arial" w:hAnsi="Arial" w:cs="Arial"/>
          <w:sz w:val="22"/>
          <w:szCs w:val="22"/>
          <w:highlight w:val="yellow"/>
        </w:rPr>
      </w:r>
      <w:r w:rsidRPr="00D52AEC">
        <w:rPr>
          <w:rFonts w:ascii="Arial" w:hAnsi="Arial" w:cs="Arial"/>
          <w:sz w:val="22"/>
          <w:szCs w:val="22"/>
          <w:highlight w:val="yellow"/>
        </w:rPr>
        <w:fldChar w:fldCharType="separate"/>
      </w:r>
      <w:r w:rsidR="00915705" w:rsidRPr="00915705">
        <w:rPr>
          <w:rFonts w:ascii="Arial" w:hAnsi="Arial" w:cs="Arial"/>
          <w:sz w:val="22"/>
          <w:szCs w:val="22"/>
          <w:highlight w:val="yellow"/>
        </w:rPr>
        <w:t>Gráfica 4</w:t>
      </w:r>
      <w:r w:rsidR="00915705" w:rsidRPr="00915705">
        <w:rPr>
          <w:rFonts w:ascii="Arial" w:hAnsi="Arial" w:cs="Arial"/>
          <w:sz w:val="22"/>
          <w:szCs w:val="22"/>
          <w:highlight w:val="yellow"/>
        </w:rPr>
        <w:noBreakHyphen/>
        <w:t>2</w:t>
      </w:r>
      <w:r w:rsidRPr="00D52AEC">
        <w:rPr>
          <w:rFonts w:ascii="Arial" w:hAnsi="Arial" w:cs="Arial"/>
          <w:sz w:val="22"/>
          <w:szCs w:val="22"/>
          <w:highlight w:val="yellow"/>
        </w:rPr>
        <w:fldChar w:fldCharType="end"/>
      </w:r>
      <w:r w:rsidRPr="00D52AEC">
        <w:rPr>
          <w:rFonts w:ascii="Arial" w:hAnsi="Arial" w:cs="Arial"/>
          <w:sz w:val="22"/>
        </w:rPr>
        <w:t>, la proyección de corto plazo nos muestra una caída de los precios alcanzando los mismos valores obtenidos en mayo del año 2015, así mismo se presenta una disminución del precio alcanzando el nivel de los $1.6 dólares por galón en junio de 2018 sosteniéndose a lo largo de la proyección de corto plazo y llegando a los $1.7 dólares por galón en diciembre de 2019.</w:t>
      </w:r>
    </w:p>
    <w:p w14:paraId="1C9657E8" w14:textId="77777777" w:rsidR="00914134" w:rsidRPr="00D52AEC" w:rsidRDefault="00914134" w:rsidP="00914134">
      <w:pPr>
        <w:spacing w:after="240" w:line="276" w:lineRule="auto"/>
        <w:jc w:val="both"/>
        <w:rPr>
          <w:rFonts w:ascii="Arial" w:hAnsi="Arial" w:cs="Arial"/>
          <w:sz w:val="22"/>
        </w:rPr>
      </w:pPr>
      <w:r w:rsidRPr="00D52AEC">
        <w:rPr>
          <w:rFonts w:ascii="Arial" w:hAnsi="Arial" w:cs="Arial"/>
          <w:sz w:val="22"/>
        </w:rPr>
        <w:t>Según el STEO de enero de 2018, del Departamento de Energía de los Estados Unidos, se espera que China e India sean los países, no pertenecientes a la OCDE, que más contribuyan en el crecimiento de consumo petrolero y otros combustibles líquidos para los años 2018 y 2019. Se pronostica que el consumo de China crecerá 0,4 millones de barriles/día en 2018, seguido por un crecimiento de 0</w:t>
      </w:r>
      <w:r>
        <w:rPr>
          <w:rFonts w:ascii="Arial" w:hAnsi="Arial" w:cs="Arial"/>
          <w:sz w:val="22"/>
        </w:rPr>
        <w:t>.</w:t>
      </w:r>
      <w:r w:rsidRPr="00D52AEC">
        <w:rPr>
          <w:rFonts w:ascii="Arial" w:hAnsi="Arial" w:cs="Arial"/>
          <w:sz w:val="22"/>
        </w:rPr>
        <w:t>3 millones de barriles/día en 2019. El crecimiento del consumo en China se reflejará en el incremento del uso de gasolina y jet fuel. Respecto a India, tuvo un consumo de combustibles líquidos menor al esperado, cuyo crecimiento fue menor a 0,1 millones de barriles/día en 2017. Lo anterior se puede explicar con los cambios realizados en su política monetaria y fiscal. Se espera que el consumo, en los años 2018 y 2019, sea mayor al presentado en el año 2017, pr</w:t>
      </w:r>
      <w:r>
        <w:rPr>
          <w:rFonts w:ascii="Arial" w:hAnsi="Arial" w:cs="Arial"/>
          <w:sz w:val="22"/>
        </w:rPr>
        <w:t>onosticando un crecimiento de 0.</w:t>
      </w:r>
      <w:r w:rsidRPr="00D52AEC">
        <w:rPr>
          <w:rFonts w:ascii="Arial" w:hAnsi="Arial" w:cs="Arial"/>
          <w:sz w:val="22"/>
        </w:rPr>
        <w:t>3 millones de barriles/día en cada año.</w:t>
      </w:r>
    </w:p>
    <w:p w14:paraId="4EB71D3F" w14:textId="77777777" w:rsidR="00914134" w:rsidRPr="00D52AEC" w:rsidRDefault="00914134" w:rsidP="00914134">
      <w:pPr>
        <w:spacing w:after="240" w:line="276" w:lineRule="auto"/>
        <w:jc w:val="both"/>
        <w:rPr>
          <w:rFonts w:ascii="Arial" w:hAnsi="Arial" w:cs="Arial"/>
          <w:sz w:val="22"/>
        </w:rPr>
      </w:pPr>
      <w:r w:rsidRPr="00D52AEC">
        <w:rPr>
          <w:rFonts w:ascii="Arial" w:hAnsi="Arial" w:cs="Arial"/>
          <w:sz w:val="22"/>
        </w:rPr>
        <w:lastRenderedPageBreak/>
        <w:t>Adicional al crecimiento de China e India, la Administración de Información Energética (EIA, por sus siglas en inglés) de los Estados Unidos espera que el consumo de petróleo y otros combustibles líquidos crezca en M</w:t>
      </w:r>
      <w:r>
        <w:rPr>
          <w:rFonts w:ascii="Arial" w:hAnsi="Arial" w:cs="Arial"/>
          <w:sz w:val="22"/>
        </w:rPr>
        <w:t>edio Oriente en magnitudes de 0.</w:t>
      </w:r>
      <w:r w:rsidRPr="00D52AEC">
        <w:rPr>
          <w:rFonts w:ascii="Arial" w:hAnsi="Arial" w:cs="Arial"/>
          <w:sz w:val="22"/>
        </w:rPr>
        <w:t>1 millones de barriles/día en 2018 y 0</w:t>
      </w:r>
      <w:r>
        <w:rPr>
          <w:rFonts w:ascii="Arial" w:hAnsi="Arial" w:cs="Arial"/>
          <w:sz w:val="22"/>
        </w:rPr>
        <w:t>.</w:t>
      </w:r>
      <w:r w:rsidRPr="00D52AEC">
        <w:rPr>
          <w:rFonts w:ascii="Arial" w:hAnsi="Arial" w:cs="Arial"/>
          <w:sz w:val="22"/>
        </w:rPr>
        <w:t>2 millones de barriles/día en 2019. Arabia Saudita continúa el consumo interno de petróleo a pesar de la expansión del gas natural para generación eléctrica. Se pronostica que la utilización de petróleo para generación de energía eléctrica por parte de Arabia Saudita permanezca en los mismos niveles de 2017 durante el periodo del pronóstico.</w:t>
      </w:r>
    </w:p>
    <w:p w14:paraId="61E9DC0B" w14:textId="4CEEC849" w:rsidR="00914134" w:rsidRDefault="00914134" w:rsidP="00914134">
      <w:pPr>
        <w:pStyle w:val="Descripcin"/>
        <w:keepNext/>
        <w:spacing w:after="0"/>
        <w:jc w:val="center"/>
        <w:rPr>
          <w:i w:val="0"/>
          <w:color w:val="auto"/>
          <w:sz w:val="20"/>
        </w:rPr>
      </w:pPr>
      <w:bookmarkStart w:id="289" w:name="_Ref514335962"/>
      <w:bookmarkStart w:id="290" w:name="_Toc530033424"/>
      <w:r w:rsidRPr="00E21FE7">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4</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2</w:t>
      </w:r>
      <w:r w:rsidR="00DA50A5">
        <w:rPr>
          <w:b/>
          <w:i w:val="0"/>
          <w:color w:val="auto"/>
          <w:sz w:val="20"/>
          <w:highlight w:val="yellow"/>
        </w:rPr>
        <w:fldChar w:fldCharType="end"/>
      </w:r>
      <w:bookmarkEnd w:id="289"/>
      <w:r w:rsidRPr="00E21FE7">
        <w:rPr>
          <w:b/>
          <w:i w:val="0"/>
          <w:color w:val="auto"/>
          <w:sz w:val="20"/>
          <w:highlight w:val="yellow"/>
        </w:rPr>
        <w:t xml:space="preserve">. </w:t>
      </w:r>
      <w:r>
        <w:rPr>
          <w:i w:val="0"/>
          <w:color w:val="auto"/>
          <w:sz w:val="20"/>
        </w:rPr>
        <w:t>Perspectiva corto p</w:t>
      </w:r>
      <w:r w:rsidRPr="00E21FE7">
        <w:rPr>
          <w:i w:val="0"/>
          <w:color w:val="auto"/>
          <w:sz w:val="20"/>
        </w:rPr>
        <w:t>lazo IP Jet Fuel Colombia</w:t>
      </w:r>
      <w:bookmarkEnd w:id="290"/>
    </w:p>
    <w:p w14:paraId="63AB69E3" w14:textId="77777777" w:rsidR="00914134" w:rsidRPr="006F20D3" w:rsidRDefault="00914134" w:rsidP="00914134">
      <w:pPr>
        <w:jc w:val="center"/>
        <w:rPr>
          <w:highlight w:val="yellow"/>
          <w:lang w:val="es-CO" w:eastAsia="es-ES"/>
        </w:rPr>
      </w:pPr>
      <w:r w:rsidRPr="006F20D3">
        <w:rPr>
          <w:noProof/>
          <w:lang w:val="es-ES" w:eastAsia="es-ES"/>
        </w:rPr>
        <w:drawing>
          <wp:inline distT="0" distB="0" distL="0" distR="0" wp14:anchorId="052DF3D5" wp14:editId="4EEFD96A">
            <wp:extent cx="5406571" cy="324000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6571" cy="3240000"/>
                    </a:xfrm>
                    <a:prstGeom prst="rect">
                      <a:avLst/>
                    </a:prstGeom>
                    <a:noFill/>
                    <a:ln>
                      <a:noFill/>
                    </a:ln>
                  </pic:spPr>
                </pic:pic>
              </a:graphicData>
            </a:graphic>
          </wp:inline>
        </w:drawing>
      </w:r>
    </w:p>
    <w:p w14:paraId="1721B37C" w14:textId="2E59D627" w:rsidR="005D0524" w:rsidRPr="00CB2C85" w:rsidRDefault="005D0524" w:rsidP="005D0524">
      <w:pPr>
        <w:spacing w:after="240"/>
        <w:jc w:val="center"/>
        <w:rPr>
          <w:rFonts w:ascii="Arial" w:hAnsi="Arial" w:cs="Arial"/>
          <w:sz w:val="16"/>
        </w:rPr>
      </w:pPr>
      <w:r w:rsidRPr="005D0524">
        <w:rPr>
          <w:rFonts w:ascii="Arial" w:hAnsi="Arial" w:cs="Arial"/>
          <w:b/>
          <w:sz w:val="16"/>
        </w:rPr>
        <w:t>Fuente:</w:t>
      </w:r>
      <w:r w:rsidRPr="005D0524">
        <w:rPr>
          <w:rFonts w:ascii="Arial" w:hAnsi="Arial" w:cs="Arial"/>
          <w:sz w:val="16"/>
        </w:rPr>
        <w:t xml:space="preserve"> </w:t>
      </w:r>
      <w:r>
        <w:rPr>
          <w:rFonts w:ascii="Arial" w:hAnsi="Arial" w:cs="Arial"/>
          <w:sz w:val="16"/>
        </w:rPr>
        <w:t xml:space="preserve">EIA </w:t>
      </w:r>
      <w:r>
        <w:rPr>
          <w:rFonts w:ascii="Arial" w:hAnsi="Arial" w:cs="Arial"/>
          <w:sz w:val="16"/>
        </w:rPr>
        <w:fldChar w:fldCharType="begin"/>
      </w:r>
      <w:r>
        <w:rPr>
          <w:rFonts w:ascii="Arial" w:hAnsi="Arial" w:cs="Arial"/>
          <w:sz w:val="16"/>
        </w:rPr>
        <w:instrText xml:space="preserve"> REF _Ref529881539 \r \h </w:instrText>
      </w:r>
      <w:r>
        <w:rPr>
          <w:rFonts w:ascii="Arial" w:hAnsi="Arial" w:cs="Arial"/>
          <w:sz w:val="16"/>
        </w:rPr>
      </w:r>
      <w:r>
        <w:rPr>
          <w:rFonts w:ascii="Arial" w:hAnsi="Arial" w:cs="Arial"/>
          <w:sz w:val="16"/>
        </w:rPr>
        <w:fldChar w:fldCharType="separate"/>
      </w:r>
      <w:r w:rsidR="00915705">
        <w:rPr>
          <w:rFonts w:ascii="Arial" w:hAnsi="Arial" w:cs="Arial"/>
          <w:sz w:val="16"/>
        </w:rPr>
        <w:t>[11]</w:t>
      </w:r>
      <w:r>
        <w:rPr>
          <w:rFonts w:ascii="Arial" w:hAnsi="Arial" w:cs="Arial"/>
          <w:sz w:val="16"/>
        </w:rPr>
        <w:fldChar w:fldCharType="end"/>
      </w:r>
      <w:r>
        <w:rPr>
          <w:rFonts w:ascii="Arial" w:hAnsi="Arial" w:cs="Arial"/>
          <w:sz w:val="16"/>
        </w:rPr>
        <w:t xml:space="preserve">, </w:t>
      </w:r>
      <w:r w:rsidRPr="005D0524">
        <w:rPr>
          <w:rFonts w:ascii="Arial" w:hAnsi="Arial" w:cs="Arial"/>
          <w:sz w:val="16"/>
        </w:rPr>
        <w:t xml:space="preserve">ECP </w:t>
      </w:r>
      <w:r w:rsidRPr="005D0524">
        <w:rPr>
          <w:rFonts w:ascii="Arial" w:hAnsi="Arial" w:cs="Arial"/>
          <w:sz w:val="16"/>
        </w:rPr>
        <w:fldChar w:fldCharType="begin"/>
      </w:r>
      <w:r w:rsidRPr="005D0524">
        <w:rPr>
          <w:rFonts w:ascii="Arial" w:hAnsi="Arial" w:cs="Arial"/>
          <w:sz w:val="16"/>
        </w:rPr>
        <w:instrText xml:space="preserve"> REF _Ref529882807 \r \h </w:instrText>
      </w:r>
      <w:r>
        <w:rPr>
          <w:rFonts w:ascii="Arial" w:hAnsi="Arial" w:cs="Arial"/>
          <w:sz w:val="16"/>
        </w:rPr>
        <w:instrText xml:space="preserve"> \* MERGEFORMAT </w:instrText>
      </w:r>
      <w:r w:rsidRPr="005D0524">
        <w:rPr>
          <w:rFonts w:ascii="Arial" w:hAnsi="Arial" w:cs="Arial"/>
          <w:sz w:val="16"/>
        </w:rPr>
      </w:r>
      <w:r w:rsidRPr="005D0524">
        <w:rPr>
          <w:rFonts w:ascii="Arial" w:hAnsi="Arial" w:cs="Arial"/>
          <w:sz w:val="16"/>
        </w:rPr>
        <w:fldChar w:fldCharType="separate"/>
      </w:r>
      <w:r w:rsidR="00915705">
        <w:rPr>
          <w:rFonts w:ascii="Arial" w:hAnsi="Arial" w:cs="Arial"/>
          <w:sz w:val="16"/>
        </w:rPr>
        <w:t>[20]</w:t>
      </w:r>
      <w:r w:rsidRPr="005D0524">
        <w:rPr>
          <w:rFonts w:ascii="Arial" w:hAnsi="Arial" w:cs="Arial"/>
          <w:sz w:val="16"/>
        </w:rPr>
        <w:fldChar w:fldCharType="end"/>
      </w:r>
      <w:r w:rsidRPr="005D0524">
        <w:rPr>
          <w:rFonts w:ascii="Arial" w:hAnsi="Arial" w:cs="Arial"/>
          <w:sz w:val="16"/>
        </w:rPr>
        <w:t>, PLATTS</w:t>
      </w:r>
      <w:r w:rsidRPr="005D0524">
        <w:rPr>
          <w:rFonts w:ascii="Arial" w:hAnsi="Arial" w:cs="Arial"/>
          <w:sz w:val="16"/>
        </w:rPr>
        <w:fldChar w:fldCharType="begin"/>
      </w:r>
      <w:r w:rsidRPr="005D0524">
        <w:rPr>
          <w:rFonts w:ascii="Arial" w:hAnsi="Arial" w:cs="Arial"/>
          <w:sz w:val="16"/>
        </w:rPr>
        <w:instrText xml:space="preserve"> REF _Ref529882813 \r \h </w:instrText>
      </w:r>
      <w:r>
        <w:rPr>
          <w:rFonts w:ascii="Arial" w:hAnsi="Arial" w:cs="Arial"/>
          <w:sz w:val="16"/>
        </w:rPr>
        <w:instrText xml:space="preserve"> \* MERGEFORMAT </w:instrText>
      </w:r>
      <w:r w:rsidRPr="005D0524">
        <w:rPr>
          <w:rFonts w:ascii="Arial" w:hAnsi="Arial" w:cs="Arial"/>
          <w:sz w:val="16"/>
        </w:rPr>
      </w:r>
      <w:r w:rsidRPr="005D0524">
        <w:rPr>
          <w:rFonts w:ascii="Arial" w:hAnsi="Arial" w:cs="Arial"/>
          <w:sz w:val="16"/>
        </w:rPr>
        <w:fldChar w:fldCharType="separate"/>
      </w:r>
      <w:r w:rsidR="00915705">
        <w:rPr>
          <w:rFonts w:ascii="Arial" w:hAnsi="Arial" w:cs="Arial"/>
          <w:sz w:val="16"/>
        </w:rPr>
        <w:t>[21]</w:t>
      </w:r>
      <w:r w:rsidRPr="005D0524">
        <w:rPr>
          <w:rFonts w:ascii="Arial" w:hAnsi="Arial" w:cs="Arial"/>
          <w:sz w:val="16"/>
        </w:rPr>
        <w:fldChar w:fldCharType="end"/>
      </w:r>
      <w:r>
        <w:rPr>
          <w:rFonts w:ascii="Arial" w:hAnsi="Arial" w:cs="Arial"/>
          <w:sz w:val="16"/>
        </w:rPr>
        <w:t>, UPME</w:t>
      </w:r>
    </w:p>
    <w:p w14:paraId="158C74BE" w14:textId="77777777" w:rsidR="00914134" w:rsidRPr="00D52AEC" w:rsidRDefault="00914134" w:rsidP="00914134">
      <w:pPr>
        <w:spacing w:before="240" w:after="240" w:line="276" w:lineRule="auto"/>
        <w:jc w:val="both"/>
        <w:rPr>
          <w:rFonts w:ascii="Arial" w:hAnsi="Arial" w:cs="Arial"/>
          <w:sz w:val="22"/>
        </w:rPr>
      </w:pPr>
      <w:r w:rsidRPr="00D52AEC">
        <w:rPr>
          <w:rFonts w:ascii="Arial" w:hAnsi="Arial" w:cs="Arial"/>
          <w:sz w:val="22"/>
        </w:rPr>
        <w:t xml:space="preserve">Ahora bien, para la estimación de los escenarios de corto y largo plazo, correspondiente al ingreso al productor colombiano de Jet, se tomaron las aperturas del AEO 2017, manteniendo los supuestos de precios, demanda y crecimiento económico discutidos anteriormente. Los resultados de los tres escenarios evaluados son presentados en la </w:t>
      </w:r>
      <w:r w:rsidRPr="00D52AEC">
        <w:rPr>
          <w:rFonts w:ascii="Arial" w:hAnsi="Arial" w:cs="Arial"/>
          <w:sz w:val="22"/>
          <w:szCs w:val="22"/>
          <w:highlight w:val="yellow"/>
        </w:rPr>
        <w:fldChar w:fldCharType="begin"/>
      </w:r>
      <w:r w:rsidRPr="00D52AEC">
        <w:rPr>
          <w:rFonts w:ascii="Arial" w:hAnsi="Arial" w:cs="Arial"/>
          <w:sz w:val="22"/>
          <w:szCs w:val="22"/>
          <w:highlight w:val="yellow"/>
        </w:rPr>
        <w:instrText xml:space="preserve"> REF _Ref514338994 \h  \* MERGEFORMAT </w:instrText>
      </w:r>
      <w:r w:rsidRPr="00D52AEC">
        <w:rPr>
          <w:rFonts w:ascii="Arial" w:hAnsi="Arial" w:cs="Arial"/>
          <w:sz w:val="22"/>
          <w:szCs w:val="22"/>
          <w:highlight w:val="yellow"/>
        </w:rPr>
      </w:r>
      <w:r w:rsidRPr="00D52AEC">
        <w:rPr>
          <w:rFonts w:ascii="Arial" w:hAnsi="Arial" w:cs="Arial"/>
          <w:sz w:val="22"/>
          <w:szCs w:val="22"/>
          <w:highlight w:val="yellow"/>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4</w:t>
      </w:r>
      <w:r w:rsidR="00915705" w:rsidRPr="00915705">
        <w:rPr>
          <w:rFonts w:ascii="Arial" w:hAnsi="Arial" w:cs="Arial"/>
          <w:noProof/>
          <w:sz w:val="22"/>
          <w:szCs w:val="22"/>
          <w:highlight w:val="yellow"/>
        </w:rPr>
        <w:noBreakHyphen/>
        <w:t>3</w:t>
      </w:r>
      <w:r w:rsidRPr="00D52AEC">
        <w:rPr>
          <w:rFonts w:ascii="Arial" w:hAnsi="Arial" w:cs="Arial"/>
          <w:sz w:val="22"/>
          <w:szCs w:val="22"/>
          <w:highlight w:val="yellow"/>
        </w:rPr>
        <w:fldChar w:fldCharType="end"/>
      </w:r>
      <w:r w:rsidRPr="00D52AEC">
        <w:rPr>
          <w:rFonts w:ascii="Arial" w:hAnsi="Arial" w:cs="Arial"/>
          <w:sz w:val="22"/>
          <w:szCs w:val="22"/>
          <w:highlight w:val="yellow"/>
        </w:rPr>
        <w:t>.</w:t>
      </w:r>
    </w:p>
    <w:p w14:paraId="48676182" w14:textId="77777777" w:rsidR="00914134" w:rsidRPr="00D52AEC" w:rsidRDefault="00914134" w:rsidP="00914134">
      <w:pPr>
        <w:spacing w:before="240" w:after="240" w:line="276" w:lineRule="auto"/>
        <w:jc w:val="both"/>
        <w:rPr>
          <w:rFonts w:ascii="Arial" w:hAnsi="Arial" w:cs="Arial"/>
          <w:sz w:val="22"/>
        </w:rPr>
      </w:pPr>
      <w:r w:rsidRPr="00D52AEC">
        <w:rPr>
          <w:rFonts w:ascii="Arial" w:hAnsi="Arial" w:cs="Arial"/>
          <w:sz w:val="22"/>
        </w:rPr>
        <w:t>El escenario base o de referencia varía entre $1.5 dólares por galón y $1.9 dólares por galón en el corto plazo, mientras que en el largo plazo presenta un valor a Diciembre de 2040 de $3.3 dólares por galón, tanto el corto como el largo plazo se presentan en términos constantes de diciembre de 2017. Por otra parte, el escenario alto fluctúa hasta los $6.1 dólares por galón y el escenario bajo finaliza en $1.7 dólares por galón. Es importante señalar que las proyecciones de precios de los combustibles líquidos están ajustadas a las proyecciones del crudo internacional de referencia BRENT de la Administración de Información de Energía de los Estados Unidos (EIA por sus siglas en inglés), y por lo tanto su comportamiento depende de los precios internacionales de este crudo.</w:t>
      </w:r>
    </w:p>
    <w:p w14:paraId="411492D1" w14:textId="49A23CFA" w:rsidR="00914134" w:rsidRDefault="00914134" w:rsidP="00914134">
      <w:pPr>
        <w:pStyle w:val="Descripcin"/>
        <w:keepNext/>
        <w:spacing w:after="0"/>
        <w:jc w:val="center"/>
        <w:rPr>
          <w:i w:val="0"/>
          <w:color w:val="auto"/>
          <w:sz w:val="20"/>
        </w:rPr>
      </w:pPr>
      <w:bookmarkStart w:id="291" w:name="_Ref514338994"/>
      <w:bookmarkStart w:id="292" w:name="_Toc530033425"/>
      <w:r w:rsidRPr="00E43568">
        <w:rPr>
          <w:b/>
          <w:i w:val="0"/>
          <w:color w:val="auto"/>
          <w:sz w:val="20"/>
          <w:highlight w:val="yellow"/>
        </w:rPr>
        <w:lastRenderedPageBreak/>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4</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3</w:t>
      </w:r>
      <w:r w:rsidR="00DA50A5">
        <w:rPr>
          <w:b/>
          <w:i w:val="0"/>
          <w:color w:val="auto"/>
          <w:sz w:val="20"/>
          <w:highlight w:val="yellow"/>
        </w:rPr>
        <w:fldChar w:fldCharType="end"/>
      </w:r>
      <w:bookmarkEnd w:id="291"/>
      <w:r w:rsidRPr="00E43568">
        <w:rPr>
          <w:b/>
          <w:i w:val="0"/>
          <w:color w:val="auto"/>
          <w:sz w:val="20"/>
          <w:highlight w:val="yellow"/>
        </w:rPr>
        <w:t xml:space="preserve">. </w:t>
      </w:r>
      <w:r w:rsidRPr="00E43568">
        <w:rPr>
          <w:i w:val="0"/>
          <w:color w:val="auto"/>
          <w:sz w:val="20"/>
        </w:rPr>
        <w:t>Proyección por escenarios del ingreso al productor colombiano del Jet Fuel</w:t>
      </w:r>
      <w:bookmarkEnd w:id="292"/>
    </w:p>
    <w:p w14:paraId="4D51268E" w14:textId="77777777" w:rsidR="00914134" w:rsidRPr="006F20D3" w:rsidRDefault="00914134" w:rsidP="00914134">
      <w:pPr>
        <w:jc w:val="center"/>
        <w:rPr>
          <w:lang w:val="es-CO" w:eastAsia="es-ES"/>
        </w:rPr>
      </w:pPr>
      <w:r w:rsidRPr="006F20D3">
        <w:rPr>
          <w:noProof/>
          <w:lang w:val="es-ES" w:eastAsia="es-ES"/>
        </w:rPr>
        <w:drawing>
          <wp:inline distT="0" distB="0" distL="0" distR="0" wp14:anchorId="6274A9B2" wp14:editId="309F0AF9">
            <wp:extent cx="5406571" cy="3240000"/>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6571" cy="3240000"/>
                    </a:xfrm>
                    <a:prstGeom prst="rect">
                      <a:avLst/>
                    </a:prstGeom>
                    <a:noFill/>
                    <a:ln>
                      <a:noFill/>
                    </a:ln>
                  </pic:spPr>
                </pic:pic>
              </a:graphicData>
            </a:graphic>
          </wp:inline>
        </w:drawing>
      </w:r>
    </w:p>
    <w:p w14:paraId="28B3B112" w14:textId="3FD6EAF5" w:rsidR="005D0524" w:rsidRPr="005D0524" w:rsidRDefault="005D0524" w:rsidP="005D0524">
      <w:pPr>
        <w:spacing w:after="240"/>
        <w:jc w:val="center"/>
        <w:rPr>
          <w:rFonts w:ascii="Arial" w:hAnsi="Arial" w:cs="Arial"/>
          <w:sz w:val="16"/>
          <w:lang w:val="es-ES"/>
        </w:rPr>
      </w:pPr>
      <w:r w:rsidRPr="005D0524">
        <w:rPr>
          <w:rFonts w:ascii="Arial" w:hAnsi="Arial" w:cs="Arial"/>
          <w:b/>
          <w:sz w:val="16"/>
          <w:lang w:val="es-ES"/>
        </w:rPr>
        <w:t>Fuente:</w:t>
      </w:r>
      <w:r w:rsidRPr="005D0524">
        <w:rPr>
          <w:rFonts w:ascii="Arial" w:hAnsi="Arial" w:cs="Arial"/>
          <w:sz w:val="16"/>
          <w:lang w:val="es-ES"/>
        </w:rPr>
        <w:t xml:space="preserve"> EIA </w:t>
      </w:r>
      <w:r>
        <w:rPr>
          <w:rFonts w:ascii="Arial" w:hAnsi="Arial" w:cs="Arial"/>
          <w:sz w:val="16"/>
        </w:rPr>
        <w:fldChar w:fldCharType="begin"/>
      </w:r>
      <w:r w:rsidRPr="005D0524">
        <w:rPr>
          <w:rFonts w:ascii="Arial" w:hAnsi="Arial" w:cs="Arial"/>
          <w:sz w:val="16"/>
          <w:lang w:val="es-ES"/>
        </w:rPr>
        <w:instrText xml:space="preserve"> REF _Ref529881539 \r \h </w:instrText>
      </w:r>
      <w:r>
        <w:rPr>
          <w:rFonts w:ascii="Arial" w:hAnsi="Arial" w:cs="Arial"/>
          <w:sz w:val="16"/>
        </w:rPr>
      </w:r>
      <w:r>
        <w:rPr>
          <w:rFonts w:ascii="Arial" w:hAnsi="Arial" w:cs="Arial"/>
          <w:sz w:val="16"/>
        </w:rPr>
        <w:fldChar w:fldCharType="separate"/>
      </w:r>
      <w:r w:rsidR="00915705">
        <w:rPr>
          <w:rFonts w:ascii="Arial" w:hAnsi="Arial" w:cs="Arial"/>
          <w:sz w:val="16"/>
          <w:lang w:val="es-ES"/>
        </w:rPr>
        <w:t>[11]</w:t>
      </w:r>
      <w:r>
        <w:rPr>
          <w:rFonts w:ascii="Arial" w:hAnsi="Arial" w:cs="Arial"/>
          <w:sz w:val="16"/>
        </w:rPr>
        <w:fldChar w:fldCharType="end"/>
      </w:r>
      <w:r w:rsidRPr="005D0524">
        <w:rPr>
          <w:rFonts w:ascii="Arial" w:hAnsi="Arial" w:cs="Arial"/>
          <w:sz w:val="16"/>
          <w:lang w:val="es-ES"/>
        </w:rPr>
        <w:t>, WM</w:t>
      </w:r>
      <w:r>
        <w:rPr>
          <w:rFonts w:ascii="Arial" w:hAnsi="Arial" w:cs="Arial"/>
          <w:sz w:val="16"/>
          <w:lang w:val="es-ES"/>
        </w:rPr>
        <w:fldChar w:fldCharType="begin"/>
      </w:r>
      <w:r>
        <w:rPr>
          <w:rFonts w:ascii="Arial" w:hAnsi="Arial" w:cs="Arial"/>
          <w:sz w:val="16"/>
          <w:lang w:val="es-ES"/>
        </w:rPr>
        <w:instrText xml:space="preserve"> REF _Ref529881535 \r \h </w:instrText>
      </w:r>
      <w:r>
        <w:rPr>
          <w:rFonts w:ascii="Arial" w:hAnsi="Arial" w:cs="Arial"/>
          <w:sz w:val="16"/>
          <w:lang w:val="es-ES"/>
        </w:rPr>
      </w:r>
      <w:r>
        <w:rPr>
          <w:rFonts w:ascii="Arial" w:hAnsi="Arial" w:cs="Arial"/>
          <w:sz w:val="16"/>
          <w:lang w:val="es-ES"/>
        </w:rPr>
        <w:fldChar w:fldCharType="separate"/>
      </w:r>
      <w:r w:rsidR="00915705">
        <w:rPr>
          <w:rFonts w:ascii="Arial" w:hAnsi="Arial" w:cs="Arial"/>
          <w:sz w:val="16"/>
          <w:lang w:val="es-ES"/>
        </w:rPr>
        <w:t>[10]</w:t>
      </w:r>
      <w:r>
        <w:rPr>
          <w:rFonts w:ascii="Arial" w:hAnsi="Arial" w:cs="Arial"/>
          <w:sz w:val="16"/>
          <w:lang w:val="es-ES"/>
        </w:rPr>
        <w:fldChar w:fldCharType="end"/>
      </w:r>
      <w:r w:rsidRPr="005D0524">
        <w:rPr>
          <w:rFonts w:ascii="Arial" w:hAnsi="Arial" w:cs="Arial"/>
          <w:sz w:val="16"/>
          <w:lang w:val="es-ES"/>
        </w:rPr>
        <w:t xml:space="preserve"> ECP </w:t>
      </w:r>
      <w:r w:rsidRPr="005D0524">
        <w:rPr>
          <w:rFonts w:ascii="Arial" w:hAnsi="Arial" w:cs="Arial"/>
          <w:sz w:val="16"/>
        </w:rPr>
        <w:fldChar w:fldCharType="begin"/>
      </w:r>
      <w:r w:rsidRPr="005D0524">
        <w:rPr>
          <w:rFonts w:ascii="Arial" w:hAnsi="Arial" w:cs="Arial"/>
          <w:sz w:val="16"/>
          <w:lang w:val="es-ES"/>
        </w:rPr>
        <w:instrText xml:space="preserve"> REF _Ref529882807 \r \h  \* MERGEFORMAT </w:instrText>
      </w:r>
      <w:r w:rsidRPr="005D0524">
        <w:rPr>
          <w:rFonts w:ascii="Arial" w:hAnsi="Arial" w:cs="Arial"/>
          <w:sz w:val="16"/>
        </w:rPr>
      </w:r>
      <w:r w:rsidRPr="005D0524">
        <w:rPr>
          <w:rFonts w:ascii="Arial" w:hAnsi="Arial" w:cs="Arial"/>
          <w:sz w:val="16"/>
        </w:rPr>
        <w:fldChar w:fldCharType="separate"/>
      </w:r>
      <w:r w:rsidR="00915705">
        <w:rPr>
          <w:rFonts w:ascii="Arial" w:hAnsi="Arial" w:cs="Arial"/>
          <w:sz w:val="16"/>
          <w:lang w:val="es-ES"/>
        </w:rPr>
        <w:t>[20]</w:t>
      </w:r>
      <w:r w:rsidRPr="005D0524">
        <w:rPr>
          <w:rFonts w:ascii="Arial" w:hAnsi="Arial" w:cs="Arial"/>
          <w:sz w:val="16"/>
        </w:rPr>
        <w:fldChar w:fldCharType="end"/>
      </w:r>
      <w:r w:rsidRPr="005D0524">
        <w:rPr>
          <w:rFonts w:ascii="Arial" w:hAnsi="Arial" w:cs="Arial"/>
          <w:sz w:val="16"/>
          <w:lang w:val="es-ES"/>
        </w:rPr>
        <w:t>, UPME</w:t>
      </w:r>
    </w:p>
    <w:p w14:paraId="7EAF7FF5" w14:textId="6A725BD2" w:rsidR="00914134" w:rsidRPr="00D52AEC" w:rsidRDefault="00914134" w:rsidP="00914134">
      <w:pPr>
        <w:spacing w:before="240" w:after="240" w:line="276" w:lineRule="auto"/>
        <w:jc w:val="both"/>
        <w:rPr>
          <w:rFonts w:ascii="Arial" w:hAnsi="Arial" w:cs="Arial"/>
          <w:sz w:val="22"/>
        </w:rPr>
      </w:pPr>
      <w:r w:rsidRPr="00D52AEC">
        <w:rPr>
          <w:rFonts w:ascii="Arial" w:hAnsi="Arial" w:cs="Arial"/>
          <w:sz w:val="22"/>
        </w:rPr>
        <w:t xml:space="preserve">La construcción del precio final en planta de generación, implicó la adición del valor correspondiente al IVA, Impuesto al Carbono, y los cargos de transporte del punto de entrega más cercano a la planta de generación a ser atendida. Teniendo en cuenta que las plantas térmicas que utilizan el Jet Fuel para generación como segunda opción, después del Gas Natural, son Termocentro y Termodorada, se tomó como centro de producción y acopio la refinería Barrancabermeja y como puntos de entrega Sebastopol y Puerto Salgar. </w:t>
      </w:r>
      <w:r w:rsidRPr="004A4DAE">
        <w:rPr>
          <w:rFonts w:ascii="Arial" w:hAnsi="Arial" w:cs="Arial"/>
          <w:sz w:val="22"/>
          <w:szCs w:val="22"/>
          <w:highlight w:val="yellow"/>
        </w:rPr>
        <w:t xml:space="preserve">La </w:t>
      </w:r>
      <w:r w:rsidRPr="004A4DAE">
        <w:rPr>
          <w:rFonts w:ascii="Arial" w:hAnsi="Arial" w:cs="Arial"/>
          <w:sz w:val="22"/>
          <w:szCs w:val="22"/>
          <w:highlight w:val="yellow"/>
        </w:rPr>
        <w:fldChar w:fldCharType="begin"/>
      </w:r>
      <w:r w:rsidRPr="004A4DAE">
        <w:rPr>
          <w:rFonts w:ascii="Arial" w:hAnsi="Arial" w:cs="Arial"/>
          <w:sz w:val="22"/>
          <w:szCs w:val="22"/>
          <w:highlight w:val="yellow"/>
        </w:rPr>
        <w:instrText xml:space="preserve"> REF _Ref445453896 \h  \* MERGEFORMAT </w:instrText>
      </w:r>
      <w:r w:rsidRPr="004A4DAE">
        <w:rPr>
          <w:rFonts w:ascii="Arial" w:hAnsi="Arial" w:cs="Arial"/>
          <w:sz w:val="22"/>
          <w:szCs w:val="22"/>
          <w:highlight w:val="yellow"/>
        </w:rPr>
      </w:r>
      <w:r w:rsidRPr="004A4DAE">
        <w:rPr>
          <w:rFonts w:ascii="Arial" w:hAnsi="Arial" w:cs="Arial"/>
          <w:sz w:val="22"/>
          <w:szCs w:val="22"/>
          <w:highlight w:val="yellow"/>
        </w:rPr>
        <w:fldChar w:fldCharType="separate"/>
      </w:r>
      <w:r w:rsidR="00242825" w:rsidRPr="00242825">
        <w:rPr>
          <w:rFonts w:ascii="Arial" w:hAnsi="Arial" w:cs="Arial"/>
          <w:bCs/>
          <w:sz w:val="22"/>
          <w:szCs w:val="22"/>
          <w:highlight w:val="yellow"/>
          <w:lang w:val="es-ES"/>
        </w:rPr>
        <w:fldChar w:fldCharType="begin"/>
      </w:r>
      <w:r w:rsidR="00242825" w:rsidRPr="00242825">
        <w:rPr>
          <w:rFonts w:ascii="Arial" w:hAnsi="Arial" w:cs="Arial"/>
          <w:sz w:val="22"/>
          <w:szCs w:val="22"/>
          <w:highlight w:val="yellow"/>
        </w:rPr>
        <w:instrText xml:space="preserve"> REF _Ref514997581 \h </w:instrText>
      </w:r>
      <w:r w:rsidR="00242825" w:rsidRPr="00242825">
        <w:rPr>
          <w:rFonts w:ascii="Arial" w:hAnsi="Arial" w:cs="Arial"/>
          <w:bCs/>
          <w:sz w:val="22"/>
          <w:szCs w:val="22"/>
          <w:highlight w:val="yellow"/>
          <w:lang w:val="es-ES"/>
        </w:rPr>
        <w:instrText xml:space="preserve"> \* MERGEFORMAT </w:instrText>
      </w:r>
      <w:r w:rsidR="00242825" w:rsidRPr="00242825">
        <w:rPr>
          <w:rFonts w:ascii="Arial" w:hAnsi="Arial" w:cs="Arial"/>
          <w:bCs/>
          <w:sz w:val="22"/>
          <w:szCs w:val="22"/>
          <w:highlight w:val="yellow"/>
          <w:lang w:val="es-ES"/>
        </w:rPr>
      </w:r>
      <w:r w:rsidR="00242825" w:rsidRPr="00242825">
        <w:rPr>
          <w:rFonts w:ascii="Arial" w:hAnsi="Arial" w:cs="Arial"/>
          <w:bCs/>
          <w:sz w:val="22"/>
          <w:szCs w:val="22"/>
          <w:highlight w:val="yellow"/>
          <w:lang w:val="es-ES"/>
        </w:rPr>
        <w:fldChar w:fldCharType="separate"/>
      </w:r>
      <w:r w:rsidR="00242825" w:rsidRPr="00242825">
        <w:rPr>
          <w:rFonts w:ascii="Arial" w:hAnsi="Arial" w:cs="Arial"/>
          <w:sz w:val="22"/>
          <w:szCs w:val="22"/>
          <w:highlight w:val="yellow"/>
        </w:rPr>
        <w:t xml:space="preserve">Gráfica </w:t>
      </w:r>
      <w:r w:rsidR="00242825" w:rsidRPr="00242825">
        <w:rPr>
          <w:rFonts w:ascii="Arial" w:hAnsi="Arial" w:cs="Arial"/>
          <w:noProof/>
          <w:sz w:val="22"/>
          <w:szCs w:val="22"/>
          <w:highlight w:val="yellow"/>
        </w:rPr>
        <w:t>4</w:t>
      </w:r>
      <w:r w:rsidR="00242825" w:rsidRPr="00242825">
        <w:rPr>
          <w:rFonts w:ascii="Arial" w:hAnsi="Arial" w:cs="Arial"/>
          <w:sz w:val="22"/>
          <w:szCs w:val="22"/>
          <w:highlight w:val="yellow"/>
        </w:rPr>
        <w:noBreakHyphen/>
      </w:r>
      <w:r w:rsidR="00242825" w:rsidRPr="00242825">
        <w:rPr>
          <w:rFonts w:ascii="Arial" w:hAnsi="Arial" w:cs="Arial"/>
          <w:noProof/>
          <w:sz w:val="22"/>
          <w:szCs w:val="22"/>
          <w:highlight w:val="yellow"/>
        </w:rPr>
        <w:t>4</w:t>
      </w:r>
      <w:r w:rsidR="00242825" w:rsidRPr="00242825">
        <w:rPr>
          <w:rFonts w:ascii="Arial" w:hAnsi="Arial" w:cs="Arial"/>
          <w:bCs/>
          <w:sz w:val="22"/>
          <w:szCs w:val="22"/>
          <w:highlight w:val="yellow"/>
          <w:lang w:val="es-ES"/>
        </w:rPr>
        <w:fldChar w:fldCharType="end"/>
      </w:r>
      <w:r w:rsidR="00915705">
        <w:rPr>
          <w:rFonts w:ascii="Arial" w:hAnsi="Arial" w:cs="Arial"/>
          <w:b/>
          <w:bCs/>
          <w:sz w:val="22"/>
          <w:szCs w:val="22"/>
          <w:highlight w:val="yellow"/>
          <w:lang w:val="es-ES"/>
        </w:rPr>
        <w:t>.</w:t>
      </w:r>
      <w:r w:rsidRPr="004A4DAE">
        <w:rPr>
          <w:rFonts w:ascii="Arial" w:hAnsi="Arial" w:cs="Arial"/>
          <w:sz w:val="22"/>
          <w:szCs w:val="22"/>
          <w:highlight w:val="yellow"/>
        </w:rPr>
        <w:fldChar w:fldCharType="end"/>
      </w:r>
      <w:r w:rsidRPr="00D52AEC">
        <w:rPr>
          <w:rFonts w:ascii="Arial" w:hAnsi="Arial" w:cs="Arial"/>
          <w:sz w:val="22"/>
        </w:rPr>
        <w:t xml:space="preserve"> </w:t>
      </w:r>
      <w:r w:rsidR="003E0614" w:rsidRPr="00D52AEC">
        <w:rPr>
          <w:rFonts w:ascii="Arial" w:hAnsi="Arial" w:cs="Arial"/>
          <w:sz w:val="22"/>
        </w:rPr>
        <w:t>Presenta</w:t>
      </w:r>
      <w:r w:rsidRPr="00D52AEC">
        <w:rPr>
          <w:rFonts w:ascii="Arial" w:hAnsi="Arial" w:cs="Arial"/>
          <w:sz w:val="22"/>
        </w:rPr>
        <w:t xml:space="preserve"> los resultados del escenario de referencia para las plantas mencionadas.</w:t>
      </w:r>
    </w:p>
    <w:p w14:paraId="2DCCCF45" w14:textId="77777777" w:rsidR="00914134" w:rsidRPr="0007566C" w:rsidRDefault="00914134" w:rsidP="00914134">
      <w:pPr>
        <w:pStyle w:val="Descripcin"/>
        <w:keepNext/>
        <w:spacing w:after="0"/>
        <w:jc w:val="center"/>
        <w:rPr>
          <w:b/>
          <w:i w:val="0"/>
          <w:color w:val="auto"/>
          <w:sz w:val="20"/>
          <w:highlight w:val="yellow"/>
        </w:rPr>
      </w:pPr>
      <w:bookmarkStart w:id="293" w:name="_Ref529863853"/>
      <w:bookmarkStart w:id="294" w:name="_Toc529889750"/>
      <w:r w:rsidRPr="0007566C">
        <w:rPr>
          <w:b/>
          <w:i w:val="0"/>
          <w:color w:val="auto"/>
          <w:sz w:val="20"/>
          <w:highlight w:val="yellow"/>
        </w:rPr>
        <w:t xml:space="preserve">Tabla </w:t>
      </w:r>
      <w:r>
        <w:rPr>
          <w:b/>
          <w:i w:val="0"/>
          <w:color w:val="auto"/>
          <w:sz w:val="20"/>
          <w:highlight w:val="yellow"/>
        </w:rPr>
        <w:fldChar w:fldCharType="begin"/>
      </w:r>
      <w:r>
        <w:rPr>
          <w:b/>
          <w:i w:val="0"/>
          <w:color w:val="auto"/>
          <w:sz w:val="20"/>
          <w:highlight w:val="yellow"/>
        </w:rPr>
        <w:instrText xml:space="preserve"> STYLEREF 1 \s </w:instrText>
      </w:r>
      <w:r>
        <w:rPr>
          <w:b/>
          <w:i w:val="0"/>
          <w:color w:val="auto"/>
          <w:sz w:val="20"/>
          <w:highlight w:val="yellow"/>
        </w:rPr>
        <w:fldChar w:fldCharType="separate"/>
      </w:r>
      <w:r w:rsidR="00915705">
        <w:rPr>
          <w:b/>
          <w:i w:val="0"/>
          <w:noProof/>
          <w:color w:val="auto"/>
          <w:sz w:val="20"/>
          <w:highlight w:val="yellow"/>
        </w:rPr>
        <w:t>4</w:t>
      </w:r>
      <w:r>
        <w:rPr>
          <w:b/>
          <w:i w:val="0"/>
          <w:color w:val="auto"/>
          <w:sz w:val="20"/>
          <w:highlight w:val="yellow"/>
        </w:rPr>
        <w:fldChar w:fldCharType="end"/>
      </w:r>
      <w:r>
        <w:rPr>
          <w:b/>
          <w:i w:val="0"/>
          <w:color w:val="auto"/>
          <w:sz w:val="20"/>
          <w:highlight w:val="yellow"/>
        </w:rPr>
        <w:noBreakHyphen/>
      </w:r>
      <w:r>
        <w:rPr>
          <w:b/>
          <w:i w:val="0"/>
          <w:color w:val="auto"/>
          <w:sz w:val="20"/>
          <w:highlight w:val="yellow"/>
        </w:rPr>
        <w:fldChar w:fldCharType="begin"/>
      </w:r>
      <w:r>
        <w:rPr>
          <w:b/>
          <w:i w:val="0"/>
          <w:color w:val="auto"/>
          <w:sz w:val="20"/>
          <w:highlight w:val="yellow"/>
        </w:rPr>
        <w:instrText xml:space="preserve"> SEQ Tabla \* ARABIC \s 1 </w:instrText>
      </w:r>
      <w:r>
        <w:rPr>
          <w:b/>
          <w:i w:val="0"/>
          <w:color w:val="auto"/>
          <w:sz w:val="20"/>
          <w:highlight w:val="yellow"/>
        </w:rPr>
        <w:fldChar w:fldCharType="separate"/>
      </w:r>
      <w:r w:rsidR="00915705">
        <w:rPr>
          <w:b/>
          <w:i w:val="0"/>
          <w:noProof/>
          <w:color w:val="auto"/>
          <w:sz w:val="20"/>
          <w:highlight w:val="yellow"/>
        </w:rPr>
        <w:t>1</w:t>
      </w:r>
      <w:r>
        <w:rPr>
          <w:b/>
          <w:i w:val="0"/>
          <w:color w:val="auto"/>
          <w:sz w:val="20"/>
          <w:highlight w:val="yellow"/>
        </w:rPr>
        <w:fldChar w:fldCharType="end"/>
      </w:r>
      <w:bookmarkEnd w:id="293"/>
      <w:r w:rsidRPr="0007566C">
        <w:rPr>
          <w:b/>
          <w:i w:val="0"/>
          <w:color w:val="auto"/>
          <w:sz w:val="20"/>
          <w:highlight w:val="yellow"/>
        </w:rPr>
        <w:t xml:space="preserve"> </w:t>
      </w:r>
      <w:r w:rsidRPr="0007566C">
        <w:rPr>
          <w:i w:val="0"/>
          <w:color w:val="auto"/>
          <w:sz w:val="20"/>
        </w:rPr>
        <w:t>Plantas de Generación que consumen Jet Fuel</w:t>
      </w:r>
      <w:bookmarkEnd w:id="294"/>
    </w:p>
    <w:tbl>
      <w:tblPr>
        <w:tblW w:w="0" w:type="auto"/>
        <w:jc w:val="center"/>
        <w:tblLook w:val="04A0" w:firstRow="1" w:lastRow="0" w:firstColumn="1" w:lastColumn="0" w:noHBand="0" w:noVBand="1"/>
      </w:tblPr>
      <w:tblGrid>
        <w:gridCol w:w="2127"/>
        <w:gridCol w:w="1456"/>
        <w:gridCol w:w="1905"/>
        <w:gridCol w:w="1272"/>
        <w:gridCol w:w="1284"/>
        <w:gridCol w:w="1361"/>
      </w:tblGrid>
      <w:tr w:rsidR="00914134" w:rsidRPr="007E23C5" w14:paraId="1A04E057" w14:textId="77777777" w:rsidTr="0024531A">
        <w:trPr>
          <w:trHeight w:val="431"/>
          <w:jc w:val="center"/>
        </w:trPr>
        <w:tc>
          <w:tcPr>
            <w:tcW w:w="2127" w:type="dxa"/>
            <w:tcBorders>
              <w:top w:val="double" w:sz="4" w:space="0" w:color="auto"/>
              <w:bottom w:val="single" w:sz="4" w:space="0" w:color="auto"/>
            </w:tcBorders>
            <w:shd w:val="clear" w:color="auto" w:fill="FFFFFF" w:themeFill="background1"/>
            <w:noWrap/>
            <w:vAlign w:val="center"/>
            <w:hideMark/>
          </w:tcPr>
          <w:p w14:paraId="253847E2" w14:textId="77777777" w:rsidR="00914134" w:rsidRPr="00D52AEC" w:rsidRDefault="00914134" w:rsidP="0024531A">
            <w:pPr>
              <w:rPr>
                <w:rFonts w:ascii="Arial" w:hAnsi="Arial" w:cs="Arial"/>
                <w:color w:val="000000"/>
                <w:sz w:val="20"/>
              </w:rPr>
            </w:pPr>
            <w:r w:rsidRPr="00D52AEC">
              <w:rPr>
                <w:rFonts w:ascii="Arial" w:hAnsi="Arial" w:cs="Arial"/>
                <w:color w:val="000000"/>
                <w:sz w:val="20"/>
              </w:rPr>
              <w:t> </w:t>
            </w:r>
          </w:p>
        </w:tc>
        <w:tc>
          <w:tcPr>
            <w:tcW w:w="1456" w:type="dxa"/>
            <w:tcBorders>
              <w:top w:val="double" w:sz="4" w:space="0" w:color="auto"/>
              <w:bottom w:val="single" w:sz="4" w:space="0" w:color="auto"/>
            </w:tcBorders>
            <w:shd w:val="clear" w:color="auto" w:fill="FFFFFF" w:themeFill="background1"/>
            <w:vAlign w:val="center"/>
            <w:hideMark/>
          </w:tcPr>
          <w:p w14:paraId="7B2A7D51" w14:textId="77777777" w:rsidR="00914134" w:rsidRPr="00D52AEC" w:rsidRDefault="00914134" w:rsidP="0024531A">
            <w:pPr>
              <w:jc w:val="center"/>
              <w:rPr>
                <w:rFonts w:ascii="Arial" w:hAnsi="Arial" w:cs="Arial"/>
                <w:b/>
                <w:bCs/>
                <w:color w:val="000000"/>
                <w:sz w:val="20"/>
                <w:lang w:val="en-US"/>
              </w:rPr>
            </w:pPr>
            <w:r w:rsidRPr="00D52AEC">
              <w:rPr>
                <w:rFonts w:ascii="Arial" w:hAnsi="Arial" w:cs="Arial"/>
                <w:b/>
                <w:bCs/>
                <w:color w:val="000000"/>
                <w:sz w:val="20"/>
              </w:rPr>
              <w:t>UBICACIÓN</w:t>
            </w:r>
          </w:p>
        </w:tc>
        <w:tc>
          <w:tcPr>
            <w:tcW w:w="1905" w:type="dxa"/>
            <w:tcBorders>
              <w:top w:val="double" w:sz="4" w:space="0" w:color="auto"/>
              <w:bottom w:val="single" w:sz="4" w:space="0" w:color="auto"/>
            </w:tcBorders>
            <w:shd w:val="clear" w:color="auto" w:fill="FFFFFF" w:themeFill="background1"/>
            <w:vAlign w:val="center"/>
            <w:hideMark/>
          </w:tcPr>
          <w:p w14:paraId="281692ED" w14:textId="77777777" w:rsidR="00914134" w:rsidRPr="00D52AEC" w:rsidRDefault="00914134" w:rsidP="0024531A">
            <w:pPr>
              <w:jc w:val="center"/>
              <w:rPr>
                <w:rFonts w:ascii="Arial" w:hAnsi="Arial" w:cs="Arial"/>
                <w:b/>
                <w:bCs/>
                <w:color w:val="000000"/>
                <w:sz w:val="20"/>
                <w:lang w:val="en-US"/>
              </w:rPr>
            </w:pPr>
            <w:r w:rsidRPr="00D52AEC">
              <w:rPr>
                <w:rFonts w:ascii="Arial" w:hAnsi="Arial" w:cs="Arial"/>
                <w:b/>
                <w:bCs/>
                <w:color w:val="000000"/>
                <w:sz w:val="20"/>
              </w:rPr>
              <w:t>DEPARTAMENTO</w:t>
            </w:r>
          </w:p>
        </w:tc>
        <w:tc>
          <w:tcPr>
            <w:tcW w:w="1272" w:type="dxa"/>
            <w:tcBorders>
              <w:top w:val="double" w:sz="4" w:space="0" w:color="auto"/>
              <w:bottom w:val="single" w:sz="4" w:space="0" w:color="auto"/>
            </w:tcBorders>
            <w:shd w:val="clear" w:color="auto" w:fill="FFFFFF" w:themeFill="background1"/>
            <w:vAlign w:val="center"/>
            <w:hideMark/>
          </w:tcPr>
          <w:p w14:paraId="050F4360" w14:textId="77777777" w:rsidR="00914134" w:rsidRPr="00D52AEC" w:rsidRDefault="00914134" w:rsidP="0024531A">
            <w:pPr>
              <w:jc w:val="center"/>
              <w:rPr>
                <w:rFonts w:ascii="Arial" w:hAnsi="Arial" w:cs="Arial"/>
                <w:b/>
                <w:bCs/>
                <w:color w:val="000000"/>
                <w:sz w:val="20"/>
                <w:lang w:val="en-US"/>
              </w:rPr>
            </w:pPr>
            <w:r w:rsidRPr="00D52AEC">
              <w:rPr>
                <w:rFonts w:ascii="Arial" w:hAnsi="Arial" w:cs="Arial"/>
                <w:b/>
                <w:bCs/>
                <w:color w:val="000000"/>
                <w:sz w:val="20"/>
              </w:rPr>
              <w:t>MUNICIPIO</w:t>
            </w:r>
          </w:p>
        </w:tc>
        <w:tc>
          <w:tcPr>
            <w:tcW w:w="1284" w:type="dxa"/>
            <w:tcBorders>
              <w:top w:val="double" w:sz="4" w:space="0" w:color="auto"/>
              <w:bottom w:val="single" w:sz="4" w:space="0" w:color="auto"/>
            </w:tcBorders>
            <w:shd w:val="clear" w:color="auto" w:fill="FFFFFF" w:themeFill="background1"/>
            <w:vAlign w:val="center"/>
            <w:hideMark/>
          </w:tcPr>
          <w:p w14:paraId="359872F9" w14:textId="77777777" w:rsidR="00914134" w:rsidRPr="00D52AEC" w:rsidRDefault="00914134" w:rsidP="0024531A">
            <w:pPr>
              <w:jc w:val="center"/>
              <w:rPr>
                <w:rFonts w:ascii="Arial" w:hAnsi="Arial" w:cs="Arial"/>
                <w:b/>
                <w:bCs/>
                <w:color w:val="000000"/>
                <w:sz w:val="20"/>
                <w:lang w:val="en-US"/>
              </w:rPr>
            </w:pPr>
            <w:r w:rsidRPr="00D52AEC">
              <w:rPr>
                <w:rFonts w:ascii="Arial" w:hAnsi="Arial" w:cs="Arial"/>
                <w:b/>
                <w:bCs/>
                <w:color w:val="000000"/>
                <w:sz w:val="20"/>
              </w:rPr>
              <w:t>FUENTE</w:t>
            </w:r>
          </w:p>
        </w:tc>
        <w:tc>
          <w:tcPr>
            <w:tcW w:w="1361" w:type="dxa"/>
            <w:tcBorders>
              <w:top w:val="double" w:sz="4" w:space="0" w:color="auto"/>
              <w:bottom w:val="single" w:sz="4" w:space="0" w:color="auto"/>
            </w:tcBorders>
            <w:shd w:val="clear" w:color="auto" w:fill="FFFFFF" w:themeFill="background1"/>
            <w:vAlign w:val="center"/>
            <w:hideMark/>
          </w:tcPr>
          <w:p w14:paraId="347F7DAB" w14:textId="77777777" w:rsidR="00914134" w:rsidRPr="00D52AEC" w:rsidRDefault="00914134" w:rsidP="0024531A">
            <w:pPr>
              <w:jc w:val="center"/>
              <w:rPr>
                <w:rFonts w:ascii="Arial" w:hAnsi="Arial" w:cs="Arial"/>
                <w:b/>
                <w:bCs/>
                <w:color w:val="000000"/>
                <w:sz w:val="20"/>
                <w:lang w:val="en-US"/>
              </w:rPr>
            </w:pPr>
            <w:r w:rsidRPr="00D52AEC">
              <w:rPr>
                <w:rFonts w:ascii="Arial" w:hAnsi="Arial" w:cs="Arial"/>
                <w:b/>
                <w:bCs/>
                <w:color w:val="000000"/>
                <w:sz w:val="20"/>
              </w:rPr>
              <w:t>DESCARGA</w:t>
            </w:r>
          </w:p>
        </w:tc>
      </w:tr>
      <w:tr w:rsidR="00914134" w:rsidRPr="007E23C5" w14:paraId="1F88617B" w14:textId="77777777" w:rsidTr="0024531A">
        <w:trPr>
          <w:trHeight w:val="454"/>
          <w:jc w:val="center"/>
        </w:trPr>
        <w:tc>
          <w:tcPr>
            <w:tcW w:w="2127" w:type="dxa"/>
            <w:tcBorders>
              <w:top w:val="single" w:sz="4" w:space="0" w:color="auto"/>
              <w:bottom w:val="single" w:sz="4" w:space="0" w:color="auto"/>
            </w:tcBorders>
            <w:shd w:val="clear" w:color="auto" w:fill="FFFFFF" w:themeFill="background1"/>
            <w:noWrap/>
            <w:vAlign w:val="center"/>
            <w:hideMark/>
          </w:tcPr>
          <w:p w14:paraId="481F2D91" w14:textId="77777777" w:rsidR="00914134" w:rsidRPr="00D52AEC" w:rsidRDefault="00914134" w:rsidP="0024531A">
            <w:pPr>
              <w:rPr>
                <w:rFonts w:ascii="Arial" w:hAnsi="Arial" w:cs="Arial"/>
                <w:b/>
                <w:bCs/>
                <w:color w:val="000000"/>
                <w:sz w:val="20"/>
                <w:lang w:val="en-US"/>
              </w:rPr>
            </w:pPr>
            <w:r w:rsidRPr="00D52AEC">
              <w:rPr>
                <w:rFonts w:ascii="Arial" w:hAnsi="Arial" w:cs="Arial"/>
                <w:b/>
                <w:bCs/>
                <w:color w:val="000000"/>
                <w:sz w:val="20"/>
                <w:lang w:val="en-US"/>
              </w:rPr>
              <w:t>TERMODORADA 1</w:t>
            </w:r>
          </w:p>
        </w:tc>
        <w:tc>
          <w:tcPr>
            <w:tcW w:w="1456" w:type="dxa"/>
            <w:tcBorders>
              <w:top w:val="single" w:sz="4" w:space="0" w:color="auto"/>
              <w:bottom w:val="single" w:sz="4" w:space="0" w:color="auto"/>
            </w:tcBorders>
            <w:shd w:val="clear" w:color="auto" w:fill="FFFFFF" w:themeFill="background1"/>
            <w:noWrap/>
            <w:vAlign w:val="center"/>
            <w:hideMark/>
          </w:tcPr>
          <w:p w14:paraId="6F23E3D9" w14:textId="77777777" w:rsidR="00914134" w:rsidRPr="00D52AEC" w:rsidRDefault="00914134" w:rsidP="0024531A">
            <w:pPr>
              <w:jc w:val="center"/>
              <w:rPr>
                <w:rFonts w:ascii="Arial" w:hAnsi="Arial" w:cs="Arial"/>
                <w:color w:val="000000"/>
                <w:sz w:val="20"/>
                <w:lang w:val="en-US"/>
              </w:rPr>
            </w:pPr>
            <w:r w:rsidRPr="00D52AEC">
              <w:rPr>
                <w:rFonts w:ascii="Arial" w:hAnsi="Arial" w:cs="Arial"/>
                <w:color w:val="000000"/>
                <w:sz w:val="20"/>
                <w:lang w:val="en-US"/>
              </w:rPr>
              <w:t>CENTRO</w:t>
            </w:r>
          </w:p>
        </w:tc>
        <w:tc>
          <w:tcPr>
            <w:tcW w:w="1905" w:type="dxa"/>
            <w:tcBorders>
              <w:top w:val="single" w:sz="4" w:space="0" w:color="auto"/>
              <w:bottom w:val="single" w:sz="4" w:space="0" w:color="auto"/>
            </w:tcBorders>
            <w:shd w:val="clear" w:color="auto" w:fill="FFFFFF" w:themeFill="background1"/>
            <w:noWrap/>
            <w:vAlign w:val="center"/>
            <w:hideMark/>
          </w:tcPr>
          <w:p w14:paraId="4EE8E34F" w14:textId="77777777" w:rsidR="00914134" w:rsidRPr="00D52AEC" w:rsidRDefault="00914134" w:rsidP="0024531A">
            <w:pPr>
              <w:jc w:val="center"/>
              <w:rPr>
                <w:rFonts w:ascii="Arial" w:hAnsi="Arial" w:cs="Arial"/>
                <w:color w:val="000000"/>
                <w:sz w:val="20"/>
                <w:lang w:val="en-US"/>
              </w:rPr>
            </w:pPr>
            <w:r w:rsidRPr="00D52AEC">
              <w:rPr>
                <w:rFonts w:ascii="Arial" w:hAnsi="Arial" w:cs="Arial"/>
                <w:color w:val="000000"/>
                <w:sz w:val="20"/>
                <w:lang w:val="en-US"/>
              </w:rPr>
              <w:t>Caldas</w:t>
            </w:r>
          </w:p>
        </w:tc>
        <w:tc>
          <w:tcPr>
            <w:tcW w:w="1272" w:type="dxa"/>
            <w:tcBorders>
              <w:top w:val="single" w:sz="4" w:space="0" w:color="auto"/>
              <w:bottom w:val="single" w:sz="4" w:space="0" w:color="auto"/>
            </w:tcBorders>
            <w:shd w:val="clear" w:color="auto" w:fill="FFFFFF" w:themeFill="background1"/>
            <w:noWrap/>
            <w:vAlign w:val="center"/>
            <w:hideMark/>
          </w:tcPr>
          <w:p w14:paraId="576521B1" w14:textId="77777777" w:rsidR="00914134" w:rsidRPr="00D52AEC" w:rsidRDefault="00914134" w:rsidP="0024531A">
            <w:pPr>
              <w:jc w:val="center"/>
              <w:rPr>
                <w:rFonts w:ascii="Arial" w:hAnsi="Arial" w:cs="Arial"/>
                <w:color w:val="000000"/>
                <w:sz w:val="20"/>
                <w:lang w:val="en-US"/>
              </w:rPr>
            </w:pPr>
            <w:r w:rsidRPr="00D52AEC">
              <w:rPr>
                <w:rFonts w:ascii="Arial" w:hAnsi="Arial" w:cs="Arial"/>
                <w:color w:val="000000"/>
                <w:sz w:val="20"/>
                <w:lang w:val="en-US"/>
              </w:rPr>
              <w:t>La Dorada</w:t>
            </w:r>
          </w:p>
        </w:tc>
        <w:tc>
          <w:tcPr>
            <w:tcW w:w="1284" w:type="dxa"/>
            <w:tcBorders>
              <w:top w:val="single" w:sz="4" w:space="0" w:color="auto"/>
              <w:bottom w:val="single" w:sz="4" w:space="0" w:color="auto"/>
            </w:tcBorders>
            <w:shd w:val="clear" w:color="auto" w:fill="FFFFFF" w:themeFill="background1"/>
            <w:noWrap/>
            <w:vAlign w:val="center"/>
            <w:hideMark/>
          </w:tcPr>
          <w:p w14:paraId="5DCA74E4" w14:textId="77777777" w:rsidR="00914134" w:rsidRPr="00D52AEC" w:rsidRDefault="00914134" w:rsidP="0024531A">
            <w:pPr>
              <w:jc w:val="center"/>
              <w:rPr>
                <w:rFonts w:ascii="Arial" w:hAnsi="Arial" w:cs="Arial"/>
                <w:color w:val="000000"/>
                <w:sz w:val="20"/>
              </w:rPr>
            </w:pPr>
            <w:r w:rsidRPr="00D52AEC">
              <w:rPr>
                <w:rFonts w:ascii="Arial" w:hAnsi="Arial" w:cs="Arial"/>
                <w:color w:val="000000"/>
                <w:sz w:val="20"/>
              </w:rPr>
              <w:t>R. Barranca</w:t>
            </w:r>
          </w:p>
        </w:tc>
        <w:tc>
          <w:tcPr>
            <w:tcW w:w="1361" w:type="dxa"/>
            <w:tcBorders>
              <w:top w:val="single" w:sz="4" w:space="0" w:color="auto"/>
              <w:bottom w:val="single" w:sz="4" w:space="0" w:color="auto"/>
            </w:tcBorders>
            <w:shd w:val="clear" w:color="auto" w:fill="FFFFFF" w:themeFill="background1"/>
            <w:noWrap/>
            <w:vAlign w:val="center"/>
            <w:hideMark/>
          </w:tcPr>
          <w:p w14:paraId="3AF336C1" w14:textId="77777777" w:rsidR="00914134" w:rsidRPr="00D52AEC" w:rsidRDefault="00914134" w:rsidP="0024531A">
            <w:pPr>
              <w:jc w:val="center"/>
              <w:rPr>
                <w:rFonts w:ascii="Arial" w:hAnsi="Arial" w:cs="Arial"/>
                <w:color w:val="000000"/>
                <w:sz w:val="20"/>
              </w:rPr>
            </w:pPr>
            <w:r w:rsidRPr="00D52AEC">
              <w:rPr>
                <w:rFonts w:ascii="Arial" w:hAnsi="Arial" w:cs="Arial"/>
                <w:color w:val="000000"/>
                <w:sz w:val="20"/>
              </w:rPr>
              <w:t>Pto Salgar</w:t>
            </w:r>
          </w:p>
        </w:tc>
      </w:tr>
      <w:tr w:rsidR="00914134" w:rsidRPr="007E23C5" w14:paraId="67F361F5" w14:textId="77777777" w:rsidTr="0024531A">
        <w:trPr>
          <w:trHeight w:val="454"/>
          <w:jc w:val="center"/>
        </w:trPr>
        <w:tc>
          <w:tcPr>
            <w:tcW w:w="2127" w:type="dxa"/>
            <w:tcBorders>
              <w:top w:val="single" w:sz="4" w:space="0" w:color="auto"/>
              <w:bottom w:val="double" w:sz="4" w:space="0" w:color="auto"/>
            </w:tcBorders>
            <w:shd w:val="clear" w:color="auto" w:fill="FFFFFF" w:themeFill="background1"/>
            <w:noWrap/>
            <w:vAlign w:val="center"/>
            <w:hideMark/>
          </w:tcPr>
          <w:p w14:paraId="4E107D94" w14:textId="77777777" w:rsidR="00914134" w:rsidRPr="00D52AEC" w:rsidRDefault="00914134" w:rsidP="0024531A">
            <w:pPr>
              <w:spacing w:line="276" w:lineRule="auto"/>
              <w:rPr>
                <w:rFonts w:ascii="Arial" w:hAnsi="Arial" w:cs="Arial"/>
                <w:b/>
                <w:bCs/>
                <w:color w:val="000000"/>
                <w:sz w:val="20"/>
              </w:rPr>
            </w:pPr>
            <w:r w:rsidRPr="00D52AEC">
              <w:rPr>
                <w:rFonts w:ascii="Arial" w:hAnsi="Arial" w:cs="Arial"/>
                <w:b/>
                <w:bCs/>
                <w:color w:val="000000"/>
                <w:sz w:val="20"/>
              </w:rPr>
              <w:t>TERMOCENTRO 1</w:t>
            </w:r>
            <w:r w:rsidRPr="00D52AEC">
              <w:rPr>
                <w:rStyle w:val="Refdenotaalpie"/>
                <w:rFonts w:ascii="Arial" w:hAnsi="Arial" w:cs="Arial"/>
                <w:b/>
                <w:bCs/>
                <w:color w:val="000000"/>
                <w:sz w:val="20"/>
              </w:rPr>
              <w:footnoteReference w:id="6"/>
            </w:r>
          </w:p>
        </w:tc>
        <w:tc>
          <w:tcPr>
            <w:tcW w:w="1456" w:type="dxa"/>
            <w:tcBorders>
              <w:top w:val="single" w:sz="4" w:space="0" w:color="auto"/>
              <w:bottom w:val="double" w:sz="4" w:space="0" w:color="auto"/>
            </w:tcBorders>
            <w:shd w:val="clear" w:color="auto" w:fill="FFFFFF" w:themeFill="background1"/>
            <w:noWrap/>
            <w:vAlign w:val="center"/>
            <w:hideMark/>
          </w:tcPr>
          <w:p w14:paraId="69AE850F" w14:textId="77777777" w:rsidR="00914134" w:rsidRPr="00D52AEC" w:rsidRDefault="00914134" w:rsidP="0024531A">
            <w:pPr>
              <w:spacing w:line="276" w:lineRule="auto"/>
              <w:jc w:val="center"/>
              <w:rPr>
                <w:rFonts w:ascii="Arial" w:hAnsi="Arial" w:cs="Arial"/>
                <w:color w:val="000000"/>
                <w:sz w:val="20"/>
              </w:rPr>
            </w:pPr>
            <w:r w:rsidRPr="00D52AEC">
              <w:rPr>
                <w:rFonts w:ascii="Arial" w:hAnsi="Arial" w:cs="Arial"/>
                <w:color w:val="000000"/>
                <w:sz w:val="20"/>
              </w:rPr>
              <w:t>CENTRO</w:t>
            </w:r>
          </w:p>
        </w:tc>
        <w:tc>
          <w:tcPr>
            <w:tcW w:w="1905" w:type="dxa"/>
            <w:tcBorders>
              <w:top w:val="single" w:sz="4" w:space="0" w:color="auto"/>
              <w:bottom w:val="double" w:sz="4" w:space="0" w:color="auto"/>
            </w:tcBorders>
            <w:shd w:val="clear" w:color="auto" w:fill="FFFFFF" w:themeFill="background1"/>
            <w:noWrap/>
            <w:vAlign w:val="center"/>
            <w:hideMark/>
          </w:tcPr>
          <w:p w14:paraId="673378AC" w14:textId="77777777" w:rsidR="00914134" w:rsidRPr="00D52AEC" w:rsidRDefault="00914134" w:rsidP="0024531A">
            <w:pPr>
              <w:spacing w:line="276" w:lineRule="auto"/>
              <w:jc w:val="center"/>
              <w:rPr>
                <w:rFonts w:ascii="Arial" w:hAnsi="Arial" w:cs="Arial"/>
                <w:color w:val="000000"/>
                <w:sz w:val="20"/>
              </w:rPr>
            </w:pPr>
            <w:r w:rsidRPr="00D52AEC">
              <w:rPr>
                <w:rFonts w:ascii="Arial" w:hAnsi="Arial" w:cs="Arial"/>
                <w:color w:val="000000"/>
                <w:sz w:val="20"/>
              </w:rPr>
              <w:t>Santander</w:t>
            </w:r>
          </w:p>
        </w:tc>
        <w:tc>
          <w:tcPr>
            <w:tcW w:w="1272" w:type="dxa"/>
            <w:tcBorders>
              <w:top w:val="single" w:sz="4" w:space="0" w:color="auto"/>
              <w:bottom w:val="double" w:sz="4" w:space="0" w:color="auto"/>
            </w:tcBorders>
            <w:shd w:val="clear" w:color="auto" w:fill="FFFFFF" w:themeFill="background1"/>
            <w:noWrap/>
            <w:vAlign w:val="center"/>
            <w:hideMark/>
          </w:tcPr>
          <w:p w14:paraId="3CA951BA" w14:textId="77777777" w:rsidR="00914134" w:rsidRPr="00D52AEC" w:rsidRDefault="00914134" w:rsidP="0024531A">
            <w:pPr>
              <w:spacing w:line="276" w:lineRule="auto"/>
              <w:jc w:val="center"/>
              <w:rPr>
                <w:rFonts w:ascii="Arial" w:hAnsi="Arial" w:cs="Arial"/>
                <w:color w:val="000000"/>
                <w:sz w:val="20"/>
              </w:rPr>
            </w:pPr>
            <w:r w:rsidRPr="00D52AEC">
              <w:rPr>
                <w:rFonts w:ascii="Arial" w:hAnsi="Arial" w:cs="Arial"/>
                <w:color w:val="000000"/>
                <w:sz w:val="20"/>
              </w:rPr>
              <w:t>Cimitarra</w:t>
            </w:r>
          </w:p>
        </w:tc>
        <w:tc>
          <w:tcPr>
            <w:tcW w:w="1284" w:type="dxa"/>
            <w:tcBorders>
              <w:top w:val="single" w:sz="4" w:space="0" w:color="auto"/>
              <w:bottom w:val="double" w:sz="4" w:space="0" w:color="auto"/>
            </w:tcBorders>
            <w:shd w:val="clear" w:color="auto" w:fill="FFFFFF" w:themeFill="background1"/>
            <w:noWrap/>
            <w:vAlign w:val="center"/>
            <w:hideMark/>
          </w:tcPr>
          <w:p w14:paraId="46B10DFC" w14:textId="77777777" w:rsidR="00914134" w:rsidRPr="00D52AEC" w:rsidRDefault="00914134" w:rsidP="0024531A">
            <w:pPr>
              <w:spacing w:line="276" w:lineRule="auto"/>
              <w:jc w:val="center"/>
              <w:rPr>
                <w:rFonts w:ascii="Arial" w:hAnsi="Arial" w:cs="Arial"/>
                <w:color w:val="000000"/>
                <w:sz w:val="20"/>
              </w:rPr>
            </w:pPr>
            <w:r w:rsidRPr="00D52AEC">
              <w:rPr>
                <w:rFonts w:ascii="Arial" w:hAnsi="Arial" w:cs="Arial"/>
                <w:color w:val="000000"/>
                <w:sz w:val="20"/>
              </w:rPr>
              <w:t>R. Barranca</w:t>
            </w:r>
          </w:p>
        </w:tc>
        <w:tc>
          <w:tcPr>
            <w:tcW w:w="1361" w:type="dxa"/>
            <w:tcBorders>
              <w:top w:val="single" w:sz="4" w:space="0" w:color="auto"/>
              <w:bottom w:val="double" w:sz="4" w:space="0" w:color="auto"/>
            </w:tcBorders>
            <w:shd w:val="clear" w:color="auto" w:fill="FFFFFF" w:themeFill="background1"/>
            <w:noWrap/>
            <w:vAlign w:val="center"/>
            <w:hideMark/>
          </w:tcPr>
          <w:p w14:paraId="117245FB" w14:textId="77777777" w:rsidR="00914134" w:rsidRPr="00D52AEC" w:rsidRDefault="00914134" w:rsidP="0024531A">
            <w:pPr>
              <w:spacing w:line="276" w:lineRule="auto"/>
              <w:jc w:val="center"/>
              <w:rPr>
                <w:rFonts w:ascii="Arial" w:hAnsi="Arial" w:cs="Arial"/>
                <w:color w:val="000000"/>
                <w:sz w:val="20"/>
              </w:rPr>
            </w:pPr>
            <w:r w:rsidRPr="00D52AEC">
              <w:rPr>
                <w:rFonts w:ascii="Arial" w:hAnsi="Arial" w:cs="Arial"/>
                <w:color w:val="000000"/>
                <w:sz w:val="20"/>
              </w:rPr>
              <w:t>Sebastopol</w:t>
            </w:r>
          </w:p>
        </w:tc>
      </w:tr>
    </w:tbl>
    <w:p w14:paraId="7F01E18C" w14:textId="34AE1DF3" w:rsidR="00914134" w:rsidRPr="00CB2C85" w:rsidRDefault="00914134" w:rsidP="00914134">
      <w:pPr>
        <w:spacing w:line="276" w:lineRule="auto"/>
        <w:jc w:val="center"/>
        <w:rPr>
          <w:rFonts w:ascii="Arial" w:hAnsi="Arial" w:cs="Arial"/>
          <w:color w:val="000000" w:themeColor="text1"/>
          <w:sz w:val="16"/>
        </w:rPr>
      </w:pPr>
      <w:r w:rsidRPr="00CB2C85">
        <w:rPr>
          <w:rFonts w:ascii="Arial" w:hAnsi="Arial" w:cs="Arial"/>
          <w:b/>
          <w:color w:val="000000" w:themeColor="text1"/>
          <w:sz w:val="16"/>
        </w:rPr>
        <w:t>Fuente:</w:t>
      </w:r>
      <w:r w:rsidR="005D0524">
        <w:rPr>
          <w:rFonts w:ascii="Arial" w:hAnsi="Arial" w:cs="Arial"/>
          <w:color w:val="000000" w:themeColor="text1"/>
          <w:sz w:val="16"/>
        </w:rPr>
        <w:t xml:space="preserve"> XM </w:t>
      </w:r>
      <w:r w:rsidR="005D0524">
        <w:rPr>
          <w:rFonts w:ascii="Arial" w:hAnsi="Arial" w:cs="Arial"/>
          <w:color w:val="000000" w:themeColor="text1"/>
          <w:sz w:val="16"/>
        </w:rPr>
        <w:fldChar w:fldCharType="begin"/>
      </w:r>
      <w:r w:rsidR="005D0524">
        <w:rPr>
          <w:rFonts w:ascii="Arial" w:hAnsi="Arial" w:cs="Arial"/>
          <w:color w:val="000000" w:themeColor="text1"/>
          <w:sz w:val="16"/>
        </w:rPr>
        <w:instrText xml:space="preserve"> REF _Ref529881598 \r \h </w:instrText>
      </w:r>
      <w:r w:rsidR="005D0524">
        <w:rPr>
          <w:rFonts w:ascii="Arial" w:hAnsi="Arial" w:cs="Arial"/>
          <w:color w:val="000000" w:themeColor="text1"/>
          <w:sz w:val="16"/>
        </w:rPr>
      </w:r>
      <w:r w:rsidR="005D0524">
        <w:rPr>
          <w:rFonts w:ascii="Arial" w:hAnsi="Arial" w:cs="Arial"/>
          <w:color w:val="000000" w:themeColor="text1"/>
          <w:sz w:val="16"/>
        </w:rPr>
        <w:fldChar w:fldCharType="separate"/>
      </w:r>
      <w:r w:rsidR="00915705">
        <w:rPr>
          <w:rFonts w:ascii="Arial" w:hAnsi="Arial" w:cs="Arial"/>
          <w:color w:val="000000" w:themeColor="text1"/>
          <w:sz w:val="16"/>
        </w:rPr>
        <w:t>[13]</w:t>
      </w:r>
      <w:r w:rsidR="005D0524">
        <w:rPr>
          <w:rFonts w:ascii="Arial" w:hAnsi="Arial" w:cs="Arial"/>
          <w:color w:val="000000" w:themeColor="text1"/>
          <w:sz w:val="16"/>
        </w:rPr>
        <w:fldChar w:fldCharType="end"/>
      </w:r>
    </w:p>
    <w:p w14:paraId="0636A722" w14:textId="77777777" w:rsidR="00914134" w:rsidRPr="00D54FB6" w:rsidRDefault="00914134" w:rsidP="00914134">
      <w:pPr>
        <w:spacing w:line="276" w:lineRule="auto"/>
        <w:jc w:val="center"/>
        <w:rPr>
          <w:rFonts w:cs="Arial"/>
          <w:color w:val="000000" w:themeColor="text1"/>
          <w:sz w:val="16"/>
        </w:rPr>
      </w:pPr>
    </w:p>
    <w:p w14:paraId="79B66CC9" w14:textId="2ABD3679" w:rsidR="00914134" w:rsidRDefault="00914134" w:rsidP="00914134">
      <w:pPr>
        <w:pStyle w:val="Descripcin"/>
        <w:keepNext/>
        <w:spacing w:before="0" w:after="0"/>
        <w:jc w:val="center"/>
        <w:rPr>
          <w:i w:val="0"/>
          <w:color w:val="auto"/>
          <w:sz w:val="20"/>
        </w:rPr>
      </w:pPr>
      <w:bookmarkStart w:id="295" w:name="_Ref514997581"/>
      <w:bookmarkStart w:id="296" w:name="_Toc530033426"/>
      <w:r w:rsidRPr="00D54FB6">
        <w:rPr>
          <w:b/>
          <w:i w:val="0"/>
          <w:color w:val="auto"/>
          <w:sz w:val="20"/>
          <w:highlight w:val="yellow"/>
        </w:rPr>
        <w:lastRenderedPageBreak/>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4</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4</w:t>
      </w:r>
      <w:r w:rsidR="00DA50A5">
        <w:rPr>
          <w:b/>
          <w:i w:val="0"/>
          <w:color w:val="auto"/>
          <w:sz w:val="20"/>
          <w:highlight w:val="yellow"/>
        </w:rPr>
        <w:fldChar w:fldCharType="end"/>
      </w:r>
      <w:bookmarkEnd w:id="295"/>
      <w:r w:rsidRPr="00D54FB6">
        <w:rPr>
          <w:i w:val="0"/>
          <w:color w:val="auto"/>
          <w:sz w:val="20"/>
        </w:rPr>
        <w:t>. Estimación del precio de Jet Fuel en planta de Termocentro y Termodorada</w:t>
      </w:r>
      <w:bookmarkEnd w:id="296"/>
    </w:p>
    <w:p w14:paraId="66784604" w14:textId="77777777" w:rsidR="00914134" w:rsidRPr="00B15DF3" w:rsidRDefault="00914134" w:rsidP="00914134">
      <w:pPr>
        <w:jc w:val="center"/>
      </w:pPr>
      <w:r w:rsidRPr="006F20D3">
        <w:rPr>
          <w:noProof/>
          <w:lang w:val="es-ES" w:eastAsia="es-ES"/>
        </w:rPr>
        <w:drawing>
          <wp:inline distT="0" distB="0" distL="0" distR="0" wp14:anchorId="6074CF37" wp14:editId="7C3E6C3C">
            <wp:extent cx="5400000" cy="3240000"/>
            <wp:effectExtent l="0" t="0" r="0" b="0"/>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000" cy="3240000"/>
                    </a:xfrm>
                    <a:prstGeom prst="rect">
                      <a:avLst/>
                    </a:prstGeom>
                    <a:noFill/>
                    <a:ln>
                      <a:noFill/>
                    </a:ln>
                  </pic:spPr>
                </pic:pic>
              </a:graphicData>
            </a:graphic>
          </wp:inline>
        </w:drawing>
      </w:r>
    </w:p>
    <w:p w14:paraId="2F22EFFB" w14:textId="21B67D1A" w:rsidR="00914134" w:rsidRPr="00A51B7C" w:rsidRDefault="00914134" w:rsidP="00914134">
      <w:pPr>
        <w:jc w:val="center"/>
        <w:rPr>
          <w:rFonts w:ascii="Arial" w:hAnsi="Arial" w:cs="Arial"/>
          <w:color w:val="000000" w:themeColor="text1"/>
          <w:sz w:val="16"/>
        </w:rPr>
      </w:pPr>
      <w:r w:rsidRPr="00A51B7C">
        <w:rPr>
          <w:rFonts w:ascii="Arial" w:hAnsi="Arial" w:cs="Arial"/>
          <w:b/>
          <w:iCs/>
          <w:color w:val="000000" w:themeColor="text1"/>
          <w:sz w:val="16"/>
        </w:rPr>
        <w:t>Fuente:</w:t>
      </w:r>
      <w:r w:rsidRPr="00A51B7C">
        <w:rPr>
          <w:rFonts w:ascii="Arial" w:hAnsi="Arial" w:cs="Arial"/>
          <w:iCs/>
          <w:color w:val="000000" w:themeColor="text1"/>
          <w:sz w:val="16"/>
        </w:rPr>
        <w:t xml:space="preserve"> </w:t>
      </w:r>
      <w:r w:rsidR="005D0524" w:rsidRPr="005D0524">
        <w:rPr>
          <w:rFonts w:ascii="Arial" w:hAnsi="Arial" w:cs="Arial"/>
          <w:sz w:val="16"/>
          <w:lang w:val="es-ES"/>
        </w:rPr>
        <w:t xml:space="preserve">EIA </w:t>
      </w:r>
      <w:r w:rsidR="005D0524">
        <w:rPr>
          <w:rFonts w:ascii="Arial" w:hAnsi="Arial" w:cs="Arial"/>
          <w:sz w:val="16"/>
        </w:rPr>
        <w:fldChar w:fldCharType="begin"/>
      </w:r>
      <w:r w:rsidR="005D0524" w:rsidRPr="005D0524">
        <w:rPr>
          <w:rFonts w:ascii="Arial" w:hAnsi="Arial" w:cs="Arial"/>
          <w:sz w:val="16"/>
          <w:lang w:val="es-ES"/>
        </w:rPr>
        <w:instrText xml:space="preserve"> REF _Ref529881539 \r \h </w:instrText>
      </w:r>
      <w:r w:rsidR="005D0524">
        <w:rPr>
          <w:rFonts w:ascii="Arial" w:hAnsi="Arial" w:cs="Arial"/>
          <w:sz w:val="16"/>
        </w:rPr>
      </w:r>
      <w:r w:rsidR="005D0524">
        <w:rPr>
          <w:rFonts w:ascii="Arial" w:hAnsi="Arial" w:cs="Arial"/>
          <w:sz w:val="16"/>
        </w:rPr>
        <w:fldChar w:fldCharType="separate"/>
      </w:r>
      <w:r w:rsidR="00915705">
        <w:rPr>
          <w:rFonts w:ascii="Arial" w:hAnsi="Arial" w:cs="Arial"/>
          <w:sz w:val="16"/>
          <w:lang w:val="es-ES"/>
        </w:rPr>
        <w:t>[11]</w:t>
      </w:r>
      <w:r w:rsidR="005D0524">
        <w:rPr>
          <w:rFonts w:ascii="Arial" w:hAnsi="Arial" w:cs="Arial"/>
          <w:sz w:val="16"/>
        </w:rPr>
        <w:fldChar w:fldCharType="end"/>
      </w:r>
      <w:r w:rsidRPr="00A51B7C">
        <w:rPr>
          <w:rFonts w:ascii="Arial" w:hAnsi="Arial" w:cs="Arial"/>
          <w:iCs/>
          <w:color w:val="000000" w:themeColor="text1"/>
          <w:sz w:val="16"/>
        </w:rPr>
        <w:t xml:space="preserve">, </w:t>
      </w:r>
      <w:r w:rsidR="005D0524" w:rsidRPr="005D0524">
        <w:rPr>
          <w:rFonts w:ascii="Arial" w:hAnsi="Arial" w:cs="Arial"/>
          <w:sz w:val="16"/>
        </w:rPr>
        <w:t xml:space="preserve">ECP </w:t>
      </w:r>
      <w:r w:rsidR="005D0524" w:rsidRPr="005D0524">
        <w:rPr>
          <w:rFonts w:ascii="Arial" w:hAnsi="Arial" w:cs="Arial"/>
          <w:sz w:val="16"/>
        </w:rPr>
        <w:fldChar w:fldCharType="begin"/>
      </w:r>
      <w:r w:rsidR="005D0524" w:rsidRPr="005D0524">
        <w:rPr>
          <w:rFonts w:ascii="Arial" w:hAnsi="Arial" w:cs="Arial"/>
          <w:sz w:val="16"/>
        </w:rPr>
        <w:instrText xml:space="preserve"> REF _Ref529882807 \r \h </w:instrText>
      </w:r>
      <w:r w:rsidR="005D0524">
        <w:rPr>
          <w:rFonts w:ascii="Arial" w:hAnsi="Arial" w:cs="Arial"/>
          <w:sz w:val="16"/>
        </w:rPr>
        <w:instrText xml:space="preserve"> \* MERGEFORMAT </w:instrText>
      </w:r>
      <w:r w:rsidR="005D0524" w:rsidRPr="005D0524">
        <w:rPr>
          <w:rFonts w:ascii="Arial" w:hAnsi="Arial" w:cs="Arial"/>
          <w:sz w:val="16"/>
        </w:rPr>
      </w:r>
      <w:r w:rsidR="005D0524" w:rsidRPr="005D0524">
        <w:rPr>
          <w:rFonts w:ascii="Arial" w:hAnsi="Arial" w:cs="Arial"/>
          <w:sz w:val="16"/>
        </w:rPr>
        <w:fldChar w:fldCharType="separate"/>
      </w:r>
      <w:r w:rsidR="00915705">
        <w:rPr>
          <w:rFonts w:ascii="Arial" w:hAnsi="Arial" w:cs="Arial"/>
          <w:sz w:val="16"/>
        </w:rPr>
        <w:t>[20]</w:t>
      </w:r>
      <w:r w:rsidR="005D0524" w:rsidRPr="005D0524">
        <w:rPr>
          <w:rFonts w:ascii="Arial" w:hAnsi="Arial" w:cs="Arial"/>
          <w:sz w:val="16"/>
        </w:rPr>
        <w:fldChar w:fldCharType="end"/>
      </w:r>
      <w:r w:rsidRPr="00A51B7C">
        <w:rPr>
          <w:rFonts w:ascii="Arial" w:hAnsi="Arial" w:cs="Arial"/>
          <w:iCs/>
          <w:color w:val="000000" w:themeColor="text1"/>
          <w:sz w:val="16"/>
        </w:rPr>
        <w:t>,</w:t>
      </w:r>
      <w:r w:rsidR="005D0524">
        <w:rPr>
          <w:rFonts w:ascii="Arial" w:hAnsi="Arial" w:cs="Arial"/>
          <w:iCs/>
          <w:color w:val="000000" w:themeColor="text1"/>
          <w:sz w:val="16"/>
        </w:rPr>
        <w:t xml:space="preserve"> </w:t>
      </w:r>
      <w:r w:rsidRPr="00A51B7C">
        <w:rPr>
          <w:rFonts w:ascii="Arial" w:hAnsi="Arial" w:cs="Arial"/>
          <w:iCs/>
          <w:color w:val="000000" w:themeColor="text1"/>
          <w:sz w:val="16"/>
        </w:rPr>
        <w:t>UPME</w:t>
      </w:r>
      <w:r w:rsidRPr="00A51B7C">
        <w:rPr>
          <w:rFonts w:ascii="Arial" w:hAnsi="Arial" w:cs="Arial"/>
          <w:i/>
          <w:iCs/>
          <w:color w:val="000000" w:themeColor="text1"/>
          <w:sz w:val="16"/>
        </w:rPr>
        <w:t>.</w:t>
      </w:r>
    </w:p>
    <w:p w14:paraId="6A5D3291" w14:textId="77777777" w:rsidR="00914134" w:rsidRPr="00D52AEC" w:rsidRDefault="00914134" w:rsidP="00914134">
      <w:pPr>
        <w:spacing w:before="240" w:after="240" w:line="276" w:lineRule="auto"/>
        <w:jc w:val="both"/>
        <w:rPr>
          <w:rFonts w:ascii="Arial" w:hAnsi="Arial" w:cs="Arial"/>
          <w:sz w:val="22"/>
          <w:highlight w:val="yellow"/>
        </w:rPr>
      </w:pPr>
      <w:r w:rsidRPr="00D52AEC">
        <w:rPr>
          <w:rFonts w:ascii="Arial" w:hAnsi="Arial" w:cs="Arial"/>
          <w:sz w:val="22"/>
        </w:rPr>
        <w:t xml:space="preserve">En la </w:t>
      </w:r>
      <w:r w:rsidRPr="00D52AEC">
        <w:rPr>
          <w:rFonts w:ascii="Arial" w:hAnsi="Arial" w:cs="Arial"/>
          <w:sz w:val="22"/>
          <w:szCs w:val="22"/>
        </w:rPr>
        <w:fldChar w:fldCharType="begin"/>
      </w:r>
      <w:r w:rsidRPr="00D52AEC">
        <w:rPr>
          <w:rFonts w:ascii="Arial" w:hAnsi="Arial" w:cs="Arial"/>
          <w:sz w:val="22"/>
          <w:szCs w:val="22"/>
        </w:rPr>
        <w:instrText xml:space="preserve"> REF _Ref514997581 \h  \* MERGEFORMAT </w:instrText>
      </w:r>
      <w:r w:rsidRPr="00D52AEC">
        <w:rPr>
          <w:rFonts w:ascii="Arial" w:hAnsi="Arial" w:cs="Arial"/>
          <w:sz w:val="22"/>
          <w:szCs w:val="22"/>
        </w:rPr>
      </w:r>
      <w:r w:rsidRPr="00D52AEC">
        <w:rPr>
          <w:rFonts w:ascii="Arial" w:hAnsi="Arial" w:cs="Arial"/>
          <w:sz w:val="22"/>
          <w:szCs w:val="22"/>
        </w:rPr>
        <w:fldChar w:fldCharType="separate"/>
      </w:r>
      <w:r w:rsidR="00915705" w:rsidRPr="00915705">
        <w:rPr>
          <w:rFonts w:ascii="Arial" w:hAnsi="Arial" w:cs="Arial"/>
          <w:sz w:val="22"/>
          <w:szCs w:val="22"/>
          <w:highlight w:val="yellow"/>
        </w:rPr>
        <w:t>Gráfica 4</w:t>
      </w:r>
      <w:r w:rsidR="00915705" w:rsidRPr="00915705">
        <w:rPr>
          <w:rFonts w:ascii="Arial" w:hAnsi="Arial" w:cs="Arial"/>
          <w:sz w:val="22"/>
          <w:szCs w:val="22"/>
          <w:highlight w:val="yellow"/>
        </w:rPr>
        <w:noBreakHyphen/>
        <w:t>4</w:t>
      </w:r>
      <w:r w:rsidRPr="00D52AEC">
        <w:rPr>
          <w:rFonts w:ascii="Arial" w:hAnsi="Arial" w:cs="Arial"/>
          <w:sz w:val="22"/>
          <w:szCs w:val="22"/>
        </w:rPr>
        <w:fldChar w:fldCharType="end"/>
      </w:r>
      <w:r w:rsidRPr="00D52AEC">
        <w:rPr>
          <w:rFonts w:ascii="Arial" w:hAnsi="Arial" w:cs="Arial"/>
          <w:sz w:val="22"/>
          <w:szCs w:val="22"/>
        </w:rPr>
        <w:t xml:space="preserve"> se presenta la </w:t>
      </w:r>
      <w:r w:rsidRPr="00D52AEC">
        <w:rPr>
          <w:rFonts w:ascii="Arial" w:hAnsi="Arial" w:cs="Arial"/>
          <w:sz w:val="22"/>
        </w:rPr>
        <w:t xml:space="preserve">estimación de los precios de referencia para las plantas de generación que usan Jet Fuel, en donde se presenta un incremento del 44.2% pasando de $14.9 dólares por </w:t>
      </w:r>
      <w:r w:rsidRPr="00D52AEC">
        <w:rPr>
          <w:rFonts w:ascii="Arial" w:hAnsi="Arial" w:cs="Arial"/>
          <w:sz w:val="22"/>
          <w:highlight w:val="cyan"/>
        </w:rPr>
        <w:t>MMBTU</w:t>
      </w:r>
      <w:r w:rsidRPr="00D52AEC">
        <w:rPr>
          <w:rFonts w:ascii="Arial" w:hAnsi="Arial" w:cs="Arial"/>
          <w:sz w:val="22"/>
        </w:rPr>
        <w:t xml:space="preserve"> en mayo de 2017 a su pico máximo de $21.5 dólares por </w:t>
      </w:r>
      <w:r w:rsidRPr="00D52AEC">
        <w:rPr>
          <w:rFonts w:ascii="Arial" w:hAnsi="Arial" w:cs="Arial"/>
          <w:sz w:val="22"/>
          <w:highlight w:val="cyan"/>
        </w:rPr>
        <w:t>MMBTU</w:t>
      </w:r>
      <w:r w:rsidRPr="00D52AEC">
        <w:rPr>
          <w:rFonts w:ascii="Arial" w:hAnsi="Arial" w:cs="Arial"/>
          <w:sz w:val="22"/>
        </w:rPr>
        <w:t xml:space="preserve"> en diciembre de 2017. Sin embargo, se proyecta una caída de los precios en el primer semestre del 2018, en donde en junio de 2018 se estima un valor promedio de $16.6 dólares por </w:t>
      </w:r>
      <w:r w:rsidRPr="00D52AEC">
        <w:rPr>
          <w:rFonts w:ascii="Arial" w:hAnsi="Arial" w:cs="Arial"/>
          <w:sz w:val="22"/>
          <w:highlight w:val="cyan"/>
        </w:rPr>
        <w:t>MMBTU</w:t>
      </w:r>
      <w:r w:rsidRPr="00D52AEC">
        <w:rPr>
          <w:rFonts w:ascii="Arial" w:hAnsi="Arial" w:cs="Arial"/>
          <w:sz w:val="22"/>
        </w:rPr>
        <w:t xml:space="preserve">, entre Julio de 2018 a Septiembre de 2019, alcanzando en este periodo un valor mínimo de $16.1 dólares por </w:t>
      </w:r>
      <w:r w:rsidRPr="00D52AEC">
        <w:rPr>
          <w:rFonts w:ascii="Arial" w:hAnsi="Arial" w:cs="Arial"/>
          <w:sz w:val="22"/>
          <w:highlight w:val="cyan"/>
        </w:rPr>
        <w:t>MMBTU</w:t>
      </w:r>
      <w:r w:rsidRPr="00D52AEC">
        <w:rPr>
          <w:rFonts w:ascii="Arial" w:hAnsi="Arial" w:cs="Arial"/>
          <w:sz w:val="22"/>
        </w:rPr>
        <w:t xml:space="preserve">. A partir de Enero de 2020 la proyección presenta un comportamiento con un crecimiento promedio mensual de 0.64% llegando a los $23.5 dólares por </w:t>
      </w:r>
      <w:r w:rsidRPr="00D52AEC">
        <w:rPr>
          <w:rFonts w:ascii="Arial" w:hAnsi="Arial" w:cs="Arial"/>
          <w:sz w:val="22"/>
          <w:highlight w:val="cyan"/>
        </w:rPr>
        <w:t>MMBTU</w:t>
      </w:r>
      <w:r w:rsidRPr="00D52AEC">
        <w:rPr>
          <w:rFonts w:ascii="Arial" w:hAnsi="Arial" w:cs="Arial"/>
          <w:sz w:val="22"/>
        </w:rPr>
        <w:t xml:space="preserve"> en diciembre de 2023.Postriomente, se estima una caída en precio llegando a los $21.0 dólares por </w:t>
      </w:r>
      <w:r w:rsidRPr="00D52AEC">
        <w:rPr>
          <w:rFonts w:ascii="Arial" w:hAnsi="Arial" w:cs="Arial"/>
          <w:sz w:val="22"/>
          <w:highlight w:val="cyan"/>
        </w:rPr>
        <w:t>MMBTU</w:t>
      </w:r>
      <w:r w:rsidRPr="00D52AEC">
        <w:rPr>
          <w:rFonts w:ascii="Arial" w:hAnsi="Arial" w:cs="Arial"/>
          <w:sz w:val="22"/>
        </w:rPr>
        <w:t xml:space="preserve"> en diciembre de 2026. Finalmente, después de este periodo se evidencia un crecimiento promedio mensual de 0.29%, llegando a los $33.9 dólares por </w:t>
      </w:r>
      <w:r w:rsidRPr="00D52AEC">
        <w:rPr>
          <w:rFonts w:ascii="Arial" w:hAnsi="Arial" w:cs="Arial"/>
          <w:sz w:val="22"/>
          <w:highlight w:val="cyan"/>
        </w:rPr>
        <w:t>MMBTU</w:t>
      </w:r>
      <w:r w:rsidRPr="00D52AEC">
        <w:rPr>
          <w:rFonts w:ascii="Arial" w:hAnsi="Arial" w:cs="Arial"/>
          <w:sz w:val="22"/>
        </w:rPr>
        <w:t xml:space="preserve"> en diciembre de 2040.</w:t>
      </w:r>
    </w:p>
    <w:p w14:paraId="1469E255" w14:textId="77777777" w:rsidR="00914134" w:rsidRDefault="00914134" w:rsidP="00914134">
      <w:pPr>
        <w:spacing w:before="240" w:after="240" w:line="276" w:lineRule="auto"/>
      </w:pPr>
    </w:p>
    <w:p w14:paraId="3D1CA1CF" w14:textId="77777777" w:rsidR="00914134" w:rsidRDefault="00914134" w:rsidP="00914134">
      <w:pPr>
        <w:spacing w:before="240" w:after="240" w:line="276" w:lineRule="auto"/>
        <w:sectPr w:rsidR="00914134" w:rsidSect="0024531A">
          <w:pgSz w:w="12240" w:h="15840" w:code="1"/>
          <w:pgMar w:top="1843" w:right="1183" w:bottom="1134" w:left="1418" w:header="284" w:footer="851" w:gutter="0"/>
          <w:pgBorders w:offsetFrom="page">
            <w:bottom w:val="single" w:sz="4" w:space="24" w:color="FFFFFF" w:themeColor="background1"/>
          </w:pgBorders>
          <w:cols w:space="720"/>
          <w:formProt w:val="0"/>
          <w:docGrid w:linePitch="360" w:charSpace="-6145"/>
        </w:sectPr>
      </w:pPr>
    </w:p>
    <w:p w14:paraId="0E784E41" w14:textId="77777777" w:rsidR="00914134" w:rsidRPr="004327CD" w:rsidRDefault="00914134" w:rsidP="00914134">
      <w:pPr>
        <w:pStyle w:val="Ttulo1"/>
      </w:pPr>
      <w:bookmarkStart w:id="297" w:name="_Toc530045849"/>
      <w:r>
        <w:lastRenderedPageBreak/>
        <w:t>FUEL OIL</w:t>
      </w:r>
      <w:bookmarkEnd w:id="297"/>
    </w:p>
    <w:p w14:paraId="385ED51A" w14:textId="77777777" w:rsidR="00914134" w:rsidRPr="00127595" w:rsidRDefault="00914134" w:rsidP="00914134">
      <w:pPr>
        <w:spacing w:before="240" w:after="240" w:line="276" w:lineRule="auto"/>
        <w:jc w:val="both"/>
        <w:rPr>
          <w:rFonts w:ascii="Arial" w:hAnsi="Arial" w:cs="Arial"/>
          <w:sz w:val="22"/>
        </w:rPr>
      </w:pPr>
      <w:r w:rsidRPr="00127595">
        <w:rPr>
          <w:rFonts w:ascii="Arial" w:hAnsi="Arial" w:cs="Arial"/>
          <w:sz w:val="22"/>
        </w:rPr>
        <w:t>El cálculo del precio futuro del Fuel Oil colombiano de mediano y largo plazo, contempló la aplicación de la normatividad vigente del Ministerio de Minas y Energía, estipulada en las resoluciones 8 0728 de 2001 y modificada por las resoluciones 18 1193 del 12 de noviembre de 2002 y 18 2147 de diciembre de 2007, cuyos componentes hacen referencia al IP (Ingreso al Productor), el cual está bajo el régimen de libertad, adicionado por IVA (16% hasta diciembre de 2016 y 19% a partir de enero de 2017 según la reforma tributaria, establecido en la Ley 1819 de 2016), más el costo de transporte. Adicionalmente, y para efectos del análisis, se incluye un costo de transporte entre la planta de abasto y la planta de generación, así como un margen para el distribuidor mayorista, ítems que no hacen parte de la regulación, así:</w:t>
      </w:r>
    </w:p>
    <w:p w14:paraId="292216D8" w14:textId="77777777" w:rsidR="00914134" w:rsidRPr="007E23C5" w:rsidRDefault="00914134" w:rsidP="00914134">
      <w:pPr>
        <w:jc w:val="center"/>
        <w:rPr>
          <w:rFonts w:asciiTheme="majorHAnsi" w:hAnsiTheme="majorHAnsi"/>
          <w:b/>
          <w:sz w:val="26"/>
          <w:szCs w:val="26"/>
          <w:highlight w:val="yellow"/>
        </w:rPr>
      </w:pPr>
      <m:oMathPara>
        <m:oMath>
          <m:r>
            <m:rPr>
              <m:sty m:val="bi"/>
            </m:rPr>
            <w:rPr>
              <w:rFonts w:ascii="Cambria Math" w:hAnsi="Cambria Math"/>
              <w:sz w:val="26"/>
              <w:szCs w:val="26"/>
              <w:highlight w:val="yellow"/>
            </w:rPr>
            <m:t>PMV=IP+IVA+IC+TI+IVA MY+Otros</m:t>
          </m:r>
        </m:oMath>
      </m:oMathPara>
    </w:p>
    <w:p w14:paraId="1BD3327D" w14:textId="77777777" w:rsidR="00914134" w:rsidRPr="00754319" w:rsidRDefault="00914134" w:rsidP="00914134">
      <w:pPr>
        <w:rPr>
          <w:rFonts w:ascii="Arial" w:hAnsi="Arial" w:cs="Arial"/>
          <w:sz w:val="22"/>
        </w:rPr>
      </w:pPr>
      <w:r w:rsidRPr="00754319">
        <w:rPr>
          <w:rFonts w:ascii="Arial" w:hAnsi="Arial" w:cs="Arial"/>
          <w:sz w:val="22"/>
        </w:rPr>
        <w:t>Donde,</w:t>
      </w:r>
    </w:p>
    <w:p w14:paraId="1044ACF8" w14:textId="77777777" w:rsidR="00914134" w:rsidRPr="00FC735D" w:rsidRDefault="00914134" w:rsidP="00914134">
      <w:pPr>
        <w:tabs>
          <w:tab w:val="left" w:pos="1843"/>
          <w:tab w:val="left" w:pos="1985"/>
        </w:tabs>
        <w:ind w:left="567" w:right="567"/>
        <w:rPr>
          <w:rFonts w:asciiTheme="majorHAnsi" w:hAnsiTheme="majorHAnsi"/>
          <w:b/>
          <w:color w:val="000000" w:themeColor="text1"/>
        </w:rPr>
      </w:pPr>
      <m:oMath>
        <m:r>
          <m:rPr>
            <m:sty m:val="bi"/>
          </m:rPr>
          <w:rPr>
            <w:rFonts w:ascii="Cambria Math" w:hAnsi="Cambria Math"/>
            <w:color w:val="000000" w:themeColor="text1"/>
          </w:rPr>
          <m:t xml:space="preserve">PMV        = </m:t>
        </m:r>
      </m:oMath>
      <w:r>
        <w:rPr>
          <w:rFonts w:cs="Arial"/>
          <w:b/>
          <w:color w:val="000000" w:themeColor="text1"/>
        </w:rPr>
        <w:t xml:space="preserve"> </w:t>
      </w:r>
      <w:r w:rsidRPr="00127595">
        <w:rPr>
          <w:rFonts w:ascii="Cambria Math" w:hAnsi="Cambria Math" w:cs="Arial"/>
          <w:color w:val="000000" w:themeColor="text1"/>
          <w:sz w:val="20"/>
        </w:rPr>
        <w:t>Precio de venta de la Fuel Oil al distribuidor mayorista</w:t>
      </w:r>
    </w:p>
    <w:p w14:paraId="35AC6B7A" w14:textId="77777777" w:rsidR="00914134" w:rsidRPr="00FC735D"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PIP          = </m:t>
        </m:r>
      </m:oMath>
      <w:r>
        <w:rPr>
          <w:rFonts w:cs="Arial"/>
          <w:b/>
          <w:color w:val="000000" w:themeColor="text1"/>
        </w:rPr>
        <w:t xml:space="preserve"> </w:t>
      </w:r>
      <w:r w:rsidRPr="00127595">
        <w:rPr>
          <w:rFonts w:ascii="Cambria Math" w:hAnsi="Cambria Math" w:cs="Arial"/>
          <w:color w:val="000000" w:themeColor="text1"/>
          <w:sz w:val="20"/>
        </w:rPr>
        <w:t>Ingreso al productor</w:t>
      </w:r>
    </w:p>
    <w:p w14:paraId="32A408CE" w14:textId="77777777" w:rsidR="00914134" w:rsidRPr="00FC735D"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IVA          = </m:t>
        </m:r>
      </m:oMath>
      <w:r>
        <w:rPr>
          <w:rFonts w:cs="Arial"/>
          <w:b/>
          <w:color w:val="000000" w:themeColor="text1"/>
        </w:rPr>
        <w:t xml:space="preserve"> </w:t>
      </w:r>
      <w:r w:rsidRPr="00127595">
        <w:rPr>
          <w:rFonts w:ascii="Cambria Math" w:hAnsi="Cambria Math" w:cs="Arial"/>
          <w:color w:val="000000" w:themeColor="text1"/>
          <w:sz w:val="20"/>
        </w:rPr>
        <w:t>Impuesto al Valor Agregado</w:t>
      </w:r>
    </w:p>
    <w:p w14:paraId="59F28660" w14:textId="77777777" w:rsidR="00914134" w:rsidRPr="00FC735D"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IC             = </m:t>
        </m:r>
      </m:oMath>
      <w:r>
        <w:rPr>
          <w:rFonts w:cs="Arial"/>
          <w:b/>
          <w:color w:val="000000" w:themeColor="text1"/>
        </w:rPr>
        <w:t xml:space="preserve"> </w:t>
      </w:r>
      <w:r w:rsidRPr="00127595">
        <w:rPr>
          <w:rFonts w:ascii="Cambria Math" w:hAnsi="Cambria Math" w:cs="Arial"/>
          <w:color w:val="000000" w:themeColor="text1"/>
          <w:sz w:val="20"/>
        </w:rPr>
        <w:t>Impuesto al Carbono</w:t>
      </w:r>
    </w:p>
    <w:p w14:paraId="4819EBEA" w14:textId="77777777" w:rsidR="00914134" w:rsidRPr="00FC735D"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IVA MY  = </m:t>
        </m:r>
      </m:oMath>
      <w:r>
        <w:rPr>
          <w:rFonts w:cs="Arial"/>
          <w:b/>
          <w:color w:val="000000" w:themeColor="text1"/>
        </w:rPr>
        <w:t xml:space="preserve"> </w:t>
      </w:r>
      <w:r w:rsidRPr="00127595">
        <w:rPr>
          <w:rFonts w:ascii="Cambria Math" w:hAnsi="Cambria Math" w:cs="Arial"/>
          <w:color w:val="000000" w:themeColor="text1"/>
          <w:sz w:val="20"/>
        </w:rPr>
        <w:t>IVA Mayorista</w:t>
      </w:r>
    </w:p>
    <w:p w14:paraId="257C3E16" w14:textId="77777777" w:rsidR="00914134" w:rsidRPr="00FC735D"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TI             = </m:t>
        </m:r>
      </m:oMath>
      <w:r>
        <w:rPr>
          <w:rFonts w:cs="Arial"/>
          <w:b/>
          <w:color w:val="000000" w:themeColor="text1"/>
        </w:rPr>
        <w:t xml:space="preserve"> </w:t>
      </w:r>
      <w:r w:rsidRPr="00127595">
        <w:rPr>
          <w:rFonts w:ascii="Cambria Math" w:hAnsi="Cambria Math" w:cs="Arial"/>
          <w:color w:val="000000" w:themeColor="text1"/>
          <w:sz w:val="20"/>
        </w:rPr>
        <w:t>Valor del transporte a través del sistema de poliductos</w:t>
      </w:r>
    </w:p>
    <w:p w14:paraId="2A668FCF" w14:textId="77777777" w:rsidR="00914134" w:rsidRPr="00FC735D"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Otros     = </m:t>
        </m:r>
      </m:oMath>
      <w:r>
        <w:rPr>
          <w:rFonts w:cs="Arial"/>
          <w:b/>
          <w:color w:val="000000" w:themeColor="text1"/>
        </w:rPr>
        <w:t xml:space="preserve"> </w:t>
      </w:r>
      <w:r w:rsidRPr="00127595">
        <w:rPr>
          <w:rFonts w:ascii="Cambria Math" w:hAnsi="Cambria Math" w:cs="Arial"/>
          <w:color w:val="000000" w:themeColor="text1"/>
          <w:sz w:val="20"/>
        </w:rPr>
        <w:t>Comercialización y margen de continuidad</w:t>
      </w:r>
    </w:p>
    <w:p w14:paraId="3BA7CC6B" w14:textId="77777777" w:rsidR="00914134" w:rsidRDefault="00914134" w:rsidP="00914134">
      <w:pPr>
        <w:rPr>
          <w:i/>
        </w:rPr>
      </w:pPr>
    </w:p>
    <w:p w14:paraId="2F5A0501" w14:textId="77777777" w:rsidR="00914134" w:rsidRPr="00127595" w:rsidRDefault="00914134" w:rsidP="00914134">
      <w:pPr>
        <w:jc w:val="both"/>
        <w:rPr>
          <w:rFonts w:ascii="Arial" w:hAnsi="Arial" w:cs="Arial"/>
          <w:sz w:val="22"/>
        </w:rPr>
      </w:pPr>
      <w:r w:rsidRPr="00127595">
        <w:rPr>
          <w:rFonts w:ascii="Arial" w:hAnsi="Arial" w:cs="Arial"/>
          <w:sz w:val="22"/>
        </w:rPr>
        <w:t>La estimación del primer componente o ingreso al productor (IP) comprendió, en primera instancia, la selección de un driver con el cual se pudiera efectuar un análisis comparativo de los precios internos publicados por Ecopetrol y su equivalente en la Costa del Golfo, el cual, según la normatividad, hace referencia al índice Platt's Residual Fuel No 6 US Gulf Coast con 1.0 % y 3.0 % de azufre.</w:t>
      </w:r>
    </w:p>
    <w:p w14:paraId="2B7ED2ED" w14:textId="1CE343B6" w:rsidR="00914134" w:rsidRPr="004A2F38" w:rsidRDefault="00914134" w:rsidP="00914134">
      <w:pPr>
        <w:spacing w:before="240" w:after="240" w:line="276" w:lineRule="auto"/>
        <w:jc w:val="both"/>
        <w:rPr>
          <w:rFonts w:ascii="Arial" w:hAnsi="Arial" w:cs="Arial"/>
          <w:sz w:val="22"/>
        </w:rPr>
      </w:pPr>
      <w:r w:rsidRPr="00127595">
        <w:rPr>
          <w:rFonts w:ascii="Arial" w:hAnsi="Arial" w:cs="Arial"/>
          <w:sz w:val="22"/>
        </w:rPr>
        <w:t xml:space="preserve">Según lo estipulado en la Reforma Tributaria, Ley 1819 del 29 de diciembre de 2016, en el Artículo 221 de la Parte 9, se establece el Impuesto al Carbono el cual se define como “gravamen que recae sobre el contenido de carbono de todos los combustibles fósiles, incluyendo todos los derivados de petróleo y todos los tipos de gas fósil que sean usados con fines energéticos, siempre que sean usados para combustión”. Adicionalmente, en el Artículo 222 de la misma Ley, se establece la base gravable y tarifa por tipo de combustible fósil, dentro de los cuales está incluido el Fuel Oil con una </w:t>
      </w:r>
      <w:r w:rsidRPr="004A2F38">
        <w:rPr>
          <w:rFonts w:ascii="Arial" w:hAnsi="Arial" w:cs="Arial"/>
          <w:sz w:val="22"/>
        </w:rPr>
        <w:t>tarifa de COP$177. 0 por galón</w:t>
      </w:r>
      <w:r w:rsidR="004A2F38">
        <w:rPr>
          <w:rFonts w:ascii="Arial" w:hAnsi="Arial" w:cs="Arial"/>
          <w:sz w:val="22"/>
        </w:rPr>
        <w:t xml:space="preserve"> la cual se </w:t>
      </w:r>
      <w:r w:rsidR="004A2F38" w:rsidRPr="004A2F38">
        <w:rPr>
          <w:rFonts w:ascii="Arial" w:hAnsi="Arial" w:cs="Arial"/>
          <w:sz w:val="22"/>
        </w:rPr>
        <w:t>ajustará con la inflación del año anterior más un punto hasta que sea equivalente a una (1) UVT por tonelada de CO</w:t>
      </w:r>
      <w:r w:rsidR="004A2F38" w:rsidRPr="008C5770">
        <w:rPr>
          <w:rFonts w:ascii="Arial" w:hAnsi="Arial" w:cs="Arial"/>
          <w:sz w:val="22"/>
          <w:vertAlign w:val="subscript"/>
        </w:rPr>
        <w:t>2</w:t>
      </w:r>
    </w:p>
    <w:p w14:paraId="3B6EA697" w14:textId="77777777" w:rsidR="00914134" w:rsidRPr="00127595" w:rsidRDefault="00914134" w:rsidP="00914134">
      <w:pPr>
        <w:spacing w:before="240" w:after="240" w:line="276" w:lineRule="auto"/>
        <w:jc w:val="both"/>
        <w:rPr>
          <w:rFonts w:ascii="Arial" w:hAnsi="Arial" w:cs="Arial"/>
          <w:sz w:val="22"/>
        </w:rPr>
      </w:pPr>
      <w:r w:rsidRPr="00127595">
        <w:rPr>
          <w:rFonts w:ascii="Arial" w:hAnsi="Arial" w:cs="Arial"/>
          <w:sz w:val="22"/>
        </w:rPr>
        <w:t xml:space="preserve">Los resultados presentados en la </w:t>
      </w:r>
      <w:r w:rsidRPr="00127595">
        <w:rPr>
          <w:rFonts w:ascii="Arial" w:hAnsi="Arial" w:cs="Arial"/>
          <w:sz w:val="22"/>
          <w:szCs w:val="22"/>
          <w:highlight w:val="yellow"/>
        </w:rPr>
        <w:fldChar w:fldCharType="begin"/>
      </w:r>
      <w:r w:rsidRPr="00127595">
        <w:rPr>
          <w:rFonts w:ascii="Arial" w:hAnsi="Arial" w:cs="Arial"/>
          <w:sz w:val="22"/>
          <w:szCs w:val="22"/>
        </w:rPr>
        <w:instrText xml:space="preserve"> REF _Ref514763941 \h </w:instrText>
      </w:r>
      <w:r w:rsidRPr="00127595">
        <w:rPr>
          <w:rFonts w:ascii="Arial" w:hAnsi="Arial" w:cs="Arial"/>
          <w:sz w:val="22"/>
          <w:szCs w:val="22"/>
          <w:highlight w:val="yellow"/>
        </w:rPr>
        <w:instrText xml:space="preserve"> \* MERGEFORMAT </w:instrText>
      </w:r>
      <w:r w:rsidRPr="00127595">
        <w:rPr>
          <w:rFonts w:ascii="Arial" w:hAnsi="Arial" w:cs="Arial"/>
          <w:sz w:val="22"/>
          <w:szCs w:val="22"/>
          <w:highlight w:val="yellow"/>
        </w:rPr>
      </w:r>
      <w:r w:rsidRPr="00127595">
        <w:rPr>
          <w:rFonts w:ascii="Arial" w:hAnsi="Arial" w:cs="Arial"/>
          <w:sz w:val="22"/>
          <w:szCs w:val="22"/>
          <w:highlight w:val="yellow"/>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5</w:t>
      </w:r>
      <w:r w:rsidR="00915705" w:rsidRPr="00915705">
        <w:rPr>
          <w:rFonts w:ascii="Arial" w:hAnsi="Arial" w:cs="Arial"/>
          <w:noProof/>
          <w:sz w:val="22"/>
          <w:szCs w:val="22"/>
          <w:highlight w:val="yellow"/>
        </w:rPr>
        <w:noBreakHyphen/>
        <w:t>1</w:t>
      </w:r>
      <w:r w:rsidRPr="00127595">
        <w:rPr>
          <w:rFonts w:ascii="Arial" w:hAnsi="Arial" w:cs="Arial"/>
          <w:sz w:val="22"/>
          <w:szCs w:val="22"/>
          <w:highlight w:val="yellow"/>
        </w:rPr>
        <w:fldChar w:fldCharType="end"/>
      </w:r>
      <w:r w:rsidRPr="00127595">
        <w:rPr>
          <w:rFonts w:ascii="Arial" w:hAnsi="Arial" w:cs="Arial"/>
          <w:sz w:val="22"/>
        </w:rPr>
        <w:t xml:space="preserve"> indican una tendencia similar entre el precio interno y el del índice No. 6 al 3.0% de azufre USGC de Platt’s, aunque el precio del producto nacional está por debajo del precio de referencia. Diferencia que se ha venido incrementando desde el primer semestre de 2011 hasta mediados de 2014. Entre junio de 2014 y enero de 2015 presenta una tendencia a la baja, aunque la correlación es alta y el rezago que maneja esta serie es cercano a los tres días. </w:t>
      </w:r>
    </w:p>
    <w:p w14:paraId="1EF9B631" w14:textId="77777777" w:rsidR="00914134" w:rsidRPr="00127595" w:rsidRDefault="00914134" w:rsidP="00914134">
      <w:pPr>
        <w:spacing w:before="240" w:after="240" w:line="276" w:lineRule="auto"/>
        <w:jc w:val="both"/>
        <w:rPr>
          <w:rFonts w:ascii="Arial" w:hAnsi="Arial" w:cs="Arial"/>
          <w:sz w:val="22"/>
        </w:rPr>
      </w:pPr>
      <w:r w:rsidRPr="00127595">
        <w:rPr>
          <w:rFonts w:ascii="Arial" w:hAnsi="Arial" w:cs="Arial"/>
          <w:sz w:val="22"/>
        </w:rPr>
        <w:t xml:space="preserve">A partir de mediados de febrero de 2015 el IP del Fuel Oil nacional presenta un aumento en los precios arrancando en los de $0.9 dólares por galón y llegando a los $1.2 dólares por galón en </w:t>
      </w:r>
      <w:r w:rsidRPr="00127595">
        <w:rPr>
          <w:rFonts w:ascii="Arial" w:hAnsi="Arial" w:cs="Arial"/>
          <w:sz w:val="22"/>
        </w:rPr>
        <w:lastRenderedPageBreak/>
        <w:t>mayo de 2015 para presentar nuevamente una caída alcanzando los $0.4 dólares por galón en febrero de 2016. A partir de marzo de 2016 y hasta diciembre del mismo año presenta un aumento en los precios llegando a $1.0 dólares por galón. En 2017 se presentó una disminución del 22.0% alcanzando un valor mínimo de $0.8 dólares por galón en Junio de 2017, posteriormente, se presenta una recuperación hacia noviembre de este mismo año logrando alcanzar los $1.1 dólares por galón. Así mismo, y al igual que los demás combustibles líquidos, en el último semestre se presentó un aumento en las referencias internacionales como consecuencia del aumento en el BRENT, por lo que los precios del Fuel Oil internacional alcanzaron valores de $/1.4 dólares por galón para el Fuel Oil número 6 al 1.0% de azufre y $1.3 dólares por galón para el Fuel Oil número 6 al 3.0% de azufre a diciembre de 2017.</w:t>
      </w:r>
    </w:p>
    <w:p w14:paraId="6CCF2647" w14:textId="30889BD0" w:rsidR="00914134" w:rsidRPr="00A13F7A" w:rsidRDefault="00914134" w:rsidP="00914134">
      <w:pPr>
        <w:pStyle w:val="Descripcin"/>
        <w:keepNext/>
        <w:spacing w:after="0"/>
        <w:jc w:val="center"/>
        <w:rPr>
          <w:b/>
          <w:i w:val="0"/>
          <w:color w:val="auto"/>
          <w:sz w:val="20"/>
          <w:highlight w:val="yellow"/>
        </w:rPr>
      </w:pPr>
      <w:bookmarkStart w:id="298" w:name="_Ref514763941"/>
      <w:bookmarkStart w:id="299" w:name="_Toc530033427"/>
      <w:r w:rsidRPr="00A13F7A">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5</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bookmarkEnd w:id="298"/>
      <w:r w:rsidRPr="00A13F7A">
        <w:rPr>
          <w:b/>
          <w:i w:val="0"/>
          <w:color w:val="auto"/>
          <w:sz w:val="20"/>
          <w:highlight w:val="yellow"/>
        </w:rPr>
        <w:t xml:space="preserve">. </w:t>
      </w:r>
      <w:r w:rsidRPr="00A13F7A">
        <w:rPr>
          <w:i w:val="0"/>
          <w:color w:val="auto"/>
          <w:sz w:val="20"/>
        </w:rPr>
        <w:t>Ingreso al productor del Fuel Oíl colombiano e índice del U.S. Gulf Coast</w:t>
      </w:r>
      <w:bookmarkEnd w:id="299"/>
    </w:p>
    <w:p w14:paraId="61FC5FA3" w14:textId="77777777" w:rsidR="00914134" w:rsidRDefault="00914134" w:rsidP="00914134">
      <w:pPr>
        <w:pStyle w:val="Descripcin"/>
        <w:spacing w:before="0" w:after="0"/>
        <w:jc w:val="center"/>
        <w:rPr>
          <w:rFonts w:asciiTheme="majorHAnsi" w:hAnsiTheme="majorHAnsi"/>
          <w:b/>
          <w:i w:val="0"/>
          <w:color w:val="002060"/>
          <w:sz w:val="22"/>
          <w:szCs w:val="22"/>
          <w:lang w:val="es-ES"/>
        </w:rPr>
      </w:pPr>
      <w:r>
        <w:rPr>
          <w:rFonts w:asciiTheme="majorHAnsi" w:hAnsiTheme="majorHAnsi"/>
          <w:b/>
          <w:i w:val="0"/>
          <w:noProof/>
          <w:color w:val="002060"/>
          <w:sz w:val="22"/>
          <w:szCs w:val="22"/>
          <w:lang w:val="es-ES"/>
        </w:rPr>
        <w:drawing>
          <wp:inline distT="0" distB="0" distL="0" distR="0" wp14:anchorId="01CB3249" wp14:editId="6B54D0FD">
            <wp:extent cx="5407660" cy="3243580"/>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7660" cy="3243580"/>
                    </a:xfrm>
                    <a:prstGeom prst="rect">
                      <a:avLst/>
                    </a:prstGeom>
                    <a:noFill/>
                  </pic:spPr>
                </pic:pic>
              </a:graphicData>
            </a:graphic>
          </wp:inline>
        </w:drawing>
      </w:r>
    </w:p>
    <w:p w14:paraId="29EDD525" w14:textId="74945849" w:rsidR="00914134" w:rsidRPr="000214F6" w:rsidRDefault="00914134" w:rsidP="00914134">
      <w:pPr>
        <w:jc w:val="center"/>
        <w:rPr>
          <w:rFonts w:ascii="Arial" w:hAnsi="Arial" w:cs="Arial"/>
          <w:sz w:val="16"/>
        </w:rPr>
      </w:pPr>
      <w:r w:rsidRPr="000214F6">
        <w:rPr>
          <w:rFonts w:ascii="Arial" w:hAnsi="Arial" w:cs="Arial"/>
          <w:b/>
          <w:sz w:val="16"/>
        </w:rPr>
        <w:t>Fuente:</w:t>
      </w:r>
      <w:r w:rsidRPr="000214F6">
        <w:rPr>
          <w:rFonts w:ascii="Arial" w:hAnsi="Arial" w:cs="Arial"/>
          <w:sz w:val="16"/>
        </w:rPr>
        <w:t xml:space="preserve"> </w:t>
      </w:r>
      <w:r w:rsidR="005D5DCC" w:rsidRPr="005D0524">
        <w:rPr>
          <w:rFonts w:ascii="Arial" w:hAnsi="Arial" w:cs="Arial"/>
          <w:sz w:val="16"/>
        </w:rPr>
        <w:t xml:space="preserve">ECP </w:t>
      </w:r>
      <w:r w:rsidR="005D5DCC" w:rsidRPr="005D0524">
        <w:rPr>
          <w:rFonts w:ascii="Arial" w:hAnsi="Arial" w:cs="Arial"/>
          <w:sz w:val="16"/>
        </w:rPr>
        <w:fldChar w:fldCharType="begin"/>
      </w:r>
      <w:r w:rsidR="005D5DCC" w:rsidRPr="005D0524">
        <w:rPr>
          <w:rFonts w:ascii="Arial" w:hAnsi="Arial" w:cs="Arial"/>
          <w:sz w:val="16"/>
        </w:rPr>
        <w:instrText xml:space="preserve"> REF _Ref529882807 \r \h </w:instrText>
      </w:r>
      <w:r w:rsidR="005D5DCC">
        <w:rPr>
          <w:rFonts w:ascii="Arial" w:hAnsi="Arial" w:cs="Arial"/>
          <w:sz w:val="16"/>
        </w:rPr>
        <w:instrText xml:space="preserve"> \* MERGEFORMAT </w:instrText>
      </w:r>
      <w:r w:rsidR="005D5DCC" w:rsidRPr="005D0524">
        <w:rPr>
          <w:rFonts w:ascii="Arial" w:hAnsi="Arial" w:cs="Arial"/>
          <w:sz w:val="16"/>
        </w:rPr>
      </w:r>
      <w:r w:rsidR="005D5DCC" w:rsidRPr="005D0524">
        <w:rPr>
          <w:rFonts w:ascii="Arial" w:hAnsi="Arial" w:cs="Arial"/>
          <w:sz w:val="16"/>
        </w:rPr>
        <w:fldChar w:fldCharType="separate"/>
      </w:r>
      <w:r w:rsidR="00915705">
        <w:rPr>
          <w:rFonts w:ascii="Arial" w:hAnsi="Arial" w:cs="Arial"/>
          <w:sz w:val="16"/>
        </w:rPr>
        <w:t>[20]</w:t>
      </w:r>
      <w:r w:rsidR="005D5DCC" w:rsidRPr="005D0524">
        <w:rPr>
          <w:rFonts w:ascii="Arial" w:hAnsi="Arial" w:cs="Arial"/>
          <w:sz w:val="16"/>
        </w:rPr>
        <w:fldChar w:fldCharType="end"/>
      </w:r>
      <w:r w:rsidR="005D5DCC">
        <w:rPr>
          <w:rFonts w:ascii="Arial" w:hAnsi="Arial" w:cs="Arial"/>
          <w:sz w:val="16"/>
        </w:rPr>
        <w:t xml:space="preserve">, </w:t>
      </w:r>
      <w:r w:rsidR="005D5DCC" w:rsidRPr="005D0524">
        <w:rPr>
          <w:rFonts w:ascii="Arial" w:hAnsi="Arial" w:cs="Arial"/>
          <w:sz w:val="16"/>
        </w:rPr>
        <w:t>PLATTS</w:t>
      </w:r>
      <w:r w:rsidR="005D5DCC" w:rsidRPr="005D0524">
        <w:rPr>
          <w:rFonts w:ascii="Arial" w:hAnsi="Arial" w:cs="Arial"/>
          <w:sz w:val="16"/>
        </w:rPr>
        <w:fldChar w:fldCharType="begin"/>
      </w:r>
      <w:r w:rsidR="005D5DCC" w:rsidRPr="005D0524">
        <w:rPr>
          <w:rFonts w:ascii="Arial" w:hAnsi="Arial" w:cs="Arial"/>
          <w:sz w:val="16"/>
        </w:rPr>
        <w:instrText xml:space="preserve"> REF _Ref529882813 \r \h </w:instrText>
      </w:r>
      <w:r w:rsidR="005D5DCC">
        <w:rPr>
          <w:rFonts w:ascii="Arial" w:hAnsi="Arial" w:cs="Arial"/>
          <w:sz w:val="16"/>
        </w:rPr>
        <w:instrText xml:space="preserve"> \* MERGEFORMAT </w:instrText>
      </w:r>
      <w:r w:rsidR="005D5DCC" w:rsidRPr="005D0524">
        <w:rPr>
          <w:rFonts w:ascii="Arial" w:hAnsi="Arial" w:cs="Arial"/>
          <w:sz w:val="16"/>
        </w:rPr>
      </w:r>
      <w:r w:rsidR="005D5DCC" w:rsidRPr="005D0524">
        <w:rPr>
          <w:rFonts w:ascii="Arial" w:hAnsi="Arial" w:cs="Arial"/>
          <w:sz w:val="16"/>
        </w:rPr>
        <w:fldChar w:fldCharType="separate"/>
      </w:r>
      <w:r w:rsidR="00915705">
        <w:rPr>
          <w:rFonts w:ascii="Arial" w:hAnsi="Arial" w:cs="Arial"/>
          <w:sz w:val="16"/>
        </w:rPr>
        <w:t>[21]</w:t>
      </w:r>
      <w:r w:rsidR="005D5DCC" w:rsidRPr="005D0524">
        <w:rPr>
          <w:rFonts w:ascii="Arial" w:hAnsi="Arial" w:cs="Arial"/>
          <w:sz w:val="16"/>
        </w:rPr>
        <w:fldChar w:fldCharType="end"/>
      </w:r>
    </w:p>
    <w:p w14:paraId="2416B99F" w14:textId="77777777" w:rsidR="00914134" w:rsidRPr="00127595" w:rsidRDefault="00914134" w:rsidP="00914134">
      <w:pPr>
        <w:spacing w:before="240" w:after="240" w:line="276" w:lineRule="auto"/>
        <w:jc w:val="both"/>
        <w:rPr>
          <w:rFonts w:ascii="Arial" w:hAnsi="Arial" w:cs="Arial"/>
          <w:sz w:val="22"/>
        </w:rPr>
      </w:pPr>
      <w:r w:rsidRPr="00754319">
        <w:rPr>
          <w:rFonts w:ascii="Arial" w:hAnsi="Arial" w:cs="Arial"/>
          <w:sz w:val="22"/>
        </w:rPr>
        <w:t xml:space="preserve">El Departamento de Energía de los Estados Unidos plantea al corto plazo, en su documento STEO - Enero 2017, una recuperación de los precios del Fuel Oil, con base en el supuesto de que se mantengan los escenarios de incremento de la demanda y una recuperación del precio del barril a finales de 2017. Lo anterior, llevaría a una recuperación, de los precios </w:t>
      </w:r>
      <w:r>
        <w:rPr>
          <w:rFonts w:ascii="Arial" w:hAnsi="Arial" w:cs="Arial"/>
          <w:sz w:val="22"/>
        </w:rPr>
        <w:t>nacionales, cercana a los $1.</w:t>
      </w:r>
      <w:r w:rsidRPr="00754319">
        <w:rPr>
          <w:rFonts w:ascii="Arial" w:hAnsi="Arial" w:cs="Arial"/>
          <w:sz w:val="22"/>
        </w:rPr>
        <w:t>34</w:t>
      </w:r>
      <w:r>
        <w:rPr>
          <w:rFonts w:ascii="Arial" w:hAnsi="Arial" w:cs="Arial"/>
          <w:sz w:val="22"/>
        </w:rPr>
        <w:t xml:space="preserve"> dólares por </w:t>
      </w:r>
      <w:r w:rsidRPr="00754319">
        <w:rPr>
          <w:rFonts w:ascii="Arial" w:hAnsi="Arial" w:cs="Arial"/>
          <w:sz w:val="22"/>
        </w:rPr>
        <w:t xml:space="preserve">galón en 2017, como se muestra en la </w:t>
      </w:r>
      <w:r w:rsidRPr="003723C2">
        <w:rPr>
          <w:rFonts w:ascii="Arial" w:hAnsi="Arial" w:cs="Arial"/>
          <w:sz w:val="22"/>
          <w:szCs w:val="22"/>
          <w:highlight w:val="yellow"/>
        </w:rPr>
        <w:fldChar w:fldCharType="begin"/>
      </w:r>
      <w:r w:rsidRPr="003723C2">
        <w:rPr>
          <w:rFonts w:ascii="Arial" w:hAnsi="Arial" w:cs="Arial"/>
          <w:sz w:val="22"/>
          <w:szCs w:val="22"/>
          <w:highlight w:val="yellow"/>
        </w:rPr>
        <w:instrText xml:space="preserve"> REF _Ref518547230 \h  \* MERGEFORMAT </w:instrText>
      </w:r>
      <w:r w:rsidRPr="003723C2">
        <w:rPr>
          <w:rFonts w:ascii="Arial" w:hAnsi="Arial" w:cs="Arial"/>
          <w:sz w:val="22"/>
          <w:szCs w:val="22"/>
          <w:highlight w:val="yellow"/>
        </w:rPr>
      </w:r>
      <w:r w:rsidRPr="003723C2">
        <w:rPr>
          <w:rFonts w:ascii="Arial" w:hAnsi="Arial" w:cs="Arial"/>
          <w:sz w:val="22"/>
          <w:szCs w:val="22"/>
          <w:highlight w:val="yellow"/>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5</w:t>
      </w:r>
      <w:r w:rsidR="00915705" w:rsidRPr="00915705">
        <w:rPr>
          <w:rFonts w:ascii="Arial" w:hAnsi="Arial" w:cs="Arial"/>
          <w:noProof/>
          <w:sz w:val="22"/>
          <w:szCs w:val="22"/>
          <w:highlight w:val="yellow"/>
        </w:rPr>
        <w:noBreakHyphen/>
        <w:t>2</w:t>
      </w:r>
      <w:r w:rsidRPr="003723C2">
        <w:rPr>
          <w:rFonts w:ascii="Arial" w:hAnsi="Arial" w:cs="Arial"/>
          <w:sz w:val="22"/>
          <w:szCs w:val="22"/>
          <w:highlight w:val="yellow"/>
        </w:rPr>
        <w:fldChar w:fldCharType="end"/>
      </w:r>
      <w:r>
        <w:rPr>
          <w:rFonts w:ascii="Arial" w:hAnsi="Arial" w:cs="Arial"/>
          <w:sz w:val="22"/>
          <w:szCs w:val="22"/>
        </w:rPr>
        <w:t>.</w:t>
      </w:r>
    </w:p>
    <w:p w14:paraId="16DBBFB0" w14:textId="77777777" w:rsidR="00914134" w:rsidRPr="00127595" w:rsidRDefault="00914134" w:rsidP="00914134">
      <w:pPr>
        <w:spacing w:before="240" w:after="240" w:line="276" w:lineRule="auto"/>
        <w:jc w:val="both"/>
        <w:rPr>
          <w:rFonts w:ascii="Arial" w:hAnsi="Arial" w:cs="Arial"/>
          <w:sz w:val="22"/>
        </w:rPr>
      </w:pPr>
      <w:r w:rsidRPr="00127595">
        <w:rPr>
          <w:rFonts w:ascii="Arial" w:hAnsi="Arial" w:cs="Arial"/>
          <w:sz w:val="22"/>
        </w:rPr>
        <w:t>Valorada la correlación y para efectos de la proyección del ingreso al productor se utilizó como driver el “BRENT” y las aperturas de los escenarios de corto y largo plazo tomados de AEO 2017 del Departamento de Energía de los Estados Unidos</w:t>
      </w:r>
      <w:r w:rsidRPr="00127595">
        <w:rPr>
          <w:rFonts w:ascii="Arial" w:hAnsi="Arial" w:cs="Arial"/>
          <w:sz w:val="22"/>
          <w:szCs w:val="22"/>
        </w:rPr>
        <w:t>. La presenta</w:t>
      </w:r>
      <w:r w:rsidRPr="00127595">
        <w:rPr>
          <w:rFonts w:ascii="Arial" w:hAnsi="Arial" w:cs="Arial"/>
          <w:sz w:val="22"/>
        </w:rPr>
        <w:t xml:space="preserve"> la proyección del ingreso al productor colombiano en dólares por galón, constantes de diciembre de 2017.</w:t>
      </w:r>
    </w:p>
    <w:p w14:paraId="07557BE3" w14:textId="34B6696A" w:rsidR="00914134" w:rsidRPr="00A13F7A" w:rsidRDefault="00914134" w:rsidP="00914134">
      <w:pPr>
        <w:pStyle w:val="Descripcin"/>
        <w:keepNext/>
        <w:spacing w:after="0"/>
        <w:jc w:val="center"/>
        <w:rPr>
          <w:i w:val="0"/>
          <w:color w:val="auto"/>
          <w:sz w:val="20"/>
        </w:rPr>
      </w:pPr>
      <w:bookmarkStart w:id="300" w:name="_Ref518547230"/>
      <w:bookmarkStart w:id="301" w:name="_Toc530033428"/>
      <w:r w:rsidRPr="00676CCA">
        <w:rPr>
          <w:b/>
          <w:i w:val="0"/>
          <w:color w:val="auto"/>
          <w:sz w:val="20"/>
        </w:rPr>
        <w:lastRenderedPageBreak/>
        <w:t xml:space="preserve">Gráfica </w:t>
      </w:r>
      <w:r w:rsidR="00DA50A5">
        <w:rPr>
          <w:b/>
          <w:i w:val="0"/>
          <w:color w:val="auto"/>
          <w:sz w:val="20"/>
        </w:rPr>
        <w:fldChar w:fldCharType="begin"/>
      </w:r>
      <w:r w:rsidR="00DA50A5">
        <w:rPr>
          <w:b/>
          <w:i w:val="0"/>
          <w:color w:val="auto"/>
          <w:sz w:val="20"/>
        </w:rPr>
        <w:instrText xml:space="preserve"> STYLEREF 1 \s </w:instrText>
      </w:r>
      <w:r w:rsidR="00DA50A5">
        <w:rPr>
          <w:b/>
          <w:i w:val="0"/>
          <w:color w:val="auto"/>
          <w:sz w:val="20"/>
        </w:rPr>
        <w:fldChar w:fldCharType="separate"/>
      </w:r>
      <w:r w:rsidR="00DA50A5">
        <w:rPr>
          <w:b/>
          <w:i w:val="0"/>
          <w:noProof/>
          <w:color w:val="auto"/>
          <w:sz w:val="20"/>
        </w:rPr>
        <w:t>5</w:t>
      </w:r>
      <w:r w:rsidR="00DA50A5">
        <w:rPr>
          <w:b/>
          <w:i w:val="0"/>
          <w:color w:val="auto"/>
          <w:sz w:val="20"/>
        </w:rPr>
        <w:fldChar w:fldCharType="end"/>
      </w:r>
      <w:r w:rsidR="00DA50A5">
        <w:rPr>
          <w:b/>
          <w:i w:val="0"/>
          <w:color w:val="auto"/>
          <w:sz w:val="20"/>
        </w:rPr>
        <w:noBreakHyphen/>
      </w:r>
      <w:r w:rsidR="00DA50A5">
        <w:rPr>
          <w:b/>
          <w:i w:val="0"/>
          <w:color w:val="auto"/>
          <w:sz w:val="20"/>
        </w:rPr>
        <w:fldChar w:fldCharType="begin"/>
      </w:r>
      <w:r w:rsidR="00DA50A5">
        <w:rPr>
          <w:b/>
          <w:i w:val="0"/>
          <w:color w:val="auto"/>
          <w:sz w:val="20"/>
        </w:rPr>
        <w:instrText xml:space="preserve"> SEQ Gráfica \* ARABIC \s 1 </w:instrText>
      </w:r>
      <w:r w:rsidR="00DA50A5">
        <w:rPr>
          <w:b/>
          <w:i w:val="0"/>
          <w:color w:val="auto"/>
          <w:sz w:val="20"/>
        </w:rPr>
        <w:fldChar w:fldCharType="separate"/>
      </w:r>
      <w:r w:rsidR="00DA50A5">
        <w:rPr>
          <w:b/>
          <w:i w:val="0"/>
          <w:noProof/>
          <w:color w:val="auto"/>
          <w:sz w:val="20"/>
        </w:rPr>
        <w:t>2</w:t>
      </w:r>
      <w:r w:rsidR="00DA50A5">
        <w:rPr>
          <w:b/>
          <w:i w:val="0"/>
          <w:color w:val="auto"/>
          <w:sz w:val="20"/>
        </w:rPr>
        <w:fldChar w:fldCharType="end"/>
      </w:r>
      <w:bookmarkEnd w:id="300"/>
      <w:r w:rsidRPr="00676CCA">
        <w:rPr>
          <w:b/>
          <w:i w:val="0"/>
          <w:color w:val="auto"/>
          <w:sz w:val="20"/>
        </w:rPr>
        <w:t xml:space="preserve">. </w:t>
      </w:r>
      <w:r w:rsidRPr="00676CCA">
        <w:rPr>
          <w:i w:val="0"/>
          <w:color w:val="auto"/>
          <w:sz w:val="20"/>
        </w:rPr>
        <w:t>Perspectiva corto plazo IP Fuel Oil</w:t>
      </w:r>
      <w:bookmarkEnd w:id="301"/>
    </w:p>
    <w:p w14:paraId="757E68BC" w14:textId="77777777" w:rsidR="00914134" w:rsidRPr="00BA6576" w:rsidRDefault="00914134" w:rsidP="00914134">
      <w:pPr>
        <w:jc w:val="center"/>
      </w:pPr>
      <w:r w:rsidRPr="00BA6576">
        <w:rPr>
          <w:noProof/>
          <w:lang w:val="es-ES" w:eastAsia="es-ES"/>
        </w:rPr>
        <w:drawing>
          <wp:inline distT="0" distB="0" distL="0" distR="0" wp14:anchorId="2FE27C24" wp14:editId="1EC12FCC">
            <wp:extent cx="5407660" cy="3249295"/>
            <wp:effectExtent l="0" t="0" r="254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7660" cy="3249295"/>
                    </a:xfrm>
                    <a:prstGeom prst="rect">
                      <a:avLst/>
                    </a:prstGeom>
                    <a:noFill/>
                  </pic:spPr>
                </pic:pic>
              </a:graphicData>
            </a:graphic>
          </wp:inline>
        </w:drawing>
      </w:r>
    </w:p>
    <w:p w14:paraId="0D84FA1F" w14:textId="5F8EFFF5" w:rsidR="00914134" w:rsidRPr="00B32CD1" w:rsidRDefault="00914134" w:rsidP="00914134">
      <w:pPr>
        <w:jc w:val="center"/>
        <w:rPr>
          <w:rFonts w:ascii="Arial" w:hAnsi="Arial" w:cs="Arial"/>
          <w:i/>
          <w:iCs/>
          <w:sz w:val="16"/>
          <w:szCs w:val="16"/>
        </w:rPr>
      </w:pPr>
      <w:r w:rsidRPr="00B32CD1">
        <w:rPr>
          <w:rFonts w:ascii="Arial" w:hAnsi="Arial" w:cs="Arial"/>
          <w:b/>
          <w:sz w:val="16"/>
          <w:szCs w:val="16"/>
        </w:rPr>
        <w:t>Fuente:</w:t>
      </w:r>
      <w:r w:rsidRPr="00B32CD1">
        <w:rPr>
          <w:rFonts w:ascii="Arial" w:hAnsi="Arial" w:cs="Arial"/>
          <w:sz w:val="16"/>
          <w:szCs w:val="16"/>
        </w:rPr>
        <w:t xml:space="preserve"> </w:t>
      </w:r>
      <w:r w:rsidR="005D5DCC" w:rsidRPr="005D0524">
        <w:rPr>
          <w:rFonts w:ascii="Arial" w:hAnsi="Arial" w:cs="Arial"/>
          <w:sz w:val="16"/>
        </w:rPr>
        <w:t xml:space="preserve">ECP </w:t>
      </w:r>
      <w:r w:rsidR="005D5DCC" w:rsidRPr="005D0524">
        <w:rPr>
          <w:rFonts w:ascii="Arial" w:hAnsi="Arial" w:cs="Arial"/>
          <w:sz w:val="16"/>
        </w:rPr>
        <w:fldChar w:fldCharType="begin"/>
      </w:r>
      <w:r w:rsidR="005D5DCC" w:rsidRPr="005D0524">
        <w:rPr>
          <w:rFonts w:ascii="Arial" w:hAnsi="Arial" w:cs="Arial"/>
          <w:sz w:val="16"/>
        </w:rPr>
        <w:instrText xml:space="preserve"> REF _Ref529882807 \r \h </w:instrText>
      </w:r>
      <w:r w:rsidR="005D5DCC">
        <w:rPr>
          <w:rFonts w:ascii="Arial" w:hAnsi="Arial" w:cs="Arial"/>
          <w:sz w:val="16"/>
        </w:rPr>
        <w:instrText xml:space="preserve"> \* MERGEFORMAT </w:instrText>
      </w:r>
      <w:r w:rsidR="005D5DCC" w:rsidRPr="005D0524">
        <w:rPr>
          <w:rFonts w:ascii="Arial" w:hAnsi="Arial" w:cs="Arial"/>
          <w:sz w:val="16"/>
        </w:rPr>
      </w:r>
      <w:r w:rsidR="005D5DCC" w:rsidRPr="005D0524">
        <w:rPr>
          <w:rFonts w:ascii="Arial" w:hAnsi="Arial" w:cs="Arial"/>
          <w:sz w:val="16"/>
        </w:rPr>
        <w:fldChar w:fldCharType="separate"/>
      </w:r>
      <w:r w:rsidR="00915705">
        <w:rPr>
          <w:rFonts w:ascii="Arial" w:hAnsi="Arial" w:cs="Arial"/>
          <w:sz w:val="16"/>
        </w:rPr>
        <w:t>[20]</w:t>
      </w:r>
      <w:r w:rsidR="005D5DCC" w:rsidRPr="005D0524">
        <w:rPr>
          <w:rFonts w:ascii="Arial" w:hAnsi="Arial" w:cs="Arial"/>
          <w:sz w:val="16"/>
        </w:rPr>
        <w:fldChar w:fldCharType="end"/>
      </w:r>
      <w:r w:rsidR="005D5DCC">
        <w:rPr>
          <w:rFonts w:ascii="Arial" w:hAnsi="Arial" w:cs="Arial"/>
          <w:sz w:val="16"/>
        </w:rPr>
        <w:t xml:space="preserve">, </w:t>
      </w:r>
      <w:r w:rsidR="005D5DCC" w:rsidRPr="005D0524">
        <w:rPr>
          <w:rFonts w:ascii="Arial" w:hAnsi="Arial" w:cs="Arial"/>
          <w:sz w:val="16"/>
        </w:rPr>
        <w:t>PLATTS</w:t>
      </w:r>
      <w:r w:rsidR="005D5DCC" w:rsidRPr="005D0524">
        <w:rPr>
          <w:rFonts w:ascii="Arial" w:hAnsi="Arial" w:cs="Arial"/>
          <w:sz w:val="16"/>
        </w:rPr>
        <w:fldChar w:fldCharType="begin"/>
      </w:r>
      <w:r w:rsidR="005D5DCC" w:rsidRPr="005D0524">
        <w:rPr>
          <w:rFonts w:ascii="Arial" w:hAnsi="Arial" w:cs="Arial"/>
          <w:sz w:val="16"/>
        </w:rPr>
        <w:instrText xml:space="preserve"> REF _Ref529882813 \r \h </w:instrText>
      </w:r>
      <w:r w:rsidR="005D5DCC">
        <w:rPr>
          <w:rFonts w:ascii="Arial" w:hAnsi="Arial" w:cs="Arial"/>
          <w:sz w:val="16"/>
        </w:rPr>
        <w:instrText xml:space="preserve"> \* MERGEFORMAT </w:instrText>
      </w:r>
      <w:r w:rsidR="005D5DCC" w:rsidRPr="005D0524">
        <w:rPr>
          <w:rFonts w:ascii="Arial" w:hAnsi="Arial" w:cs="Arial"/>
          <w:sz w:val="16"/>
        </w:rPr>
      </w:r>
      <w:r w:rsidR="005D5DCC" w:rsidRPr="005D0524">
        <w:rPr>
          <w:rFonts w:ascii="Arial" w:hAnsi="Arial" w:cs="Arial"/>
          <w:sz w:val="16"/>
        </w:rPr>
        <w:fldChar w:fldCharType="separate"/>
      </w:r>
      <w:r w:rsidR="00915705">
        <w:rPr>
          <w:rFonts w:ascii="Arial" w:hAnsi="Arial" w:cs="Arial"/>
          <w:sz w:val="16"/>
        </w:rPr>
        <w:t>[21]</w:t>
      </w:r>
      <w:r w:rsidR="005D5DCC" w:rsidRPr="005D0524">
        <w:rPr>
          <w:rFonts w:ascii="Arial" w:hAnsi="Arial" w:cs="Arial"/>
          <w:sz w:val="16"/>
        </w:rPr>
        <w:fldChar w:fldCharType="end"/>
      </w:r>
      <w:r w:rsidRPr="00B32CD1">
        <w:rPr>
          <w:rFonts w:ascii="Arial" w:hAnsi="Arial" w:cs="Arial"/>
          <w:sz w:val="16"/>
          <w:szCs w:val="16"/>
        </w:rPr>
        <w:t>, EIA</w:t>
      </w:r>
      <w:r w:rsidR="005D5DCC">
        <w:rPr>
          <w:rFonts w:ascii="Arial" w:hAnsi="Arial" w:cs="Arial"/>
          <w:sz w:val="16"/>
          <w:szCs w:val="16"/>
        </w:rPr>
        <w:t xml:space="preserve"> </w:t>
      </w:r>
      <w:r w:rsidR="005D5DCC">
        <w:rPr>
          <w:rFonts w:ascii="Arial" w:hAnsi="Arial" w:cs="Arial"/>
          <w:sz w:val="16"/>
          <w:szCs w:val="16"/>
        </w:rPr>
        <w:fldChar w:fldCharType="begin"/>
      </w:r>
      <w:r w:rsidR="005D5DCC">
        <w:rPr>
          <w:rFonts w:ascii="Arial" w:hAnsi="Arial" w:cs="Arial"/>
          <w:sz w:val="16"/>
          <w:szCs w:val="16"/>
        </w:rPr>
        <w:instrText xml:space="preserve"> REF _Ref529881201 \r \h </w:instrText>
      </w:r>
      <w:r w:rsidR="005D5DCC">
        <w:rPr>
          <w:rFonts w:ascii="Arial" w:hAnsi="Arial" w:cs="Arial"/>
          <w:sz w:val="16"/>
          <w:szCs w:val="16"/>
        </w:rPr>
      </w:r>
      <w:r w:rsidR="005D5DCC">
        <w:rPr>
          <w:rFonts w:ascii="Arial" w:hAnsi="Arial" w:cs="Arial"/>
          <w:sz w:val="16"/>
          <w:szCs w:val="16"/>
        </w:rPr>
        <w:fldChar w:fldCharType="separate"/>
      </w:r>
      <w:r w:rsidR="00915705">
        <w:rPr>
          <w:rFonts w:ascii="Arial" w:hAnsi="Arial" w:cs="Arial"/>
          <w:sz w:val="16"/>
          <w:szCs w:val="16"/>
        </w:rPr>
        <w:t>[6]</w:t>
      </w:r>
      <w:r w:rsidR="005D5DCC">
        <w:rPr>
          <w:rFonts w:ascii="Arial" w:hAnsi="Arial" w:cs="Arial"/>
          <w:sz w:val="16"/>
          <w:szCs w:val="16"/>
        </w:rPr>
        <w:fldChar w:fldCharType="end"/>
      </w:r>
      <w:r w:rsidRPr="00B32CD1">
        <w:rPr>
          <w:rFonts w:ascii="Arial" w:hAnsi="Arial" w:cs="Arial"/>
          <w:sz w:val="16"/>
          <w:szCs w:val="16"/>
        </w:rPr>
        <w:t xml:space="preserve"> y UPME</w:t>
      </w:r>
    </w:p>
    <w:p w14:paraId="417C3A9F" w14:textId="0A76E8DA" w:rsidR="00914134" w:rsidRDefault="00914134" w:rsidP="00914134">
      <w:pPr>
        <w:spacing w:before="240" w:after="240" w:line="276" w:lineRule="auto"/>
        <w:jc w:val="both"/>
        <w:rPr>
          <w:rFonts w:ascii="Arial" w:hAnsi="Arial" w:cs="Arial"/>
          <w:sz w:val="22"/>
        </w:rPr>
      </w:pPr>
      <w:r w:rsidRPr="00127595">
        <w:rPr>
          <w:rFonts w:ascii="Arial" w:hAnsi="Arial" w:cs="Arial"/>
          <w:sz w:val="22"/>
        </w:rPr>
        <w:t>El escenario base o de referencia para el corto plazo se estima un precio máximo de $1.</w:t>
      </w:r>
      <w:r>
        <w:rPr>
          <w:rFonts w:ascii="Arial" w:hAnsi="Arial" w:cs="Arial"/>
          <w:sz w:val="22"/>
        </w:rPr>
        <w:t>33</w:t>
      </w:r>
      <w:r w:rsidRPr="00127595">
        <w:rPr>
          <w:rFonts w:ascii="Arial" w:hAnsi="Arial" w:cs="Arial"/>
          <w:sz w:val="22"/>
        </w:rPr>
        <w:t xml:space="preserve"> dólares por galón en </w:t>
      </w:r>
      <w:r>
        <w:rPr>
          <w:rFonts w:ascii="Arial" w:hAnsi="Arial" w:cs="Arial"/>
          <w:sz w:val="22"/>
        </w:rPr>
        <w:t>Diciembre de 2019</w:t>
      </w:r>
      <w:r w:rsidRPr="00127595">
        <w:rPr>
          <w:rFonts w:ascii="Arial" w:hAnsi="Arial" w:cs="Arial"/>
          <w:sz w:val="22"/>
        </w:rPr>
        <w:t>, mientras que en el largo plazo presenta un valor a Diciembre de 2040 de $1.8</w:t>
      </w:r>
      <w:r>
        <w:rPr>
          <w:rFonts w:ascii="Arial" w:hAnsi="Arial" w:cs="Arial"/>
          <w:sz w:val="22"/>
        </w:rPr>
        <w:t>3</w:t>
      </w:r>
      <w:r w:rsidRPr="00127595">
        <w:rPr>
          <w:rFonts w:ascii="Arial" w:hAnsi="Arial" w:cs="Arial"/>
          <w:sz w:val="22"/>
        </w:rPr>
        <w:t xml:space="preserve"> dólares por galón, ambos en términos constantes de diciembre de 2017. Por otra parte, el escenario alto fluctúa hasta los $3.6 dólares por galón y el escenario bajo finaliza en $0.8 dólares por galón. Es importante señalar que las proyecciones de precios de los combustibles líquidos están ajustadas a las proyecciones del crudo internacional BRENT del “Anual Energy Outlook” del Departamento de Energía de los Estados Unidos, y por lo tanto su comportamiento depende de los precios internacionales de este crudo. (Ver </w:t>
      </w:r>
      <w:r w:rsidRPr="00127595">
        <w:rPr>
          <w:rFonts w:ascii="Arial" w:hAnsi="Arial" w:cs="Arial"/>
          <w:sz w:val="22"/>
          <w:szCs w:val="22"/>
          <w:highlight w:val="yellow"/>
        </w:rPr>
        <w:fldChar w:fldCharType="begin"/>
      </w:r>
      <w:r w:rsidRPr="00127595">
        <w:rPr>
          <w:rFonts w:ascii="Arial" w:hAnsi="Arial" w:cs="Arial"/>
          <w:sz w:val="22"/>
          <w:szCs w:val="22"/>
        </w:rPr>
        <w:instrText xml:space="preserve"> REF _Ref514764224 \h </w:instrText>
      </w:r>
      <w:r w:rsidRPr="00127595">
        <w:rPr>
          <w:rFonts w:ascii="Arial" w:hAnsi="Arial" w:cs="Arial"/>
          <w:sz w:val="22"/>
          <w:szCs w:val="22"/>
          <w:highlight w:val="yellow"/>
        </w:rPr>
        <w:instrText xml:space="preserve"> \* MERGEFORMAT </w:instrText>
      </w:r>
      <w:r w:rsidRPr="00127595">
        <w:rPr>
          <w:rFonts w:ascii="Arial" w:hAnsi="Arial" w:cs="Arial"/>
          <w:sz w:val="22"/>
          <w:szCs w:val="22"/>
          <w:highlight w:val="yellow"/>
        </w:rPr>
      </w:r>
      <w:r w:rsidRPr="00127595">
        <w:rPr>
          <w:rFonts w:ascii="Arial" w:hAnsi="Arial" w:cs="Arial"/>
          <w:sz w:val="22"/>
          <w:szCs w:val="22"/>
          <w:highlight w:val="yellow"/>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5</w:t>
      </w:r>
      <w:r w:rsidR="00915705" w:rsidRPr="00915705">
        <w:rPr>
          <w:rFonts w:ascii="Arial" w:hAnsi="Arial" w:cs="Arial"/>
          <w:noProof/>
          <w:sz w:val="22"/>
          <w:szCs w:val="22"/>
          <w:highlight w:val="yellow"/>
        </w:rPr>
        <w:noBreakHyphen/>
        <w:t>3</w:t>
      </w:r>
      <w:r w:rsidRPr="00127595">
        <w:rPr>
          <w:rFonts w:ascii="Arial" w:hAnsi="Arial" w:cs="Arial"/>
          <w:sz w:val="22"/>
          <w:szCs w:val="22"/>
          <w:highlight w:val="yellow"/>
        </w:rPr>
        <w:fldChar w:fldCharType="end"/>
      </w:r>
      <w:r w:rsidR="00AE71B8">
        <w:rPr>
          <w:rFonts w:ascii="Arial" w:hAnsi="Arial" w:cs="Arial"/>
          <w:sz w:val="22"/>
        </w:rPr>
        <w:t>).</w:t>
      </w:r>
    </w:p>
    <w:p w14:paraId="50287B6C" w14:textId="77777777" w:rsidR="00AE71B8" w:rsidRPr="00127595" w:rsidRDefault="00AE71B8" w:rsidP="00AE71B8">
      <w:pPr>
        <w:spacing w:before="240" w:after="240" w:line="276" w:lineRule="auto"/>
        <w:jc w:val="both"/>
        <w:rPr>
          <w:rFonts w:ascii="Arial" w:hAnsi="Arial" w:cs="Arial"/>
          <w:sz w:val="22"/>
        </w:rPr>
      </w:pPr>
      <w:r w:rsidRPr="00127595">
        <w:rPr>
          <w:rFonts w:ascii="Arial" w:hAnsi="Arial" w:cs="Arial"/>
          <w:sz w:val="22"/>
        </w:rPr>
        <w:t>El precio final en planta de generación, implicó la adición del valor correspondiente al IVA, impuesto al carbono, margen mayorista y los cargos de transporte desde el punto de entrega del producto más cercano a la planta de generación a ser atendida, práctica que se repitió para cada uno de los escenarios.</w:t>
      </w:r>
    </w:p>
    <w:p w14:paraId="0ECFACE5" w14:textId="77777777" w:rsidR="00AE71B8" w:rsidRPr="00127595" w:rsidRDefault="00AE71B8" w:rsidP="00914134">
      <w:pPr>
        <w:spacing w:before="240" w:after="240" w:line="276" w:lineRule="auto"/>
        <w:jc w:val="both"/>
        <w:rPr>
          <w:rFonts w:ascii="Arial" w:hAnsi="Arial" w:cs="Arial"/>
          <w:sz w:val="22"/>
        </w:rPr>
      </w:pPr>
    </w:p>
    <w:p w14:paraId="55E1CAEA" w14:textId="2932981D" w:rsidR="00914134" w:rsidRPr="00BA53C4" w:rsidRDefault="00914134" w:rsidP="00914134">
      <w:pPr>
        <w:pStyle w:val="Descripcin"/>
        <w:keepNext/>
        <w:spacing w:after="0"/>
        <w:jc w:val="center"/>
        <w:rPr>
          <w:b/>
          <w:i w:val="0"/>
          <w:color w:val="auto"/>
          <w:sz w:val="20"/>
          <w:highlight w:val="yellow"/>
        </w:rPr>
      </w:pPr>
      <w:bookmarkStart w:id="302" w:name="_Ref514764224"/>
      <w:bookmarkStart w:id="303" w:name="_Toc530033429"/>
      <w:r w:rsidRPr="00BA53C4">
        <w:rPr>
          <w:b/>
          <w:i w:val="0"/>
          <w:color w:val="auto"/>
          <w:sz w:val="20"/>
          <w:highlight w:val="yellow"/>
        </w:rPr>
        <w:lastRenderedPageBreak/>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5</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3</w:t>
      </w:r>
      <w:r w:rsidR="00DA50A5">
        <w:rPr>
          <w:b/>
          <w:i w:val="0"/>
          <w:color w:val="auto"/>
          <w:sz w:val="20"/>
          <w:highlight w:val="yellow"/>
        </w:rPr>
        <w:fldChar w:fldCharType="end"/>
      </w:r>
      <w:bookmarkEnd w:id="302"/>
      <w:r w:rsidRPr="00BA53C4">
        <w:rPr>
          <w:b/>
          <w:i w:val="0"/>
          <w:color w:val="auto"/>
          <w:sz w:val="20"/>
          <w:highlight w:val="yellow"/>
        </w:rPr>
        <w:t xml:space="preserve">. </w:t>
      </w:r>
      <w:r w:rsidRPr="00BA53C4">
        <w:rPr>
          <w:i w:val="0"/>
          <w:color w:val="auto"/>
          <w:sz w:val="20"/>
        </w:rPr>
        <w:t>Proyección por escenarios del ingreso al productor colombiano del Fuel Oíl</w:t>
      </w:r>
      <w:bookmarkEnd w:id="303"/>
    </w:p>
    <w:p w14:paraId="52325517" w14:textId="77777777" w:rsidR="00914134" w:rsidRDefault="00914134" w:rsidP="00914134">
      <w:pPr>
        <w:jc w:val="center"/>
      </w:pPr>
      <w:r w:rsidRPr="003610DE">
        <w:rPr>
          <w:noProof/>
          <w:lang w:val="es-ES" w:eastAsia="es-ES"/>
        </w:rPr>
        <w:drawing>
          <wp:inline distT="0" distB="0" distL="0" distR="0" wp14:anchorId="745359DB" wp14:editId="3CAB21F7">
            <wp:extent cx="5400000" cy="324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0000" cy="3240000"/>
                    </a:xfrm>
                    <a:prstGeom prst="rect">
                      <a:avLst/>
                    </a:prstGeom>
                    <a:noFill/>
                    <a:ln>
                      <a:noFill/>
                    </a:ln>
                  </pic:spPr>
                </pic:pic>
              </a:graphicData>
            </a:graphic>
          </wp:inline>
        </w:drawing>
      </w:r>
    </w:p>
    <w:p w14:paraId="6FF72447" w14:textId="2F7A97DF" w:rsidR="00914134" w:rsidRPr="000E1D34" w:rsidRDefault="00914134" w:rsidP="00914134">
      <w:pPr>
        <w:spacing w:line="276" w:lineRule="auto"/>
        <w:jc w:val="center"/>
        <w:rPr>
          <w:rFonts w:ascii="Arial" w:hAnsi="Arial" w:cs="Arial"/>
          <w:color w:val="000000" w:themeColor="text1"/>
          <w:sz w:val="16"/>
        </w:rPr>
      </w:pPr>
      <w:r w:rsidRPr="000E1D34">
        <w:rPr>
          <w:rFonts w:ascii="Arial" w:hAnsi="Arial" w:cs="Arial"/>
          <w:b/>
          <w:color w:val="000000" w:themeColor="text1"/>
          <w:sz w:val="16"/>
        </w:rPr>
        <w:t>Fuente</w:t>
      </w:r>
      <w:r w:rsidRPr="000E1D34">
        <w:rPr>
          <w:rFonts w:ascii="Arial" w:hAnsi="Arial" w:cs="Arial"/>
          <w:color w:val="000000" w:themeColor="text1"/>
          <w:sz w:val="16"/>
        </w:rPr>
        <w:t xml:space="preserve">: </w:t>
      </w:r>
      <w:r w:rsidR="00AD302D">
        <w:rPr>
          <w:rFonts w:ascii="Arial" w:hAnsi="Arial" w:cs="Arial"/>
          <w:color w:val="000000" w:themeColor="text1"/>
          <w:sz w:val="16"/>
        </w:rPr>
        <w:t>WM</w:t>
      </w:r>
      <w:r w:rsidR="00AD302D">
        <w:rPr>
          <w:rFonts w:ascii="Arial" w:hAnsi="Arial" w:cs="Arial"/>
          <w:color w:val="000000" w:themeColor="text1"/>
          <w:sz w:val="16"/>
        </w:rPr>
        <w:fldChar w:fldCharType="begin"/>
      </w:r>
      <w:r w:rsidR="00AD302D">
        <w:rPr>
          <w:rFonts w:ascii="Arial" w:hAnsi="Arial" w:cs="Arial"/>
          <w:color w:val="000000" w:themeColor="text1"/>
          <w:sz w:val="16"/>
        </w:rPr>
        <w:instrText xml:space="preserve"> REF _Ref529881535 \r \h </w:instrText>
      </w:r>
      <w:r w:rsidR="00AD302D">
        <w:rPr>
          <w:rFonts w:ascii="Arial" w:hAnsi="Arial" w:cs="Arial"/>
          <w:color w:val="000000" w:themeColor="text1"/>
          <w:sz w:val="16"/>
        </w:rPr>
      </w:r>
      <w:r w:rsidR="00AD302D">
        <w:rPr>
          <w:rFonts w:ascii="Arial" w:hAnsi="Arial" w:cs="Arial"/>
          <w:color w:val="000000" w:themeColor="text1"/>
          <w:sz w:val="16"/>
        </w:rPr>
        <w:fldChar w:fldCharType="separate"/>
      </w:r>
      <w:r w:rsidR="00915705">
        <w:rPr>
          <w:rFonts w:ascii="Arial" w:hAnsi="Arial" w:cs="Arial"/>
          <w:color w:val="000000" w:themeColor="text1"/>
          <w:sz w:val="16"/>
        </w:rPr>
        <w:t>[10]</w:t>
      </w:r>
      <w:r w:rsidR="00AD302D">
        <w:rPr>
          <w:rFonts w:ascii="Arial" w:hAnsi="Arial" w:cs="Arial"/>
          <w:color w:val="000000" w:themeColor="text1"/>
          <w:sz w:val="16"/>
        </w:rPr>
        <w:fldChar w:fldCharType="end"/>
      </w:r>
      <w:r w:rsidR="00AD302D">
        <w:rPr>
          <w:rFonts w:ascii="Arial" w:hAnsi="Arial" w:cs="Arial"/>
          <w:color w:val="000000" w:themeColor="text1"/>
          <w:sz w:val="16"/>
        </w:rPr>
        <w:t xml:space="preserve">, </w:t>
      </w:r>
      <w:r w:rsidRPr="000E1D34">
        <w:rPr>
          <w:rFonts w:ascii="Arial" w:hAnsi="Arial" w:cs="Arial"/>
          <w:color w:val="000000" w:themeColor="text1"/>
          <w:sz w:val="16"/>
        </w:rPr>
        <w:t>EIA</w:t>
      </w:r>
      <w:r w:rsidR="00AD302D">
        <w:rPr>
          <w:rFonts w:ascii="Arial" w:hAnsi="Arial" w:cs="Arial"/>
          <w:color w:val="000000" w:themeColor="text1"/>
          <w:sz w:val="16"/>
        </w:rPr>
        <w:fldChar w:fldCharType="begin"/>
      </w:r>
      <w:r w:rsidR="00AD302D">
        <w:rPr>
          <w:rFonts w:ascii="Arial" w:hAnsi="Arial" w:cs="Arial"/>
          <w:color w:val="000000" w:themeColor="text1"/>
          <w:sz w:val="16"/>
        </w:rPr>
        <w:instrText xml:space="preserve"> REF _Ref529881539 \r \h </w:instrText>
      </w:r>
      <w:r w:rsidR="00AD302D">
        <w:rPr>
          <w:rFonts w:ascii="Arial" w:hAnsi="Arial" w:cs="Arial"/>
          <w:color w:val="000000" w:themeColor="text1"/>
          <w:sz w:val="16"/>
        </w:rPr>
      </w:r>
      <w:r w:rsidR="00AD302D">
        <w:rPr>
          <w:rFonts w:ascii="Arial" w:hAnsi="Arial" w:cs="Arial"/>
          <w:color w:val="000000" w:themeColor="text1"/>
          <w:sz w:val="16"/>
        </w:rPr>
        <w:fldChar w:fldCharType="separate"/>
      </w:r>
      <w:r w:rsidR="00915705">
        <w:rPr>
          <w:rFonts w:ascii="Arial" w:hAnsi="Arial" w:cs="Arial"/>
          <w:color w:val="000000" w:themeColor="text1"/>
          <w:sz w:val="16"/>
        </w:rPr>
        <w:t>[11]</w:t>
      </w:r>
      <w:r w:rsidR="00AD302D">
        <w:rPr>
          <w:rFonts w:ascii="Arial" w:hAnsi="Arial" w:cs="Arial"/>
          <w:color w:val="000000" w:themeColor="text1"/>
          <w:sz w:val="16"/>
        </w:rPr>
        <w:fldChar w:fldCharType="end"/>
      </w:r>
      <w:r w:rsidR="00AD302D">
        <w:rPr>
          <w:rFonts w:ascii="Arial" w:hAnsi="Arial" w:cs="Arial"/>
          <w:color w:val="000000" w:themeColor="text1"/>
          <w:sz w:val="16"/>
        </w:rPr>
        <w:t>, ECP</w:t>
      </w:r>
      <w:r w:rsidR="00AD302D">
        <w:rPr>
          <w:rFonts w:ascii="Arial" w:hAnsi="Arial" w:cs="Arial"/>
          <w:color w:val="000000" w:themeColor="text1"/>
          <w:sz w:val="16"/>
        </w:rPr>
        <w:fldChar w:fldCharType="begin"/>
      </w:r>
      <w:r w:rsidR="00AD302D">
        <w:rPr>
          <w:rFonts w:ascii="Arial" w:hAnsi="Arial" w:cs="Arial"/>
          <w:color w:val="000000" w:themeColor="text1"/>
          <w:sz w:val="16"/>
        </w:rPr>
        <w:instrText xml:space="preserve"> REF _Ref529882807 \r \h </w:instrText>
      </w:r>
      <w:r w:rsidR="00AD302D">
        <w:rPr>
          <w:rFonts w:ascii="Arial" w:hAnsi="Arial" w:cs="Arial"/>
          <w:color w:val="000000" w:themeColor="text1"/>
          <w:sz w:val="16"/>
        </w:rPr>
      </w:r>
      <w:r w:rsidR="00AD302D">
        <w:rPr>
          <w:rFonts w:ascii="Arial" w:hAnsi="Arial" w:cs="Arial"/>
          <w:color w:val="000000" w:themeColor="text1"/>
          <w:sz w:val="16"/>
        </w:rPr>
        <w:fldChar w:fldCharType="separate"/>
      </w:r>
      <w:r w:rsidR="00915705">
        <w:rPr>
          <w:rFonts w:ascii="Arial" w:hAnsi="Arial" w:cs="Arial"/>
          <w:color w:val="000000" w:themeColor="text1"/>
          <w:sz w:val="16"/>
        </w:rPr>
        <w:t>[20]</w:t>
      </w:r>
      <w:r w:rsidR="00AD302D">
        <w:rPr>
          <w:rFonts w:ascii="Arial" w:hAnsi="Arial" w:cs="Arial"/>
          <w:color w:val="000000" w:themeColor="text1"/>
          <w:sz w:val="16"/>
        </w:rPr>
        <w:fldChar w:fldCharType="end"/>
      </w:r>
      <w:r w:rsidR="00AD302D">
        <w:rPr>
          <w:rFonts w:ascii="Arial" w:hAnsi="Arial" w:cs="Arial"/>
          <w:color w:val="000000" w:themeColor="text1"/>
          <w:sz w:val="16"/>
        </w:rPr>
        <w:t xml:space="preserve">, </w:t>
      </w:r>
      <w:r w:rsidRPr="000E1D34">
        <w:rPr>
          <w:rFonts w:ascii="Arial" w:hAnsi="Arial" w:cs="Arial"/>
          <w:color w:val="000000" w:themeColor="text1"/>
          <w:sz w:val="16"/>
        </w:rPr>
        <w:t>UPME</w:t>
      </w:r>
    </w:p>
    <w:p w14:paraId="2AD7BA38" w14:textId="77777777" w:rsidR="00914134" w:rsidRPr="008F00C2" w:rsidRDefault="00914134" w:rsidP="00914134">
      <w:pPr>
        <w:spacing w:before="240" w:after="240" w:line="276" w:lineRule="auto"/>
        <w:jc w:val="both"/>
        <w:rPr>
          <w:rFonts w:ascii="Arial" w:hAnsi="Arial" w:cs="Arial"/>
          <w:sz w:val="22"/>
        </w:rPr>
      </w:pPr>
      <w:r w:rsidRPr="008F00C2">
        <w:rPr>
          <w:rFonts w:ascii="Arial" w:hAnsi="Arial" w:cs="Arial"/>
          <w:sz w:val="22"/>
        </w:rPr>
        <w:t xml:space="preserve">Las plantas térmicas que utilizan el Fuel Oil son Barranquilla y Cartagena, tomando como centro de producción la refinería de Barrancabermeja, con los puntos de entrega o descarga mencionados en la </w:t>
      </w:r>
      <w:r w:rsidRPr="008F00C2">
        <w:rPr>
          <w:rFonts w:ascii="Arial" w:hAnsi="Arial" w:cs="Arial"/>
          <w:sz w:val="22"/>
          <w:szCs w:val="22"/>
        </w:rPr>
        <w:fldChar w:fldCharType="begin"/>
      </w:r>
      <w:r w:rsidRPr="008F00C2">
        <w:rPr>
          <w:rFonts w:ascii="Arial" w:hAnsi="Arial" w:cs="Arial"/>
          <w:sz w:val="22"/>
          <w:szCs w:val="22"/>
        </w:rPr>
        <w:instrText xml:space="preserve"> REF _Ref514764438 \h  \* MERGEFORMAT </w:instrText>
      </w:r>
      <w:r w:rsidRPr="008F00C2">
        <w:rPr>
          <w:rFonts w:ascii="Arial" w:hAnsi="Arial" w:cs="Arial"/>
          <w:sz w:val="22"/>
          <w:szCs w:val="22"/>
        </w:rPr>
      </w:r>
      <w:r w:rsidRPr="008F00C2">
        <w:rPr>
          <w:rFonts w:ascii="Arial" w:hAnsi="Arial" w:cs="Arial"/>
          <w:sz w:val="22"/>
          <w:szCs w:val="22"/>
        </w:rPr>
        <w:fldChar w:fldCharType="separate"/>
      </w:r>
      <w:r w:rsidR="00915705" w:rsidRPr="008F00C2">
        <w:rPr>
          <w:rFonts w:ascii="Arial" w:hAnsi="Arial" w:cs="Arial"/>
          <w:sz w:val="22"/>
          <w:szCs w:val="22"/>
        </w:rPr>
        <w:t xml:space="preserve">Tabla </w:t>
      </w:r>
      <w:r w:rsidR="00915705" w:rsidRPr="008F00C2">
        <w:rPr>
          <w:rFonts w:ascii="Arial" w:hAnsi="Arial" w:cs="Arial"/>
          <w:noProof/>
          <w:sz w:val="22"/>
          <w:szCs w:val="22"/>
        </w:rPr>
        <w:t>5</w:t>
      </w:r>
      <w:r w:rsidR="00915705" w:rsidRPr="008F00C2">
        <w:rPr>
          <w:rFonts w:ascii="Arial" w:hAnsi="Arial" w:cs="Arial"/>
          <w:noProof/>
          <w:sz w:val="22"/>
          <w:szCs w:val="22"/>
        </w:rPr>
        <w:noBreakHyphen/>
        <w:t>1</w:t>
      </w:r>
      <w:r w:rsidRPr="008F00C2">
        <w:rPr>
          <w:rFonts w:ascii="Arial" w:hAnsi="Arial" w:cs="Arial"/>
          <w:sz w:val="22"/>
          <w:szCs w:val="22"/>
        </w:rPr>
        <w:fldChar w:fldCharType="end"/>
      </w:r>
      <w:r w:rsidRPr="008F00C2">
        <w:rPr>
          <w:rFonts w:ascii="Arial" w:hAnsi="Arial" w:cs="Arial"/>
          <w:sz w:val="22"/>
        </w:rPr>
        <w:t xml:space="preserve">. A continuación, </w:t>
      </w:r>
      <w:r w:rsidRPr="008F00C2">
        <w:rPr>
          <w:rFonts w:ascii="Arial" w:hAnsi="Arial" w:cs="Arial"/>
          <w:sz w:val="22"/>
          <w:szCs w:val="22"/>
        </w:rPr>
        <w:fldChar w:fldCharType="begin"/>
      </w:r>
      <w:r w:rsidRPr="008F00C2">
        <w:rPr>
          <w:rFonts w:ascii="Arial" w:hAnsi="Arial" w:cs="Arial"/>
          <w:sz w:val="22"/>
          <w:szCs w:val="22"/>
        </w:rPr>
        <w:instrText xml:space="preserve"> REF _Ref529863969 \h  \* MERGEFORMAT </w:instrText>
      </w:r>
      <w:r w:rsidRPr="008F00C2">
        <w:rPr>
          <w:rFonts w:ascii="Arial" w:hAnsi="Arial" w:cs="Arial"/>
          <w:sz w:val="22"/>
          <w:szCs w:val="22"/>
        </w:rPr>
      </w:r>
      <w:r w:rsidRPr="008F00C2">
        <w:rPr>
          <w:rFonts w:ascii="Arial" w:hAnsi="Arial" w:cs="Arial"/>
          <w:sz w:val="22"/>
          <w:szCs w:val="22"/>
        </w:rPr>
        <w:fldChar w:fldCharType="separate"/>
      </w:r>
      <w:r w:rsidR="00915705" w:rsidRPr="008F00C2">
        <w:rPr>
          <w:rFonts w:ascii="Arial" w:hAnsi="Arial" w:cs="Arial"/>
          <w:sz w:val="22"/>
          <w:szCs w:val="22"/>
        </w:rPr>
        <w:t xml:space="preserve">Gráfica </w:t>
      </w:r>
      <w:r w:rsidR="00915705" w:rsidRPr="008F00C2">
        <w:rPr>
          <w:rFonts w:ascii="Arial" w:hAnsi="Arial" w:cs="Arial"/>
          <w:noProof/>
          <w:sz w:val="22"/>
          <w:szCs w:val="22"/>
        </w:rPr>
        <w:t>5</w:t>
      </w:r>
      <w:r w:rsidR="00915705" w:rsidRPr="008F00C2">
        <w:rPr>
          <w:rFonts w:ascii="Arial" w:hAnsi="Arial" w:cs="Arial"/>
          <w:noProof/>
          <w:sz w:val="22"/>
          <w:szCs w:val="22"/>
        </w:rPr>
        <w:noBreakHyphen/>
        <w:t>4</w:t>
      </w:r>
      <w:r w:rsidRPr="008F00C2">
        <w:rPr>
          <w:rFonts w:ascii="Arial" w:hAnsi="Arial" w:cs="Arial"/>
          <w:sz w:val="22"/>
          <w:szCs w:val="22"/>
        </w:rPr>
        <w:fldChar w:fldCharType="end"/>
      </w:r>
      <w:r w:rsidRPr="008F00C2">
        <w:rPr>
          <w:rFonts w:ascii="Arial" w:hAnsi="Arial" w:cs="Arial"/>
          <w:sz w:val="22"/>
        </w:rPr>
        <w:t xml:space="preserve"> presenta la proyección del precio final en planta de generación correspondiente al escenario base o de referencia.</w:t>
      </w:r>
    </w:p>
    <w:p w14:paraId="310FC565" w14:textId="77777777" w:rsidR="00914134" w:rsidRPr="008F00C2" w:rsidRDefault="00914134" w:rsidP="00914134">
      <w:pPr>
        <w:pStyle w:val="Descripcin"/>
        <w:keepNext/>
        <w:spacing w:after="0"/>
        <w:jc w:val="center"/>
        <w:rPr>
          <w:b/>
          <w:i w:val="0"/>
          <w:color w:val="auto"/>
          <w:sz w:val="20"/>
        </w:rPr>
      </w:pPr>
      <w:bookmarkStart w:id="304" w:name="_Ref514764438"/>
      <w:bookmarkStart w:id="305" w:name="_Toc529889751"/>
      <w:r w:rsidRPr="008F00C2">
        <w:rPr>
          <w:b/>
          <w:i w:val="0"/>
          <w:color w:val="auto"/>
          <w:sz w:val="20"/>
        </w:rPr>
        <w:t xml:space="preserve">Tabla </w:t>
      </w:r>
      <w:r w:rsidRPr="008F00C2">
        <w:rPr>
          <w:b/>
          <w:i w:val="0"/>
          <w:color w:val="auto"/>
          <w:sz w:val="20"/>
        </w:rPr>
        <w:fldChar w:fldCharType="begin"/>
      </w:r>
      <w:r w:rsidRPr="008F00C2">
        <w:rPr>
          <w:b/>
          <w:i w:val="0"/>
          <w:color w:val="auto"/>
          <w:sz w:val="20"/>
        </w:rPr>
        <w:instrText xml:space="preserve"> STYLEREF 1 \s </w:instrText>
      </w:r>
      <w:r w:rsidRPr="008F00C2">
        <w:rPr>
          <w:b/>
          <w:i w:val="0"/>
          <w:color w:val="auto"/>
          <w:sz w:val="20"/>
        </w:rPr>
        <w:fldChar w:fldCharType="separate"/>
      </w:r>
      <w:r w:rsidR="00915705" w:rsidRPr="008F00C2">
        <w:rPr>
          <w:b/>
          <w:i w:val="0"/>
          <w:noProof/>
          <w:color w:val="auto"/>
          <w:sz w:val="20"/>
        </w:rPr>
        <w:t>5</w:t>
      </w:r>
      <w:r w:rsidRPr="008F00C2">
        <w:rPr>
          <w:b/>
          <w:i w:val="0"/>
          <w:color w:val="auto"/>
          <w:sz w:val="20"/>
        </w:rPr>
        <w:fldChar w:fldCharType="end"/>
      </w:r>
      <w:r w:rsidRPr="008F00C2">
        <w:rPr>
          <w:b/>
          <w:i w:val="0"/>
          <w:color w:val="auto"/>
          <w:sz w:val="20"/>
        </w:rPr>
        <w:noBreakHyphen/>
      </w:r>
      <w:r w:rsidRPr="008F00C2">
        <w:rPr>
          <w:b/>
          <w:i w:val="0"/>
          <w:color w:val="auto"/>
          <w:sz w:val="20"/>
        </w:rPr>
        <w:fldChar w:fldCharType="begin"/>
      </w:r>
      <w:r w:rsidRPr="008F00C2">
        <w:rPr>
          <w:b/>
          <w:i w:val="0"/>
          <w:color w:val="auto"/>
          <w:sz w:val="20"/>
        </w:rPr>
        <w:instrText xml:space="preserve"> SEQ Tabla \* ARABIC \s 1 </w:instrText>
      </w:r>
      <w:r w:rsidRPr="008F00C2">
        <w:rPr>
          <w:b/>
          <w:i w:val="0"/>
          <w:color w:val="auto"/>
          <w:sz w:val="20"/>
        </w:rPr>
        <w:fldChar w:fldCharType="separate"/>
      </w:r>
      <w:r w:rsidR="00915705" w:rsidRPr="008F00C2">
        <w:rPr>
          <w:b/>
          <w:i w:val="0"/>
          <w:noProof/>
          <w:color w:val="auto"/>
          <w:sz w:val="20"/>
        </w:rPr>
        <w:t>1</w:t>
      </w:r>
      <w:r w:rsidRPr="008F00C2">
        <w:rPr>
          <w:b/>
          <w:i w:val="0"/>
          <w:color w:val="auto"/>
          <w:sz w:val="20"/>
        </w:rPr>
        <w:fldChar w:fldCharType="end"/>
      </w:r>
      <w:bookmarkEnd w:id="304"/>
      <w:r w:rsidRPr="008F00C2">
        <w:rPr>
          <w:b/>
          <w:i w:val="0"/>
          <w:color w:val="auto"/>
          <w:sz w:val="20"/>
        </w:rPr>
        <w:t xml:space="preserve">. </w:t>
      </w:r>
      <w:r w:rsidRPr="008F00C2">
        <w:rPr>
          <w:i w:val="0"/>
          <w:color w:val="auto"/>
          <w:sz w:val="20"/>
        </w:rPr>
        <w:t>Plantas de generación que consumen Fuel Oíl</w:t>
      </w:r>
      <w:bookmarkEnd w:id="305"/>
    </w:p>
    <w:tbl>
      <w:tblPr>
        <w:tblW w:w="5000" w:type="pct"/>
        <w:jc w:val="center"/>
        <w:tblLook w:val="04A0" w:firstRow="1" w:lastRow="0" w:firstColumn="1" w:lastColumn="0" w:noHBand="0" w:noVBand="1"/>
      </w:tblPr>
      <w:tblGrid>
        <w:gridCol w:w="2302"/>
        <w:gridCol w:w="1417"/>
        <w:gridCol w:w="2006"/>
        <w:gridCol w:w="1301"/>
        <w:gridCol w:w="1437"/>
        <w:gridCol w:w="1392"/>
      </w:tblGrid>
      <w:tr w:rsidR="00914134" w:rsidRPr="008F00C2" w14:paraId="7DBA1718" w14:textId="77777777" w:rsidTr="0024531A">
        <w:trPr>
          <w:trHeight w:val="388"/>
          <w:jc w:val="center"/>
        </w:trPr>
        <w:tc>
          <w:tcPr>
            <w:tcW w:w="1168" w:type="pct"/>
            <w:tcBorders>
              <w:top w:val="double" w:sz="4" w:space="0" w:color="auto"/>
              <w:bottom w:val="single" w:sz="4" w:space="0" w:color="auto"/>
            </w:tcBorders>
            <w:shd w:val="clear" w:color="auto" w:fill="FFFFFF" w:themeFill="background1"/>
            <w:noWrap/>
            <w:vAlign w:val="center"/>
            <w:hideMark/>
          </w:tcPr>
          <w:p w14:paraId="45147F5E" w14:textId="77777777" w:rsidR="00914134" w:rsidRPr="008F00C2" w:rsidRDefault="00914134" w:rsidP="0024531A">
            <w:pPr>
              <w:spacing w:line="276" w:lineRule="auto"/>
              <w:rPr>
                <w:rFonts w:ascii="Arial" w:hAnsi="Arial" w:cs="Arial"/>
                <w:sz w:val="20"/>
              </w:rPr>
            </w:pPr>
            <w:r w:rsidRPr="008F00C2">
              <w:rPr>
                <w:rFonts w:ascii="Arial" w:hAnsi="Arial" w:cs="Arial"/>
                <w:sz w:val="20"/>
              </w:rPr>
              <w:t> </w:t>
            </w:r>
          </w:p>
        </w:tc>
        <w:tc>
          <w:tcPr>
            <w:tcW w:w="719" w:type="pct"/>
            <w:tcBorders>
              <w:top w:val="double" w:sz="4" w:space="0" w:color="auto"/>
              <w:bottom w:val="single" w:sz="4" w:space="0" w:color="auto"/>
            </w:tcBorders>
            <w:shd w:val="clear" w:color="auto" w:fill="FFFFFF" w:themeFill="background1"/>
            <w:vAlign w:val="center"/>
            <w:hideMark/>
          </w:tcPr>
          <w:p w14:paraId="3E672485" w14:textId="77777777" w:rsidR="00914134" w:rsidRPr="008F00C2" w:rsidRDefault="00914134" w:rsidP="0024531A">
            <w:pPr>
              <w:spacing w:line="276" w:lineRule="auto"/>
              <w:jc w:val="center"/>
              <w:rPr>
                <w:rFonts w:ascii="Arial" w:hAnsi="Arial" w:cs="Arial"/>
                <w:b/>
                <w:bCs/>
                <w:sz w:val="20"/>
              </w:rPr>
            </w:pPr>
            <w:r w:rsidRPr="008F00C2">
              <w:rPr>
                <w:rFonts w:ascii="Arial" w:hAnsi="Arial" w:cs="Arial"/>
                <w:b/>
                <w:bCs/>
                <w:sz w:val="20"/>
              </w:rPr>
              <w:t>UBICACIÓN</w:t>
            </w:r>
          </w:p>
        </w:tc>
        <w:tc>
          <w:tcPr>
            <w:tcW w:w="1018" w:type="pct"/>
            <w:tcBorders>
              <w:top w:val="double" w:sz="4" w:space="0" w:color="auto"/>
              <w:bottom w:val="single" w:sz="4" w:space="0" w:color="auto"/>
            </w:tcBorders>
            <w:shd w:val="clear" w:color="auto" w:fill="FFFFFF" w:themeFill="background1"/>
            <w:vAlign w:val="center"/>
            <w:hideMark/>
          </w:tcPr>
          <w:p w14:paraId="15F0E753" w14:textId="77777777" w:rsidR="00914134" w:rsidRPr="008F00C2" w:rsidRDefault="00914134" w:rsidP="0024531A">
            <w:pPr>
              <w:spacing w:line="276" w:lineRule="auto"/>
              <w:jc w:val="center"/>
              <w:rPr>
                <w:rFonts w:ascii="Arial" w:hAnsi="Arial" w:cs="Arial"/>
                <w:b/>
                <w:bCs/>
                <w:sz w:val="20"/>
              </w:rPr>
            </w:pPr>
            <w:r w:rsidRPr="008F00C2">
              <w:rPr>
                <w:rFonts w:ascii="Arial" w:hAnsi="Arial" w:cs="Arial"/>
                <w:b/>
                <w:bCs/>
                <w:sz w:val="20"/>
              </w:rPr>
              <w:t>DEPARTAMENTO</w:t>
            </w:r>
          </w:p>
        </w:tc>
        <w:tc>
          <w:tcPr>
            <w:tcW w:w="660" w:type="pct"/>
            <w:tcBorders>
              <w:top w:val="double" w:sz="4" w:space="0" w:color="auto"/>
              <w:bottom w:val="single" w:sz="4" w:space="0" w:color="auto"/>
            </w:tcBorders>
            <w:shd w:val="clear" w:color="auto" w:fill="FFFFFF" w:themeFill="background1"/>
            <w:vAlign w:val="center"/>
            <w:hideMark/>
          </w:tcPr>
          <w:p w14:paraId="55E708EF" w14:textId="77777777" w:rsidR="00914134" w:rsidRPr="008F00C2" w:rsidRDefault="00914134" w:rsidP="0024531A">
            <w:pPr>
              <w:spacing w:line="276" w:lineRule="auto"/>
              <w:jc w:val="center"/>
              <w:rPr>
                <w:rFonts w:ascii="Arial" w:hAnsi="Arial" w:cs="Arial"/>
                <w:b/>
                <w:bCs/>
                <w:sz w:val="20"/>
              </w:rPr>
            </w:pPr>
            <w:r w:rsidRPr="008F00C2">
              <w:rPr>
                <w:rFonts w:ascii="Arial" w:hAnsi="Arial" w:cs="Arial"/>
                <w:b/>
                <w:bCs/>
                <w:sz w:val="20"/>
              </w:rPr>
              <w:t>CIUDAD/</w:t>
            </w:r>
          </w:p>
          <w:p w14:paraId="1B4E91FE" w14:textId="77777777" w:rsidR="00914134" w:rsidRPr="008F00C2" w:rsidRDefault="00914134" w:rsidP="0024531A">
            <w:pPr>
              <w:spacing w:line="276" w:lineRule="auto"/>
              <w:jc w:val="center"/>
              <w:rPr>
                <w:rFonts w:ascii="Arial" w:hAnsi="Arial" w:cs="Arial"/>
                <w:b/>
                <w:bCs/>
                <w:sz w:val="20"/>
              </w:rPr>
            </w:pPr>
            <w:r w:rsidRPr="008F00C2">
              <w:rPr>
                <w:rFonts w:ascii="Arial" w:hAnsi="Arial" w:cs="Arial"/>
                <w:b/>
                <w:bCs/>
                <w:sz w:val="20"/>
              </w:rPr>
              <w:t>MUNICIPIO</w:t>
            </w:r>
          </w:p>
        </w:tc>
        <w:tc>
          <w:tcPr>
            <w:tcW w:w="729" w:type="pct"/>
            <w:tcBorders>
              <w:top w:val="double" w:sz="4" w:space="0" w:color="auto"/>
              <w:bottom w:val="single" w:sz="4" w:space="0" w:color="auto"/>
            </w:tcBorders>
            <w:shd w:val="clear" w:color="auto" w:fill="FFFFFF" w:themeFill="background1"/>
            <w:vAlign w:val="center"/>
            <w:hideMark/>
          </w:tcPr>
          <w:p w14:paraId="30437698" w14:textId="77777777" w:rsidR="00914134" w:rsidRPr="008F00C2" w:rsidRDefault="00914134" w:rsidP="0024531A">
            <w:pPr>
              <w:spacing w:line="276" w:lineRule="auto"/>
              <w:jc w:val="center"/>
              <w:rPr>
                <w:rFonts w:ascii="Arial" w:hAnsi="Arial" w:cs="Arial"/>
                <w:b/>
                <w:bCs/>
                <w:sz w:val="20"/>
              </w:rPr>
            </w:pPr>
            <w:r w:rsidRPr="008F00C2">
              <w:rPr>
                <w:rFonts w:ascii="Arial" w:hAnsi="Arial" w:cs="Arial"/>
                <w:b/>
                <w:bCs/>
                <w:sz w:val="20"/>
              </w:rPr>
              <w:t>FUENTE</w:t>
            </w:r>
          </w:p>
        </w:tc>
        <w:tc>
          <w:tcPr>
            <w:tcW w:w="706" w:type="pct"/>
            <w:tcBorders>
              <w:top w:val="double" w:sz="4" w:space="0" w:color="auto"/>
              <w:bottom w:val="single" w:sz="4" w:space="0" w:color="auto"/>
            </w:tcBorders>
            <w:shd w:val="clear" w:color="auto" w:fill="FFFFFF" w:themeFill="background1"/>
            <w:vAlign w:val="center"/>
            <w:hideMark/>
          </w:tcPr>
          <w:p w14:paraId="27297D56" w14:textId="77777777" w:rsidR="00914134" w:rsidRPr="008F00C2" w:rsidRDefault="00914134" w:rsidP="0024531A">
            <w:pPr>
              <w:spacing w:line="276" w:lineRule="auto"/>
              <w:jc w:val="center"/>
              <w:rPr>
                <w:rFonts w:ascii="Arial" w:hAnsi="Arial" w:cs="Arial"/>
                <w:b/>
                <w:bCs/>
                <w:sz w:val="20"/>
                <w:lang w:val="en-US"/>
              </w:rPr>
            </w:pPr>
            <w:r w:rsidRPr="008F00C2">
              <w:rPr>
                <w:rFonts w:ascii="Arial" w:hAnsi="Arial" w:cs="Arial"/>
                <w:b/>
                <w:bCs/>
                <w:sz w:val="20"/>
              </w:rPr>
              <w:t>DESCA</w:t>
            </w:r>
            <w:r w:rsidRPr="008F00C2">
              <w:rPr>
                <w:rFonts w:ascii="Arial" w:hAnsi="Arial" w:cs="Arial"/>
                <w:b/>
                <w:bCs/>
                <w:sz w:val="20"/>
                <w:lang w:val="en-US"/>
              </w:rPr>
              <w:t>RGA</w:t>
            </w:r>
          </w:p>
        </w:tc>
      </w:tr>
      <w:tr w:rsidR="00914134" w:rsidRPr="008F00C2" w14:paraId="70033551" w14:textId="77777777" w:rsidTr="0024531A">
        <w:trPr>
          <w:trHeight w:val="454"/>
          <w:jc w:val="center"/>
        </w:trPr>
        <w:tc>
          <w:tcPr>
            <w:tcW w:w="1168" w:type="pct"/>
            <w:tcBorders>
              <w:top w:val="single" w:sz="4" w:space="0" w:color="auto"/>
              <w:bottom w:val="single" w:sz="4" w:space="0" w:color="auto"/>
            </w:tcBorders>
            <w:shd w:val="clear" w:color="auto" w:fill="FFFFFF" w:themeFill="background1"/>
            <w:noWrap/>
            <w:vAlign w:val="center"/>
            <w:hideMark/>
          </w:tcPr>
          <w:p w14:paraId="6714DF2A" w14:textId="77777777" w:rsidR="00914134" w:rsidRPr="008F00C2" w:rsidRDefault="00914134" w:rsidP="0024531A">
            <w:pPr>
              <w:spacing w:line="276" w:lineRule="auto"/>
              <w:rPr>
                <w:rFonts w:ascii="Arial" w:hAnsi="Arial" w:cs="Arial"/>
                <w:b/>
                <w:bCs/>
                <w:sz w:val="20"/>
              </w:rPr>
            </w:pPr>
            <w:r w:rsidRPr="008F00C2">
              <w:rPr>
                <w:rFonts w:ascii="Arial" w:hAnsi="Arial" w:cs="Arial"/>
                <w:b/>
                <w:bCs/>
                <w:sz w:val="20"/>
              </w:rPr>
              <w:t>TERMOB/QUILLA</w:t>
            </w:r>
          </w:p>
        </w:tc>
        <w:tc>
          <w:tcPr>
            <w:tcW w:w="719" w:type="pct"/>
            <w:tcBorders>
              <w:top w:val="single" w:sz="4" w:space="0" w:color="auto"/>
              <w:bottom w:val="single" w:sz="4" w:space="0" w:color="auto"/>
            </w:tcBorders>
            <w:shd w:val="clear" w:color="auto" w:fill="FFFFFF" w:themeFill="background1"/>
            <w:noWrap/>
            <w:vAlign w:val="center"/>
            <w:hideMark/>
          </w:tcPr>
          <w:p w14:paraId="26C23A62" w14:textId="77777777" w:rsidR="00914134" w:rsidRPr="008F00C2" w:rsidRDefault="00914134" w:rsidP="0024531A">
            <w:pPr>
              <w:spacing w:line="276" w:lineRule="auto"/>
              <w:jc w:val="center"/>
              <w:rPr>
                <w:rFonts w:ascii="Arial" w:hAnsi="Arial" w:cs="Arial"/>
                <w:sz w:val="20"/>
              </w:rPr>
            </w:pPr>
            <w:r w:rsidRPr="008F00C2">
              <w:rPr>
                <w:rFonts w:ascii="Arial" w:hAnsi="Arial" w:cs="Arial"/>
                <w:sz w:val="20"/>
              </w:rPr>
              <w:t>Costa</w:t>
            </w:r>
          </w:p>
        </w:tc>
        <w:tc>
          <w:tcPr>
            <w:tcW w:w="1018" w:type="pct"/>
            <w:tcBorders>
              <w:top w:val="single" w:sz="4" w:space="0" w:color="auto"/>
              <w:bottom w:val="single" w:sz="4" w:space="0" w:color="auto"/>
            </w:tcBorders>
            <w:shd w:val="clear" w:color="auto" w:fill="FFFFFF" w:themeFill="background1"/>
            <w:noWrap/>
            <w:vAlign w:val="center"/>
            <w:hideMark/>
          </w:tcPr>
          <w:p w14:paraId="04467934" w14:textId="77777777" w:rsidR="00914134" w:rsidRPr="008F00C2" w:rsidRDefault="00914134" w:rsidP="0024531A">
            <w:pPr>
              <w:spacing w:line="276" w:lineRule="auto"/>
              <w:jc w:val="center"/>
              <w:rPr>
                <w:rFonts w:ascii="Arial" w:hAnsi="Arial" w:cs="Arial"/>
                <w:sz w:val="20"/>
              </w:rPr>
            </w:pPr>
            <w:r w:rsidRPr="008F00C2">
              <w:rPr>
                <w:rFonts w:ascii="Arial" w:hAnsi="Arial" w:cs="Arial"/>
                <w:sz w:val="20"/>
              </w:rPr>
              <w:t>Atlántico</w:t>
            </w:r>
          </w:p>
        </w:tc>
        <w:tc>
          <w:tcPr>
            <w:tcW w:w="660" w:type="pct"/>
            <w:tcBorders>
              <w:top w:val="single" w:sz="4" w:space="0" w:color="auto"/>
              <w:bottom w:val="single" w:sz="4" w:space="0" w:color="auto"/>
            </w:tcBorders>
            <w:shd w:val="clear" w:color="auto" w:fill="FFFFFF" w:themeFill="background1"/>
            <w:noWrap/>
            <w:vAlign w:val="center"/>
            <w:hideMark/>
          </w:tcPr>
          <w:p w14:paraId="1EA46AD4" w14:textId="77777777" w:rsidR="00914134" w:rsidRPr="008F00C2" w:rsidRDefault="00914134" w:rsidP="0024531A">
            <w:pPr>
              <w:spacing w:line="276" w:lineRule="auto"/>
              <w:jc w:val="center"/>
              <w:rPr>
                <w:rFonts w:ascii="Arial" w:hAnsi="Arial" w:cs="Arial"/>
                <w:sz w:val="20"/>
              </w:rPr>
            </w:pPr>
            <w:r w:rsidRPr="008F00C2">
              <w:rPr>
                <w:rFonts w:ascii="Arial" w:hAnsi="Arial" w:cs="Arial"/>
                <w:sz w:val="20"/>
              </w:rPr>
              <w:t>Soledad</w:t>
            </w:r>
          </w:p>
        </w:tc>
        <w:tc>
          <w:tcPr>
            <w:tcW w:w="729" w:type="pct"/>
            <w:tcBorders>
              <w:top w:val="single" w:sz="4" w:space="0" w:color="auto"/>
              <w:bottom w:val="single" w:sz="4" w:space="0" w:color="auto"/>
            </w:tcBorders>
            <w:shd w:val="clear" w:color="auto" w:fill="FFFFFF" w:themeFill="background1"/>
            <w:noWrap/>
            <w:vAlign w:val="center"/>
            <w:hideMark/>
          </w:tcPr>
          <w:p w14:paraId="24A2FD91" w14:textId="77777777" w:rsidR="00914134" w:rsidRPr="008F00C2" w:rsidRDefault="00914134" w:rsidP="0024531A">
            <w:pPr>
              <w:spacing w:line="276" w:lineRule="auto"/>
              <w:jc w:val="center"/>
              <w:rPr>
                <w:rFonts w:ascii="Arial" w:hAnsi="Arial" w:cs="Arial"/>
                <w:sz w:val="20"/>
              </w:rPr>
            </w:pPr>
            <w:r w:rsidRPr="008F00C2">
              <w:rPr>
                <w:rFonts w:ascii="Arial" w:hAnsi="Arial" w:cs="Arial"/>
                <w:sz w:val="20"/>
              </w:rPr>
              <w:t>R. Cartagena</w:t>
            </w:r>
          </w:p>
        </w:tc>
        <w:tc>
          <w:tcPr>
            <w:tcW w:w="706" w:type="pct"/>
            <w:tcBorders>
              <w:top w:val="single" w:sz="4" w:space="0" w:color="auto"/>
              <w:bottom w:val="single" w:sz="4" w:space="0" w:color="auto"/>
            </w:tcBorders>
            <w:shd w:val="clear" w:color="auto" w:fill="FFFFFF" w:themeFill="background1"/>
            <w:noWrap/>
            <w:vAlign w:val="center"/>
            <w:hideMark/>
          </w:tcPr>
          <w:p w14:paraId="1BE66025" w14:textId="77777777" w:rsidR="00914134" w:rsidRPr="008F00C2" w:rsidRDefault="00914134" w:rsidP="0024531A">
            <w:pPr>
              <w:spacing w:line="276" w:lineRule="auto"/>
              <w:jc w:val="center"/>
              <w:rPr>
                <w:rFonts w:ascii="Arial" w:hAnsi="Arial" w:cs="Arial"/>
                <w:sz w:val="20"/>
              </w:rPr>
            </w:pPr>
            <w:r w:rsidRPr="008F00C2">
              <w:rPr>
                <w:rFonts w:ascii="Arial" w:hAnsi="Arial" w:cs="Arial"/>
                <w:sz w:val="20"/>
              </w:rPr>
              <w:t>Baranoa</w:t>
            </w:r>
          </w:p>
        </w:tc>
      </w:tr>
      <w:tr w:rsidR="00914134" w:rsidRPr="008F00C2" w14:paraId="0CF1769A" w14:textId="77777777" w:rsidTr="0024531A">
        <w:trPr>
          <w:trHeight w:val="454"/>
          <w:jc w:val="center"/>
        </w:trPr>
        <w:tc>
          <w:tcPr>
            <w:tcW w:w="1168" w:type="pct"/>
            <w:tcBorders>
              <w:top w:val="single" w:sz="4" w:space="0" w:color="auto"/>
              <w:bottom w:val="double" w:sz="4" w:space="0" w:color="auto"/>
            </w:tcBorders>
            <w:shd w:val="clear" w:color="auto" w:fill="FFFFFF" w:themeFill="background1"/>
            <w:noWrap/>
            <w:vAlign w:val="center"/>
            <w:hideMark/>
          </w:tcPr>
          <w:p w14:paraId="46216860" w14:textId="77777777" w:rsidR="00914134" w:rsidRPr="008F00C2" w:rsidRDefault="00914134" w:rsidP="0024531A">
            <w:pPr>
              <w:spacing w:line="276" w:lineRule="auto"/>
              <w:rPr>
                <w:rFonts w:ascii="Arial" w:hAnsi="Arial" w:cs="Arial"/>
                <w:b/>
                <w:bCs/>
                <w:sz w:val="20"/>
                <w:lang w:val="en-US"/>
              </w:rPr>
            </w:pPr>
            <w:r w:rsidRPr="008F00C2">
              <w:rPr>
                <w:rFonts w:ascii="Arial" w:hAnsi="Arial" w:cs="Arial"/>
                <w:b/>
                <w:bCs/>
                <w:sz w:val="20"/>
                <w:lang w:val="en-US"/>
              </w:rPr>
              <w:t>TERMOCARTAGENA</w:t>
            </w:r>
          </w:p>
        </w:tc>
        <w:tc>
          <w:tcPr>
            <w:tcW w:w="719" w:type="pct"/>
            <w:tcBorders>
              <w:top w:val="single" w:sz="4" w:space="0" w:color="auto"/>
              <w:bottom w:val="double" w:sz="4" w:space="0" w:color="auto"/>
            </w:tcBorders>
            <w:shd w:val="clear" w:color="auto" w:fill="FFFFFF" w:themeFill="background1"/>
            <w:noWrap/>
            <w:vAlign w:val="center"/>
            <w:hideMark/>
          </w:tcPr>
          <w:p w14:paraId="0AADFFC6" w14:textId="77777777" w:rsidR="00914134" w:rsidRPr="008F00C2" w:rsidRDefault="00914134" w:rsidP="0024531A">
            <w:pPr>
              <w:spacing w:line="276" w:lineRule="auto"/>
              <w:jc w:val="center"/>
              <w:rPr>
                <w:rFonts w:ascii="Arial" w:hAnsi="Arial" w:cs="Arial"/>
                <w:sz w:val="20"/>
                <w:lang w:val="en-US"/>
              </w:rPr>
            </w:pPr>
            <w:r w:rsidRPr="008F00C2">
              <w:rPr>
                <w:rFonts w:ascii="Arial" w:hAnsi="Arial" w:cs="Arial"/>
                <w:sz w:val="20"/>
                <w:lang w:val="en-US"/>
              </w:rPr>
              <w:t>Costa</w:t>
            </w:r>
          </w:p>
        </w:tc>
        <w:tc>
          <w:tcPr>
            <w:tcW w:w="1018" w:type="pct"/>
            <w:tcBorders>
              <w:top w:val="single" w:sz="4" w:space="0" w:color="auto"/>
              <w:bottom w:val="double" w:sz="4" w:space="0" w:color="auto"/>
            </w:tcBorders>
            <w:shd w:val="clear" w:color="auto" w:fill="FFFFFF" w:themeFill="background1"/>
            <w:noWrap/>
            <w:vAlign w:val="center"/>
            <w:hideMark/>
          </w:tcPr>
          <w:p w14:paraId="5039FAB0" w14:textId="77777777" w:rsidR="00914134" w:rsidRPr="008F00C2" w:rsidRDefault="00914134" w:rsidP="0024531A">
            <w:pPr>
              <w:spacing w:line="276" w:lineRule="auto"/>
              <w:jc w:val="center"/>
              <w:rPr>
                <w:rFonts w:ascii="Arial" w:hAnsi="Arial" w:cs="Arial"/>
                <w:sz w:val="20"/>
                <w:lang w:val="en-US"/>
              </w:rPr>
            </w:pPr>
            <w:r w:rsidRPr="008F00C2">
              <w:rPr>
                <w:rFonts w:ascii="Arial" w:hAnsi="Arial" w:cs="Arial"/>
                <w:sz w:val="20"/>
                <w:lang w:val="en-US"/>
              </w:rPr>
              <w:t>Bolívar</w:t>
            </w:r>
          </w:p>
        </w:tc>
        <w:tc>
          <w:tcPr>
            <w:tcW w:w="660" w:type="pct"/>
            <w:tcBorders>
              <w:top w:val="single" w:sz="4" w:space="0" w:color="auto"/>
              <w:bottom w:val="double" w:sz="4" w:space="0" w:color="auto"/>
            </w:tcBorders>
            <w:shd w:val="clear" w:color="auto" w:fill="FFFFFF" w:themeFill="background1"/>
            <w:noWrap/>
            <w:vAlign w:val="center"/>
            <w:hideMark/>
          </w:tcPr>
          <w:p w14:paraId="5B530EC6" w14:textId="77777777" w:rsidR="00914134" w:rsidRPr="008F00C2" w:rsidRDefault="00914134" w:rsidP="0024531A">
            <w:pPr>
              <w:spacing w:line="276" w:lineRule="auto"/>
              <w:jc w:val="center"/>
              <w:rPr>
                <w:rFonts w:ascii="Arial" w:hAnsi="Arial" w:cs="Arial"/>
                <w:sz w:val="20"/>
                <w:lang w:val="en-US"/>
              </w:rPr>
            </w:pPr>
            <w:r w:rsidRPr="008F00C2">
              <w:rPr>
                <w:rFonts w:ascii="Arial" w:hAnsi="Arial" w:cs="Arial"/>
                <w:sz w:val="20"/>
                <w:lang w:val="en-US"/>
              </w:rPr>
              <w:t>Cartagena</w:t>
            </w:r>
          </w:p>
        </w:tc>
        <w:tc>
          <w:tcPr>
            <w:tcW w:w="729" w:type="pct"/>
            <w:tcBorders>
              <w:top w:val="single" w:sz="4" w:space="0" w:color="auto"/>
              <w:bottom w:val="double" w:sz="4" w:space="0" w:color="auto"/>
            </w:tcBorders>
            <w:shd w:val="clear" w:color="auto" w:fill="FFFFFF" w:themeFill="background1"/>
            <w:noWrap/>
            <w:vAlign w:val="center"/>
            <w:hideMark/>
          </w:tcPr>
          <w:p w14:paraId="1C6A9DCB" w14:textId="77777777" w:rsidR="00914134" w:rsidRPr="008F00C2" w:rsidRDefault="00914134" w:rsidP="0024531A">
            <w:pPr>
              <w:spacing w:line="276" w:lineRule="auto"/>
              <w:jc w:val="center"/>
              <w:rPr>
                <w:rFonts w:ascii="Arial" w:hAnsi="Arial" w:cs="Arial"/>
                <w:sz w:val="20"/>
              </w:rPr>
            </w:pPr>
            <w:r w:rsidRPr="008F00C2">
              <w:rPr>
                <w:rFonts w:ascii="Arial" w:hAnsi="Arial" w:cs="Arial"/>
                <w:sz w:val="20"/>
              </w:rPr>
              <w:t>R. Cartagena</w:t>
            </w:r>
          </w:p>
        </w:tc>
        <w:tc>
          <w:tcPr>
            <w:tcW w:w="706" w:type="pct"/>
            <w:tcBorders>
              <w:top w:val="single" w:sz="4" w:space="0" w:color="auto"/>
              <w:bottom w:val="double" w:sz="4" w:space="0" w:color="auto"/>
            </w:tcBorders>
            <w:shd w:val="clear" w:color="auto" w:fill="FFFFFF" w:themeFill="background1"/>
            <w:noWrap/>
            <w:vAlign w:val="center"/>
            <w:hideMark/>
          </w:tcPr>
          <w:p w14:paraId="413442BF" w14:textId="77777777" w:rsidR="00914134" w:rsidRPr="008F00C2" w:rsidRDefault="00914134" w:rsidP="0024531A">
            <w:pPr>
              <w:spacing w:line="276" w:lineRule="auto"/>
              <w:jc w:val="center"/>
              <w:rPr>
                <w:rFonts w:ascii="Arial" w:hAnsi="Arial" w:cs="Arial"/>
                <w:sz w:val="20"/>
              </w:rPr>
            </w:pPr>
            <w:r w:rsidRPr="008F00C2">
              <w:rPr>
                <w:rFonts w:ascii="Arial" w:hAnsi="Arial" w:cs="Arial"/>
                <w:sz w:val="20"/>
              </w:rPr>
              <w:t>Cartagena</w:t>
            </w:r>
          </w:p>
        </w:tc>
      </w:tr>
    </w:tbl>
    <w:p w14:paraId="265FA3ED" w14:textId="30332EC1" w:rsidR="00914134" w:rsidRPr="008F00C2" w:rsidRDefault="00914134" w:rsidP="00914134">
      <w:pPr>
        <w:spacing w:line="276" w:lineRule="auto"/>
        <w:jc w:val="center"/>
        <w:rPr>
          <w:rFonts w:ascii="Arial" w:hAnsi="Arial" w:cs="Arial"/>
          <w:color w:val="000000" w:themeColor="text1"/>
          <w:sz w:val="16"/>
        </w:rPr>
      </w:pPr>
      <w:r w:rsidRPr="008F00C2">
        <w:rPr>
          <w:rFonts w:ascii="Arial" w:hAnsi="Arial" w:cs="Arial"/>
          <w:b/>
          <w:color w:val="000000" w:themeColor="text1"/>
          <w:sz w:val="16"/>
        </w:rPr>
        <w:t>Fuente</w:t>
      </w:r>
      <w:r w:rsidRPr="008F00C2">
        <w:rPr>
          <w:rFonts w:ascii="Arial" w:hAnsi="Arial" w:cs="Arial"/>
          <w:color w:val="000000" w:themeColor="text1"/>
          <w:sz w:val="16"/>
        </w:rPr>
        <w:t>: XM</w:t>
      </w:r>
      <w:r w:rsidR="00AD302D" w:rsidRPr="008F00C2">
        <w:rPr>
          <w:rFonts w:ascii="Arial" w:hAnsi="Arial" w:cs="Arial"/>
          <w:color w:val="000000" w:themeColor="text1"/>
          <w:sz w:val="16"/>
        </w:rPr>
        <w:t xml:space="preserve"> </w:t>
      </w:r>
      <w:r w:rsidR="00AD302D" w:rsidRPr="008F00C2">
        <w:rPr>
          <w:rFonts w:ascii="Arial" w:hAnsi="Arial" w:cs="Arial"/>
          <w:color w:val="000000" w:themeColor="text1"/>
          <w:sz w:val="16"/>
        </w:rPr>
        <w:fldChar w:fldCharType="begin"/>
      </w:r>
      <w:r w:rsidR="00AD302D" w:rsidRPr="008F00C2">
        <w:rPr>
          <w:rFonts w:ascii="Arial" w:hAnsi="Arial" w:cs="Arial"/>
          <w:color w:val="000000" w:themeColor="text1"/>
          <w:sz w:val="16"/>
        </w:rPr>
        <w:instrText xml:space="preserve"> REF _Ref529881598 \r \h  \* MERGEFORMAT </w:instrText>
      </w:r>
      <w:r w:rsidR="00AD302D" w:rsidRPr="008F00C2">
        <w:rPr>
          <w:rFonts w:ascii="Arial" w:hAnsi="Arial" w:cs="Arial"/>
          <w:color w:val="000000" w:themeColor="text1"/>
          <w:sz w:val="16"/>
        </w:rPr>
      </w:r>
      <w:r w:rsidR="00AD302D" w:rsidRPr="008F00C2">
        <w:rPr>
          <w:rFonts w:ascii="Arial" w:hAnsi="Arial" w:cs="Arial"/>
          <w:color w:val="000000" w:themeColor="text1"/>
          <w:sz w:val="16"/>
        </w:rPr>
        <w:fldChar w:fldCharType="separate"/>
      </w:r>
      <w:r w:rsidR="00915705" w:rsidRPr="008F00C2">
        <w:rPr>
          <w:rFonts w:ascii="Arial" w:hAnsi="Arial" w:cs="Arial"/>
          <w:color w:val="000000" w:themeColor="text1"/>
          <w:sz w:val="16"/>
        </w:rPr>
        <w:t>[13]</w:t>
      </w:r>
      <w:r w:rsidR="00AD302D" w:rsidRPr="008F00C2">
        <w:rPr>
          <w:rFonts w:ascii="Arial" w:hAnsi="Arial" w:cs="Arial"/>
          <w:color w:val="000000" w:themeColor="text1"/>
          <w:sz w:val="16"/>
        </w:rPr>
        <w:fldChar w:fldCharType="end"/>
      </w:r>
    </w:p>
    <w:p w14:paraId="3E20747E" w14:textId="77777777" w:rsidR="00914134" w:rsidRPr="008F00C2" w:rsidRDefault="00914134" w:rsidP="00914134">
      <w:pPr>
        <w:pStyle w:val="Descripcin"/>
        <w:spacing w:after="0"/>
        <w:jc w:val="center"/>
        <w:rPr>
          <w:rFonts w:asciiTheme="majorHAnsi" w:hAnsiTheme="majorHAnsi"/>
          <w:b/>
          <w:i w:val="0"/>
          <w:color w:val="002060"/>
          <w:sz w:val="22"/>
          <w:szCs w:val="22"/>
        </w:rPr>
      </w:pPr>
      <w:bookmarkStart w:id="306" w:name="_Ref399409837"/>
      <w:bookmarkStart w:id="307" w:name="_Toc403641023"/>
      <w:bookmarkStart w:id="308" w:name="_Toc403641262"/>
      <w:bookmarkStart w:id="309" w:name="_Toc403641418"/>
      <w:bookmarkStart w:id="310" w:name="_Toc403641970"/>
      <w:bookmarkStart w:id="311" w:name="_Toc403642020"/>
      <w:bookmarkStart w:id="312" w:name="_Toc401316984"/>
      <w:bookmarkStart w:id="313" w:name="_Toc447098011"/>
      <w:bookmarkStart w:id="314" w:name="_Toc499799384"/>
    </w:p>
    <w:p w14:paraId="7E21E4DB" w14:textId="77777777" w:rsidR="00914134" w:rsidRPr="008F00C2" w:rsidRDefault="00914134" w:rsidP="00914134">
      <w:pPr>
        <w:pStyle w:val="Descripcin"/>
        <w:spacing w:after="0"/>
        <w:jc w:val="center"/>
        <w:rPr>
          <w:rFonts w:asciiTheme="majorHAnsi" w:hAnsiTheme="majorHAnsi"/>
          <w:b/>
          <w:i w:val="0"/>
          <w:color w:val="002060"/>
          <w:sz w:val="22"/>
          <w:szCs w:val="22"/>
        </w:rPr>
      </w:pPr>
    </w:p>
    <w:p w14:paraId="755592A7" w14:textId="56D57C2A" w:rsidR="00914134" w:rsidRPr="00213692" w:rsidRDefault="00914134" w:rsidP="00914134">
      <w:pPr>
        <w:pStyle w:val="Descripcin"/>
        <w:keepNext/>
        <w:spacing w:after="0"/>
        <w:jc w:val="center"/>
        <w:rPr>
          <w:b/>
          <w:i w:val="0"/>
          <w:color w:val="auto"/>
          <w:sz w:val="20"/>
          <w:highlight w:val="yellow"/>
        </w:rPr>
      </w:pPr>
      <w:bookmarkStart w:id="315" w:name="_Ref529863969"/>
      <w:bookmarkStart w:id="316" w:name="_Toc530033430"/>
      <w:r w:rsidRPr="00213692">
        <w:rPr>
          <w:b/>
          <w:i w:val="0"/>
          <w:color w:val="auto"/>
          <w:sz w:val="20"/>
          <w:highlight w:val="yellow"/>
        </w:rPr>
        <w:lastRenderedPageBreak/>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5</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4</w:t>
      </w:r>
      <w:r w:rsidR="00DA50A5">
        <w:rPr>
          <w:b/>
          <w:i w:val="0"/>
          <w:color w:val="auto"/>
          <w:sz w:val="20"/>
          <w:highlight w:val="yellow"/>
        </w:rPr>
        <w:fldChar w:fldCharType="end"/>
      </w:r>
      <w:bookmarkEnd w:id="306"/>
      <w:bookmarkEnd w:id="315"/>
      <w:r w:rsidRPr="00213692">
        <w:rPr>
          <w:b/>
          <w:i w:val="0"/>
          <w:color w:val="auto"/>
          <w:sz w:val="20"/>
        </w:rPr>
        <w:t xml:space="preserve">. </w:t>
      </w:r>
      <w:r w:rsidRPr="00213692">
        <w:rPr>
          <w:i w:val="0"/>
          <w:color w:val="auto"/>
          <w:sz w:val="20"/>
        </w:rPr>
        <w:t>Proyecciones del precio de referencia del Fuel Oíl Termo</w:t>
      </w:r>
      <w:r>
        <w:rPr>
          <w:i w:val="0"/>
          <w:color w:val="auto"/>
          <w:sz w:val="20"/>
        </w:rPr>
        <w:t xml:space="preserve"> B</w:t>
      </w:r>
      <w:r w:rsidRPr="00213692">
        <w:rPr>
          <w:i w:val="0"/>
          <w:color w:val="auto"/>
          <w:sz w:val="20"/>
        </w:rPr>
        <w:t>arranquilla</w:t>
      </w:r>
      <w:bookmarkEnd w:id="307"/>
      <w:bookmarkEnd w:id="308"/>
      <w:bookmarkEnd w:id="309"/>
      <w:bookmarkEnd w:id="310"/>
      <w:bookmarkEnd w:id="311"/>
      <w:bookmarkEnd w:id="312"/>
      <w:bookmarkEnd w:id="313"/>
      <w:bookmarkEnd w:id="314"/>
      <w:r>
        <w:rPr>
          <w:i w:val="0"/>
          <w:color w:val="auto"/>
          <w:sz w:val="20"/>
        </w:rPr>
        <w:t>-Cartagena-Emcali</w:t>
      </w:r>
      <w:bookmarkEnd w:id="316"/>
    </w:p>
    <w:p w14:paraId="6EE7FC7D" w14:textId="77777777" w:rsidR="00914134" w:rsidRPr="00AE3C75" w:rsidRDefault="00914134" w:rsidP="00914134">
      <w:pPr>
        <w:jc w:val="center"/>
        <w:rPr>
          <w:highlight w:val="yellow"/>
        </w:rPr>
      </w:pPr>
      <w:r w:rsidRPr="003610DE">
        <w:rPr>
          <w:noProof/>
          <w:lang w:val="es-ES" w:eastAsia="es-ES"/>
        </w:rPr>
        <w:drawing>
          <wp:inline distT="0" distB="0" distL="0" distR="0" wp14:anchorId="0C42E0DE" wp14:editId="7CB959D8">
            <wp:extent cx="5433695" cy="326199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33695" cy="3261995"/>
                    </a:xfrm>
                    <a:prstGeom prst="rect">
                      <a:avLst/>
                    </a:prstGeom>
                    <a:noFill/>
                    <a:ln>
                      <a:noFill/>
                    </a:ln>
                  </pic:spPr>
                </pic:pic>
              </a:graphicData>
            </a:graphic>
          </wp:inline>
        </w:drawing>
      </w:r>
    </w:p>
    <w:p w14:paraId="54CE2FEF" w14:textId="3630BFDF" w:rsidR="00914134" w:rsidRPr="00AE3C75" w:rsidRDefault="00914134" w:rsidP="00914134">
      <w:pPr>
        <w:jc w:val="center"/>
        <w:rPr>
          <w:rFonts w:cs="Arial"/>
          <w:color w:val="000000" w:themeColor="text1"/>
          <w:sz w:val="16"/>
        </w:rPr>
      </w:pPr>
      <w:r w:rsidRPr="000E1D34">
        <w:rPr>
          <w:rFonts w:ascii="Arial" w:hAnsi="Arial" w:cs="Arial"/>
          <w:b/>
          <w:color w:val="000000" w:themeColor="text1"/>
          <w:sz w:val="16"/>
        </w:rPr>
        <w:t>Fuente:</w:t>
      </w:r>
      <w:r w:rsidRPr="000E1D34">
        <w:rPr>
          <w:rFonts w:ascii="Arial" w:hAnsi="Arial" w:cs="Arial"/>
          <w:color w:val="000000" w:themeColor="text1"/>
          <w:sz w:val="16"/>
        </w:rPr>
        <w:t xml:space="preserve"> </w:t>
      </w:r>
      <w:r w:rsidR="00AD302D" w:rsidRPr="000E1D34">
        <w:rPr>
          <w:rFonts w:ascii="Arial" w:hAnsi="Arial" w:cs="Arial"/>
          <w:color w:val="000000" w:themeColor="text1"/>
          <w:sz w:val="16"/>
        </w:rPr>
        <w:t>EIA</w:t>
      </w:r>
      <w:r w:rsidR="00AD302D">
        <w:rPr>
          <w:rFonts w:ascii="Arial" w:hAnsi="Arial" w:cs="Arial"/>
          <w:color w:val="000000" w:themeColor="text1"/>
          <w:sz w:val="16"/>
        </w:rPr>
        <w:fldChar w:fldCharType="begin"/>
      </w:r>
      <w:r w:rsidR="00AD302D">
        <w:rPr>
          <w:rFonts w:ascii="Arial" w:hAnsi="Arial" w:cs="Arial"/>
          <w:color w:val="000000" w:themeColor="text1"/>
          <w:sz w:val="16"/>
        </w:rPr>
        <w:instrText xml:space="preserve"> REF _Ref529881539 \r \h </w:instrText>
      </w:r>
      <w:r w:rsidR="00AD302D">
        <w:rPr>
          <w:rFonts w:ascii="Arial" w:hAnsi="Arial" w:cs="Arial"/>
          <w:color w:val="000000" w:themeColor="text1"/>
          <w:sz w:val="16"/>
        </w:rPr>
      </w:r>
      <w:r w:rsidR="00AD302D">
        <w:rPr>
          <w:rFonts w:ascii="Arial" w:hAnsi="Arial" w:cs="Arial"/>
          <w:color w:val="000000" w:themeColor="text1"/>
          <w:sz w:val="16"/>
        </w:rPr>
        <w:fldChar w:fldCharType="separate"/>
      </w:r>
      <w:r w:rsidR="00915705">
        <w:rPr>
          <w:rFonts w:ascii="Arial" w:hAnsi="Arial" w:cs="Arial"/>
          <w:color w:val="000000" w:themeColor="text1"/>
          <w:sz w:val="16"/>
        </w:rPr>
        <w:t>[11]</w:t>
      </w:r>
      <w:r w:rsidR="00AD302D">
        <w:rPr>
          <w:rFonts w:ascii="Arial" w:hAnsi="Arial" w:cs="Arial"/>
          <w:color w:val="000000" w:themeColor="text1"/>
          <w:sz w:val="16"/>
        </w:rPr>
        <w:fldChar w:fldCharType="end"/>
      </w:r>
      <w:r w:rsidR="00AD302D">
        <w:rPr>
          <w:rFonts w:ascii="Arial" w:hAnsi="Arial" w:cs="Arial"/>
          <w:color w:val="000000" w:themeColor="text1"/>
          <w:sz w:val="16"/>
        </w:rPr>
        <w:t>, ECP</w:t>
      </w:r>
      <w:r w:rsidR="00AD302D">
        <w:rPr>
          <w:rFonts w:ascii="Arial" w:hAnsi="Arial" w:cs="Arial"/>
          <w:color w:val="000000" w:themeColor="text1"/>
          <w:sz w:val="16"/>
        </w:rPr>
        <w:fldChar w:fldCharType="begin"/>
      </w:r>
      <w:r w:rsidR="00AD302D">
        <w:rPr>
          <w:rFonts w:ascii="Arial" w:hAnsi="Arial" w:cs="Arial"/>
          <w:color w:val="000000" w:themeColor="text1"/>
          <w:sz w:val="16"/>
        </w:rPr>
        <w:instrText xml:space="preserve"> REF _Ref529882807 \r \h </w:instrText>
      </w:r>
      <w:r w:rsidR="00AD302D">
        <w:rPr>
          <w:rFonts w:ascii="Arial" w:hAnsi="Arial" w:cs="Arial"/>
          <w:color w:val="000000" w:themeColor="text1"/>
          <w:sz w:val="16"/>
        </w:rPr>
      </w:r>
      <w:r w:rsidR="00AD302D">
        <w:rPr>
          <w:rFonts w:ascii="Arial" w:hAnsi="Arial" w:cs="Arial"/>
          <w:color w:val="000000" w:themeColor="text1"/>
          <w:sz w:val="16"/>
        </w:rPr>
        <w:fldChar w:fldCharType="separate"/>
      </w:r>
      <w:r w:rsidR="00915705">
        <w:rPr>
          <w:rFonts w:ascii="Arial" w:hAnsi="Arial" w:cs="Arial"/>
          <w:color w:val="000000" w:themeColor="text1"/>
          <w:sz w:val="16"/>
        </w:rPr>
        <w:t>[20]</w:t>
      </w:r>
      <w:r w:rsidR="00AD302D">
        <w:rPr>
          <w:rFonts w:ascii="Arial" w:hAnsi="Arial" w:cs="Arial"/>
          <w:color w:val="000000" w:themeColor="text1"/>
          <w:sz w:val="16"/>
        </w:rPr>
        <w:fldChar w:fldCharType="end"/>
      </w:r>
      <w:r w:rsidR="00AD302D">
        <w:rPr>
          <w:rFonts w:ascii="Arial" w:hAnsi="Arial" w:cs="Arial"/>
          <w:color w:val="000000" w:themeColor="text1"/>
          <w:sz w:val="16"/>
        </w:rPr>
        <w:t xml:space="preserve">, </w:t>
      </w:r>
      <w:r w:rsidR="00AD302D" w:rsidRPr="000E1D34">
        <w:rPr>
          <w:rFonts w:ascii="Arial" w:hAnsi="Arial" w:cs="Arial"/>
          <w:color w:val="000000" w:themeColor="text1"/>
          <w:sz w:val="16"/>
        </w:rPr>
        <w:t>UPME</w:t>
      </w:r>
      <w:r w:rsidRPr="00AE3C75">
        <w:rPr>
          <w:rFonts w:cs="Arial"/>
          <w:color w:val="000000" w:themeColor="text1"/>
          <w:sz w:val="16"/>
        </w:rPr>
        <w:t>.</w:t>
      </w:r>
    </w:p>
    <w:p w14:paraId="0511CCA7" w14:textId="77777777" w:rsidR="00914134" w:rsidRPr="00127595" w:rsidRDefault="00914134" w:rsidP="00914134">
      <w:pPr>
        <w:spacing w:before="240" w:after="240" w:line="276" w:lineRule="auto"/>
        <w:jc w:val="both"/>
        <w:rPr>
          <w:rFonts w:ascii="Arial" w:hAnsi="Arial" w:cs="Arial"/>
          <w:sz w:val="22"/>
        </w:rPr>
      </w:pPr>
      <w:r w:rsidRPr="00127595">
        <w:rPr>
          <w:rFonts w:ascii="Arial" w:hAnsi="Arial" w:cs="Arial"/>
          <w:sz w:val="22"/>
        </w:rPr>
        <w:t>La estimación indica que los precios de referencia para las plantas de generación que usan Fuel Oíl son similares dado que la diferencia por el valor de transporte por poliducto es mínimo de acuerdo con los puntos de entrega anteriormente mencionados.</w:t>
      </w:r>
    </w:p>
    <w:p w14:paraId="16E4DA91" w14:textId="77777777" w:rsidR="00914134" w:rsidRPr="00127595" w:rsidRDefault="00914134" w:rsidP="00914134">
      <w:pPr>
        <w:spacing w:before="240" w:after="240" w:line="276" w:lineRule="auto"/>
        <w:jc w:val="both"/>
        <w:rPr>
          <w:rFonts w:ascii="Arial" w:hAnsi="Arial" w:cs="Arial"/>
          <w:sz w:val="22"/>
        </w:rPr>
      </w:pPr>
      <w:r w:rsidRPr="00127595">
        <w:rPr>
          <w:rFonts w:ascii="Arial" w:hAnsi="Arial" w:cs="Arial"/>
          <w:sz w:val="22"/>
        </w:rPr>
        <w:t xml:space="preserve">Se observó un aumento importante en el precio entre junio de 2017 y noviembre de 2017 pasando de $7.4 dólares por </w:t>
      </w:r>
      <w:r w:rsidRPr="00127595">
        <w:rPr>
          <w:rFonts w:ascii="Arial" w:hAnsi="Arial" w:cs="Arial"/>
          <w:sz w:val="22"/>
          <w:highlight w:val="cyan"/>
        </w:rPr>
        <w:t>MMBTU</w:t>
      </w:r>
      <w:r w:rsidRPr="00127595">
        <w:rPr>
          <w:rFonts w:ascii="Arial" w:hAnsi="Arial" w:cs="Arial"/>
          <w:sz w:val="22"/>
        </w:rPr>
        <w:t xml:space="preserve"> a $10.6 dólares por </w:t>
      </w:r>
      <w:r w:rsidRPr="00127595">
        <w:rPr>
          <w:rFonts w:ascii="Arial" w:hAnsi="Arial" w:cs="Arial"/>
          <w:sz w:val="22"/>
          <w:highlight w:val="cyan"/>
        </w:rPr>
        <w:t>MMBTU</w:t>
      </w:r>
      <w:r w:rsidRPr="00127595">
        <w:rPr>
          <w:rFonts w:ascii="Arial" w:hAnsi="Arial" w:cs="Arial"/>
          <w:sz w:val="22"/>
        </w:rPr>
        <w:t xml:space="preserve">, a partir de diciembre de 2017 se espera una disminución marginal en donde el precio promedio será de $9.5 dólares por </w:t>
      </w:r>
      <w:r w:rsidRPr="00127595">
        <w:rPr>
          <w:rFonts w:ascii="Arial" w:hAnsi="Arial" w:cs="Arial"/>
          <w:sz w:val="22"/>
          <w:highlight w:val="cyan"/>
        </w:rPr>
        <w:t>MMBTU</w:t>
      </w:r>
      <w:r>
        <w:rPr>
          <w:rFonts w:ascii="Arial" w:hAnsi="Arial" w:cs="Arial"/>
          <w:sz w:val="22"/>
        </w:rPr>
        <w:t xml:space="preserve"> </w:t>
      </w:r>
      <w:r w:rsidRPr="00127595">
        <w:rPr>
          <w:rFonts w:ascii="Arial" w:hAnsi="Arial" w:cs="Arial"/>
          <w:sz w:val="22"/>
        </w:rPr>
        <w:t xml:space="preserve">hasta noviembre de 2019. Finalmente, se proyecta un crecimiento a lo largo de toda la proyección reportando en el 2020 a 2024 una mayor tasa de crecimiento en comparación a los años siguientes, para llegar a los $15.4 dólares por </w:t>
      </w:r>
      <w:r w:rsidRPr="00127595">
        <w:rPr>
          <w:rFonts w:ascii="Arial" w:hAnsi="Arial" w:cs="Arial"/>
          <w:sz w:val="22"/>
          <w:highlight w:val="cyan"/>
        </w:rPr>
        <w:t>MMBTU</w:t>
      </w:r>
      <w:r w:rsidRPr="00127595">
        <w:rPr>
          <w:rFonts w:ascii="Arial" w:hAnsi="Arial" w:cs="Arial"/>
          <w:sz w:val="22"/>
        </w:rPr>
        <w:t xml:space="preserve"> en el año 2040. Lo anterior en dólares constantes de diciembre de 2017.</w:t>
      </w:r>
    </w:p>
    <w:p w14:paraId="64A1B37B" w14:textId="77777777" w:rsidR="00914134" w:rsidRDefault="00914134" w:rsidP="00914134">
      <w:pPr>
        <w:rPr>
          <w:sz w:val="16"/>
          <w:szCs w:val="16"/>
        </w:rPr>
      </w:pPr>
    </w:p>
    <w:p w14:paraId="2A6F687A" w14:textId="77777777" w:rsidR="00914134" w:rsidRDefault="00914134" w:rsidP="00914134">
      <w:pPr>
        <w:rPr>
          <w:sz w:val="16"/>
          <w:szCs w:val="16"/>
        </w:rPr>
        <w:sectPr w:rsidR="00914134" w:rsidSect="0024531A">
          <w:pgSz w:w="12240" w:h="15840" w:code="1"/>
          <w:pgMar w:top="1843" w:right="1183" w:bottom="1134" w:left="1418" w:header="284" w:footer="851" w:gutter="0"/>
          <w:pgBorders w:offsetFrom="page">
            <w:bottom w:val="single" w:sz="4" w:space="24" w:color="FFFFFF" w:themeColor="background1"/>
          </w:pgBorders>
          <w:cols w:space="720"/>
          <w:formProt w:val="0"/>
          <w:docGrid w:linePitch="360" w:charSpace="-6145"/>
        </w:sectPr>
      </w:pPr>
    </w:p>
    <w:p w14:paraId="0F07CE4A" w14:textId="77777777" w:rsidR="00914134" w:rsidRDefault="00914134" w:rsidP="00914134">
      <w:pPr>
        <w:pStyle w:val="Ttulo1"/>
      </w:pPr>
      <w:bookmarkStart w:id="317" w:name="_Toc530045850"/>
      <w:r>
        <w:lastRenderedPageBreak/>
        <w:t>GASOLINA</w:t>
      </w:r>
      <w:bookmarkEnd w:id="317"/>
      <w:r>
        <w:t xml:space="preserve"> </w:t>
      </w:r>
    </w:p>
    <w:p w14:paraId="3981A8AD" w14:textId="667DD187" w:rsidR="00914134" w:rsidRPr="00127595" w:rsidRDefault="00914134" w:rsidP="00914134">
      <w:pPr>
        <w:spacing w:before="240" w:after="240" w:line="276" w:lineRule="auto"/>
        <w:jc w:val="both"/>
        <w:rPr>
          <w:rFonts w:ascii="Arial" w:hAnsi="Arial" w:cs="Arial"/>
          <w:sz w:val="22"/>
        </w:rPr>
      </w:pPr>
      <w:r w:rsidRPr="00127595">
        <w:rPr>
          <w:rFonts w:ascii="Arial" w:hAnsi="Arial" w:cs="Arial"/>
          <w:sz w:val="22"/>
        </w:rPr>
        <w:t xml:space="preserve">La estimación del precio de la gasolina motor corriente se realizó aplicando la normatividad establecida por el Ministerio de Minas y Energía definida en la Resolución 82439 del 23 de diciembre de 1998 y </w:t>
      </w:r>
      <w:r w:rsidR="006C37AA">
        <w:rPr>
          <w:rFonts w:ascii="Arial" w:hAnsi="Arial" w:cs="Arial"/>
          <w:sz w:val="22"/>
        </w:rPr>
        <w:t>modificación mediante Resolución 41281 del 30 de diciembre 2016</w:t>
      </w:r>
      <w:r w:rsidRPr="00127595">
        <w:rPr>
          <w:rFonts w:ascii="Arial" w:hAnsi="Arial" w:cs="Arial"/>
          <w:sz w:val="22"/>
        </w:rPr>
        <w:t>. Se debe recordar que actualmente ninguna planta térmica usa gasolina para generación y por lo tanto, los ejercicios mostrados más adelante están enfocados en el precio de venta en Estación de Servicio para la ciudad de Bogotá. La estructura del precio nacional de la gasolina motor corriente contempla los siguientes ítems:</w:t>
      </w:r>
    </w:p>
    <w:p w14:paraId="3E30CCBD" w14:textId="77777777" w:rsidR="00914134" w:rsidRPr="003E0614" w:rsidRDefault="00914134" w:rsidP="00914134">
      <w:pPr>
        <w:spacing w:line="276" w:lineRule="auto"/>
        <w:rPr>
          <w:rFonts w:ascii="Cambria Math" w:hAnsi="Cambria Math" w:cs="Arial"/>
          <w:i/>
        </w:rPr>
      </w:pPr>
      <m:oMathPara>
        <m:oMath>
          <m:r>
            <w:rPr>
              <w:rFonts w:ascii="Cambria Math" w:hAnsi="Cambria Math"/>
            </w:rPr>
            <m:t>PMV=IP+IN+IVA+IC+Tm+Tt+Mpc+Mdma+ST</m:t>
          </m:r>
          <m:r>
            <w:rPr>
              <w:rFonts w:ascii="Cambria Math" w:hAnsi="Cambria Math" w:cs="Arial"/>
            </w:rPr>
            <m:t>+Mdmi+PE+</m:t>
          </m:r>
          <m:r>
            <w:rPr>
              <w:rFonts w:ascii="Cambria Math" w:hAnsi="Cambria Math"/>
            </w:rPr>
            <m:t>Tp+I</m:t>
          </m:r>
          <m:r>
            <w:rPr>
              <w:rFonts w:ascii="Cambria Math" w:hAnsi="Cambria Math" w:cs="Arial"/>
            </w:rPr>
            <m:t>VA MY</m:t>
          </m:r>
        </m:oMath>
      </m:oMathPara>
    </w:p>
    <w:p w14:paraId="712B4AF8" w14:textId="77777777" w:rsidR="00914134" w:rsidRPr="003E0614" w:rsidRDefault="00914134" w:rsidP="00E67D05">
      <w:pPr>
        <w:tabs>
          <w:tab w:val="left" w:pos="1103"/>
        </w:tabs>
        <w:spacing w:line="276" w:lineRule="auto"/>
        <w:ind w:left="1103" w:hanging="1103"/>
        <w:rPr>
          <w:rFonts w:ascii="Cambria Math" w:hAnsi="Cambria Math" w:cs="Arial"/>
          <w:i/>
        </w:rPr>
      </w:pPr>
      <w:r w:rsidRPr="003E0614">
        <w:rPr>
          <w:rFonts w:ascii="Arial" w:hAnsi="Arial" w:cs="Arial"/>
          <w:sz w:val="22"/>
        </w:rPr>
        <w:t>Donde,</w:t>
      </w:r>
      <w:r w:rsidRPr="003E0614">
        <w:rPr>
          <w:rFonts w:ascii="Cambria Math" w:hAnsi="Cambria Math" w:cs="Arial"/>
          <w:i/>
        </w:rPr>
        <w:tab/>
      </w:r>
    </w:p>
    <w:p w14:paraId="24E803E8" w14:textId="77777777" w:rsidR="00914134" w:rsidRPr="003E0614" w:rsidRDefault="00914134" w:rsidP="00914134">
      <w:pPr>
        <w:spacing w:line="276" w:lineRule="auto"/>
        <w:rPr>
          <w:rFonts w:ascii="Cambria Math" w:hAnsi="Cambria Math" w:cs="Arial"/>
          <w:i/>
        </w:rPr>
      </w:pPr>
    </w:p>
    <w:p w14:paraId="73EA9FD6" w14:textId="77777777" w:rsidR="00914134" w:rsidRPr="008C1C9E" w:rsidRDefault="00914134" w:rsidP="00914134">
      <w:pPr>
        <w:tabs>
          <w:tab w:val="left" w:pos="1843"/>
          <w:tab w:val="left" w:pos="1985"/>
        </w:tabs>
        <w:ind w:left="567" w:right="567"/>
        <w:rPr>
          <w:rFonts w:ascii="Cambria Math" w:hAnsi="Cambria Math" w:cs="Arial"/>
          <w:b/>
          <w:i/>
          <w:color w:val="000000" w:themeColor="text1"/>
        </w:rPr>
      </w:pPr>
      <m:oMath>
        <m:r>
          <m:rPr>
            <m:sty m:val="bi"/>
          </m:rPr>
          <w:rPr>
            <w:rFonts w:ascii="Cambria Math" w:hAnsi="Cambria Math"/>
            <w:color w:val="000000" w:themeColor="text1"/>
          </w:rPr>
          <m:t>PMV         =</m:t>
        </m:r>
        <m:r>
          <m:rPr>
            <m:sty m:val="p"/>
          </m:rPr>
          <w:rPr>
            <w:rFonts w:ascii="Cambria Math" w:hAnsi="Cambria Math"/>
            <w:color w:val="000000" w:themeColor="text1"/>
          </w:rPr>
          <m:t xml:space="preserve"> </m:t>
        </m:r>
      </m:oMath>
      <w:r>
        <w:rPr>
          <w:rFonts w:cs="Arial"/>
          <w:color w:val="000000" w:themeColor="text1"/>
        </w:rPr>
        <w:t xml:space="preserve"> </w:t>
      </w:r>
      <w:r w:rsidRPr="008C1C9E">
        <w:rPr>
          <w:rFonts w:ascii="Cambria Math" w:hAnsi="Cambria Math" w:cs="Arial"/>
          <w:color w:val="000000" w:themeColor="text1"/>
          <w:sz w:val="20"/>
          <w:szCs w:val="20"/>
        </w:rPr>
        <w:t>Precio de venta por galón</w:t>
      </w:r>
    </w:p>
    <w:p w14:paraId="0B02DCAA" w14:textId="77777777" w:rsidR="00914134" w:rsidRPr="008C1C9E"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IP              = </m:t>
        </m:r>
      </m:oMath>
      <w:r>
        <w:rPr>
          <w:rFonts w:cs="Arial"/>
          <w:b/>
          <w:color w:val="000000" w:themeColor="text1"/>
        </w:rPr>
        <w:t xml:space="preserve"> </w:t>
      </w:r>
      <w:r w:rsidRPr="008C1C9E">
        <w:rPr>
          <w:rFonts w:ascii="Cambria Math" w:hAnsi="Cambria Math" w:cs="Arial"/>
          <w:color w:val="000000" w:themeColor="text1"/>
          <w:sz w:val="20"/>
          <w:szCs w:val="20"/>
        </w:rPr>
        <w:t>Ingreso al Productor</w:t>
      </w:r>
    </w:p>
    <w:p w14:paraId="07D82C6B" w14:textId="77777777" w:rsidR="00914134" w:rsidRPr="008C1C9E"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IN              = </m:t>
        </m:r>
      </m:oMath>
      <w:r>
        <w:rPr>
          <w:rFonts w:cs="Arial"/>
          <w:b/>
          <w:color w:val="000000" w:themeColor="text1"/>
        </w:rPr>
        <w:t xml:space="preserve"> </w:t>
      </w:r>
      <w:r w:rsidRPr="008C1C9E">
        <w:rPr>
          <w:rFonts w:ascii="Cambria Math" w:hAnsi="Cambria Math" w:cs="Arial"/>
          <w:color w:val="000000" w:themeColor="text1"/>
          <w:sz w:val="20"/>
          <w:szCs w:val="20"/>
        </w:rPr>
        <w:t>Impuesto Nacional</w:t>
      </w:r>
    </w:p>
    <w:p w14:paraId="0B2CC35D" w14:textId="77777777" w:rsidR="00914134" w:rsidRPr="008C1C9E"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IVA           = </m:t>
        </m:r>
      </m:oMath>
      <w:r>
        <w:rPr>
          <w:rFonts w:cs="Arial"/>
          <w:b/>
          <w:color w:val="000000" w:themeColor="text1"/>
        </w:rPr>
        <w:t xml:space="preserve"> </w:t>
      </w:r>
      <w:r w:rsidRPr="008C1C9E">
        <w:rPr>
          <w:rFonts w:ascii="Cambria Math" w:hAnsi="Cambria Math" w:cs="Arial"/>
          <w:color w:val="000000" w:themeColor="text1"/>
          <w:sz w:val="20"/>
          <w:szCs w:val="20"/>
        </w:rPr>
        <w:t>Impuesto al Valor Agregado</w:t>
      </w:r>
    </w:p>
    <w:p w14:paraId="4F4F8CFE" w14:textId="77777777" w:rsidR="00914134" w:rsidRPr="008C1C9E"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IC              = </m:t>
        </m:r>
      </m:oMath>
      <w:r>
        <w:rPr>
          <w:rFonts w:cs="Arial"/>
          <w:b/>
          <w:color w:val="000000" w:themeColor="text1"/>
        </w:rPr>
        <w:t xml:space="preserve"> </w:t>
      </w:r>
      <w:r w:rsidRPr="008C1C9E">
        <w:rPr>
          <w:rFonts w:ascii="Cambria Math" w:hAnsi="Cambria Math" w:cs="Arial"/>
          <w:color w:val="000000" w:themeColor="text1"/>
          <w:sz w:val="20"/>
          <w:szCs w:val="20"/>
        </w:rPr>
        <w:t>Impuesto al Carbono</w:t>
      </w:r>
    </w:p>
    <w:p w14:paraId="39E0CDAE" w14:textId="77777777" w:rsidR="00914134" w:rsidRPr="008C1C9E"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Tm            =</m:t>
        </m:r>
      </m:oMath>
      <w:r>
        <w:rPr>
          <w:rFonts w:cs="Arial"/>
          <w:b/>
          <w:color w:val="000000" w:themeColor="text1"/>
        </w:rPr>
        <w:t xml:space="preserve"> </w:t>
      </w:r>
      <w:r w:rsidRPr="008C1C9E">
        <w:rPr>
          <w:rFonts w:ascii="Cambria Math" w:hAnsi="Cambria Math" w:cs="Arial"/>
          <w:color w:val="000000" w:themeColor="text1"/>
          <w:sz w:val="20"/>
          <w:szCs w:val="20"/>
        </w:rPr>
        <w:t>Tarifa de marcación</w:t>
      </w:r>
    </w:p>
    <w:p w14:paraId="003F6B26" w14:textId="77777777" w:rsidR="00914134" w:rsidRPr="008C1C9E"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Tt              = </m:t>
        </m:r>
      </m:oMath>
      <w:r>
        <w:rPr>
          <w:rFonts w:cs="Arial"/>
          <w:b/>
          <w:color w:val="000000" w:themeColor="text1"/>
        </w:rPr>
        <w:t xml:space="preserve"> </w:t>
      </w:r>
      <w:r w:rsidRPr="008C1C9E">
        <w:rPr>
          <w:rFonts w:ascii="Cambria Math" w:hAnsi="Cambria Math" w:cs="Arial"/>
          <w:color w:val="000000" w:themeColor="text1"/>
          <w:sz w:val="20"/>
          <w:szCs w:val="20"/>
        </w:rPr>
        <w:t>Tarifa de transporte</w:t>
      </w:r>
    </w:p>
    <w:p w14:paraId="1BFE499A" w14:textId="77777777" w:rsidR="00914134" w:rsidRPr="008C1C9E"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Mpc          = </m:t>
        </m:r>
      </m:oMath>
      <w:r>
        <w:rPr>
          <w:rFonts w:cs="Arial"/>
          <w:b/>
          <w:color w:val="000000" w:themeColor="text1"/>
        </w:rPr>
        <w:t xml:space="preserve"> </w:t>
      </w:r>
      <w:r w:rsidRPr="008C1C9E">
        <w:rPr>
          <w:rFonts w:ascii="Cambria Math" w:hAnsi="Cambria Math" w:cs="Arial"/>
          <w:color w:val="000000" w:themeColor="text1"/>
          <w:sz w:val="20"/>
          <w:szCs w:val="20"/>
        </w:rPr>
        <w:t>Margen Plan de Continuidad</w:t>
      </w:r>
    </w:p>
    <w:p w14:paraId="055A66A7" w14:textId="77777777" w:rsidR="00914134" w:rsidRPr="008C1C9E"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Mdma     = </m:t>
        </m:r>
      </m:oMath>
      <w:r>
        <w:rPr>
          <w:rFonts w:cs="Arial"/>
          <w:b/>
          <w:color w:val="000000" w:themeColor="text1"/>
        </w:rPr>
        <w:t xml:space="preserve"> </w:t>
      </w:r>
      <w:r w:rsidRPr="008C1C9E">
        <w:rPr>
          <w:rFonts w:ascii="Cambria Math" w:hAnsi="Cambria Math" w:cs="Arial"/>
          <w:color w:val="000000" w:themeColor="text1"/>
          <w:sz w:val="20"/>
          <w:szCs w:val="20"/>
        </w:rPr>
        <w:t>Margen al distribuidor Mayorista</w:t>
      </w:r>
    </w:p>
    <w:p w14:paraId="24831BCC" w14:textId="77777777" w:rsidR="008F00C2" w:rsidRPr="008C1C9E" w:rsidRDefault="008F00C2" w:rsidP="008F00C2">
      <w:pPr>
        <w:tabs>
          <w:tab w:val="left" w:pos="1843"/>
          <w:tab w:val="left" w:pos="1985"/>
        </w:tabs>
        <w:ind w:left="567" w:right="567"/>
        <w:rPr>
          <w:rFonts w:ascii="Arial" w:hAnsi="Arial" w:cs="Arial"/>
          <w:b/>
          <w:i/>
          <w:color w:val="000000" w:themeColor="text1"/>
        </w:rPr>
      </w:pPr>
      <m:oMath>
        <m:r>
          <m:rPr>
            <m:sty m:val="bi"/>
          </m:rPr>
          <w:rPr>
            <w:rFonts w:ascii="Cambria Math" w:hAnsi="Cambria Math"/>
            <w:color w:val="000000" w:themeColor="text1"/>
          </w:rPr>
          <m:t xml:space="preserve">IVA MY   = </m:t>
        </m:r>
      </m:oMath>
      <w:r w:rsidRPr="003610DE">
        <w:rPr>
          <w:rFonts w:ascii="Cambria Math" w:hAnsi="Cambria Math" w:cs="Arial"/>
          <w:b/>
          <w:color w:val="000000" w:themeColor="text1"/>
        </w:rPr>
        <w:t xml:space="preserve"> </w:t>
      </w:r>
      <w:r w:rsidRPr="003610DE">
        <w:rPr>
          <w:rFonts w:ascii="Cambria Math" w:hAnsi="Cambria Math" w:cs="Arial"/>
          <w:color w:val="000000" w:themeColor="text1"/>
          <w:sz w:val="20"/>
          <w:szCs w:val="20"/>
        </w:rPr>
        <w:t xml:space="preserve">IVA </w:t>
      </w:r>
      <w:r w:rsidRPr="008F00C2">
        <w:rPr>
          <w:rFonts w:ascii="Cambria Math" w:hAnsi="Cambria Math" w:cs="Arial"/>
          <w:color w:val="000000" w:themeColor="text1"/>
          <w:sz w:val="20"/>
          <w:szCs w:val="20"/>
        </w:rPr>
        <w:t>Margen Mayorista</w:t>
      </w:r>
    </w:p>
    <w:p w14:paraId="7820BE06" w14:textId="77777777" w:rsidR="00914134" w:rsidRPr="008C1C9E" w:rsidRDefault="00914134" w:rsidP="00914134">
      <w:pPr>
        <w:tabs>
          <w:tab w:val="left" w:pos="1560"/>
          <w:tab w:val="left" w:pos="1843"/>
          <w:tab w:val="left" w:pos="1985"/>
        </w:tabs>
        <w:ind w:left="567" w:right="567"/>
        <w:rPr>
          <w:rFonts w:ascii="Cambria Math" w:hAnsi="Cambria Math" w:cs="Arial"/>
          <w:color w:val="000000" w:themeColor="text1"/>
          <w:sz w:val="20"/>
          <w:szCs w:val="20"/>
        </w:rPr>
      </w:pPr>
      <m:oMath>
        <m:r>
          <m:rPr>
            <m:sty m:val="bi"/>
          </m:rPr>
          <w:rPr>
            <w:rFonts w:ascii="Cambria Math" w:hAnsi="Cambria Math"/>
            <w:color w:val="000000" w:themeColor="text1"/>
          </w:rPr>
          <m:t xml:space="preserve">ST              = </m:t>
        </m:r>
      </m:oMath>
      <w:r>
        <w:rPr>
          <w:rFonts w:cs="Arial"/>
          <w:b/>
          <w:color w:val="000000" w:themeColor="text1"/>
        </w:rPr>
        <w:t xml:space="preserve"> </w:t>
      </w:r>
      <w:r w:rsidRPr="008C1C9E">
        <w:rPr>
          <w:rFonts w:ascii="Cambria Math" w:hAnsi="Cambria Math" w:cs="Arial"/>
          <w:color w:val="000000" w:themeColor="text1"/>
          <w:sz w:val="20"/>
          <w:szCs w:val="20"/>
        </w:rPr>
        <w:t>Impuesto de Sobretasa</w:t>
      </w:r>
    </w:p>
    <w:p w14:paraId="1B26F693" w14:textId="77777777" w:rsidR="00914134" w:rsidRPr="008C1C9E"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Mdmi      = </m:t>
        </m:r>
      </m:oMath>
      <w:r>
        <w:rPr>
          <w:rFonts w:cs="Arial"/>
          <w:b/>
          <w:color w:val="000000" w:themeColor="text1"/>
        </w:rPr>
        <w:t xml:space="preserve"> </w:t>
      </w:r>
      <w:r w:rsidRPr="008C1C9E">
        <w:rPr>
          <w:rFonts w:ascii="Cambria Math" w:hAnsi="Cambria Math" w:cs="Arial"/>
          <w:color w:val="000000" w:themeColor="text1"/>
          <w:sz w:val="20"/>
          <w:szCs w:val="20"/>
        </w:rPr>
        <w:t>Margen al distribuidor Minorista</w:t>
      </w:r>
    </w:p>
    <w:p w14:paraId="40CE2BC3" w14:textId="77777777" w:rsidR="00914134" w:rsidRPr="008C1C9E"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PE             = </m:t>
        </m:r>
      </m:oMath>
      <w:r>
        <w:rPr>
          <w:rFonts w:cs="Arial"/>
          <w:b/>
          <w:color w:val="000000" w:themeColor="text1"/>
        </w:rPr>
        <w:t xml:space="preserve"> </w:t>
      </w:r>
      <w:r w:rsidRPr="008C1C9E">
        <w:rPr>
          <w:rFonts w:ascii="Cambria Math" w:hAnsi="Cambria Math" w:cs="Arial"/>
          <w:color w:val="000000" w:themeColor="text1"/>
          <w:sz w:val="20"/>
          <w:szCs w:val="20"/>
        </w:rPr>
        <w:t>Perdida por evaporación.</w:t>
      </w:r>
    </w:p>
    <w:p w14:paraId="4071A0D2" w14:textId="77777777" w:rsidR="00914134" w:rsidRPr="008C1C9E"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Tp             = </m:t>
        </m:r>
      </m:oMath>
      <w:r>
        <w:rPr>
          <w:rFonts w:cs="Arial"/>
          <w:b/>
          <w:color w:val="000000" w:themeColor="text1"/>
        </w:rPr>
        <w:t xml:space="preserve"> </w:t>
      </w:r>
      <w:r w:rsidRPr="008C1C9E">
        <w:rPr>
          <w:rFonts w:ascii="Cambria Math" w:hAnsi="Cambria Math" w:cs="Arial"/>
          <w:color w:val="000000" w:themeColor="text1"/>
          <w:sz w:val="20"/>
          <w:szCs w:val="20"/>
        </w:rPr>
        <w:t>Transporte a planta de abasto</w:t>
      </w:r>
    </w:p>
    <w:p w14:paraId="6A357317" w14:textId="529A6457" w:rsidR="00914134" w:rsidRPr="008C1C9E" w:rsidRDefault="00914134" w:rsidP="00914134">
      <w:pPr>
        <w:spacing w:before="240" w:after="240" w:line="276" w:lineRule="auto"/>
        <w:jc w:val="both"/>
        <w:rPr>
          <w:rFonts w:ascii="Arial" w:hAnsi="Arial" w:cs="Arial"/>
          <w:sz w:val="22"/>
          <w:highlight w:val="yellow"/>
        </w:rPr>
      </w:pPr>
      <w:r w:rsidRPr="008C1C9E">
        <w:rPr>
          <w:rFonts w:ascii="Arial" w:hAnsi="Arial" w:cs="Arial"/>
          <w:sz w:val="22"/>
        </w:rPr>
        <w:t>La reforma tributaria, Ley 1819 del 29 de diciembre de 2016, en el artículo 219 establece la modificación del artículo 168 de la Ley 1607 de 2012 en la cual se establece la base gravable y tarifa del Impuesto Nacional para gasolina y ACPM. El impuesto Nacional para la gasolina “se liquidará a ra</w:t>
      </w:r>
      <w:r w:rsidR="00C7612A">
        <w:rPr>
          <w:rFonts w:ascii="Arial" w:hAnsi="Arial" w:cs="Arial"/>
          <w:sz w:val="22"/>
        </w:rPr>
        <w:t>zón de $490</w:t>
      </w:r>
      <w:r w:rsidR="002A5016">
        <w:rPr>
          <w:rFonts w:ascii="Arial" w:hAnsi="Arial" w:cs="Arial"/>
          <w:sz w:val="22"/>
        </w:rPr>
        <w:t xml:space="preserve"> pesos por galón.</w:t>
      </w:r>
    </w:p>
    <w:p w14:paraId="1F8D2661" w14:textId="77777777" w:rsidR="00914134" w:rsidRPr="008C1C9E" w:rsidRDefault="00914134" w:rsidP="00914134">
      <w:pPr>
        <w:spacing w:before="240" w:after="240" w:line="276" w:lineRule="auto"/>
        <w:jc w:val="both"/>
        <w:rPr>
          <w:rFonts w:ascii="Arial" w:hAnsi="Arial" w:cs="Arial"/>
          <w:sz w:val="22"/>
        </w:rPr>
      </w:pPr>
      <w:r w:rsidRPr="008C1C9E">
        <w:rPr>
          <w:rFonts w:ascii="Arial" w:hAnsi="Arial" w:cs="Arial"/>
          <w:sz w:val="22"/>
        </w:rPr>
        <w:t xml:space="preserve">Según lo estipulado en la Reforma Tributaria, Ley 1819 del 29 de diciembre de 2016, en el Artículo 221 de la Parte 9, se establece el Impuesto al Carbono el cual se define como “gravamen que recae sobre el contenido de carbono de todos los combustibles fósiles, incluyendo todos los derivados de petróleo y todos los tipos de gas fósil que sean usados con fines energéticos, siempre que sean usados para combustión”. Adicionalmente, en el Artículo 222 de la misma Ley, se establece la base gravable y tarifa por tipo de combustible fósil, dentro de los cuales está incluida la Gasolina Motor (GM) con una tarifa de $142 pesos por galón. </w:t>
      </w:r>
    </w:p>
    <w:p w14:paraId="050615BB" w14:textId="55D6FBEF" w:rsidR="00914134" w:rsidRPr="008C1C9E" w:rsidRDefault="00D1369C" w:rsidP="00914134">
      <w:pPr>
        <w:spacing w:before="240" w:after="240" w:line="276" w:lineRule="auto"/>
        <w:jc w:val="both"/>
        <w:rPr>
          <w:rFonts w:ascii="Arial" w:hAnsi="Arial" w:cs="Arial"/>
          <w:sz w:val="22"/>
        </w:rPr>
      </w:pPr>
      <w:r>
        <w:rPr>
          <w:rFonts w:ascii="Arial" w:hAnsi="Arial" w:cs="Arial"/>
          <w:sz w:val="22"/>
        </w:rPr>
        <w:t>Adicionalmente, esta Ley en su</w:t>
      </w:r>
      <w:r w:rsidR="00914134" w:rsidRPr="008C1C9E">
        <w:rPr>
          <w:rFonts w:ascii="Arial" w:hAnsi="Arial" w:cs="Arial"/>
          <w:sz w:val="22"/>
        </w:rPr>
        <w:t xml:space="preserve"> el Artículo 225 de la Parte X, se establece la Contribución Parafiscal al combustible para financiar el Fondo de Estabilización de Precios de los Combustibles –FEPC–. </w:t>
      </w:r>
    </w:p>
    <w:p w14:paraId="557C6D24" w14:textId="77777777" w:rsidR="00914134" w:rsidRPr="008C1C9E" w:rsidRDefault="00914134" w:rsidP="00914134">
      <w:pPr>
        <w:spacing w:before="240" w:after="240" w:line="276" w:lineRule="auto"/>
        <w:jc w:val="both"/>
        <w:rPr>
          <w:rFonts w:ascii="Arial" w:hAnsi="Arial" w:cs="Arial"/>
          <w:sz w:val="22"/>
          <w:highlight w:val="yellow"/>
        </w:rPr>
      </w:pPr>
      <w:r w:rsidRPr="008C1C9E">
        <w:rPr>
          <w:rFonts w:ascii="Arial" w:hAnsi="Arial" w:cs="Arial"/>
          <w:sz w:val="22"/>
        </w:rPr>
        <w:lastRenderedPageBreak/>
        <w:t>Según la Resolución 90155 de 2014, en sus Artículos 1 y 2, se establece que, para la gasolina motor corriente y la gasolina motor corriente oxigenada, el “Margen de Continuidad y su valor está dirigido a remunerar a CENIT Transporte y Logística de Hidrocarburos S.A.S. las inversiones en el plan de continuidad para el abastecimiento del país y específicamente la expansión del sistema Pozos Colorados – Galán a 60 mil barriles por día de capacidad. De igual forma, el margen de continuidad será aplicable a la gasolina extra y a la gasolina importada y de origen nacional que se distribuya en las zonas de frontera. El valor del margen de continuidad es de $71.51 pesos por galón”.</w:t>
      </w:r>
    </w:p>
    <w:p w14:paraId="2173DF7D" w14:textId="7974F20A" w:rsidR="00914134" w:rsidRPr="008C1C9E" w:rsidRDefault="00914134" w:rsidP="00914134">
      <w:pPr>
        <w:spacing w:before="240" w:after="240" w:line="276" w:lineRule="auto"/>
        <w:jc w:val="both"/>
        <w:rPr>
          <w:rFonts w:ascii="Arial" w:hAnsi="Arial" w:cs="Arial"/>
          <w:sz w:val="22"/>
        </w:rPr>
      </w:pPr>
      <w:r w:rsidRPr="008C1C9E">
        <w:rPr>
          <w:rFonts w:ascii="Arial" w:hAnsi="Arial" w:cs="Arial"/>
          <w:sz w:val="22"/>
        </w:rPr>
        <w:t>Respecto al Margen de Distribuidor Mayorista, según lo estipulado en el artículo primero de la Resolución 41278 del 30 de Diciembre de 2016, “este valor corresponde al margen máximo reconocido a favor del distribuidor mayorista por la venta de gasolina motor corriente, que se fija a partir d</w:t>
      </w:r>
      <w:r w:rsidR="00D1369C">
        <w:rPr>
          <w:rFonts w:ascii="Arial" w:hAnsi="Arial" w:cs="Arial"/>
          <w:sz w:val="22"/>
        </w:rPr>
        <w:t>el 1 de Junio de 2018 en $387.09</w:t>
      </w:r>
      <w:r w:rsidRPr="008C1C9E">
        <w:rPr>
          <w:rFonts w:ascii="Arial" w:hAnsi="Arial" w:cs="Arial"/>
          <w:sz w:val="22"/>
        </w:rPr>
        <w:t xml:space="preserve"> pesos por galón, teniendo en cuenta las inversiones en infraestructura, los costos de operación y mantenimiento, así como los gastos de administración y ventas y las pérdidas por evaporación. Este margen se actualizará el 1 de junio de cada año, con base en la variación del índice de precios al consumidor de los últimos 12 meses certificada por el DANE”. </w:t>
      </w:r>
    </w:p>
    <w:p w14:paraId="755176FA" w14:textId="77777777" w:rsidR="00914134" w:rsidRPr="008C1C9E" w:rsidRDefault="00914134" w:rsidP="00914134">
      <w:pPr>
        <w:spacing w:before="240" w:after="240" w:line="276" w:lineRule="auto"/>
        <w:jc w:val="both"/>
        <w:rPr>
          <w:rFonts w:ascii="Arial" w:hAnsi="Arial" w:cs="Arial"/>
          <w:sz w:val="22"/>
        </w:rPr>
      </w:pPr>
      <w:r w:rsidRPr="008C1C9E">
        <w:rPr>
          <w:rFonts w:ascii="Arial" w:hAnsi="Arial" w:cs="Arial"/>
          <w:sz w:val="22"/>
        </w:rPr>
        <w:t xml:space="preserve">La </w:t>
      </w:r>
      <w:r w:rsidRPr="008C1C9E">
        <w:rPr>
          <w:rFonts w:ascii="Arial" w:hAnsi="Arial" w:cs="Arial"/>
          <w:sz w:val="22"/>
          <w:szCs w:val="22"/>
          <w:highlight w:val="yellow"/>
        </w:rPr>
        <w:fldChar w:fldCharType="begin"/>
      </w:r>
      <w:r w:rsidRPr="008C1C9E">
        <w:rPr>
          <w:rFonts w:ascii="Arial" w:hAnsi="Arial" w:cs="Arial"/>
          <w:sz w:val="22"/>
          <w:szCs w:val="22"/>
          <w:highlight w:val="yellow"/>
        </w:rPr>
        <w:instrText xml:space="preserve"> REF _Ref514765146 \h  \* MERGEFORMAT </w:instrText>
      </w:r>
      <w:r w:rsidRPr="008C1C9E">
        <w:rPr>
          <w:rFonts w:ascii="Arial" w:hAnsi="Arial" w:cs="Arial"/>
          <w:sz w:val="22"/>
          <w:szCs w:val="22"/>
          <w:highlight w:val="yellow"/>
        </w:rPr>
      </w:r>
      <w:r w:rsidRPr="008C1C9E">
        <w:rPr>
          <w:rFonts w:ascii="Arial" w:hAnsi="Arial" w:cs="Arial"/>
          <w:sz w:val="22"/>
          <w:szCs w:val="22"/>
          <w:highlight w:val="yellow"/>
        </w:rPr>
        <w:fldChar w:fldCharType="separate"/>
      </w:r>
      <w:r w:rsidR="00915705" w:rsidRPr="00915705">
        <w:rPr>
          <w:rFonts w:ascii="Arial" w:hAnsi="Arial" w:cs="Arial"/>
          <w:sz w:val="22"/>
          <w:szCs w:val="22"/>
          <w:highlight w:val="yellow"/>
        </w:rPr>
        <w:t>Tabla 6</w:t>
      </w:r>
      <w:r w:rsidR="00915705" w:rsidRPr="00915705">
        <w:rPr>
          <w:rFonts w:ascii="Arial" w:hAnsi="Arial" w:cs="Arial"/>
          <w:sz w:val="22"/>
          <w:szCs w:val="22"/>
          <w:highlight w:val="yellow"/>
        </w:rPr>
        <w:noBreakHyphen/>
        <w:t>1</w:t>
      </w:r>
      <w:r w:rsidRPr="008C1C9E">
        <w:rPr>
          <w:rFonts w:ascii="Arial" w:hAnsi="Arial" w:cs="Arial"/>
          <w:sz w:val="22"/>
          <w:szCs w:val="22"/>
          <w:highlight w:val="yellow"/>
        </w:rPr>
        <w:fldChar w:fldCharType="end"/>
      </w:r>
      <w:r w:rsidRPr="008C1C9E">
        <w:rPr>
          <w:rFonts w:ascii="Arial" w:hAnsi="Arial" w:cs="Arial"/>
          <w:sz w:val="22"/>
        </w:rPr>
        <w:t xml:space="preserve"> describe a continuación cada uno de los componentes, su regulación y forma de cálculo:</w:t>
      </w:r>
    </w:p>
    <w:p w14:paraId="514E5A58" w14:textId="77777777" w:rsidR="00914134" w:rsidRPr="00D2776D" w:rsidRDefault="00914134" w:rsidP="00914134">
      <w:pPr>
        <w:pStyle w:val="Descripcin"/>
        <w:keepNext/>
        <w:spacing w:before="0" w:after="0"/>
        <w:jc w:val="center"/>
        <w:rPr>
          <w:b/>
          <w:i w:val="0"/>
          <w:color w:val="auto"/>
          <w:sz w:val="20"/>
          <w:highlight w:val="yellow"/>
        </w:rPr>
      </w:pPr>
      <w:bookmarkStart w:id="318" w:name="_Ref514765146"/>
      <w:bookmarkStart w:id="319" w:name="_Toc529889752"/>
      <w:r w:rsidRPr="00D2776D">
        <w:rPr>
          <w:b/>
          <w:i w:val="0"/>
          <w:color w:val="auto"/>
          <w:sz w:val="20"/>
          <w:highlight w:val="yellow"/>
        </w:rPr>
        <w:t xml:space="preserve">Tabla </w:t>
      </w:r>
      <w:r>
        <w:rPr>
          <w:b/>
          <w:i w:val="0"/>
          <w:color w:val="auto"/>
          <w:sz w:val="20"/>
          <w:highlight w:val="yellow"/>
        </w:rPr>
        <w:fldChar w:fldCharType="begin"/>
      </w:r>
      <w:r>
        <w:rPr>
          <w:b/>
          <w:i w:val="0"/>
          <w:color w:val="auto"/>
          <w:sz w:val="20"/>
          <w:highlight w:val="yellow"/>
        </w:rPr>
        <w:instrText xml:space="preserve"> STYLEREF 1 \s </w:instrText>
      </w:r>
      <w:r>
        <w:rPr>
          <w:b/>
          <w:i w:val="0"/>
          <w:color w:val="auto"/>
          <w:sz w:val="20"/>
          <w:highlight w:val="yellow"/>
        </w:rPr>
        <w:fldChar w:fldCharType="separate"/>
      </w:r>
      <w:r w:rsidR="00915705">
        <w:rPr>
          <w:b/>
          <w:i w:val="0"/>
          <w:noProof/>
          <w:color w:val="auto"/>
          <w:sz w:val="20"/>
          <w:highlight w:val="yellow"/>
        </w:rPr>
        <w:t>6</w:t>
      </w:r>
      <w:r>
        <w:rPr>
          <w:b/>
          <w:i w:val="0"/>
          <w:color w:val="auto"/>
          <w:sz w:val="20"/>
          <w:highlight w:val="yellow"/>
        </w:rPr>
        <w:fldChar w:fldCharType="end"/>
      </w:r>
      <w:r>
        <w:rPr>
          <w:b/>
          <w:i w:val="0"/>
          <w:color w:val="auto"/>
          <w:sz w:val="20"/>
          <w:highlight w:val="yellow"/>
        </w:rPr>
        <w:noBreakHyphen/>
      </w:r>
      <w:r>
        <w:rPr>
          <w:b/>
          <w:i w:val="0"/>
          <w:color w:val="auto"/>
          <w:sz w:val="20"/>
          <w:highlight w:val="yellow"/>
        </w:rPr>
        <w:fldChar w:fldCharType="begin"/>
      </w:r>
      <w:r>
        <w:rPr>
          <w:b/>
          <w:i w:val="0"/>
          <w:color w:val="auto"/>
          <w:sz w:val="20"/>
          <w:highlight w:val="yellow"/>
        </w:rPr>
        <w:instrText xml:space="preserve"> SEQ Tabla \* ARABIC \s 1 </w:instrText>
      </w:r>
      <w:r>
        <w:rPr>
          <w:b/>
          <w:i w:val="0"/>
          <w:color w:val="auto"/>
          <w:sz w:val="20"/>
          <w:highlight w:val="yellow"/>
        </w:rPr>
        <w:fldChar w:fldCharType="separate"/>
      </w:r>
      <w:r w:rsidR="00915705">
        <w:rPr>
          <w:b/>
          <w:i w:val="0"/>
          <w:noProof/>
          <w:color w:val="auto"/>
          <w:sz w:val="20"/>
          <w:highlight w:val="yellow"/>
        </w:rPr>
        <w:t>1</w:t>
      </w:r>
      <w:r>
        <w:rPr>
          <w:b/>
          <w:i w:val="0"/>
          <w:color w:val="auto"/>
          <w:sz w:val="20"/>
          <w:highlight w:val="yellow"/>
        </w:rPr>
        <w:fldChar w:fldCharType="end"/>
      </w:r>
      <w:bookmarkEnd w:id="318"/>
      <w:r w:rsidRPr="00D2776D">
        <w:rPr>
          <w:b/>
          <w:i w:val="0"/>
          <w:color w:val="auto"/>
          <w:sz w:val="20"/>
          <w:highlight w:val="yellow"/>
        </w:rPr>
        <w:t xml:space="preserve"> </w:t>
      </w:r>
      <w:r w:rsidRPr="00D2776D">
        <w:rPr>
          <w:i w:val="0"/>
          <w:color w:val="auto"/>
          <w:sz w:val="20"/>
        </w:rPr>
        <w:t>Componentes Tarifarios de la Gasolina Motor Corriente</w:t>
      </w:r>
      <w:bookmarkEnd w:id="319"/>
    </w:p>
    <w:tbl>
      <w:tblPr>
        <w:tblStyle w:val="Tabladecuadrcula4-nfasis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093"/>
      </w:tblGrid>
      <w:tr w:rsidR="00914134" w:rsidRPr="007E23C5" w14:paraId="41CAA6E5" w14:textId="77777777" w:rsidTr="0024531A">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405" w:type="dxa"/>
            <w:tcBorders>
              <w:top w:val="double" w:sz="4" w:space="0" w:color="auto"/>
              <w:left w:val="none" w:sz="0" w:space="0" w:color="auto"/>
              <w:bottom w:val="single" w:sz="4" w:space="0" w:color="auto"/>
              <w:right w:val="none" w:sz="0" w:space="0" w:color="auto"/>
            </w:tcBorders>
            <w:shd w:val="clear" w:color="auto" w:fill="auto"/>
            <w:vAlign w:val="center"/>
          </w:tcPr>
          <w:p w14:paraId="45ECAFD2" w14:textId="77777777" w:rsidR="00914134" w:rsidRPr="00C235FC" w:rsidRDefault="00914134" w:rsidP="0024531A">
            <w:pPr>
              <w:spacing w:before="40" w:after="40" w:line="276" w:lineRule="auto"/>
              <w:jc w:val="center"/>
              <w:rPr>
                <w:rFonts w:ascii="Arial" w:hAnsi="Arial" w:cs="Arial"/>
                <w:b w:val="0"/>
                <w:bCs w:val="0"/>
                <w:color w:val="auto"/>
                <w:szCs w:val="24"/>
                <w:lang w:val="es-ES_tradnl"/>
              </w:rPr>
            </w:pPr>
            <w:r w:rsidRPr="00D1369C">
              <w:rPr>
                <w:rFonts w:ascii="Arial" w:hAnsi="Arial" w:cs="Arial"/>
                <w:color w:val="000000" w:themeColor="text1"/>
                <w:sz w:val="20"/>
                <w:szCs w:val="20"/>
              </w:rPr>
              <w:t>COMPONENTE</w:t>
            </w:r>
          </w:p>
        </w:tc>
        <w:tc>
          <w:tcPr>
            <w:tcW w:w="7093" w:type="dxa"/>
            <w:tcBorders>
              <w:top w:val="double" w:sz="4" w:space="0" w:color="auto"/>
              <w:left w:val="none" w:sz="0" w:space="0" w:color="auto"/>
              <w:bottom w:val="single" w:sz="4" w:space="0" w:color="auto"/>
              <w:right w:val="none" w:sz="0" w:space="0" w:color="auto"/>
            </w:tcBorders>
            <w:shd w:val="clear" w:color="auto" w:fill="auto"/>
            <w:vAlign w:val="center"/>
          </w:tcPr>
          <w:p w14:paraId="2421DA91" w14:textId="77777777" w:rsidR="00914134" w:rsidRPr="008C1C9E" w:rsidRDefault="00914134" w:rsidP="0024531A">
            <w:pPr>
              <w:spacing w:before="40" w:after="4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C1C9E">
              <w:rPr>
                <w:rFonts w:ascii="Arial" w:hAnsi="Arial" w:cs="Arial"/>
                <w:color w:val="000000" w:themeColor="text1"/>
                <w:sz w:val="20"/>
                <w:szCs w:val="20"/>
              </w:rPr>
              <w:t>DESCRIPCIÓN</w:t>
            </w:r>
          </w:p>
        </w:tc>
      </w:tr>
      <w:tr w:rsidR="00914134" w:rsidRPr="007E23C5" w14:paraId="693A069C" w14:textId="77777777" w:rsidTr="00245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FFFFFF" w:themeFill="background1"/>
            <w:vAlign w:val="center"/>
          </w:tcPr>
          <w:p w14:paraId="16717E34" w14:textId="77777777" w:rsidR="00914134" w:rsidRPr="005A7135" w:rsidRDefault="00914134" w:rsidP="0024531A">
            <w:pPr>
              <w:spacing w:before="40" w:after="40" w:line="276" w:lineRule="auto"/>
              <w:jc w:val="center"/>
              <w:rPr>
                <w:rFonts w:ascii="Arial" w:hAnsi="Arial" w:cs="Arial"/>
                <w:b w:val="0"/>
                <w:bCs w:val="0"/>
                <w:sz w:val="20"/>
                <w:szCs w:val="20"/>
                <w:lang w:val="es-ES_tradnl"/>
              </w:rPr>
            </w:pPr>
            <w:r w:rsidRPr="005A7135">
              <w:rPr>
                <w:rFonts w:ascii="Arial" w:hAnsi="Arial" w:cs="Arial"/>
                <w:b w:val="0"/>
                <w:bCs w:val="0"/>
                <w:sz w:val="20"/>
                <w:szCs w:val="20"/>
                <w:lang w:val="es-ES_tradnl"/>
              </w:rPr>
              <w:t>Ingreso al Productor</w:t>
            </w:r>
          </w:p>
        </w:tc>
        <w:tc>
          <w:tcPr>
            <w:tcW w:w="7093" w:type="dxa"/>
            <w:tcBorders>
              <w:top w:val="single" w:sz="4" w:space="0" w:color="auto"/>
              <w:bottom w:val="single" w:sz="4" w:space="0" w:color="auto"/>
            </w:tcBorders>
            <w:shd w:val="clear" w:color="auto" w:fill="FFFFFF" w:themeFill="background1"/>
          </w:tcPr>
          <w:p w14:paraId="1B0350A8" w14:textId="77777777" w:rsidR="00914134" w:rsidRPr="005A7135" w:rsidRDefault="00914134" w:rsidP="0024531A">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5A7135">
              <w:rPr>
                <w:rFonts w:ascii="Arial" w:hAnsi="Arial" w:cs="Arial"/>
                <w:sz w:val="20"/>
                <w:szCs w:val="20"/>
                <w:lang w:val="es-ES_tradnl"/>
              </w:rPr>
              <w:t xml:space="preserve">Para cada combustible, el MME definió un esquema de cálculo independiente. En el caso de la gasolina motor corriente se usa un precio paridad exportación, utilizando los índices UNL 87 y Naphtha de la Costa del Golfo. </w:t>
            </w:r>
          </w:p>
        </w:tc>
      </w:tr>
      <w:tr w:rsidR="00914134" w:rsidRPr="007E23C5" w14:paraId="484AE9F5" w14:textId="77777777" w:rsidTr="0024531A">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FFFFFF" w:themeFill="background1"/>
            <w:vAlign w:val="center"/>
          </w:tcPr>
          <w:p w14:paraId="721C76BF" w14:textId="77777777" w:rsidR="00914134" w:rsidRPr="005A7135" w:rsidRDefault="00914134" w:rsidP="0024531A">
            <w:pPr>
              <w:spacing w:before="40" w:after="40" w:line="276" w:lineRule="auto"/>
              <w:jc w:val="center"/>
              <w:rPr>
                <w:rFonts w:ascii="Arial" w:hAnsi="Arial" w:cs="Arial"/>
                <w:b w:val="0"/>
                <w:bCs w:val="0"/>
                <w:sz w:val="20"/>
                <w:szCs w:val="20"/>
                <w:lang w:val="es-ES_tradnl"/>
              </w:rPr>
            </w:pPr>
            <w:r w:rsidRPr="005A7135">
              <w:rPr>
                <w:rFonts w:ascii="Arial" w:hAnsi="Arial" w:cs="Arial"/>
                <w:b w:val="0"/>
                <w:bCs w:val="0"/>
                <w:sz w:val="20"/>
                <w:szCs w:val="20"/>
                <w:lang w:val="es-ES_tradnl"/>
              </w:rPr>
              <w:t>Impuesto Nacional</w:t>
            </w:r>
          </w:p>
        </w:tc>
        <w:tc>
          <w:tcPr>
            <w:tcW w:w="7093" w:type="dxa"/>
            <w:tcBorders>
              <w:top w:val="single" w:sz="4" w:space="0" w:color="auto"/>
              <w:bottom w:val="single" w:sz="4" w:space="0" w:color="auto"/>
            </w:tcBorders>
            <w:shd w:val="clear" w:color="auto" w:fill="FFFFFF" w:themeFill="background1"/>
          </w:tcPr>
          <w:p w14:paraId="490462B1" w14:textId="77777777" w:rsidR="00914134" w:rsidRPr="005A7135" w:rsidRDefault="00914134" w:rsidP="0024531A">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5A7135">
              <w:rPr>
                <w:rFonts w:ascii="Arial" w:hAnsi="Arial" w:cs="Arial"/>
                <w:sz w:val="20"/>
                <w:szCs w:val="20"/>
                <w:lang w:val="es-ES_tradnl"/>
              </w:rPr>
              <w:t>Definido en la Ley 1819 de 2016. Se ajusta cada primero de febrero con la inflación del año anterior.</w:t>
            </w:r>
          </w:p>
        </w:tc>
      </w:tr>
      <w:tr w:rsidR="00914134" w:rsidRPr="007E23C5" w14:paraId="66589294" w14:textId="77777777" w:rsidTr="00245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FFFFFF" w:themeFill="background1"/>
            <w:vAlign w:val="center"/>
          </w:tcPr>
          <w:p w14:paraId="7CFE24AE" w14:textId="77777777" w:rsidR="00914134" w:rsidRPr="005A7135" w:rsidRDefault="00914134" w:rsidP="0024531A">
            <w:pPr>
              <w:spacing w:before="40" w:after="40" w:line="276" w:lineRule="auto"/>
              <w:jc w:val="center"/>
              <w:rPr>
                <w:rFonts w:ascii="Arial" w:hAnsi="Arial" w:cs="Arial"/>
                <w:b w:val="0"/>
                <w:bCs w:val="0"/>
                <w:sz w:val="20"/>
                <w:szCs w:val="20"/>
                <w:lang w:val="es-ES_tradnl"/>
              </w:rPr>
            </w:pPr>
            <w:r w:rsidRPr="005A7135">
              <w:rPr>
                <w:rFonts w:ascii="Arial" w:hAnsi="Arial" w:cs="Arial"/>
                <w:b w:val="0"/>
                <w:bCs w:val="0"/>
                <w:sz w:val="20"/>
                <w:szCs w:val="20"/>
                <w:lang w:val="es-ES_tradnl"/>
              </w:rPr>
              <w:t>impuesto al carbono</w:t>
            </w:r>
          </w:p>
        </w:tc>
        <w:tc>
          <w:tcPr>
            <w:tcW w:w="7093" w:type="dxa"/>
            <w:tcBorders>
              <w:top w:val="single" w:sz="4" w:space="0" w:color="auto"/>
              <w:bottom w:val="single" w:sz="4" w:space="0" w:color="auto"/>
            </w:tcBorders>
            <w:shd w:val="clear" w:color="auto" w:fill="FFFFFF" w:themeFill="background1"/>
          </w:tcPr>
          <w:p w14:paraId="3CD22EC2" w14:textId="1F014469" w:rsidR="00914134" w:rsidRPr="005A7135" w:rsidRDefault="00450BA1" w:rsidP="0024531A">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5A7135">
              <w:rPr>
                <w:rFonts w:ascii="Arial" w:hAnsi="Arial" w:cs="Arial"/>
                <w:sz w:val="20"/>
                <w:szCs w:val="20"/>
                <w:lang w:val="es-ES_tradnl"/>
              </w:rPr>
              <w:t>Tarifa específica considerando el factor de emisión de dióxido de carbono (CO2) para cada combustible determinado, expresado en unidad de volumen (kilogramo de CO2) por unidad energética (Terajouls) de acuerdo con el volumen o peso del combustible.</w:t>
            </w:r>
          </w:p>
        </w:tc>
      </w:tr>
      <w:tr w:rsidR="00914134" w:rsidRPr="009F5E1A" w14:paraId="74E0E4AC" w14:textId="77777777" w:rsidTr="0024531A">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tcBorders>
            <w:shd w:val="clear" w:color="auto" w:fill="FFFFFF" w:themeFill="background1"/>
            <w:vAlign w:val="center"/>
          </w:tcPr>
          <w:p w14:paraId="6EFC2A41" w14:textId="77777777" w:rsidR="00914134" w:rsidRPr="005A7135" w:rsidRDefault="00914134" w:rsidP="0024531A">
            <w:pPr>
              <w:spacing w:before="40" w:after="40" w:line="276" w:lineRule="auto"/>
              <w:jc w:val="center"/>
              <w:rPr>
                <w:rFonts w:ascii="Arial" w:hAnsi="Arial" w:cs="Arial"/>
                <w:b w:val="0"/>
                <w:bCs w:val="0"/>
                <w:sz w:val="20"/>
                <w:szCs w:val="20"/>
                <w:lang w:val="es-ES_tradnl"/>
              </w:rPr>
            </w:pPr>
            <w:r w:rsidRPr="005A7135">
              <w:rPr>
                <w:rFonts w:ascii="Arial" w:hAnsi="Arial" w:cs="Arial"/>
                <w:b w:val="0"/>
                <w:bCs w:val="0"/>
                <w:sz w:val="20"/>
                <w:szCs w:val="20"/>
                <w:lang w:val="es-ES_tradnl"/>
              </w:rPr>
              <w:t>Tarifa de marcación</w:t>
            </w:r>
          </w:p>
        </w:tc>
        <w:tc>
          <w:tcPr>
            <w:tcW w:w="7093" w:type="dxa"/>
            <w:tcBorders>
              <w:top w:val="single" w:sz="4" w:space="0" w:color="auto"/>
            </w:tcBorders>
            <w:shd w:val="clear" w:color="auto" w:fill="FFFFFF" w:themeFill="background1"/>
          </w:tcPr>
          <w:p w14:paraId="5AEDEE6E" w14:textId="77777777" w:rsidR="00914134" w:rsidRPr="005A7135" w:rsidRDefault="00914134" w:rsidP="0024531A">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5A7135">
              <w:rPr>
                <w:rFonts w:ascii="Arial" w:hAnsi="Arial" w:cs="Arial"/>
                <w:sz w:val="20"/>
                <w:szCs w:val="20"/>
                <w:lang w:val="es-ES_tradnl"/>
              </w:rPr>
              <w:t>Definida en el Decreto 1503 de 2003 y el 3563 del 2003 de manera independiente para cada combustible. Se crearon tarifas diferenciales según el porcentaje de mezcla con el biocombustible aplicable.</w:t>
            </w:r>
          </w:p>
        </w:tc>
      </w:tr>
      <w:tr w:rsidR="00914134" w:rsidRPr="009F5E1A" w14:paraId="1ABE21BE" w14:textId="77777777" w:rsidTr="00245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FFFFFF" w:themeFill="background1"/>
            <w:vAlign w:val="center"/>
          </w:tcPr>
          <w:p w14:paraId="72B19E35" w14:textId="77777777" w:rsidR="00914134" w:rsidRPr="005A7135" w:rsidRDefault="00914134" w:rsidP="0024531A">
            <w:pPr>
              <w:spacing w:before="40" w:after="40" w:line="276" w:lineRule="auto"/>
              <w:jc w:val="center"/>
              <w:rPr>
                <w:rFonts w:ascii="Arial" w:hAnsi="Arial" w:cs="Arial"/>
                <w:b w:val="0"/>
                <w:bCs w:val="0"/>
                <w:sz w:val="20"/>
                <w:szCs w:val="20"/>
                <w:lang w:val="es-ES_tradnl"/>
              </w:rPr>
            </w:pPr>
            <w:r w:rsidRPr="005A7135">
              <w:rPr>
                <w:rFonts w:ascii="Arial" w:hAnsi="Arial" w:cs="Arial"/>
                <w:b w:val="0"/>
                <w:bCs w:val="0"/>
                <w:sz w:val="20"/>
                <w:szCs w:val="20"/>
                <w:lang w:val="es-ES_tradnl"/>
              </w:rPr>
              <w:t>Tarifa de Transporte por poliducto</w:t>
            </w:r>
          </w:p>
        </w:tc>
        <w:tc>
          <w:tcPr>
            <w:tcW w:w="7093" w:type="dxa"/>
            <w:tcBorders>
              <w:top w:val="single" w:sz="4" w:space="0" w:color="auto"/>
              <w:bottom w:val="single" w:sz="4" w:space="0" w:color="auto"/>
            </w:tcBorders>
            <w:shd w:val="clear" w:color="auto" w:fill="FFFFFF" w:themeFill="background1"/>
          </w:tcPr>
          <w:p w14:paraId="230F3DAF" w14:textId="77777777" w:rsidR="00914134" w:rsidRPr="005A7135" w:rsidRDefault="00914134" w:rsidP="0024531A">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5A7135">
              <w:rPr>
                <w:rFonts w:ascii="Arial" w:hAnsi="Arial" w:cs="Arial"/>
                <w:sz w:val="20"/>
                <w:szCs w:val="20"/>
                <w:lang w:val="es-ES_tradnl"/>
              </w:rPr>
              <w:t>Costo máximo de transporte a través del sistema de Poliductos definido en la Resolución 181088 de 2003 y sus modificaciones. En el caso de los biocombustibles, la tarifa de transporte se aplica en proporción al porcentaje de mezcla definido, de acuerdo con las tarifas definidas por el MME para cada uno de los Biocombustibles desde las plantas de producción. Se reajusta cada primero de febrero de cada año.</w:t>
            </w:r>
          </w:p>
        </w:tc>
      </w:tr>
      <w:tr w:rsidR="00914134" w:rsidRPr="009F5E1A" w14:paraId="2855B17D" w14:textId="77777777" w:rsidTr="0024531A">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FFFFFF" w:themeFill="background1"/>
            <w:vAlign w:val="center"/>
          </w:tcPr>
          <w:p w14:paraId="0B212E39" w14:textId="77777777" w:rsidR="00914134" w:rsidRPr="005A7135" w:rsidRDefault="00914134" w:rsidP="0024531A">
            <w:pPr>
              <w:spacing w:before="40" w:after="40" w:line="276" w:lineRule="auto"/>
              <w:jc w:val="center"/>
              <w:rPr>
                <w:rFonts w:ascii="Arial" w:hAnsi="Arial" w:cs="Arial"/>
                <w:b w:val="0"/>
                <w:bCs w:val="0"/>
                <w:sz w:val="20"/>
                <w:szCs w:val="20"/>
                <w:lang w:val="es-ES_tradnl"/>
              </w:rPr>
            </w:pPr>
            <w:r w:rsidRPr="005A7135">
              <w:rPr>
                <w:rFonts w:ascii="Arial" w:hAnsi="Arial" w:cs="Arial"/>
                <w:b w:val="0"/>
                <w:bCs w:val="0"/>
                <w:sz w:val="20"/>
                <w:szCs w:val="20"/>
                <w:lang w:val="es-ES_tradnl"/>
              </w:rPr>
              <w:t xml:space="preserve">Margen plan de </w:t>
            </w:r>
            <w:r w:rsidRPr="005A7135">
              <w:rPr>
                <w:rFonts w:ascii="Arial" w:hAnsi="Arial" w:cs="Arial"/>
                <w:b w:val="0"/>
                <w:bCs w:val="0"/>
                <w:sz w:val="20"/>
                <w:szCs w:val="20"/>
                <w:lang w:val="es-ES_tradnl"/>
              </w:rPr>
              <w:lastRenderedPageBreak/>
              <w:t>continuidad</w:t>
            </w:r>
          </w:p>
        </w:tc>
        <w:tc>
          <w:tcPr>
            <w:tcW w:w="7093" w:type="dxa"/>
            <w:tcBorders>
              <w:top w:val="single" w:sz="4" w:space="0" w:color="auto"/>
              <w:bottom w:val="single" w:sz="4" w:space="0" w:color="auto"/>
            </w:tcBorders>
            <w:shd w:val="clear" w:color="auto" w:fill="FFFFFF" w:themeFill="background1"/>
          </w:tcPr>
          <w:p w14:paraId="12F6FD07" w14:textId="77777777" w:rsidR="00914134" w:rsidRPr="005A7135" w:rsidRDefault="00914134" w:rsidP="0024531A">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5A7135">
              <w:rPr>
                <w:rFonts w:ascii="Arial" w:hAnsi="Arial" w:cs="Arial"/>
                <w:sz w:val="20"/>
                <w:szCs w:val="20"/>
                <w:lang w:val="es-ES_tradnl"/>
              </w:rPr>
              <w:lastRenderedPageBreak/>
              <w:t xml:space="preserve">Este margen remunera a Ecopetrol S.A. las inversiones en el plan de continuidad para el abastecimiento del país y específicamente la expansión </w:t>
            </w:r>
            <w:r w:rsidRPr="005A7135">
              <w:rPr>
                <w:rFonts w:ascii="Arial" w:hAnsi="Arial" w:cs="Arial"/>
                <w:sz w:val="20"/>
                <w:szCs w:val="20"/>
                <w:lang w:val="es-ES_tradnl"/>
              </w:rPr>
              <w:lastRenderedPageBreak/>
              <w:t>del sistema Pozos Colorados – Galán a 60 mil barriles por día de capacidad y parte del montaje del poliducto Mansilla – Tocancipá.</w:t>
            </w:r>
          </w:p>
        </w:tc>
      </w:tr>
      <w:tr w:rsidR="00914134" w:rsidRPr="009F5E1A" w14:paraId="0BB3D7C4" w14:textId="77777777" w:rsidTr="0024531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auto"/>
            <w:vAlign w:val="center"/>
          </w:tcPr>
          <w:p w14:paraId="7A86C7DF" w14:textId="77777777" w:rsidR="00914134" w:rsidRPr="005A7135" w:rsidRDefault="00914134" w:rsidP="0024531A">
            <w:pPr>
              <w:tabs>
                <w:tab w:val="left" w:pos="2715"/>
              </w:tabs>
              <w:spacing w:before="40" w:after="40" w:line="276" w:lineRule="auto"/>
              <w:jc w:val="center"/>
              <w:rPr>
                <w:rFonts w:ascii="Arial" w:hAnsi="Arial" w:cs="Arial"/>
                <w:b w:val="0"/>
                <w:bCs w:val="0"/>
                <w:sz w:val="20"/>
                <w:szCs w:val="20"/>
                <w:lang w:val="es-ES_tradnl"/>
              </w:rPr>
            </w:pPr>
            <w:r w:rsidRPr="005A7135">
              <w:rPr>
                <w:rFonts w:ascii="Arial" w:hAnsi="Arial" w:cs="Arial"/>
                <w:b w:val="0"/>
                <w:bCs w:val="0"/>
                <w:sz w:val="20"/>
                <w:szCs w:val="20"/>
                <w:lang w:val="es-ES_tradnl"/>
              </w:rPr>
              <w:lastRenderedPageBreak/>
              <w:t>Margen al Distribuidor mayorista</w:t>
            </w:r>
          </w:p>
        </w:tc>
        <w:tc>
          <w:tcPr>
            <w:tcW w:w="7093" w:type="dxa"/>
            <w:tcBorders>
              <w:top w:val="single" w:sz="4" w:space="0" w:color="auto"/>
              <w:bottom w:val="single" w:sz="4" w:space="0" w:color="auto"/>
            </w:tcBorders>
            <w:shd w:val="clear" w:color="auto" w:fill="FFFFFF" w:themeFill="background1"/>
          </w:tcPr>
          <w:p w14:paraId="1FAEB072" w14:textId="77777777" w:rsidR="00914134" w:rsidRPr="005A7135" w:rsidRDefault="00914134" w:rsidP="0024531A">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5A7135">
              <w:rPr>
                <w:rFonts w:ascii="Arial" w:hAnsi="Arial" w:cs="Arial"/>
                <w:sz w:val="20"/>
                <w:szCs w:val="20"/>
                <w:lang w:val="es-ES_tradnl"/>
              </w:rPr>
              <w:t>Valor definido por MME a partir de la Resolución 824338 de 1998. Con la Resolución 91657 del 30 de octubre de 2012 este valor se estableció en $305 por galón. Actualmente se encuentra en $375.34 por galón.</w:t>
            </w:r>
          </w:p>
        </w:tc>
      </w:tr>
      <w:tr w:rsidR="00914134" w:rsidRPr="009F5E1A" w14:paraId="5BDF0B97" w14:textId="77777777" w:rsidTr="0024531A">
        <w:trPr>
          <w:trHeight w:val="283"/>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auto"/>
            <w:vAlign w:val="center"/>
          </w:tcPr>
          <w:p w14:paraId="0D691F39" w14:textId="77777777" w:rsidR="00914134" w:rsidRPr="005A7135" w:rsidRDefault="00914134" w:rsidP="0024531A">
            <w:pPr>
              <w:tabs>
                <w:tab w:val="left" w:pos="2715"/>
              </w:tabs>
              <w:spacing w:before="40" w:after="40" w:line="276" w:lineRule="auto"/>
              <w:jc w:val="center"/>
              <w:rPr>
                <w:rFonts w:ascii="Arial" w:hAnsi="Arial" w:cs="Arial"/>
                <w:b w:val="0"/>
                <w:bCs w:val="0"/>
                <w:sz w:val="20"/>
                <w:szCs w:val="20"/>
                <w:lang w:val="es-ES_tradnl"/>
              </w:rPr>
            </w:pPr>
            <w:r w:rsidRPr="005A7135">
              <w:rPr>
                <w:rFonts w:ascii="Arial" w:hAnsi="Arial" w:cs="Arial"/>
                <w:b w:val="0"/>
                <w:bCs w:val="0"/>
                <w:sz w:val="20"/>
                <w:szCs w:val="20"/>
                <w:lang w:val="es-ES_tradnl"/>
              </w:rPr>
              <w:t>iva  margen distribuidor mayorista</w:t>
            </w:r>
          </w:p>
        </w:tc>
        <w:tc>
          <w:tcPr>
            <w:tcW w:w="7093" w:type="dxa"/>
            <w:tcBorders>
              <w:top w:val="single" w:sz="4" w:space="0" w:color="auto"/>
              <w:bottom w:val="single" w:sz="4" w:space="0" w:color="auto"/>
            </w:tcBorders>
            <w:shd w:val="clear" w:color="auto" w:fill="FFFFFF" w:themeFill="background1"/>
          </w:tcPr>
          <w:p w14:paraId="14DF76D8" w14:textId="3F72C8E8" w:rsidR="00914134" w:rsidRPr="005A7135" w:rsidRDefault="00450BA1" w:rsidP="0024531A">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5A7135">
              <w:rPr>
                <w:rFonts w:ascii="Arial" w:hAnsi="Arial" w:cs="Arial"/>
                <w:sz w:val="20"/>
                <w:szCs w:val="20"/>
                <w:lang w:val="es-ES_tradnl"/>
              </w:rPr>
              <w:t>Valor establecido por el artículo 467 del Estatuto tributario, modificado por el Art 183 de la Ley 1819 de 29 de diciembre de 2016</w:t>
            </w:r>
          </w:p>
        </w:tc>
      </w:tr>
      <w:tr w:rsidR="00914134" w:rsidRPr="009F5E1A" w14:paraId="2A729626" w14:textId="77777777" w:rsidTr="00245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FFFFFF" w:themeFill="background1"/>
            <w:vAlign w:val="center"/>
          </w:tcPr>
          <w:p w14:paraId="16CC98DE" w14:textId="77777777" w:rsidR="00914134" w:rsidRPr="005A7135" w:rsidRDefault="00914134" w:rsidP="0024531A">
            <w:pPr>
              <w:spacing w:before="40" w:after="40" w:line="276" w:lineRule="auto"/>
              <w:jc w:val="center"/>
              <w:rPr>
                <w:rFonts w:ascii="Arial" w:hAnsi="Arial" w:cs="Arial"/>
                <w:b w:val="0"/>
                <w:bCs w:val="0"/>
                <w:sz w:val="20"/>
                <w:szCs w:val="20"/>
                <w:lang w:val="es-ES_tradnl"/>
              </w:rPr>
            </w:pPr>
            <w:r w:rsidRPr="005A7135">
              <w:rPr>
                <w:rFonts w:ascii="Arial" w:hAnsi="Arial" w:cs="Arial"/>
                <w:b w:val="0"/>
                <w:bCs w:val="0"/>
                <w:sz w:val="20"/>
                <w:szCs w:val="20"/>
                <w:lang w:val="es-ES_tradnl"/>
              </w:rPr>
              <w:t>Sobretasa</w:t>
            </w:r>
          </w:p>
        </w:tc>
        <w:tc>
          <w:tcPr>
            <w:tcW w:w="7093" w:type="dxa"/>
            <w:tcBorders>
              <w:top w:val="single" w:sz="4" w:space="0" w:color="auto"/>
              <w:bottom w:val="single" w:sz="4" w:space="0" w:color="auto"/>
            </w:tcBorders>
            <w:shd w:val="clear" w:color="auto" w:fill="FFFFFF" w:themeFill="background1"/>
          </w:tcPr>
          <w:p w14:paraId="42113D89" w14:textId="77777777" w:rsidR="00914134" w:rsidRPr="005A7135" w:rsidRDefault="00914134" w:rsidP="0024531A">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5A7135">
              <w:rPr>
                <w:rFonts w:ascii="Arial" w:hAnsi="Arial" w:cs="Arial"/>
                <w:sz w:val="20"/>
                <w:szCs w:val="20"/>
                <w:lang w:val="es-ES_tradnl"/>
              </w:rPr>
              <w:t>Se calcula a partir de la base de liquidación definida por el MME, en concordancia con la metodología definida en el Decreto 1870 de 2008. Para la GMC el porcentaje aplicable es de 25%, en el caso del DIÉSEL es 6%. Los municipios son autónomos en fijar el porcentaje, por ser impuestos de carácter regional.</w:t>
            </w:r>
          </w:p>
        </w:tc>
      </w:tr>
      <w:tr w:rsidR="00914134" w:rsidRPr="009F5E1A" w14:paraId="31300FE0" w14:textId="77777777" w:rsidTr="0024531A">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FFFFFF" w:themeFill="background1"/>
            <w:vAlign w:val="center"/>
          </w:tcPr>
          <w:p w14:paraId="08F7006E" w14:textId="77777777" w:rsidR="00914134" w:rsidRPr="005A7135" w:rsidRDefault="00914134" w:rsidP="0024531A">
            <w:pPr>
              <w:spacing w:before="40" w:after="40" w:line="276" w:lineRule="auto"/>
              <w:jc w:val="center"/>
              <w:rPr>
                <w:rFonts w:ascii="Arial" w:hAnsi="Arial" w:cs="Arial"/>
                <w:b w:val="0"/>
                <w:bCs w:val="0"/>
                <w:sz w:val="20"/>
                <w:szCs w:val="20"/>
                <w:lang w:val="es-ES_tradnl"/>
              </w:rPr>
            </w:pPr>
            <w:r w:rsidRPr="005A7135">
              <w:rPr>
                <w:rFonts w:ascii="Arial" w:hAnsi="Arial" w:cs="Arial"/>
                <w:b w:val="0"/>
                <w:bCs w:val="0"/>
                <w:sz w:val="20"/>
                <w:szCs w:val="20"/>
                <w:lang w:val="es-ES_tradnl"/>
              </w:rPr>
              <w:t>Margen al Distribuidor minorista</w:t>
            </w:r>
          </w:p>
        </w:tc>
        <w:tc>
          <w:tcPr>
            <w:tcW w:w="7093" w:type="dxa"/>
            <w:tcBorders>
              <w:top w:val="single" w:sz="4" w:space="0" w:color="auto"/>
              <w:bottom w:val="single" w:sz="4" w:space="0" w:color="auto"/>
            </w:tcBorders>
            <w:shd w:val="clear" w:color="auto" w:fill="FFFFFF" w:themeFill="background1"/>
          </w:tcPr>
          <w:p w14:paraId="06D84086" w14:textId="77777777" w:rsidR="00914134" w:rsidRPr="005A7135" w:rsidRDefault="00914134" w:rsidP="0024531A">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5A7135">
              <w:rPr>
                <w:rFonts w:ascii="Arial" w:hAnsi="Arial" w:cs="Arial"/>
                <w:sz w:val="20"/>
                <w:szCs w:val="20"/>
                <w:lang w:val="es-ES_tradnl"/>
              </w:rPr>
              <w:t xml:space="preserve">Con la Resolución 182336 del 28 de diciembre de 2011 este valor se estableció en $578 el margen máximo en las ciudades que aplica el régimen de libertad regulada. Se adopta para diferentes ciudades el régimen de libertad vigilada para la fijación del margen minorista con la Resolución 181254 de 2012. Actualmente se encuentra en $706.37 pesos por galón. </w:t>
            </w:r>
          </w:p>
        </w:tc>
      </w:tr>
      <w:tr w:rsidR="00914134" w:rsidRPr="009F5E1A" w14:paraId="3F28E944" w14:textId="77777777" w:rsidTr="00245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FFFFFF" w:themeFill="background1"/>
            <w:vAlign w:val="center"/>
          </w:tcPr>
          <w:p w14:paraId="1BDDCAE3" w14:textId="77777777" w:rsidR="00914134" w:rsidRPr="005A7135" w:rsidRDefault="00914134" w:rsidP="0024531A">
            <w:pPr>
              <w:spacing w:before="40" w:after="40" w:line="276" w:lineRule="auto"/>
              <w:jc w:val="center"/>
              <w:rPr>
                <w:rFonts w:ascii="Arial" w:hAnsi="Arial" w:cs="Arial"/>
                <w:b w:val="0"/>
                <w:bCs w:val="0"/>
                <w:sz w:val="20"/>
                <w:szCs w:val="20"/>
                <w:lang w:val="es-ES_tradnl"/>
              </w:rPr>
            </w:pPr>
            <w:r w:rsidRPr="005A7135">
              <w:rPr>
                <w:rFonts w:ascii="Arial" w:hAnsi="Arial" w:cs="Arial"/>
                <w:b w:val="0"/>
                <w:bCs w:val="0"/>
                <w:sz w:val="20"/>
                <w:szCs w:val="20"/>
                <w:lang w:val="es-ES_tradnl"/>
              </w:rPr>
              <w:t>Pérdidas por evaporación</w:t>
            </w:r>
          </w:p>
        </w:tc>
        <w:tc>
          <w:tcPr>
            <w:tcW w:w="7093" w:type="dxa"/>
            <w:tcBorders>
              <w:top w:val="single" w:sz="4" w:space="0" w:color="auto"/>
              <w:bottom w:val="single" w:sz="4" w:space="0" w:color="auto"/>
            </w:tcBorders>
            <w:shd w:val="clear" w:color="auto" w:fill="FFFFFF" w:themeFill="background1"/>
          </w:tcPr>
          <w:p w14:paraId="26BD1705" w14:textId="77777777" w:rsidR="00914134" w:rsidRPr="005A7135" w:rsidRDefault="00914134" w:rsidP="0024531A">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5A7135">
              <w:rPr>
                <w:rFonts w:ascii="Arial" w:hAnsi="Arial" w:cs="Arial"/>
                <w:sz w:val="20"/>
                <w:szCs w:val="20"/>
                <w:lang w:val="es-ES_tradnl"/>
              </w:rPr>
              <w:t>Se calcula de acuerdo con lo señalado en el Artículo 3° del Decreto 3322 de 2006 y en el Artículo 6° de la Resolución 181088 de 2005.</w:t>
            </w:r>
          </w:p>
        </w:tc>
      </w:tr>
      <w:tr w:rsidR="00914134" w:rsidRPr="009F5E1A" w14:paraId="2245A410" w14:textId="77777777" w:rsidTr="0024531A">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double" w:sz="4" w:space="0" w:color="auto"/>
            </w:tcBorders>
            <w:shd w:val="clear" w:color="auto" w:fill="FFFFFF" w:themeFill="background1"/>
            <w:vAlign w:val="center"/>
          </w:tcPr>
          <w:p w14:paraId="1F89B65D" w14:textId="77777777" w:rsidR="00914134" w:rsidRPr="005A7135" w:rsidRDefault="00914134" w:rsidP="0024531A">
            <w:pPr>
              <w:spacing w:before="40" w:after="40" w:line="276" w:lineRule="auto"/>
              <w:jc w:val="center"/>
              <w:rPr>
                <w:rFonts w:ascii="Arial" w:hAnsi="Arial" w:cs="Arial"/>
                <w:b w:val="0"/>
                <w:bCs w:val="0"/>
                <w:sz w:val="20"/>
                <w:szCs w:val="20"/>
                <w:lang w:val="es-ES_tradnl"/>
              </w:rPr>
            </w:pPr>
            <w:r w:rsidRPr="005A7135">
              <w:rPr>
                <w:rFonts w:ascii="Arial" w:hAnsi="Arial" w:cs="Arial"/>
                <w:b w:val="0"/>
                <w:bCs w:val="0"/>
                <w:sz w:val="20"/>
                <w:szCs w:val="20"/>
                <w:lang w:val="es-ES_tradnl"/>
              </w:rPr>
              <w:t>Transporte Planta de Abasto - EDS</w:t>
            </w:r>
          </w:p>
        </w:tc>
        <w:tc>
          <w:tcPr>
            <w:tcW w:w="7093" w:type="dxa"/>
            <w:tcBorders>
              <w:top w:val="single" w:sz="4" w:space="0" w:color="auto"/>
              <w:bottom w:val="double" w:sz="4" w:space="0" w:color="auto"/>
            </w:tcBorders>
            <w:shd w:val="clear" w:color="auto" w:fill="FFFFFF" w:themeFill="background1"/>
          </w:tcPr>
          <w:p w14:paraId="0125CD67" w14:textId="77777777" w:rsidR="00914134" w:rsidRPr="005A7135" w:rsidRDefault="00914134" w:rsidP="0024531A">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5A7135">
              <w:rPr>
                <w:rFonts w:ascii="Arial" w:hAnsi="Arial" w:cs="Arial"/>
                <w:sz w:val="20"/>
                <w:szCs w:val="20"/>
                <w:lang w:val="es-ES_tradnl"/>
              </w:rPr>
              <w:t>Se calcula de acuerdo a lo establecido en la Resolución 181047 de 2011. Se actualiza cada primero de febrero con el IPC del año inmediatamente anterior.</w:t>
            </w:r>
          </w:p>
        </w:tc>
      </w:tr>
    </w:tbl>
    <w:p w14:paraId="64B3C3C4" w14:textId="77777777" w:rsidR="00914134" w:rsidRPr="008C1C9E" w:rsidRDefault="00914134" w:rsidP="00914134">
      <w:pPr>
        <w:spacing w:before="240" w:after="240" w:line="276" w:lineRule="auto"/>
        <w:jc w:val="both"/>
        <w:rPr>
          <w:rFonts w:ascii="Arial" w:hAnsi="Arial" w:cs="Arial"/>
          <w:sz w:val="22"/>
          <w:highlight w:val="yellow"/>
        </w:rPr>
      </w:pPr>
      <w:r w:rsidRPr="008C1C9E">
        <w:rPr>
          <w:rFonts w:ascii="Arial" w:hAnsi="Arial" w:cs="Arial"/>
          <w:sz w:val="22"/>
        </w:rPr>
        <w:t>Posteriormente, a partir del mes de septiembre de 2011, el Ministerio de Minas y Energía, mediante la Resolución 181602 de 2011 estableció una nueva metodología de cálculo del ingreso al productor de la gasolina, basada en identificar las tendencias de los precios internacionales de la gasolina y aplicarlas a los precios nacionales, por medio del precio paridad exportación.</w:t>
      </w:r>
    </w:p>
    <w:p w14:paraId="5F6A2642" w14:textId="77777777" w:rsidR="00914134" w:rsidRPr="008C1C9E" w:rsidRDefault="00914134" w:rsidP="00914134">
      <w:pPr>
        <w:spacing w:before="240" w:after="240" w:line="276" w:lineRule="auto"/>
        <w:jc w:val="both"/>
        <w:rPr>
          <w:rFonts w:ascii="Arial" w:hAnsi="Arial" w:cs="Arial"/>
          <w:sz w:val="22"/>
        </w:rPr>
      </w:pPr>
      <w:r w:rsidRPr="008C1C9E">
        <w:rPr>
          <w:rFonts w:ascii="Arial" w:hAnsi="Arial" w:cs="Arial"/>
          <w:sz w:val="22"/>
        </w:rPr>
        <w:t>Esta variación incluyó adicionalmente un cambio de los índices utilizados, adicionando el nafta sobre el 30 por ciento del total para el ingreso al productor, buscando reflejar de una mejor manera la condición colombiana frente al mercado internacional y el establecimiento de una franja que garantizara un margen de estabilidad en los precios internos, mitigando la volatilidad del precio del petróleo y sus derivados en los consumidores finales colombianos.</w:t>
      </w:r>
    </w:p>
    <w:p w14:paraId="064A914A" w14:textId="77777777" w:rsidR="00914134" w:rsidRPr="001F20E8" w:rsidRDefault="00D31F30" w:rsidP="00914134">
      <w:pPr>
        <w:spacing w:line="276" w:lineRule="auto"/>
        <w:jc w:val="center"/>
        <w:rPr>
          <w:rFonts w:asciiTheme="majorHAnsi" w:hAnsiTheme="majorHAnsi"/>
          <w:i/>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PPE</m:t>
              </m:r>
            </m:e>
            <m:sub>
              <m:r>
                <w:rPr>
                  <w:rFonts w:ascii="Cambria Math" w:hAnsi="Cambria Math"/>
                  <w:color w:val="000000" w:themeColor="text1"/>
                </w:rPr>
                <m:t>t</m:t>
              </m:r>
            </m:sub>
          </m:sSub>
          <m:r>
            <w:rPr>
              <w:rFonts w:ascii="Cambria Math" w:hAnsi="Cambria Math"/>
              <w:color w:val="000000" w:themeColor="text1"/>
            </w:rPr>
            <m:t>= ((0.7*</m:t>
          </m:r>
          <m:sSub>
            <m:sSubPr>
              <m:ctrlPr>
                <w:rPr>
                  <w:rFonts w:ascii="Cambria Math" w:hAnsi="Cambria Math"/>
                  <w:i/>
                  <w:color w:val="000000" w:themeColor="text1"/>
                </w:rPr>
              </m:ctrlPr>
            </m:sSubPr>
            <m:e>
              <m:r>
                <w:rPr>
                  <w:rFonts w:ascii="Cambria Math" w:hAnsi="Cambria Math"/>
                  <w:color w:val="000000" w:themeColor="text1"/>
                </w:rPr>
                <m:t>UNL87</m:t>
              </m:r>
            </m:e>
            <m:sub>
              <m:r>
                <w:rPr>
                  <w:rFonts w:ascii="Cambria Math" w:hAnsi="Cambria Math"/>
                  <w:color w:val="000000" w:themeColor="text1"/>
                </w:rPr>
                <m:t>t</m:t>
              </m:r>
            </m:sub>
          </m:sSub>
          <m:r>
            <w:rPr>
              <w:rFonts w:ascii="Cambria Math" w:hAnsi="Cambria Math"/>
              <w:color w:val="000000" w:themeColor="text1"/>
            </w:rPr>
            <m:t xml:space="preserve"> + 0.3*</m:t>
          </m:r>
          <m:sSub>
            <m:sSubPr>
              <m:ctrlPr>
                <w:rPr>
                  <w:rFonts w:ascii="Cambria Math" w:hAnsi="Cambria Math"/>
                  <w:i/>
                  <w:color w:val="000000" w:themeColor="text1"/>
                </w:rPr>
              </m:ctrlPr>
            </m:sSubPr>
            <m:e>
              <m:r>
                <w:rPr>
                  <w:rFonts w:ascii="Cambria Math" w:hAnsi="Cambria Math"/>
                  <w:color w:val="000000" w:themeColor="text1"/>
                </w:rPr>
                <m:t>Nafta</m:t>
              </m:r>
            </m:e>
            <m:sub>
              <m:r>
                <w:rPr>
                  <w:rFonts w:ascii="Cambria Math" w:hAnsi="Cambria Math"/>
                  <w:color w:val="000000" w:themeColor="text1"/>
                </w:rPr>
                <m:t>t</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FL</m:t>
              </m:r>
            </m:e>
            <m:sub>
              <m:r>
                <w:rPr>
                  <w:rFonts w:ascii="Cambria Math" w:hAnsi="Cambria Math"/>
                  <w:color w:val="000000" w:themeColor="text1"/>
                </w:rPr>
                <m:t>t</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CT</m:t>
              </m:r>
            </m:e>
            <m:sub>
              <m:r>
                <w:rPr>
                  <w:rFonts w:ascii="Cambria Math" w:hAnsi="Cambria Math"/>
                  <w:color w:val="000000" w:themeColor="text1"/>
                </w:rPr>
                <m:t>t</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TRM</m:t>
              </m:r>
            </m:e>
            <m:sub>
              <m:r>
                <w:rPr>
                  <w:rFonts w:ascii="Cambria Math" w:hAnsi="Cambria Math"/>
                  <w:color w:val="000000" w:themeColor="text1"/>
                </w:rPr>
                <m:t>t</m:t>
              </m:r>
            </m:sub>
          </m:sSub>
        </m:oMath>
      </m:oMathPara>
    </w:p>
    <w:p w14:paraId="75B47927" w14:textId="77777777" w:rsidR="00914134" w:rsidRPr="001F20E8" w:rsidRDefault="00914134" w:rsidP="00914134">
      <w:pPr>
        <w:spacing w:line="276" w:lineRule="auto"/>
        <w:rPr>
          <w:noProof/>
          <w:lang w:val="es-ES"/>
        </w:rPr>
      </w:pPr>
      <w:r w:rsidRPr="001F20E8">
        <w:t>Donde,</w:t>
      </w:r>
    </w:p>
    <w:p w14:paraId="2798D2FE" w14:textId="77777777" w:rsidR="00914134" w:rsidRPr="001F20E8" w:rsidRDefault="00D31F30" w:rsidP="00914134">
      <w:pPr>
        <w:ind w:left="567" w:right="567"/>
        <w:jc w:val="both"/>
        <w:rPr>
          <w:rFonts w:ascii="Cambria Math" w:hAnsi="Cambria Math"/>
          <w:i/>
        </w:rPr>
      </w:pPr>
      <m:oMath>
        <m:sSub>
          <m:sSubPr>
            <m:ctrlPr>
              <w:rPr>
                <w:rFonts w:ascii="Cambria Math" w:hAnsi="Cambria Math"/>
                <w:b/>
                <w:i/>
                <w:color w:val="000000" w:themeColor="text1"/>
              </w:rPr>
            </m:ctrlPr>
          </m:sSubPr>
          <m:e>
            <m:r>
              <m:rPr>
                <m:sty m:val="bi"/>
              </m:rPr>
              <w:rPr>
                <w:rFonts w:ascii="Cambria Math" w:hAnsi="Cambria Math"/>
                <w:color w:val="000000" w:themeColor="text1"/>
              </w:rPr>
              <m:t>PPE</m:t>
            </m:r>
          </m:e>
          <m:sub>
            <m:r>
              <m:rPr>
                <m:sty m:val="bi"/>
              </m:rPr>
              <w:rPr>
                <w:rFonts w:ascii="Cambria Math" w:hAnsi="Cambria Math"/>
                <w:color w:val="000000" w:themeColor="text1"/>
              </w:rPr>
              <m:t>t</m:t>
            </m:r>
          </m:sub>
        </m:sSub>
        <m:r>
          <w:rPr>
            <w:rFonts w:ascii="Cambria Math" w:hAnsi="Cambria Math"/>
            <w:color w:val="000000" w:themeColor="text1"/>
          </w:rPr>
          <m:t xml:space="preserve">: </m:t>
        </m:r>
      </m:oMath>
      <w:r w:rsidR="00914134" w:rsidRPr="008C1C9E">
        <w:rPr>
          <w:rFonts w:ascii="Cambria Math" w:hAnsi="Cambria Math" w:cs="Arial"/>
          <w:color w:val="000000" w:themeColor="text1"/>
          <w:sz w:val="20"/>
        </w:rPr>
        <w:t>P</w:t>
      </w:r>
      <w:r w:rsidR="00914134" w:rsidRPr="008C1C9E">
        <w:rPr>
          <w:rFonts w:ascii="Cambria Math" w:hAnsi="Cambria Math" w:cs="Arial"/>
          <w:sz w:val="20"/>
        </w:rPr>
        <w:t>recio paridad exportación, referenciado al mercado del Golfo de Estados Unidos, de cada observación diaria de la Gasolina Motor Corriente producida en Colombia y se calculará con referencia al índice de la gasolina UNL 87 USGC y la Nafta</w:t>
      </w:r>
      <w:r w:rsidR="00914134" w:rsidRPr="008C1C9E">
        <w:rPr>
          <w:rFonts w:ascii="Cambria Math" w:hAnsi="Cambria Math" w:cs="Arial"/>
          <w:i/>
          <w:sz w:val="20"/>
        </w:rPr>
        <w:t>.</w:t>
      </w:r>
    </w:p>
    <w:p w14:paraId="2CE31DA3" w14:textId="77777777" w:rsidR="00914134" w:rsidRDefault="00D31F30" w:rsidP="00914134">
      <w:pPr>
        <w:ind w:left="567" w:right="567"/>
        <w:jc w:val="both"/>
        <w:rPr>
          <w:rFonts w:ascii="Cambria Math" w:hAnsi="Cambria Math" w:cs="Arial"/>
          <w:color w:val="000000" w:themeColor="text1"/>
          <w:sz w:val="20"/>
          <w:szCs w:val="20"/>
        </w:rPr>
      </w:pPr>
      <m:oMath>
        <m:sSub>
          <m:sSubPr>
            <m:ctrlPr>
              <w:rPr>
                <w:rFonts w:ascii="Cambria Math" w:hAnsi="Cambria Math"/>
                <w:b/>
                <w:i/>
                <w:color w:val="000000" w:themeColor="text1"/>
              </w:rPr>
            </m:ctrlPr>
          </m:sSubPr>
          <m:e>
            <m:r>
              <m:rPr>
                <m:sty m:val="bi"/>
              </m:rPr>
              <w:rPr>
                <w:rFonts w:ascii="Cambria Math" w:hAnsi="Cambria Math"/>
                <w:color w:val="000000" w:themeColor="text1"/>
              </w:rPr>
              <m:t>UNL</m:t>
            </m:r>
            <m:r>
              <m:rPr>
                <m:sty m:val="bi"/>
              </m:rPr>
              <w:rPr>
                <w:rFonts w:ascii="Cambria Math" w:hAnsi="Cambria Math"/>
                <w:color w:val="000000" w:themeColor="text1"/>
              </w:rPr>
              <m:t>87</m:t>
            </m:r>
          </m:e>
          <m:sub>
            <m:r>
              <m:rPr>
                <m:sty m:val="bi"/>
              </m:rPr>
              <w:rPr>
                <w:rFonts w:ascii="Cambria Math" w:hAnsi="Cambria Math"/>
                <w:color w:val="000000" w:themeColor="text1"/>
              </w:rPr>
              <m:t>t</m:t>
            </m:r>
          </m:sub>
        </m:sSub>
        <m:r>
          <m:rPr>
            <m:sty m:val="bi"/>
          </m:rPr>
          <w:rPr>
            <w:rFonts w:ascii="Cambria Math" w:hAnsi="Cambria Math"/>
            <w:color w:val="000000" w:themeColor="text1"/>
          </w:rPr>
          <m:t>:</m:t>
        </m:r>
      </m:oMath>
      <w:r w:rsidR="00914134" w:rsidRPr="00781FEA">
        <w:rPr>
          <w:rFonts w:ascii="Cambria Math" w:hAnsi="Cambria Math"/>
          <w:b/>
          <w:i/>
          <w:color w:val="000000" w:themeColor="text1"/>
        </w:rPr>
        <w:t xml:space="preserve"> </w:t>
      </w:r>
      <w:r w:rsidR="00914134" w:rsidRPr="008C1C9E">
        <w:rPr>
          <w:rFonts w:ascii="Cambria Math" w:hAnsi="Cambria Math" w:cs="Arial"/>
          <w:color w:val="000000" w:themeColor="text1"/>
          <w:sz w:val="20"/>
          <w:szCs w:val="20"/>
        </w:rPr>
        <w:t>Cotización del índice UNL 87 (Ron 92)en la U.S.Gulf Coast Waterborne de la publicación PLATT´s, expresado en dólares por galón (US$/Gal),en el día t</w:t>
      </w:r>
    </w:p>
    <w:p w14:paraId="1FF4B502" w14:textId="77777777" w:rsidR="00914134" w:rsidRPr="008C1C9E" w:rsidRDefault="00D31F30" w:rsidP="00914134">
      <w:pPr>
        <w:ind w:left="567" w:right="567"/>
        <w:jc w:val="both"/>
        <w:rPr>
          <w:rFonts w:ascii="Cambria Math" w:hAnsi="Cambria Math" w:cs="Arial"/>
          <w:color w:val="000000" w:themeColor="text1"/>
          <w:sz w:val="20"/>
        </w:rPr>
      </w:pPr>
      <m:oMath>
        <m:sSub>
          <m:sSubPr>
            <m:ctrlPr>
              <w:rPr>
                <w:rFonts w:ascii="Cambria Math" w:hAnsi="Cambria Math" w:cs="Arial"/>
                <w:color w:val="000000" w:themeColor="text1"/>
              </w:rPr>
            </m:ctrlPr>
          </m:sSubPr>
          <m:e>
            <m:r>
              <m:rPr>
                <m:sty m:val="bi"/>
              </m:rPr>
              <w:rPr>
                <w:rFonts w:ascii="Cambria Math" w:hAnsi="Cambria Math" w:cs="Arial"/>
                <w:color w:val="000000" w:themeColor="text1"/>
              </w:rPr>
              <m:t>Nafta</m:t>
            </m:r>
          </m:e>
          <m:sub>
            <m:r>
              <m:rPr>
                <m:sty m:val="bi"/>
              </m:rPr>
              <w:rPr>
                <w:rFonts w:ascii="Cambria Math" w:hAnsi="Cambria Math" w:cs="Arial"/>
                <w:color w:val="000000" w:themeColor="text1"/>
              </w:rPr>
              <m:t>t</m:t>
            </m:r>
          </m:sub>
        </m:sSub>
        <m:r>
          <m:rPr>
            <m:sty m:val="p"/>
          </m:rPr>
          <w:rPr>
            <w:rFonts w:ascii="Cambria Math" w:hAnsi="Cambria Math" w:cs="Arial"/>
            <w:color w:val="000000" w:themeColor="text1"/>
          </w:rPr>
          <m:t xml:space="preserve">: </m:t>
        </m:r>
      </m:oMath>
      <w:r w:rsidR="00914134" w:rsidRPr="008C1C9E">
        <w:rPr>
          <w:rFonts w:ascii="Cambria Math" w:hAnsi="Cambria Math" w:cs="Arial"/>
          <w:color w:val="000000" w:themeColor="text1"/>
          <w:sz w:val="20"/>
        </w:rPr>
        <w:t xml:space="preserve"> Cotización del índice de la Nafta en la Costa del Golfo de Estados Unidos de la publicación PLATT´s, expresado en dólares por galón (US$/Gal),en el día t.</w:t>
      </w:r>
    </w:p>
    <w:p w14:paraId="09D0C973" w14:textId="77777777" w:rsidR="00914134" w:rsidRPr="008C1C9E" w:rsidRDefault="00D31F30" w:rsidP="00914134">
      <w:pPr>
        <w:ind w:left="567" w:right="567"/>
        <w:jc w:val="both"/>
        <w:rPr>
          <w:rFonts w:ascii="Cambria Math" w:hAnsi="Cambria Math" w:cs="Arial"/>
          <w:color w:val="000000" w:themeColor="text1"/>
          <w:sz w:val="20"/>
        </w:rPr>
      </w:pPr>
      <m:oMath>
        <m:sSub>
          <m:sSubPr>
            <m:ctrlPr>
              <w:rPr>
                <w:rFonts w:ascii="Cambria Math" w:hAnsi="Cambria Math" w:cs="Arial"/>
                <w:color w:val="000000" w:themeColor="text1"/>
              </w:rPr>
            </m:ctrlPr>
          </m:sSubPr>
          <m:e>
            <m:r>
              <m:rPr>
                <m:sty m:val="bi"/>
              </m:rPr>
              <w:rPr>
                <w:rFonts w:ascii="Cambria Math" w:hAnsi="Cambria Math" w:cs="Arial"/>
                <w:color w:val="000000" w:themeColor="text1"/>
              </w:rPr>
              <m:t>FL</m:t>
            </m:r>
          </m:e>
          <m:sub>
            <m:r>
              <m:rPr>
                <m:sty m:val="bi"/>
              </m:rPr>
              <w:rPr>
                <w:rFonts w:ascii="Cambria Math" w:hAnsi="Cambria Math" w:cs="Arial"/>
                <w:color w:val="000000" w:themeColor="text1"/>
              </w:rPr>
              <m:t>t</m:t>
            </m:r>
          </m:sub>
        </m:sSub>
        <m:r>
          <m:rPr>
            <m:sty m:val="p"/>
          </m:rPr>
          <w:rPr>
            <w:rFonts w:ascii="Cambria Math" w:hAnsi="Cambria Math" w:cs="Arial"/>
            <w:color w:val="000000" w:themeColor="text1"/>
          </w:rPr>
          <m:t xml:space="preserve">: </m:t>
        </m:r>
      </m:oMath>
      <w:r w:rsidR="00914134" w:rsidRPr="008C1C9E">
        <w:rPr>
          <w:rFonts w:ascii="Cambria Math" w:hAnsi="Cambria Math" w:cs="Arial"/>
          <w:iCs/>
          <w:color w:val="000000" w:themeColor="text1"/>
          <w:sz w:val="20"/>
        </w:rPr>
        <w:t xml:space="preserve"> </w:t>
      </w:r>
      <w:r w:rsidR="00914134" w:rsidRPr="008C1C9E">
        <w:rPr>
          <w:rFonts w:ascii="Cambria Math" w:hAnsi="Cambria Math" w:cs="Arial"/>
          <w:color w:val="000000" w:themeColor="text1"/>
          <w:sz w:val="20"/>
        </w:rPr>
        <w:t>Costo de los fletes marítimos o terrestres y demás costos incurridos para transportar un galón de gasolina desde el puerto de exportación local de la Costa Colombiana hasta la Costa del Golfo de Estados Unidos, expresado en dólares por galón (US$/Galón) en el día t.</w:t>
      </w:r>
    </w:p>
    <w:p w14:paraId="29CCEB57" w14:textId="77777777" w:rsidR="00914134" w:rsidRPr="008C1C9E" w:rsidRDefault="00914134" w:rsidP="00914134">
      <w:pPr>
        <w:ind w:left="567" w:right="567"/>
        <w:jc w:val="both"/>
        <w:rPr>
          <w:rFonts w:ascii="Cambria Math" w:hAnsi="Cambria Math" w:cs="Arial"/>
          <w:color w:val="000000" w:themeColor="text1"/>
          <w:sz w:val="20"/>
        </w:rPr>
      </w:pPr>
      <m:oMath>
        <m:r>
          <m:rPr>
            <m:sty m:val="bi"/>
          </m:rPr>
          <w:rPr>
            <w:rFonts w:ascii="Cambria Math" w:hAnsi="Cambria Math" w:cs="Arial"/>
            <w:color w:val="000000" w:themeColor="text1"/>
          </w:rPr>
          <m:t>Ct</m:t>
        </m:r>
        <m:r>
          <m:rPr>
            <m:sty m:val="p"/>
          </m:rPr>
          <w:rPr>
            <w:rFonts w:ascii="Cambria Math" w:hAnsi="Cambria Math" w:cs="Arial"/>
            <w:color w:val="000000" w:themeColor="text1"/>
          </w:rPr>
          <m:t xml:space="preserve">: </m:t>
        </m:r>
      </m:oMath>
      <w:r w:rsidRPr="008C1C9E">
        <w:rPr>
          <w:rFonts w:ascii="Cambria Math" w:hAnsi="Cambria Math" w:cs="Arial"/>
          <w:color w:val="000000" w:themeColor="text1"/>
          <w:sz w:val="20"/>
        </w:rPr>
        <w:t xml:space="preserve"> Costo de los fletes por poliducto o terrestres para transportar un galón de gasolina desde la Refinería hasta el puerto de exportación local, de acuerdo con las tarifas reguladas sobre el particular por el Ministerio de Minas y Energía o quien haga sus veces en materia de regulación de precios, expresado en dólares por galón.</w:t>
      </w:r>
    </w:p>
    <w:p w14:paraId="356D22AD" w14:textId="77777777" w:rsidR="00914134" w:rsidRPr="008C1C9E" w:rsidRDefault="00D31F30" w:rsidP="00914134">
      <w:pPr>
        <w:ind w:left="567" w:right="567"/>
        <w:jc w:val="both"/>
        <w:rPr>
          <w:rFonts w:ascii="Cambria Math" w:hAnsi="Cambria Math" w:cs="Arial"/>
          <w:bCs/>
          <w:iCs/>
          <w:color w:val="000000" w:themeColor="text1"/>
          <w:sz w:val="20"/>
          <w:szCs w:val="20"/>
        </w:rPr>
      </w:pPr>
      <m:oMath>
        <m:sSub>
          <m:sSubPr>
            <m:ctrlPr>
              <w:rPr>
                <w:rFonts w:ascii="Cambria Math" w:hAnsi="Cambria Math" w:cs="Arial"/>
                <w:b/>
                <w:bCs/>
                <w:i/>
                <w:iCs/>
                <w:color w:val="000000" w:themeColor="text1"/>
              </w:rPr>
            </m:ctrlPr>
          </m:sSubPr>
          <m:e>
            <m:r>
              <m:rPr>
                <m:sty m:val="bi"/>
              </m:rPr>
              <w:rPr>
                <w:rFonts w:ascii="Cambria Math" w:hAnsi="Cambria Math" w:cs="Arial"/>
                <w:color w:val="000000" w:themeColor="text1"/>
              </w:rPr>
              <m:t>TRM</m:t>
            </m:r>
          </m:e>
          <m:sub>
            <m:r>
              <m:rPr>
                <m:sty m:val="bi"/>
              </m:rPr>
              <w:rPr>
                <w:rFonts w:ascii="Cambria Math" w:hAnsi="Cambria Math" w:cs="Arial"/>
                <w:color w:val="000000" w:themeColor="text1"/>
              </w:rPr>
              <m:t>t</m:t>
            </m:r>
          </m:sub>
        </m:sSub>
        <m:r>
          <m:rPr>
            <m:sty m:val="bi"/>
          </m:rPr>
          <w:rPr>
            <w:rFonts w:ascii="Cambria Math" w:hAnsi="Cambria Math" w:cs="Arial"/>
            <w:color w:val="000000" w:themeColor="text1"/>
          </w:rPr>
          <m:t xml:space="preserve">: </m:t>
        </m:r>
      </m:oMath>
      <w:r w:rsidR="00914134" w:rsidRPr="008C1C9E">
        <w:rPr>
          <w:rFonts w:ascii="Cambria Math" w:hAnsi="Cambria Math" w:cs="Arial"/>
          <w:b/>
          <w:bCs/>
          <w:i/>
          <w:iCs/>
          <w:color w:val="000000" w:themeColor="text1"/>
        </w:rPr>
        <w:t xml:space="preserve"> </w:t>
      </w:r>
      <w:r w:rsidR="00914134" w:rsidRPr="008C1C9E">
        <w:rPr>
          <w:rFonts w:ascii="Cambria Math" w:hAnsi="Cambria Math" w:cs="Arial"/>
          <w:bCs/>
          <w:iCs/>
          <w:color w:val="000000" w:themeColor="text1"/>
          <w:sz w:val="20"/>
          <w:szCs w:val="20"/>
        </w:rPr>
        <w:t>Tasa de cambio representativa de Mercado vigente para el día t, certificada por la Superintendencia Financiera</w:t>
      </w:r>
    </w:p>
    <w:p w14:paraId="36D817EC" w14:textId="77777777" w:rsidR="00914134" w:rsidRPr="008C1C9E" w:rsidRDefault="00914134" w:rsidP="00914134">
      <w:pPr>
        <w:spacing w:before="240" w:after="240" w:line="276" w:lineRule="auto"/>
        <w:jc w:val="both"/>
        <w:rPr>
          <w:rFonts w:ascii="Arial" w:hAnsi="Arial" w:cs="Arial"/>
          <w:sz w:val="22"/>
          <w:highlight w:val="yellow"/>
        </w:rPr>
      </w:pPr>
      <w:r w:rsidRPr="008C1C9E">
        <w:rPr>
          <w:rFonts w:ascii="Arial" w:hAnsi="Arial" w:cs="Arial"/>
          <w:sz w:val="22"/>
        </w:rPr>
        <w:t xml:space="preserve">Para efectuar la estimación del ingreso al productor colombiano de Gasolina, se realizó un análisis comparativo de las series históricas de los precios internos e internacionales de la Costa del Golfo, establecido en la regulación y con el propósito de establecer la relación existente y determinar su equivalente. En la </w:t>
      </w:r>
      <w:r w:rsidRPr="008C1C9E">
        <w:rPr>
          <w:rFonts w:ascii="Arial" w:hAnsi="Arial" w:cs="Arial"/>
          <w:sz w:val="22"/>
          <w:szCs w:val="22"/>
        </w:rPr>
        <w:fldChar w:fldCharType="begin"/>
      </w:r>
      <w:r w:rsidRPr="008C1C9E">
        <w:rPr>
          <w:rFonts w:ascii="Arial" w:hAnsi="Arial" w:cs="Arial"/>
          <w:sz w:val="22"/>
          <w:szCs w:val="22"/>
        </w:rPr>
        <w:instrText xml:space="preserve"> REF _Ref514761273 \h  \* MERGEFORMAT </w:instrText>
      </w:r>
      <w:r w:rsidRPr="008C1C9E">
        <w:rPr>
          <w:rFonts w:ascii="Arial" w:hAnsi="Arial" w:cs="Arial"/>
          <w:sz w:val="22"/>
          <w:szCs w:val="22"/>
        </w:rPr>
      </w:r>
      <w:r w:rsidRPr="008C1C9E">
        <w:rPr>
          <w:rFonts w:ascii="Arial" w:hAnsi="Arial" w:cs="Arial"/>
          <w:sz w:val="22"/>
          <w:szCs w:val="22"/>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6</w:t>
      </w:r>
      <w:r w:rsidR="00915705" w:rsidRPr="00915705">
        <w:rPr>
          <w:rFonts w:ascii="Arial" w:hAnsi="Arial" w:cs="Arial"/>
          <w:noProof/>
          <w:sz w:val="22"/>
          <w:szCs w:val="22"/>
          <w:highlight w:val="yellow"/>
        </w:rPr>
        <w:noBreakHyphen/>
        <w:t>1</w:t>
      </w:r>
      <w:r w:rsidRPr="008C1C9E">
        <w:rPr>
          <w:rFonts w:ascii="Arial" w:hAnsi="Arial" w:cs="Arial"/>
          <w:sz w:val="22"/>
          <w:szCs w:val="22"/>
        </w:rPr>
        <w:fldChar w:fldCharType="end"/>
      </w:r>
      <w:r w:rsidRPr="008C1C9E">
        <w:rPr>
          <w:rFonts w:ascii="Arial" w:hAnsi="Arial" w:cs="Arial"/>
          <w:sz w:val="22"/>
          <w:szCs w:val="22"/>
        </w:rPr>
        <w:t xml:space="preserve"> </w:t>
      </w:r>
      <w:r w:rsidRPr="008C1C9E">
        <w:rPr>
          <w:rFonts w:ascii="Arial" w:hAnsi="Arial" w:cs="Arial"/>
          <w:sz w:val="22"/>
        </w:rPr>
        <w:t>se observa su correspondencia con los diferentes combustibles evaluados.</w:t>
      </w:r>
    </w:p>
    <w:p w14:paraId="1B1A80BE" w14:textId="77AC5DD7" w:rsidR="00914134" w:rsidRPr="00BA53C4" w:rsidRDefault="00914134" w:rsidP="00914134">
      <w:pPr>
        <w:pStyle w:val="Descripcin"/>
        <w:keepNext/>
        <w:spacing w:after="0"/>
        <w:jc w:val="center"/>
        <w:rPr>
          <w:i w:val="0"/>
          <w:color w:val="auto"/>
          <w:sz w:val="20"/>
        </w:rPr>
      </w:pPr>
      <w:bookmarkStart w:id="320" w:name="_Ref514761273"/>
      <w:bookmarkStart w:id="321" w:name="_Toc530033431"/>
      <w:r w:rsidRPr="00BA53C4">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6</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bookmarkEnd w:id="320"/>
      <w:r w:rsidRPr="00BA53C4">
        <w:rPr>
          <w:b/>
          <w:i w:val="0"/>
          <w:color w:val="auto"/>
          <w:sz w:val="20"/>
          <w:highlight w:val="yellow"/>
        </w:rPr>
        <w:t xml:space="preserve">. </w:t>
      </w:r>
      <w:r w:rsidRPr="00BA53C4">
        <w:rPr>
          <w:i w:val="0"/>
          <w:color w:val="auto"/>
          <w:sz w:val="20"/>
        </w:rPr>
        <w:t>Ingreso al productor de la gasolina e índice del U.S. Gulf Coast</w:t>
      </w:r>
      <w:bookmarkEnd w:id="321"/>
    </w:p>
    <w:p w14:paraId="62C9C1DA" w14:textId="77777777" w:rsidR="00914134" w:rsidRDefault="00914134" w:rsidP="00914134">
      <w:pPr>
        <w:jc w:val="center"/>
        <w:rPr>
          <w:highlight w:val="yellow"/>
        </w:rPr>
      </w:pPr>
      <w:r w:rsidRPr="00D2776D">
        <w:rPr>
          <w:noProof/>
          <w:lang w:val="es-ES" w:eastAsia="es-ES"/>
        </w:rPr>
        <w:drawing>
          <wp:inline distT="0" distB="0" distL="0" distR="0" wp14:anchorId="6DB8B252" wp14:editId="619DE18F">
            <wp:extent cx="5400675" cy="32385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711EB750" w14:textId="197E7442" w:rsidR="00914134" w:rsidRPr="00AD302D" w:rsidRDefault="00914134" w:rsidP="00914134">
      <w:pPr>
        <w:jc w:val="center"/>
        <w:rPr>
          <w:rFonts w:ascii="Arial" w:hAnsi="Arial" w:cs="Arial"/>
          <w:color w:val="000000" w:themeColor="text1"/>
          <w:sz w:val="16"/>
        </w:rPr>
      </w:pPr>
      <w:r w:rsidRPr="00AD302D">
        <w:rPr>
          <w:rFonts w:ascii="Arial" w:hAnsi="Arial" w:cs="Arial"/>
          <w:b/>
          <w:color w:val="000000" w:themeColor="text1"/>
          <w:sz w:val="16"/>
        </w:rPr>
        <w:t>Fuente:</w:t>
      </w:r>
      <w:r w:rsidRPr="00AD302D">
        <w:rPr>
          <w:rFonts w:ascii="Arial" w:hAnsi="Arial" w:cs="Arial"/>
          <w:color w:val="000000" w:themeColor="text1"/>
          <w:sz w:val="16"/>
        </w:rPr>
        <w:t xml:space="preserve"> EC</w:t>
      </w:r>
      <w:r w:rsidR="00AD302D" w:rsidRPr="00AD302D">
        <w:rPr>
          <w:rFonts w:ascii="Arial" w:hAnsi="Arial" w:cs="Arial"/>
          <w:color w:val="000000" w:themeColor="text1"/>
          <w:sz w:val="16"/>
        </w:rPr>
        <w:t>P</w:t>
      </w:r>
      <w:r w:rsidR="00AD302D" w:rsidRPr="00AD302D">
        <w:rPr>
          <w:rFonts w:ascii="Arial" w:hAnsi="Arial" w:cs="Arial"/>
          <w:color w:val="000000" w:themeColor="text1"/>
          <w:sz w:val="16"/>
        </w:rPr>
        <w:fldChar w:fldCharType="begin"/>
      </w:r>
      <w:r w:rsidR="00AD302D" w:rsidRPr="00AD302D">
        <w:rPr>
          <w:rFonts w:ascii="Arial" w:hAnsi="Arial" w:cs="Arial"/>
          <w:color w:val="000000" w:themeColor="text1"/>
          <w:sz w:val="16"/>
        </w:rPr>
        <w:instrText xml:space="preserve"> REF _Ref529882807 \r \h </w:instrText>
      </w:r>
      <w:r w:rsidR="00AD302D">
        <w:rPr>
          <w:rFonts w:ascii="Arial" w:hAnsi="Arial" w:cs="Arial"/>
          <w:color w:val="000000" w:themeColor="text1"/>
          <w:sz w:val="16"/>
        </w:rPr>
        <w:instrText xml:space="preserve"> \* MERGEFORMAT </w:instrText>
      </w:r>
      <w:r w:rsidR="00AD302D" w:rsidRPr="00AD302D">
        <w:rPr>
          <w:rFonts w:ascii="Arial" w:hAnsi="Arial" w:cs="Arial"/>
          <w:color w:val="000000" w:themeColor="text1"/>
          <w:sz w:val="16"/>
        </w:rPr>
      </w:r>
      <w:r w:rsidR="00AD302D" w:rsidRPr="00AD302D">
        <w:rPr>
          <w:rFonts w:ascii="Arial" w:hAnsi="Arial" w:cs="Arial"/>
          <w:color w:val="000000" w:themeColor="text1"/>
          <w:sz w:val="16"/>
        </w:rPr>
        <w:fldChar w:fldCharType="separate"/>
      </w:r>
      <w:r w:rsidR="00915705">
        <w:rPr>
          <w:rFonts w:ascii="Arial" w:hAnsi="Arial" w:cs="Arial"/>
          <w:color w:val="000000" w:themeColor="text1"/>
          <w:sz w:val="16"/>
        </w:rPr>
        <w:t>[20]</w:t>
      </w:r>
      <w:r w:rsidR="00AD302D" w:rsidRPr="00AD302D">
        <w:rPr>
          <w:rFonts w:ascii="Arial" w:hAnsi="Arial" w:cs="Arial"/>
          <w:color w:val="000000" w:themeColor="text1"/>
          <w:sz w:val="16"/>
        </w:rPr>
        <w:fldChar w:fldCharType="end"/>
      </w:r>
      <w:r w:rsidR="00AD302D" w:rsidRPr="00AD302D">
        <w:rPr>
          <w:rFonts w:ascii="Arial" w:hAnsi="Arial" w:cs="Arial"/>
          <w:color w:val="000000" w:themeColor="text1"/>
          <w:sz w:val="16"/>
        </w:rPr>
        <w:t>, PLATTS</w:t>
      </w:r>
      <w:r w:rsidR="00AD302D" w:rsidRPr="00AD302D">
        <w:rPr>
          <w:rFonts w:ascii="Arial" w:hAnsi="Arial" w:cs="Arial"/>
          <w:color w:val="000000" w:themeColor="text1"/>
          <w:sz w:val="16"/>
        </w:rPr>
        <w:fldChar w:fldCharType="begin"/>
      </w:r>
      <w:r w:rsidR="00AD302D" w:rsidRPr="00AD302D">
        <w:rPr>
          <w:rFonts w:ascii="Arial" w:hAnsi="Arial" w:cs="Arial"/>
          <w:color w:val="000000" w:themeColor="text1"/>
          <w:sz w:val="16"/>
        </w:rPr>
        <w:instrText xml:space="preserve"> REF _Ref529882813 \r \h </w:instrText>
      </w:r>
      <w:r w:rsidR="00AD302D">
        <w:rPr>
          <w:rFonts w:ascii="Arial" w:hAnsi="Arial" w:cs="Arial"/>
          <w:color w:val="000000" w:themeColor="text1"/>
          <w:sz w:val="16"/>
        </w:rPr>
        <w:instrText xml:space="preserve"> \* MERGEFORMAT </w:instrText>
      </w:r>
      <w:r w:rsidR="00AD302D" w:rsidRPr="00AD302D">
        <w:rPr>
          <w:rFonts w:ascii="Arial" w:hAnsi="Arial" w:cs="Arial"/>
          <w:color w:val="000000" w:themeColor="text1"/>
          <w:sz w:val="16"/>
        </w:rPr>
      </w:r>
      <w:r w:rsidR="00AD302D" w:rsidRPr="00AD302D">
        <w:rPr>
          <w:rFonts w:ascii="Arial" w:hAnsi="Arial" w:cs="Arial"/>
          <w:color w:val="000000" w:themeColor="text1"/>
          <w:sz w:val="16"/>
        </w:rPr>
        <w:fldChar w:fldCharType="separate"/>
      </w:r>
      <w:r w:rsidR="00915705">
        <w:rPr>
          <w:rFonts w:ascii="Arial" w:hAnsi="Arial" w:cs="Arial"/>
          <w:color w:val="000000" w:themeColor="text1"/>
          <w:sz w:val="16"/>
        </w:rPr>
        <w:t>[21]</w:t>
      </w:r>
      <w:r w:rsidR="00AD302D" w:rsidRPr="00AD302D">
        <w:rPr>
          <w:rFonts w:ascii="Arial" w:hAnsi="Arial" w:cs="Arial"/>
          <w:color w:val="000000" w:themeColor="text1"/>
          <w:sz w:val="16"/>
        </w:rPr>
        <w:fldChar w:fldCharType="end"/>
      </w:r>
      <w:r w:rsidRPr="00AD302D">
        <w:rPr>
          <w:rFonts w:ascii="Arial" w:hAnsi="Arial" w:cs="Arial"/>
          <w:color w:val="000000" w:themeColor="text1"/>
          <w:sz w:val="16"/>
        </w:rPr>
        <w:t>.</w:t>
      </w:r>
    </w:p>
    <w:p w14:paraId="426B6037" w14:textId="77777777" w:rsidR="00914134" w:rsidRPr="008C1C9E" w:rsidRDefault="00914134" w:rsidP="00914134">
      <w:pPr>
        <w:spacing w:before="240" w:after="240" w:line="276" w:lineRule="auto"/>
        <w:jc w:val="both"/>
        <w:rPr>
          <w:rFonts w:ascii="Arial" w:hAnsi="Arial" w:cs="Arial"/>
          <w:sz w:val="22"/>
        </w:rPr>
      </w:pPr>
      <w:r w:rsidRPr="008C1C9E">
        <w:rPr>
          <w:rFonts w:ascii="Arial" w:hAnsi="Arial" w:cs="Arial"/>
          <w:sz w:val="22"/>
        </w:rPr>
        <w:t>De la gráfica anterior, se puede identificar que el patrón de comportamiento del ingreso al productor de gasolina colombiana fluctúa con los distintos índices en la Costa del Golfo, acotado entre el mínimo y el máximo de los índices internacionales utilizados, reflejando menor volatilidad en el precio interno y del Ingreso al Productor con un valor de $1.5 dólares por galón a Diciembre de 2017.</w:t>
      </w:r>
    </w:p>
    <w:p w14:paraId="2C56E40A" w14:textId="77777777" w:rsidR="00914134" w:rsidRPr="00C65008" w:rsidRDefault="00914134" w:rsidP="00914134">
      <w:pPr>
        <w:spacing w:before="240" w:after="240" w:line="276" w:lineRule="auto"/>
        <w:jc w:val="both"/>
        <w:rPr>
          <w:rFonts w:ascii="Arial" w:hAnsi="Arial" w:cs="Arial"/>
          <w:sz w:val="22"/>
        </w:rPr>
      </w:pPr>
      <w:r w:rsidRPr="00C65008">
        <w:rPr>
          <w:rFonts w:ascii="Arial" w:hAnsi="Arial" w:cs="Arial"/>
          <w:sz w:val="22"/>
        </w:rPr>
        <w:t>El Departamento de Energía de los Estados Unidos plantea al corto plazo en su documento STEO - Enero 2017, como puede verse en l</w:t>
      </w:r>
      <w:r w:rsidRPr="00C65008">
        <w:rPr>
          <w:rFonts w:ascii="Arial" w:hAnsi="Arial" w:cs="Arial"/>
          <w:sz w:val="22"/>
          <w:szCs w:val="22"/>
        </w:rPr>
        <w:t xml:space="preserve">a </w:t>
      </w:r>
      <w:r w:rsidRPr="00C65008">
        <w:rPr>
          <w:rFonts w:ascii="Arial" w:hAnsi="Arial" w:cs="Arial"/>
          <w:sz w:val="22"/>
          <w:szCs w:val="22"/>
        </w:rPr>
        <w:fldChar w:fldCharType="begin"/>
      </w:r>
      <w:r w:rsidRPr="00C65008">
        <w:rPr>
          <w:rFonts w:ascii="Arial" w:hAnsi="Arial" w:cs="Arial"/>
          <w:sz w:val="22"/>
          <w:szCs w:val="22"/>
        </w:rPr>
        <w:instrText xml:space="preserve"> REF _Ref529266125 \h  \* MERGEFORMAT </w:instrText>
      </w:r>
      <w:r w:rsidRPr="00C65008">
        <w:rPr>
          <w:rFonts w:ascii="Arial" w:hAnsi="Arial" w:cs="Arial"/>
          <w:sz w:val="22"/>
          <w:szCs w:val="22"/>
        </w:rPr>
      </w:r>
      <w:r w:rsidRPr="00C65008">
        <w:rPr>
          <w:rFonts w:ascii="Arial" w:hAnsi="Arial" w:cs="Arial"/>
          <w:sz w:val="22"/>
          <w:szCs w:val="22"/>
        </w:rPr>
        <w:fldChar w:fldCharType="separate"/>
      </w:r>
      <w:r w:rsidR="00915705" w:rsidRPr="00915705">
        <w:rPr>
          <w:rFonts w:ascii="Arial" w:hAnsi="Arial" w:cs="Arial"/>
          <w:sz w:val="22"/>
          <w:szCs w:val="22"/>
        </w:rPr>
        <w:t xml:space="preserve">Gráfica </w:t>
      </w:r>
      <w:r w:rsidR="00915705" w:rsidRPr="00915705">
        <w:rPr>
          <w:rFonts w:ascii="Arial" w:hAnsi="Arial" w:cs="Arial"/>
          <w:noProof/>
          <w:sz w:val="22"/>
          <w:szCs w:val="22"/>
        </w:rPr>
        <w:t>6</w:t>
      </w:r>
      <w:r w:rsidR="00915705" w:rsidRPr="00915705">
        <w:rPr>
          <w:rFonts w:ascii="Arial" w:hAnsi="Arial" w:cs="Arial"/>
          <w:noProof/>
          <w:sz w:val="22"/>
          <w:szCs w:val="22"/>
        </w:rPr>
        <w:noBreakHyphen/>
        <w:t>2</w:t>
      </w:r>
      <w:r w:rsidRPr="00C65008">
        <w:rPr>
          <w:rFonts w:ascii="Arial" w:hAnsi="Arial" w:cs="Arial"/>
          <w:sz w:val="22"/>
          <w:szCs w:val="22"/>
        </w:rPr>
        <w:fldChar w:fldCharType="end"/>
      </w:r>
      <w:r w:rsidRPr="00C65008">
        <w:rPr>
          <w:rFonts w:ascii="Arial" w:hAnsi="Arial" w:cs="Arial"/>
          <w:sz w:val="22"/>
        </w:rPr>
        <w:t xml:space="preserve">, una estabilidad de los precios de la gasolina, con base en el supuesto de que los escenarios de demanda tengan los comportamientos habituales, es decir un incremento posterior a los meses de Febrero y Marzo cuando finaliza el </w:t>
      </w:r>
      <w:r w:rsidRPr="00C65008">
        <w:rPr>
          <w:rFonts w:ascii="Arial" w:hAnsi="Arial" w:cs="Arial"/>
          <w:sz w:val="22"/>
        </w:rPr>
        <w:lastRenderedPageBreak/>
        <w:t xml:space="preserve">invierno y una recuperación del precio del barril que se aproxima a los US$ 53/barril a finales de 2017. </w:t>
      </w:r>
    </w:p>
    <w:p w14:paraId="1C77271B" w14:textId="54D67625" w:rsidR="00914134" w:rsidRDefault="00914134" w:rsidP="00914134">
      <w:pPr>
        <w:pStyle w:val="Descripcin"/>
        <w:keepNext/>
        <w:spacing w:after="0"/>
        <w:jc w:val="center"/>
        <w:rPr>
          <w:i w:val="0"/>
          <w:color w:val="auto"/>
          <w:sz w:val="20"/>
        </w:rPr>
      </w:pPr>
      <w:bookmarkStart w:id="322" w:name="_Ref529266125"/>
      <w:bookmarkStart w:id="323" w:name="_Toc530033432"/>
      <w:r w:rsidRPr="00BA53C4">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6</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2</w:t>
      </w:r>
      <w:r w:rsidR="00DA50A5">
        <w:rPr>
          <w:b/>
          <w:i w:val="0"/>
          <w:color w:val="auto"/>
          <w:sz w:val="20"/>
          <w:highlight w:val="yellow"/>
        </w:rPr>
        <w:fldChar w:fldCharType="end"/>
      </w:r>
      <w:bookmarkEnd w:id="322"/>
      <w:r w:rsidRPr="00BA53C4">
        <w:rPr>
          <w:b/>
          <w:i w:val="0"/>
          <w:color w:val="auto"/>
          <w:sz w:val="20"/>
          <w:highlight w:val="yellow"/>
        </w:rPr>
        <w:t xml:space="preserve">. </w:t>
      </w:r>
      <w:r w:rsidRPr="00BA53C4">
        <w:rPr>
          <w:i w:val="0"/>
          <w:color w:val="auto"/>
          <w:sz w:val="20"/>
        </w:rPr>
        <w:t>Perspectiva corto plazo IP gasolina motor corriente</w:t>
      </w:r>
      <w:bookmarkEnd w:id="323"/>
    </w:p>
    <w:p w14:paraId="2223F7A0" w14:textId="77777777" w:rsidR="00914134" w:rsidRPr="000E1D34" w:rsidRDefault="00914134" w:rsidP="00914134">
      <w:pPr>
        <w:jc w:val="center"/>
        <w:rPr>
          <w:lang w:val="es-CO" w:eastAsia="es-ES"/>
        </w:rPr>
      </w:pPr>
      <w:r w:rsidRPr="000E1D34">
        <w:rPr>
          <w:noProof/>
          <w:lang w:val="es-ES" w:eastAsia="es-ES"/>
        </w:rPr>
        <w:drawing>
          <wp:inline distT="0" distB="0" distL="0" distR="0" wp14:anchorId="00E308D7" wp14:editId="20D6C413">
            <wp:extent cx="5398770" cy="3314700"/>
            <wp:effectExtent l="0" t="0" r="0" b="0"/>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98770" cy="3314700"/>
                    </a:xfrm>
                    <a:prstGeom prst="rect">
                      <a:avLst/>
                    </a:prstGeom>
                    <a:noFill/>
                    <a:ln>
                      <a:noFill/>
                    </a:ln>
                  </pic:spPr>
                </pic:pic>
              </a:graphicData>
            </a:graphic>
          </wp:inline>
        </w:drawing>
      </w:r>
    </w:p>
    <w:p w14:paraId="58DF6D2C" w14:textId="7DC63447" w:rsidR="00914134" w:rsidRPr="00AD302D" w:rsidRDefault="00914134" w:rsidP="00914134">
      <w:pPr>
        <w:jc w:val="center"/>
        <w:rPr>
          <w:rFonts w:ascii="Arial" w:hAnsi="Arial" w:cs="Arial"/>
          <w:sz w:val="16"/>
        </w:rPr>
      </w:pPr>
      <w:r w:rsidRPr="00AD302D">
        <w:rPr>
          <w:rFonts w:ascii="Arial" w:hAnsi="Arial" w:cs="Arial"/>
          <w:b/>
          <w:sz w:val="16"/>
        </w:rPr>
        <w:t>Fuente</w:t>
      </w:r>
      <w:r w:rsidR="00AD302D" w:rsidRPr="00AD302D">
        <w:rPr>
          <w:rFonts w:ascii="Arial" w:hAnsi="Arial" w:cs="Arial"/>
          <w:b/>
          <w:sz w:val="16"/>
        </w:rPr>
        <w:t>:</w:t>
      </w:r>
      <w:r w:rsidR="00AD302D" w:rsidRPr="00AD302D">
        <w:rPr>
          <w:rFonts w:ascii="Arial" w:hAnsi="Arial" w:cs="Arial"/>
          <w:color w:val="000000" w:themeColor="text1"/>
          <w:sz w:val="16"/>
        </w:rPr>
        <w:t xml:space="preserve"> </w:t>
      </w:r>
      <w:r w:rsidR="00AD302D" w:rsidRPr="00AD302D">
        <w:rPr>
          <w:rFonts w:ascii="Arial" w:hAnsi="Arial" w:cs="Arial"/>
          <w:sz w:val="16"/>
        </w:rPr>
        <w:t>EIA</w:t>
      </w:r>
      <w:r w:rsidR="00AD302D" w:rsidRPr="00AD302D">
        <w:rPr>
          <w:rFonts w:ascii="Arial" w:hAnsi="Arial" w:cs="Arial"/>
          <w:sz w:val="16"/>
        </w:rPr>
        <w:fldChar w:fldCharType="begin"/>
      </w:r>
      <w:r w:rsidR="00AD302D" w:rsidRPr="00AD302D">
        <w:rPr>
          <w:rFonts w:ascii="Arial" w:hAnsi="Arial" w:cs="Arial"/>
          <w:sz w:val="16"/>
        </w:rPr>
        <w:instrText xml:space="preserve"> REF _Ref529881201 \r \h </w:instrText>
      </w:r>
      <w:r w:rsidR="00AD302D">
        <w:rPr>
          <w:rFonts w:ascii="Arial" w:hAnsi="Arial" w:cs="Arial"/>
          <w:sz w:val="16"/>
        </w:rPr>
        <w:instrText xml:space="preserve"> \* MERGEFORMAT </w:instrText>
      </w:r>
      <w:r w:rsidR="00AD302D" w:rsidRPr="00AD302D">
        <w:rPr>
          <w:rFonts w:ascii="Arial" w:hAnsi="Arial" w:cs="Arial"/>
          <w:sz w:val="16"/>
        </w:rPr>
      </w:r>
      <w:r w:rsidR="00AD302D" w:rsidRPr="00AD302D">
        <w:rPr>
          <w:rFonts w:ascii="Arial" w:hAnsi="Arial" w:cs="Arial"/>
          <w:sz w:val="16"/>
        </w:rPr>
        <w:fldChar w:fldCharType="separate"/>
      </w:r>
      <w:r w:rsidR="00915705">
        <w:rPr>
          <w:rFonts w:ascii="Arial" w:hAnsi="Arial" w:cs="Arial"/>
          <w:sz w:val="16"/>
        </w:rPr>
        <w:t>[6]</w:t>
      </w:r>
      <w:r w:rsidR="00AD302D" w:rsidRPr="00AD302D">
        <w:rPr>
          <w:rFonts w:ascii="Arial" w:hAnsi="Arial" w:cs="Arial"/>
          <w:sz w:val="16"/>
        </w:rPr>
        <w:fldChar w:fldCharType="end"/>
      </w:r>
      <w:r w:rsidR="00AD302D" w:rsidRPr="00AD302D">
        <w:rPr>
          <w:rFonts w:ascii="Arial" w:hAnsi="Arial" w:cs="Arial"/>
          <w:sz w:val="16"/>
        </w:rPr>
        <w:t xml:space="preserve"> </w:t>
      </w:r>
      <w:r w:rsidR="00AD302D" w:rsidRPr="00AD302D">
        <w:rPr>
          <w:rFonts w:ascii="Arial" w:hAnsi="Arial" w:cs="Arial"/>
          <w:color w:val="000000" w:themeColor="text1"/>
          <w:sz w:val="16"/>
        </w:rPr>
        <w:t>ECP</w:t>
      </w:r>
      <w:r w:rsidR="00AD302D" w:rsidRPr="00AD302D">
        <w:rPr>
          <w:rFonts w:ascii="Arial" w:hAnsi="Arial" w:cs="Arial"/>
          <w:color w:val="000000" w:themeColor="text1"/>
          <w:sz w:val="16"/>
        </w:rPr>
        <w:fldChar w:fldCharType="begin"/>
      </w:r>
      <w:r w:rsidR="00AD302D" w:rsidRPr="00AD302D">
        <w:rPr>
          <w:rFonts w:ascii="Arial" w:hAnsi="Arial" w:cs="Arial"/>
          <w:color w:val="000000" w:themeColor="text1"/>
          <w:sz w:val="16"/>
        </w:rPr>
        <w:instrText xml:space="preserve"> REF _Ref529882807 \r \h  \* MERGEFORMAT </w:instrText>
      </w:r>
      <w:r w:rsidR="00AD302D" w:rsidRPr="00AD302D">
        <w:rPr>
          <w:rFonts w:ascii="Arial" w:hAnsi="Arial" w:cs="Arial"/>
          <w:color w:val="000000" w:themeColor="text1"/>
          <w:sz w:val="16"/>
        </w:rPr>
      </w:r>
      <w:r w:rsidR="00AD302D" w:rsidRPr="00AD302D">
        <w:rPr>
          <w:rFonts w:ascii="Arial" w:hAnsi="Arial" w:cs="Arial"/>
          <w:color w:val="000000" w:themeColor="text1"/>
          <w:sz w:val="16"/>
        </w:rPr>
        <w:fldChar w:fldCharType="separate"/>
      </w:r>
      <w:r w:rsidR="00915705">
        <w:rPr>
          <w:rFonts w:ascii="Arial" w:hAnsi="Arial" w:cs="Arial"/>
          <w:color w:val="000000" w:themeColor="text1"/>
          <w:sz w:val="16"/>
        </w:rPr>
        <w:t>[20]</w:t>
      </w:r>
      <w:r w:rsidR="00AD302D" w:rsidRPr="00AD302D">
        <w:rPr>
          <w:rFonts w:ascii="Arial" w:hAnsi="Arial" w:cs="Arial"/>
          <w:color w:val="000000" w:themeColor="text1"/>
          <w:sz w:val="16"/>
        </w:rPr>
        <w:fldChar w:fldCharType="end"/>
      </w:r>
      <w:r w:rsidR="00AD302D" w:rsidRPr="00AD302D">
        <w:rPr>
          <w:rFonts w:ascii="Arial" w:hAnsi="Arial" w:cs="Arial"/>
          <w:color w:val="000000" w:themeColor="text1"/>
          <w:sz w:val="16"/>
        </w:rPr>
        <w:t>, PLATTS</w:t>
      </w:r>
      <w:r w:rsidR="00AD302D" w:rsidRPr="00AD302D">
        <w:rPr>
          <w:rFonts w:ascii="Arial" w:hAnsi="Arial" w:cs="Arial"/>
          <w:color w:val="000000" w:themeColor="text1"/>
          <w:sz w:val="16"/>
        </w:rPr>
        <w:fldChar w:fldCharType="begin"/>
      </w:r>
      <w:r w:rsidR="00AD302D" w:rsidRPr="00AD302D">
        <w:rPr>
          <w:rFonts w:ascii="Arial" w:hAnsi="Arial" w:cs="Arial"/>
          <w:color w:val="000000" w:themeColor="text1"/>
          <w:sz w:val="16"/>
        </w:rPr>
        <w:instrText xml:space="preserve"> REF _Ref529882813 \r \h  \* MERGEFORMAT </w:instrText>
      </w:r>
      <w:r w:rsidR="00AD302D" w:rsidRPr="00AD302D">
        <w:rPr>
          <w:rFonts w:ascii="Arial" w:hAnsi="Arial" w:cs="Arial"/>
          <w:color w:val="000000" w:themeColor="text1"/>
          <w:sz w:val="16"/>
        </w:rPr>
      </w:r>
      <w:r w:rsidR="00AD302D" w:rsidRPr="00AD302D">
        <w:rPr>
          <w:rFonts w:ascii="Arial" w:hAnsi="Arial" w:cs="Arial"/>
          <w:color w:val="000000" w:themeColor="text1"/>
          <w:sz w:val="16"/>
        </w:rPr>
        <w:fldChar w:fldCharType="separate"/>
      </w:r>
      <w:r w:rsidR="00915705">
        <w:rPr>
          <w:rFonts w:ascii="Arial" w:hAnsi="Arial" w:cs="Arial"/>
          <w:color w:val="000000" w:themeColor="text1"/>
          <w:sz w:val="16"/>
        </w:rPr>
        <w:t>[21]</w:t>
      </w:r>
      <w:r w:rsidR="00AD302D" w:rsidRPr="00AD302D">
        <w:rPr>
          <w:rFonts w:ascii="Arial" w:hAnsi="Arial" w:cs="Arial"/>
          <w:color w:val="000000" w:themeColor="text1"/>
          <w:sz w:val="16"/>
        </w:rPr>
        <w:fldChar w:fldCharType="end"/>
      </w:r>
      <w:r w:rsidR="00AD302D" w:rsidRPr="00AD302D">
        <w:rPr>
          <w:rFonts w:ascii="Arial" w:hAnsi="Arial" w:cs="Arial"/>
          <w:color w:val="000000" w:themeColor="text1"/>
          <w:sz w:val="16"/>
        </w:rPr>
        <w:t xml:space="preserve">, </w:t>
      </w:r>
      <w:r w:rsidRPr="00AD302D">
        <w:rPr>
          <w:rFonts w:ascii="Arial" w:hAnsi="Arial" w:cs="Arial"/>
          <w:sz w:val="16"/>
        </w:rPr>
        <w:t>UPME.</w:t>
      </w:r>
    </w:p>
    <w:p w14:paraId="0E6C05BB" w14:textId="77777777" w:rsidR="00914134" w:rsidRPr="008C1C9E" w:rsidRDefault="00914134" w:rsidP="00914134">
      <w:pPr>
        <w:spacing w:before="240" w:after="240" w:line="276" w:lineRule="auto"/>
        <w:jc w:val="both"/>
        <w:rPr>
          <w:rFonts w:ascii="Arial" w:hAnsi="Arial" w:cs="Arial"/>
          <w:sz w:val="22"/>
        </w:rPr>
      </w:pPr>
      <w:r w:rsidRPr="008C1C9E">
        <w:rPr>
          <w:rFonts w:ascii="Arial" w:hAnsi="Arial" w:cs="Arial"/>
          <w:sz w:val="22"/>
        </w:rPr>
        <w:t xml:space="preserve">Valorada la correlación y para efectos de la proyección del ingreso al productor se utilizó como driver el “BRENT” y las aperturas de los escenarios de corto y largo plazo tomados de AEO 2017 del Departamento de Energía de los Estados Unidos. La </w:t>
      </w:r>
      <w:r w:rsidRPr="008C1C9E">
        <w:rPr>
          <w:rFonts w:ascii="Arial" w:hAnsi="Arial" w:cs="Arial"/>
          <w:sz w:val="22"/>
          <w:szCs w:val="22"/>
        </w:rPr>
        <w:fldChar w:fldCharType="begin"/>
      </w:r>
      <w:r w:rsidRPr="008C1C9E">
        <w:rPr>
          <w:rFonts w:ascii="Arial" w:hAnsi="Arial" w:cs="Arial"/>
          <w:sz w:val="22"/>
          <w:szCs w:val="22"/>
        </w:rPr>
        <w:instrText xml:space="preserve"> REF _Ref514765310 \h  \* MERGEFORMAT </w:instrText>
      </w:r>
      <w:r w:rsidRPr="008C1C9E">
        <w:rPr>
          <w:rFonts w:ascii="Arial" w:hAnsi="Arial" w:cs="Arial"/>
          <w:sz w:val="22"/>
          <w:szCs w:val="22"/>
        </w:rPr>
      </w:r>
      <w:r w:rsidRPr="008C1C9E">
        <w:rPr>
          <w:rFonts w:ascii="Arial" w:hAnsi="Arial" w:cs="Arial"/>
          <w:sz w:val="22"/>
          <w:szCs w:val="22"/>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6</w:t>
      </w:r>
      <w:r w:rsidR="00915705" w:rsidRPr="00915705">
        <w:rPr>
          <w:rFonts w:ascii="Arial" w:hAnsi="Arial" w:cs="Arial"/>
          <w:noProof/>
          <w:sz w:val="22"/>
          <w:szCs w:val="22"/>
          <w:highlight w:val="yellow"/>
        </w:rPr>
        <w:noBreakHyphen/>
        <w:t>3</w:t>
      </w:r>
      <w:r w:rsidRPr="008C1C9E">
        <w:rPr>
          <w:rFonts w:ascii="Arial" w:hAnsi="Arial" w:cs="Arial"/>
          <w:sz w:val="22"/>
          <w:szCs w:val="22"/>
        </w:rPr>
        <w:fldChar w:fldCharType="end"/>
      </w:r>
      <w:r w:rsidRPr="008C1C9E">
        <w:rPr>
          <w:rFonts w:ascii="Arial" w:hAnsi="Arial" w:cs="Arial"/>
          <w:sz w:val="22"/>
        </w:rPr>
        <w:t xml:space="preserve"> representa la proyección del ingreso al productor colombiano en dólares por galón constantes de diciembre de 2017, para los tres diferentes escenarios.</w:t>
      </w:r>
    </w:p>
    <w:p w14:paraId="61249B1E" w14:textId="6157B0ED" w:rsidR="00914134" w:rsidRDefault="00914134" w:rsidP="00914134">
      <w:pPr>
        <w:pStyle w:val="Descripcin"/>
        <w:keepNext/>
        <w:spacing w:after="0"/>
        <w:jc w:val="center"/>
        <w:rPr>
          <w:i w:val="0"/>
          <w:color w:val="auto"/>
          <w:sz w:val="20"/>
        </w:rPr>
      </w:pPr>
      <w:bookmarkStart w:id="324" w:name="_Ref514765310"/>
      <w:bookmarkStart w:id="325" w:name="_Toc530033433"/>
      <w:r w:rsidRPr="008C2E73">
        <w:rPr>
          <w:b/>
          <w:i w:val="0"/>
          <w:color w:val="auto"/>
          <w:sz w:val="20"/>
          <w:highlight w:val="yellow"/>
        </w:rPr>
        <w:lastRenderedPageBreak/>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6</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3</w:t>
      </w:r>
      <w:r w:rsidR="00DA50A5">
        <w:rPr>
          <w:b/>
          <w:i w:val="0"/>
          <w:color w:val="auto"/>
          <w:sz w:val="20"/>
          <w:highlight w:val="yellow"/>
        </w:rPr>
        <w:fldChar w:fldCharType="end"/>
      </w:r>
      <w:bookmarkEnd w:id="324"/>
      <w:r w:rsidRPr="008C2E73">
        <w:rPr>
          <w:i w:val="0"/>
          <w:color w:val="auto"/>
          <w:sz w:val="20"/>
        </w:rPr>
        <w:t xml:space="preserve">. Proyección por escenarios del ingreso al productor colombiano de la </w:t>
      </w:r>
      <w:r>
        <w:rPr>
          <w:i w:val="0"/>
          <w:color w:val="auto"/>
          <w:sz w:val="20"/>
        </w:rPr>
        <w:t>g</w:t>
      </w:r>
      <w:r w:rsidRPr="008C2E73">
        <w:rPr>
          <w:i w:val="0"/>
          <w:color w:val="auto"/>
          <w:sz w:val="20"/>
        </w:rPr>
        <w:t>asolina</w:t>
      </w:r>
      <w:bookmarkEnd w:id="325"/>
    </w:p>
    <w:p w14:paraId="545FB2FA" w14:textId="77777777" w:rsidR="00914134" w:rsidRPr="000E1D34" w:rsidRDefault="00914134" w:rsidP="00914134">
      <w:pPr>
        <w:jc w:val="center"/>
        <w:rPr>
          <w:lang w:val="es-CO" w:eastAsia="es-ES"/>
        </w:rPr>
      </w:pPr>
      <w:r w:rsidRPr="000E1D34">
        <w:rPr>
          <w:noProof/>
          <w:lang w:val="es-ES" w:eastAsia="es-ES"/>
        </w:rPr>
        <w:drawing>
          <wp:inline distT="0" distB="0" distL="0" distR="0" wp14:anchorId="6A2CC792" wp14:editId="52F119FF">
            <wp:extent cx="5406571" cy="3240000"/>
            <wp:effectExtent l="0" t="0" r="3810" b="0"/>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06571" cy="3240000"/>
                    </a:xfrm>
                    <a:prstGeom prst="rect">
                      <a:avLst/>
                    </a:prstGeom>
                    <a:noFill/>
                    <a:ln>
                      <a:noFill/>
                    </a:ln>
                  </pic:spPr>
                </pic:pic>
              </a:graphicData>
            </a:graphic>
          </wp:inline>
        </w:drawing>
      </w:r>
    </w:p>
    <w:p w14:paraId="68794B6A" w14:textId="77777777" w:rsidR="00AD302D" w:rsidRPr="000E1D34" w:rsidRDefault="00AD302D" w:rsidP="00AD302D">
      <w:pPr>
        <w:spacing w:line="276" w:lineRule="auto"/>
        <w:jc w:val="center"/>
        <w:rPr>
          <w:rFonts w:ascii="Arial" w:hAnsi="Arial" w:cs="Arial"/>
          <w:color w:val="000000" w:themeColor="text1"/>
          <w:sz w:val="16"/>
        </w:rPr>
      </w:pPr>
      <w:r w:rsidRPr="000E1D34">
        <w:rPr>
          <w:rFonts w:ascii="Arial" w:hAnsi="Arial" w:cs="Arial"/>
          <w:b/>
          <w:color w:val="000000" w:themeColor="text1"/>
          <w:sz w:val="16"/>
        </w:rPr>
        <w:t>Fuente</w:t>
      </w:r>
      <w:r w:rsidRPr="000E1D34">
        <w:rPr>
          <w:rFonts w:ascii="Arial" w:hAnsi="Arial" w:cs="Arial"/>
          <w:color w:val="000000" w:themeColor="text1"/>
          <w:sz w:val="16"/>
        </w:rPr>
        <w:t xml:space="preserve">: </w:t>
      </w:r>
      <w:r>
        <w:rPr>
          <w:rFonts w:ascii="Arial" w:hAnsi="Arial" w:cs="Arial"/>
          <w:color w:val="000000" w:themeColor="text1"/>
          <w:sz w:val="16"/>
        </w:rPr>
        <w:t>WM</w:t>
      </w:r>
      <w:r>
        <w:rPr>
          <w:rFonts w:ascii="Arial" w:hAnsi="Arial" w:cs="Arial"/>
          <w:color w:val="000000" w:themeColor="text1"/>
          <w:sz w:val="16"/>
        </w:rPr>
        <w:fldChar w:fldCharType="begin"/>
      </w:r>
      <w:r>
        <w:rPr>
          <w:rFonts w:ascii="Arial" w:hAnsi="Arial" w:cs="Arial"/>
          <w:color w:val="000000" w:themeColor="text1"/>
          <w:sz w:val="16"/>
        </w:rPr>
        <w:instrText xml:space="preserve"> REF _Ref529881535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[10]</w:t>
      </w:r>
      <w:r>
        <w:rPr>
          <w:rFonts w:ascii="Arial" w:hAnsi="Arial" w:cs="Arial"/>
          <w:color w:val="000000" w:themeColor="text1"/>
          <w:sz w:val="16"/>
        </w:rPr>
        <w:fldChar w:fldCharType="end"/>
      </w:r>
      <w:r>
        <w:rPr>
          <w:rFonts w:ascii="Arial" w:hAnsi="Arial" w:cs="Arial"/>
          <w:color w:val="000000" w:themeColor="text1"/>
          <w:sz w:val="16"/>
        </w:rPr>
        <w:t xml:space="preserve">, </w:t>
      </w:r>
      <w:r w:rsidRPr="000E1D34">
        <w:rPr>
          <w:rFonts w:ascii="Arial" w:hAnsi="Arial" w:cs="Arial"/>
          <w:color w:val="000000" w:themeColor="text1"/>
          <w:sz w:val="16"/>
        </w:rPr>
        <w:t>EIA</w:t>
      </w:r>
      <w:r>
        <w:rPr>
          <w:rFonts w:ascii="Arial" w:hAnsi="Arial" w:cs="Arial"/>
          <w:color w:val="000000" w:themeColor="text1"/>
          <w:sz w:val="16"/>
        </w:rPr>
        <w:fldChar w:fldCharType="begin"/>
      </w:r>
      <w:r>
        <w:rPr>
          <w:rFonts w:ascii="Arial" w:hAnsi="Arial" w:cs="Arial"/>
          <w:color w:val="000000" w:themeColor="text1"/>
          <w:sz w:val="16"/>
        </w:rPr>
        <w:instrText xml:space="preserve"> REF _Ref529881539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[11]</w:t>
      </w:r>
      <w:r>
        <w:rPr>
          <w:rFonts w:ascii="Arial" w:hAnsi="Arial" w:cs="Arial"/>
          <w:color w:val="000000" w:themeColor="text1"/>
          <w:sz w:val="16"/>
        </w:rPr>
        <w:fldChar w:fldCharType="end"/>
      </w:r>
      <w:r>
        <w:rPr>
          <w:rFonts w:ascii="Arial" w:hAnsi="Arial" w:cs="Arial"/>
          <w:color w:val="000000" w:themeColor="text1"/>
          <w:sz w:val="16"/>
        </w:rPr>
        <w:t>, ECP</w:t>
      </w:r>
      <w:r>
        <w:rPr>
          <w:rFonts w:ascii="Arial" w:hAnsi="Arial" w:cs="Arial"/>
          <w:color w:val="000000" w:themeColor="text1"/>
          <w:sz w:val="16"/>
        </w:rPr>
        <w:fldChar w:fldCharType="begin"/>
      </w:r>
      <w:r>
        <w:rPr>
          <w:rFonts w:ascii="Arial" w:hAnsi="Arial" w:cs="Arial"/>
          <w:color w:val="000000" w:themeColor="text1"/>
          <w:sz w:val="16"/>
        </w:rPr>
        <w:instrText xml:space="preserve"> REF _Ref529882807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[20]</w:t>
      </w:r>
      <w:r>
        <w:rPr>
          <w:rFonts w:ascii="Arial" w:hAnsi="Arial" w:cs="Arial"/>
          <w:color w:val="000000" w:themeColor="text1"/>
          <w:sz w:val="16"/>
        </w:rPr>
        <w:fldChar w:fldCharType="end"/>
      </w:r>
      <w:r>
        <w:rPr>
          <w:rFonts w:ascii="Arial" w:hAnsi="Arial" w:cs="Arial"/>
          <w:color w:val="000000" w:themeColor="text1"/>
          <w:sz w:val="16"/>
        </w:rPr>
        <w:t xml:space="preserve">, </w:t>
      </w:r>
      <w:r w:rsidRPr="000E1D34">
        <w:rPr>
          <w:rFonts w:ascii="Arial" w:hAnsi="Arial" w:cs="Arial"/>
          <w:color w:val="000000" w:themeColor="text1"/>
          <w:sz w:val="16"/>
        </w:rPr>
        <w:t>UPME</w:t>
      </w:r>
    </w:p>
    <w:p w14:paraId="280AD4DF" w14:textId="77777777" w:rsidR="00914134" w:rsidRPr="008C1C9E" w:rsidRDefault="00914134" w:rsidP="00914134">
      <w:pPr>
        <w:spacing w:before="240" w:after="240" w:line="276" w:lineRule="auto"/>
        <w:jc w:val="both"/>
        <w:rPr>
          <w:rFonts w:ascii="Arial" w:hAnsi="Arial" w:cs="Arial"/>
          <w:sz w:val="22"/>
        </w:rPr>
      </w:pPr>
      <w:r w:rsidRPr="008C1C9E">
        <w:rPr>
          <w:rFonts w:ascii="Arial" w:hAnsi="Arial" w:cs="Arial"/>
          <w:sz w:val="22"/>
        </w:rPr>
        <w:t xml:space="preserve">La gráfica anterior presenta la estimación de la proyección del ingreso al productor colombiano de gasolina, </w:t>
      </w:r>
      <w:r>
        <w:rPr>
          <w:rFonts w:ascii="Arial" w:hAnsi="Arial" w:cs="Arial"/>
          <w:sz w:val="22"/>
        </w:rPr>
        <w:t xml:space="preserve">los </w:t>
      </w:r>
      <w:r w:rsidRPr="008C1C9E">
        <w:rPr>
          <w:rFonts w:ascii="Arial" w:hAnsi="Arial" w:cs="Arial"/>
          <w:sz w:val="22"/>
        </w:rPr>
        <w:t>resultados que señalan una franja de precios que varían entre los $1.</w:t>
      </w:r>
      <w:r>
        <w:rPr>
          <w:rFonts w:ascii="Arial" w:hAnsi="Arial" w:cs="Arial"/>
          <w:sz w:val="22"/>
        </w:rPr>
        <w:t>3 dólares por galón y $1.5</w:t>
      </w:r>
      <w:r w:rsidRPr="008C1C9E">
        <w:rPr>
          <w:rFonts w:ascii="Arial" w:hAnsi="Arial" w:cs="Arial"/>
          <w:sz w:val="22"/>
        </w:rPr>
        <w:t xml:space="preserve"> dólares por galón al corto plazo, alcanzando en el máximo horizonte de planeación los $2.</w:t>
      </w:r>
      <w:r>
        <w:rPr>
          <w:rFonts w:ascii="Arial" w:hAnsi="Arial" w:cs="Arial"/>
          <w:sz w:val="22"/>
        </w:rPr>
        <w:t>55</w:t>
      </w:r>
      <w:r w:rsidRPr="008C1C9E">
        <w:rPr>
          <w:rFonts w:ascii="Arial" w:hAnsi="Arial" w:cs="Arial"/>
          <w:sz w:val="22"/>
        </w:rPr>
        <w:t xml:space="preserve"> dólares por galón. Para el escenario alto se tiene un precio de la gasolina que alcanza los $ </w:t>
      </w:r>
      <w:r>
        <w:rPr>
          <w:rFonts w:ascii="Arial" w:hAnsi="Arial" w:cs="Arial"/>
          <w:sz w:val="22"/>
        </w:rPr>
        <w:t>5</w:t>
      </w:r>
      <w:r w:rsidRPr="008C1C9E">
        <w:rPr>
          <w:rFonts w:ascii="Arial" w:hAnsi="Arial" w:cs="Arial"/>
          <w:sz w:val="22"/>
        </w:rPr>
        <w:t>.4</w:t>
      </w:r>
      <w:r>
        <w:rPr>
          <w:rFonts w:ascii="Arial" w:hAnsi="Arial" w:cs="Arial"/>
          <w:sz w:val="22"/>
        </w:rPr>
        <w:t>8</w:t>
      </w:r>
      <w:r w:rsidRPr="008C1C9E">
        <w:rPr>
          <w:rFonts w:ascii="Arial" w:hAnsi="Arial" w:cs="Arial"/>
          <w:sz w:val="22"/>
        </w:rPr>
        <w:t xml:space="preserve"> dólares por galón y en el escenario bajo un valor de $1.</w:t>
      </w:r>
      <w:r>
        <w:rPr>
          <w:rFonts w:ascii="Arial" w:hAnsi="Arial" w:cs="Arial"/>
          <w:sz w:val="22"/>
        </w:rPr>
        <w:t>0</w:t>
      </w:r>
      <w:r w:rsidRPr="008C1C9E">
        <w:rPr>
          <w:rFonts w:ascii="Arial" w:hAnsi="Arial" w:cs="Arial"/>
          <w:sz w:val="22"/>
        </w:rPr>
        <w:t>8 dólares por galón.</w:t>
      </w:r>
    </w:p>
    <w:p w14:paraId="429528C8" w14:textId="77777777" w:rsidR="00914134" w:rsidRPr="008C1C9E" w:rsidRDefault="00914134" w:rsidP="00914134">
      <w:pPr>
        <w:spacing w:before="240" w:after="240" w:line="276" w:lineRule="auto"/>
        <w:jc w:val="both"/>
        <w:rPr>
          <w:rFonts w:ascii="Arial" w:hAnsi="Arial" w:cs="Arial"/>
          <w:sz w:val="22"/>
        </w:rPr>
      </w:pPr>
      <w:r w:rsidRPr="008C1C9E">
        <w:rPr>
          <w:rFonts w:ascii="Arial" w:hAnsi="Arial" w:cs="Arial"/>
          <w:sz w:val="22"/>
        </w:rPr>
        <w:t xml:space="preserve">Adicional a la proyección del ingreso al productor, se realizó el ejercicio de estimación del costo de la gasolina en estación de servicio en pesos por galón, teniendo como punto de referencia Bogotá. Para esto, se tomaron los componentes descritos en la </w:t>
      </w:r>
      <w:r w:rsidRPr="008C1C9E">
        <w:rPr>
          <w:rFonts w:ascii="Arial" w:hAnsi="Arial" w:cs="Arial"/>
          <w:sz w:val="22"/>
          <w:szCs w:val="22"/>
        </w:rPr>
        <w:fldChar w:fldCharType="begin"/>
      </w:r>
      <w:r w:rsidRPr="008C1C9E">
        <w:rPr>
          <w:rFonts w:ascii="Arial" w:hAnsi="Arial" w:cs="Arial"/>
          <w:sz w:val="22"/>
          <w:szCs w:val="22"/>
        </w:rPr>
        <w:instrText xml:space="preserve"> REF _Ref514765146 \h  \* MERGEFORMAT </w:instrText>
      </w:r>
      <w:r w:rsidRPr="008C1C9E">
        <w:rPr>
          <w:rFonts w:ascii="Arial" w:hAnsi="Arial" w:cs="Arial"/>
          <w:sz w:val="22"/>
          <w:szCs w:val="22"/>
        </w:rPr>
      </w:r>
      <w:r w:rsidRPr="008C1C9E">
        <w:rPr>
          <w:rFonts w:ascii="Arial" w:hAnsi="Arial" w:cs="Arial"/>
          <w:sz w:val="22"/>
          <w:szCs w:val="22"/>
        </w:rPr>
        <w:fldChar w:fldCharType="separate"/>
      </w:r>
      <w:r w:rsidR="00915705" w:rsidRPr="00915705">
        <w:rPr>
          <w:rFonts w:ascii="Arial" w:hAnsi="Arial" w:cs="Arial"/>
          <w:sz w:val="22"/>
          <w:szCs w:val="22"/>
          <w:highlight w:val="yellow"/>
        </w:rPr>
        <w:t>Tabla 6</w:t>
      </w:r>
      <w:r w:rsidR="00915705" w:rsidRPr="00915705">
        <w:rPr>
          <w:rFonts w:ascii="Arial" w:hAnsi="Arial" w:cs="Arial"/>
          <w:sz w:val="22"/>
          <w:szCs w:val="22"/>
          <w:highlight w:val="yellow"/>
        </w:rPr>
        <w:noBreakHyphen/>
        <w:t>1</w:t>
      </w:r>
      <w:r w:rsidRPr="008C1C9E">
        <w:rPr>
          <w:rFonts w:ascii="Arial" w:hAnsi="Arial" w:cs="Arial"/>
          <w:sz w:val="22"/>
          <w:szCs w:val="22"/>
        </w:rPr>
        <w:fldChar w:fldCharType="end"/>
      </w:r>
      <w:r w:rsidRPr="008C1C9E">
        <w:rPr>
          <w:rFonts w:ascii="Arial" w:hAnsi="Arial" w:cs="Arial"/>
          <w:sz w:val="22"/>
        </w:rPr>
        <w:t xml:space="preserve"> y se hicieron las proyecciones correspondientes de acuerdo a la regulación establecida y los cambios que se han presentado, principalmente en el margen a los distribuidores mayorista y minorista.</w:t>
      </w:r>
    </w:p>
    <w:p w14:paraId="6F4A5C37" w14:textId="509BCE3C" w:rsidR="00914134" w:rsidRDefault="00914134" w:rsidP="00914134">
      <w:pPr>
        <w:pStyle w:val="Descripcin"/>
        <w:keepNext/>
        <w:spacing w:after="0"/>
        <w:jc w:val="center"/>
        <w:rPr>
          <w:i w:val="0"/>
          <w:color w:val="auto"/>
          <w:sz w:val="20"/>
        </w:rPr>
      </w:pPr>
      <w:bookmarkStart w:id="326" w:name="_Ref514765615"/>
      <w:bookmarkStart w:id="327" w:name="_Toc530033434"/>
      <w:r w:rsidRPr="008C2E73">
        <w:rPr>
          <w:b/>
          <w:i w:val="0"/>
          <w:color w:val="auto"/>
          <w:sz w:val="20"/>
          <w:highlight w:val="yellow"/>
        </w:rPr>
        <w:lastRenderedPageBreak/>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6</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4</w:t>
      </w:r>
      <w:r w:rsidR="00DA50A5">
        <w:rPr>
          <w:b/>
          <w:i w:val="0"/>
          <w:color w:val="auto"/>
          <w:sz w:val="20"/>
          <w:highlight w:val="yellow"/>
        </w:rPr>
        <w:fldChar w:fldCharType="end"/>
      </w:r>
      <w:bookmarkEnd w:id="326"/>
      <w:r w:rsidRPr="008C2E73">
        <w:rPr>
          <w:i w:val="0"/>
          <w:color w:val="auto"/>
          <w:sz w:val="20"/>
        </w:rPr>
        <w:t>. Proyección por escenarios d</w:t>
      </w:r>
      <w:r>
        <w:rPr>
          <w:i w:val="0"/>
          <w:color w:val="auto"/>
          <w:sz w:val="20"/>
        </w:rPr>
        <w:t>e la g</w:t>
      </w:r>
      <w:r w:rsidRPr="008C2E73">
        <w:rPr>
          <w:i w:val="0"/>
          <w:color w:val="auto"/>
          <w:sz w:val="20"/>
        </w:rPr>
        <w:t xml:space="preserve">asolina en </w:t>
      </w:r>
      <w:r>
        <w:rPr>
          <w:i w:val="0"/>
          <w:color w:val="auto"/>
          <w:sz w:val="20"/>
        </w:rPr>
        <w:t>e</w:t>
      </w:r>
      <w:r w:rsidRPr="008C2E73">
        <w:rPr>
          <w:i w:val="0"/>
          <w:color w:val="auto"/>
          <w:sz w:val="20"/>
        </w:rPr>
        <w:t xml:space="preserve">stación de </w:t>
      </w:r>
      <w:r>
        <w:rPr>
          <w:i w:val="0"/>
          <w:color w:val="auto"/>
          <w:sz w:val="20"/>
        </w:rPr>
        <w:t>s</w:t>
      </w:r>
      <w:r w:rsidRPr="008C2E73">
        <w:rPr>
          <w:i w:val="0"/>
          <w:color w:val="auto"/>
          <w:sz w:val="20"/>
        </w:rPr>
        <w:t>ervicio (Bogotá D.C.)</w:t>
      </w:r>
      <w:bookmarkEnd w:id="327"/>
    </w:p>
    <w:p w14:paraId="12C0A8D6" w14:textId="77777777" w:rsidR="00914134" w:rsidRPr="000E1D34" w:rsidRDefault="00914134" w:rsidP="00914134">
      <w:pPr>
        <w:jc w:val="center"/>
        <w:rPr>
          <w:lang w:val="es-CO" w:eastAsia="es-ES"/>
        </w:rPr>
      </w:pPr>
      <w:r w:rsidRPr="000E1D34">
        <w:rPr>
          <w:noProof/>
          <w:lang w:val="es-ES" w:eastAsia="es-ES"/>
        </w:rPr>
        <w:drawing>
          <wp:inline distT="0" distB="0" distL="0" distR="0" wp14:anchorId="067F27A7" wp14:editId="5720E73E">
            <wp:extent cx="5406571" cy="3240000"/>
            <wp:effectExtent l="0" t="0" r="3810" b="0"/>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06571" cy="3240000"/>
                    </a:xfrm>
                    <a:prstGeom prst="rect">
                      <a:avLst/>
                    </a:prstGeom>
                    <a:noFill/>
                    <a:ln>
                      <a:noFill/>
                    </a:ln>
                  </pic:spPr>
                </pic:pic>
              </a:graphicData>
            </a:graphic>
          </wp:inline>
        </w:drawing>
      </w:r>
    </w:p>
    <w:p w14:paraId="27201341" w14:textId="77777777" w:rsidR="00AD302D" w:rsidRPr="000E1D34" w:rsidRDefault="00AD302D" w:rsidP="00AD302D">
      <w:pPr>
        <w:spacing w:line="276" w:lineRule="auto"/>
        <w:jc w:val="center"/>
        <w:rPr>
          <w:rFonts w:ascii="Arial" w:hAnsi="Arial" w:cs="Arial"/>
          <w:color w:val="000000" w:themeColor="text1"/>
          <w:sz w:val="16"/>
        </w:rPr>
      </w:pPr>
      <w:r w:rsidRPr="000E1D34">
        <w:rPr>
          <w:rFonts w:ascii="Arial" w:hAnsi="Arial" w:cs="Arial"/>
          <w:b/>
          <w:color w:val="000000" w:themeColor="text1"/>
          <w:sz w:val="16"/>
        </w:rPr>
        <w:t>Fuente</w:t>
      </w:r>
      <w:r w:rsidRPr="000E1D34">
        <w:rPr>
          <w:rFonts w:ascii="Arial" w:hAnsi="Arial" w:cs="Arial"/>
          <w:color w:val="000000" w:themeColor="text1"/>
          <w:sz w:val="16"/>
        </w:rPr>
        <w:t xml:space="preserve">: </w:t>
      </w:r>
      <w:r>
        <w:rPr>
          <w:rFonts w:ascii="Arial" w:hAnsi="Arial" w:cs="Arial"/>
          <w:color w:val="000000" w:themeColor="text1"/>
          <w:sz w:val="16"/>
        </w:rPr>
        <w:t>WM</w:t>
      </w:r>
      <w:r>
        <w:rPr>
          <w:rFonts w:ascii="Arial" w:hAnsi="Arial" w:cs="Arial"/>
          <w:color w:val="000000" w:themeColor="text1"/>
          <w:sz w:val="16"/>
        </w:rPr>
        <w:fldChar w:fldCharType="begin"/>
      </w:r>
      <w:r>
        <w:rPr>
          <w:rFonts w:ascii="Arial" w:hAnsi="Arial" w:cs="Arial"/>
          <w:color w:val="000000" w:themeColor="text1"/>
          <w:sz w:val="16"/>
        </w:rPr>
        <w:instrText xml:space="preserve"> REF _Ref529881535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[10]</w:t>
      </w:r>
      <w:r>
        <w:rPr>
          <w:rFonts w:ascii="Arial" w:hAnsi="Arial" w:cs="Arial"/>
          <w:color w:val="000000" w:themeColor="text1"/>
          <w:sz w:val="16"/>
        </w:rPr>
        <w:fldChar w:fldCharType="end"/>
      </w:r>
      <w:r>
        <w:rPr>
          <w:rFonts w:ascii="Arial" w:hAnsi="Arial" w:cs="Arial"/>
          <w:color w:val="000000" w:themeColor="text1"/>
          <w:sz w:val="16"/>
        </w:rPr>
        <w:t xml:space="preserve">, </w:t>
      </w:r>
      <w:r w:rsidRPr="000E1D34">
        <w:rPr>
          <w:rFonts w:ascii="Arial" w:hAnsi="Arial" w:cs="Arial"/>
          <w:color w:val="000000" w:themeColor="text1"/>
          <w:sz w:val="16"/>
        </w:rPr>
        <w:t>EIA</w:t>
      </w:r>
      <w:r>
        <w:rPr>
          <w:rFonts w:ascii="Arial" w:hAnsi="Arial" w:cs="Arial"/>
          <w:color w:val="000000" w:themeColor="text1"/>
          <w:sz w:val="16"/>
        </w:rPr>
        <w:fldChar w:fldCharType="begin"/>
      </w:r>
      <w:r>
        <w:rPr>
          <w:rFonts w:ascii="Arial" w:hAnsi="Arial" w:cs="Arial"/>
          <w:color w:val="000000" w:themeColor="text1"/>
          <w:sz w:val="16"/>
        </w:rPr>
        <w:instrText xml:space="preserve"> REF _Ref529881539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[11]</w:t>
      </w:r>
      <w:r>
        <w:rPr>
          <w:rFonts w:ascii="Arial" w:hAnsi="Arial" w:cs="Arial"/>
          <w:color w:val="000000" w:themeColor="text1"/>
          <w:sz w:val="16"/>
        </w:rPr>
        <w:fldChar w:fldCharType="end"/>
      </w:r>
      <w:r>
        <w:rPr>
          <w:rFonts w:ascii="Arial" w:hAnsi="Arial" w:cs="Arial"/>
          <w:color w:val="000000" w:themeColor="text1"/>
          <w:sz w:val="16"/>
        </w:rPr>
        <w:t>, ECP</w:t>
      </w:r>
      <w:r>
        <w:rPr>
          <w:rFonts w:ascii="Arial" w:hAnsi="Arial" w:cs="Arial"/>
          <w:color w:val="000000" w:themeColor="text1"/>
          <w:sz w:val="16"/>
        </w:rPr>
        <w:fldChar w:fldCharType="begin"/>
      </w:r>
      <w:r>
        <w:rPr>
          <w:rFonts w:ascii="Arial" w:hAnsi="Arial" w:cs="Arial"/>
          <w:color w:val="000000" w:themeColor="text1"/>
          <w:sz w:val="16"/>
        </w:rPr>
        <w:instrText xml:space="preserve"> REF _Ref529882807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[20]</w:t>
      </w:r>
      <w:r>
        <w:rPr>
          <w:rFonts w:ascii="Arial" w:hAnsi="Arial" w:cs="Arial"/>
          <w:color w:val="000000" w:themeColor="text1"/>
          <w:sz w:val="16"/>
        </w:rPr>
        <w:fldChar w:fldCharType="end"/>
      </w:r>
      <w:r>
        <w:rPr>
          <w:rFonts w:ascii="Arial" w:hAnsi="Arial" w:cs="Arial"/>
          <w:color w:val="000000" w:themeColor="text1"/>
          <w:sz w:val="16"/>
        </w:rPr>
        <w:t xml:space="preserve">, </w:t>
      </w:r>
      <w:r w:rsidRPr="000E1D34">
        <w:rPr>
          <w:rFonts w:ascii="Arial" w:hAnsi="Arial" w:cs="Arial"/>
          <w:color w:val="000000" w:themeColor="text1"/>
          <w:sz w:val="16"/>
        </w:rPr>
        <w:t>UPME</w:t>
      </w:r>
    </w:p>
    <w:p w14:paraId="6FDF4C9D" w14:textId="77777777" w:rsidR="00914134" w:rsidRPr="008C1C9E" w:rsidRDefault="00914134" w:rsidP="00914134">
      <w:pPr>
        <w:spacing w:before="240" w:after="240" w:line="276" w:lineRule="auto"/>
        <w:jc w:val="both"/>
        <w:rPr>
          <w:rFonts w:ascii="Arial" w:hAnsi="Arial" w:cs="Arial"/>
          <w:sz w:val="22"/>
        </w:rPr>
      </w:pPr>
      <w:r w:rsidRPr="008C1C9E">
        <w:rPr>
          <w:rFonts w:ascii="Arial" w:hAnsi="Arial" w:cs="Arial"/>
          <w:sz w:val="22"/>
        </w:rPr>
        <w:t xml:space="preserve">La </w:t>
      </w:r>
      <w:r w:rsidRPr="008C1C9E">
        <w:rPr>
          <w:rFonts w:ascii="Arial" w:hAnsi="Arial" w:cs="Arial"/>
          <w:sz w:val="22"/>
          <w:szCs w:val="22"/>
        </w:rPr>
        <w:fldChar w:fldCharType="begin"/>
      </w:r>
      <w:r w:rsidRPr="008C1C9E">
        <w:rPr>
          <w:rFonts w:ascii="Arial" w:hAnsi="Arial" w:cs="Arial"/>
          <w:sz w:val="22"/>
          <w:szCs w:val="22"/>
        </w:rPr>
        <w:instrText xml:space="preserve"> REF _Ref514765615 \h  \* MERGEFORMAT </w:instrText>
      </w:r>
      <w:r w:rsidRPr="008C1C9E">
        <w:rPr>
          <w:rFonts w:ascii="Arial" w:hAnsi="Arial" w:cs="Arial"/>
          <w:sz w:val="22"/>
          <w:szCs w:val="22"/>
        </w:rPr>
      </w:r>
      <w:r w:rsidRPr="008C1C9E">
        <w:rPr>
          <w:rFonts w:ascii="Arial" w:hAnsi="Arial" w:cs="Arial"/>
          <w:sz w:val="22"/>
          <w:szCs w:val="22"/>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6</w:t>
      </w:r>
      <w:r w:rsidR="00915705" w:rsidRPr="00915705">
        <w:rPr>
          <w:rFonts w:ascii="Arial" w:hAnsi="Arial" w:cs="Arial"/>
          <w:noProof/>
          <w:sz w:val="22"/>
          <w:szCs w:val="22"/>
          <w:highlight w:val="yellow"/>
        </w:rPr>
        <w:noBreakHyphen/>
        <w:t>4</w:t>
      </w:r>
      <w:r w:rsidRPr="008C1C9E">
        <w:rPr>
          <w:rFonts w:ascii="Arial" w:hAnsi="Arial" w:cs="Arial"/>
          <w:sz w:val="22"/>
          <w:szCs w:val="22"/>
        </w:rPr>
        <w:fldChar w:fldCharType="end"/>
      </w:r>
      <w:r w:rsidRPr="008C1C9E">
        <w:rPr>
          <w:rFonts w:ascii="Arial" w:hAnsi="Arial" w:cs="Arial"/>
          <w:sz w:val="22"/>
        </w:rPr>
        <w:t xml:space="preserve"> presenta una franja de precio de referencia de venta de l</w:t>
      </w:r>
      <w:r>
        <w:rPr>
          <w:rFonts w:ascii="Arial" w:hAnsi="Arial" w:cs="Arial"/>
          <w:sz w:val="22"/>
        </w:rPr>
        <w:t>a gasolina que parte de los $8,583</w:t>
      </w:r>
      <w:r w:rsidRPr="008C1C9E">
        <w:rPr>
          <w:rFonts w:ascii="Arial" w:hAnsi="Arial" w:cs="Arial"/>
          <w:sz w:val="22"/>
        </w:rPr>
        <w:t xml:space="preserve"> pesos por galón, alcanzando su precio máximo en mayo de 2018 p</w:t>
      </w:r>
      <w:r>
        <w:rPr>
          <w:rFonts w:ascii="Arial" w:hAnsi="Arial" w:cs="Arial"/>
          <w:sz w:val="22"/>
        </w:rPr>
        <w:t>ara luego descender hasta los $8</w:t>
      </w:r>
      <w:r w:rsidRPr="008C1C9E">
        <w:rPr>
          <w:rFonts w:ascii="Arial" w:hAnsi="Arial" w:cs="Arial"/>
          <w:sz w:val="22"/>
        </w:rPr>
        <w:t>,</w:t>
      </w:r>
      <w:r>
        <w:rPr>
          <w:rFonts w:ascii="Arial" w:hAnsi="Arial" w:cs="Arial"/>
          <w:sz w:val="22"/>
        </w:rPr>
        <w:t>155</w:t>
      </w:r>
      <w:r w:rsidRPr="008C1C9E">
        <w:rPr>
          <w:rFonts w:ascii="Arial" w:hAnsi="Arial" w:cs="Arial"/>
          <w:sz w:val="22"/>
        </w:rPr>
        <w:t xml:space="preserve"> en el corto plazo. Para el largo plazo en el escenario de referencia, llegará a los $1</w:t>
      </w:r>
      <w:r>
        <w:rPr>
          <w:rFonts w:ascii="Arial" w:hAnsi="Arial" w:cs="Arial"/>
          <w:sz w:val="22"/>
        </w:rPr>
        <w:t>1</w:t>
      </w:r>
      <w:r w:rsidRPr="008C1C9E">
        <w:rPr>
          <w:rFonts w:ascii="Arial" w:hAnsi="Arial" w:cs="Arial"/>
          <w:sz w:val="22"/>
        </w:rPr>
        <w:t>,</w:t>
      </w:r>
      <w:r>
        <w:rPr>
          <w:rFonts w:ascii="Arial" w:hAnsi="Arial" w:cs="Arial"/>
          <w:sz w:val="22"/>
        </w:rPr>
        <w:t>614</w:t>
      </w:r>
      <w:r w:rsidRPr="008C1C9E">
        <w:rPr>
          <w:rFonts w:ascii="Arial" w:hAnsi="Arial" w:cs="Arial"/>
          <w:sz w:val="22"/>
        </w:rPr>
        <w:t xml:space="preserve"> pesos por galón al final del horizonte de planeación. Manteniendo las aperturas de los escenarios anteriores, el precio máximo de la gasolina al largo plazo en las estaciones </w:t>
      </w:r>
      <w:r>
        <w:rPr>
          <w:rFonts w:ascii="Arial" w:hAnsi="Arial" w:cs="Arial"/>
          <w:sz w:val="22"/>
        </w:rPr>
        <w:t>de servicio sería de $20</w:t>
      </w:r>
      <w:r w:rsidRPr="008C1C9E">
        <w:rPr>
          <w:rFonts w:ascii="Arial" w:hAnsi="Arial" w:cs="Arial"/>
          <w:sz w:val="22"/>
        </w:rPr>
        <w:t>,</w:t>
      </w:r>
      <w:r>
        <w:rPr>
          <w:rFonts w:ascii="Arial" w:hAnsi="Arial" w:cs="Arial"/>
          <w:sz w:val="22"/>
        </w:rPr>
        <w:t>225</w:t>
      </w:r>
      <w:r w:rsidRPr="008C1C9E">
        <w:rPr>
          <w:rFonts w:ascii="Arial" w:hAnsi="Arial" w:cs="Arial"/>
          <w:sz w:val="22"/>
        </w:rPr>
        <w:t xml:space="preserve"> pesos por galón en el escenario de alto, y de $7,</w:t>
      </w:r>
      <w:r>
        <w:rPr>
          <w:rFonts w:ascii="Arial" w:hAnsi="Arial" w:cs="Arial"/>
          <w:sz w:val="22"/>
        </w:rPr>
        <w:t>283</w:t>
      </w:r>
      <w:r w:rsidRPr="008C1C9E">
        <w:rPr>
          <w:rFonts w:ascii="Arial" w:hAnsi="Arial" w:cs="Arial"/>
          <w:sz w:val="22"/>
        </w:rPr>
        <w:t xml:space="preserve"> pesos por galón en el escenario bajo.</w:t>
      </w:r>
    </w:p>
    <w:p w14:paraId="648B0CC2" w14:textId="77777777" w:rsidR="00914134" w:rsidRPr="004327CD" w:rsidRDefault="00914134" w:rsidP="00914134"/>
    <w:p w14:paraId="457553B4" w14:textId="77777777" w:rsidR="00914134" w:rsidRPr="004327CD" w:rsidRDefault="00914134" w:rsidP="00914134">
      <w:pPr>
        <w:sectPr w:rsidR="00914134" w:rsidRPr="004327CD" w:rsidSect="0024531A">
          <w:pgSz w:w="12240" w:h="15840" w:code="1"/>
          <w:pgMar w:top="1843" w:right="1183" w:bottom="1134" w:left="1418" w:header="284" w:footer="851" w:gutter="0"/>
          <w:pgBorders w:offsetFrom="page">
            <w:bottom w:val="single" w:sz="4" w:space="24" w:color="FFFFFF" w:themeColor="background1"/>
          </w:pgBorders>
          <w:cols w:space="720"/>
          <w:formProt w:val="0"/>
          <w:docGrid w:linePitch="360" w:charSpace="-6145"/>
        </w:sectPr>
      </w:pPr>
    </w:p>
    <w:p w14:paraId="41190971" w14:textId="77777777" w:rsidR="00914134" w:rsidRPr="004327CD" w:rsidRDefault="00914134" w:rsidP="00914134">
      <w:pPr>
        <w:pStyle w:val="Ttulo1"/>
      </w:pPr>
      <w:bookmarkStart w:id="328" w:name="_Toc530045851"/>
      <w:r>
        <w:lastRenderedPageBreak/>
        <w:t>DIESEL</w:t>
      </w:r>
      <w:bookmarkEnd w:id="328"/>
    </w:p>
    <w:p w14:paraId="788C00D9" w14:textId="2A788A36" w:rsidR="00914134" w:rsidRPr="00D23328" w:rsidRDefault="00914134" w:rsidP="00914134">
      <w:pPr>
        <w:spacing w:before="240" w:after="240" w:line="276" w:lineRule="auto"/>
        <w:jc w:val="both"/>
        <w:rPr>
          <w:rFonts w:ascii="Arial" w:hAnsi="Arial" w:cs="Arial"/>
          <w:sz w:val="22"/>
        </w:rPr>
      </w:pPr>
      <w:r w:rsidRPr="00D23328">
        <w:rPr>
          <w:rFonts w:ascii="Arial" w:hAnsi="Arial" w:cs="Arial"/>
          <w:sz w:val="22"/>
        </w:rPr>
        <w:t>La estimación del precio del Diésel se realizó aplicando la normatividad establecida por el Ministerio de Minas y Energía definida en la Resolución 82439 del 23 de diciem</w:t>
      </w:r>
      <w:r w:rsidR="00015597">
        <w:rPr>
          <w:rFonts w:ascii="Arial" w:hAnsi="Arial" w:cs="Arial"/>
          <w:sz w:val="22"/>
        </w:rPr>
        <w:t xml:space="preserve">bre de 1998 y modificación mediante Resolución 41281 del 30 de diciembre </w:t>
      </w:r>
      <w:r w:rsidR="006C37AA">
        <w:rPr>
          <w:rFonts w:ascii="Arial" w:hAnsi="Arial" w:cs="Arial"/>
          <w:sz w:val="22"/>
        </w:rPr>
        <w:t xml:space="preserve">2016. </w:t>
      </w:r>
      <w:r w:rsidRPr="00D23328">
        <w:rPr>
          <w:rFonts w:ascii="Arial" w:hAnsi="Arial" w:cs="Arial"/>
          <w:sz w:val="22"/>
        </w:rPr>
        <w:t>La estructura del precio nacional del diésel contempla los siguientes ítems:</w:t>
      </w:r>
    </w:p>
    <w:p w14:paraId="2E098C01" w14:textId="77777777" w:rsidR="00914134" w:rsidRPr="00B86A41" w:rsidRDefault="00914134" w:rsidP="00914134">
      <w:pPr>
        <w:spacing w:line="276" w:lineRule="auto"/>
        <w:jc w:val="center"/>
        <w:rPr>
          <w:rFonts w:asciiTheme="majorHAnsi" w:hAnsiTheme="majorHAnsi" w:cs="Arial"/>
        </w:rPr>
      </w:pPr>
      <m:oMathPara>
        <m:oMath>
          <m:r>
            <w:rPr>
              <w:rFonts w:ascii="Cambria Math" w:hAnsi="Cambria Math"/>
            </w:rPr>
            <m:t>PMV=IP+IN+IVA+IC+Tm+Tt+Mpc+Mdma+ST</m:t>
          </m:r>
          <m:r>
            <w:rPr>
              <w:rFonts w:ascii="Cambria Math" w:hAnsi="Cambria Math" w:cs="Arial"/>
            </w:rPr>
            <m:t>+Mdmi+</m:t>
          </m:r>
          <m:r>
            <w:rPr>
              <w:rFonts w:ascii="Cambria Math" w:hAnsi="Cambria Math"/>
            </w:rPr>
            <m:t>Tp+IVA MY</m:t>
          </m:r>
        </m:oMath>
      </m:oMathPara>
    </w:p>
    <w:p w14:paraId="3F4CCFEA" w14:textId="77777777" w:rsidR="00914134" w:rsidRPr="00E67D05" w:rsidRDefault="00914134" w:rsidP="00914134">
      <w:pPr>
        <w:tabs>
          <w:tab w:val="left" w:pos="1103"/>
        </w:tabs>
        <w:spacing w:line="281" w:lineRule="auto"/>
        <w:rPr>
          <w:rFonts w:ascii="Arial" w:hAnsi="Arial" w:cs="Arial"/>
        </w:rPr>
      </w:pPr>
      <w:r w:rsidRPr="00E67D05">
        <w:rPr>
          <w:rFonts w:ascii="Arial" w:hAnsi="Arial" w:cs="Arial"/>
          <w:sz w:val="22"/>
        </w:rPr>
        <w:t>Donde,</w:t>
      </w:r>
      <w:r w:rsidRPr="00E67D05">
        <w:rPr>
          <w:rFonts w:ascii="Arial" w:hAnsi="Arial" w:cs="Arial"/>
        </w:rPr>
        <w:tab/>
      </w:r>
    </w:p>
    <w:p w14:paraId="00D11DC7" w14:textId="77777777" w:rsidR="00914134" w:rsidRPr="007E23C5" w:rsidRDefault="00914134" w:rsidP="00914134">
      <w:pPr>
        <w:tabs>
          <w:tab w:val="left" w:pos="1103"/>
        </w:tabs>
        <w:spacing w:line="281" w:lineRule="auto"/>
        <w:rPr>
          <w:rFonts w:asciiTheme="majorHAnsi" w:hAnsiTheme="majorHAnsi" w:cs="Arial"/>
          <w:highlight w:val="yellow"/>
        </w:rPr>
      </w:pPr>
    </w:p>
    <w:p w14:paraId="716FFFA1" w14:textId="77777777" w:rsidR="00914134" w:rsidRPr="00D23328" w:rsidRDefault="00914134" w:rsidP="00914134">
      <w:pPr>
        <w:tabs>
          <w:tab w:val="left" w:pos="1843"/>
          <w:tab w:val="left" w:pos="1985"/>
        </w:tabs>
        <w:ind w:left="567" w:right="567"/>
        <w:rPr>
          <w:rFonts w:ascii="Cambria Math" w:hAnsi="Cambria Math" w:cs="Arial"/>
          <w:sz w:val="20"/>
          <w:szCs w:val="20"/>
          <w:highlight w:val="yellow"/>
        </w:rPr>
      </w:pPr>
      <m:oMath>
        <m:r>
          <m:rPr>
            <m:sty m:val="bi"/>
          </m:rPr>
          <w:rPr>
            <w:rFonts w:ascii="Cambria Math" w:hAnsi="Cambria Math"/>
            <w:color w:val="000000" w:themeColor="text1"/>
          </w:rPr>
          <m:t xml:space="preserve">PMV         = </m:t>
        </m:r>
      </m:oMath>
      <w:r>
        <w:rPr>
          <w:rFonts w:cs="Arial"/>
          <w:b/>
          <w:color w:val="000000" w:themeColor="text1"/>
        </w:rPr>
        <w:t xml:space="preserve"> </w:t>
      </w:r>
      <w:r w:rsidRPr="00D23328">
        <w:rPr>
          <w:rFonts w:ascii="Cambria Math" w:hAnsi="Cambria Math" w:cs="Arial"/>
          <w:color w:val="000000" w:themeColor="text1"/>
          <w:sz w:val="20"/>
          <w:szCs w:val="20"/>
        </w:rPr>
        <w:t>Precio máximo de venta por galón</w:t>
      </w:r>
    </w:p>
    <w:p w14:paraId="70AEC75C" w14:textId="77777777" w:rsidR="00914134" w:rsidRPr="00D23328"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IP              = </m:t>
        </m:r>
      </m:oMath>
      <w:r w:rsidRPr="00D23328">
        <w:rPr>
          <w:rFonts w:ascii="Cambria Math" w:hAnsi="Cambria Math" w:cs="Arial"/>
          <w:b/>
          <w:color w:val="000000" w:themeColor="text1"/>
        </w:rPr>
        <w:t xml:space="preserve"> </w:t>
      </w:r>
      <w:r w:rsidRPr="00D23328">
        <w:rPr>
          <w:rFonts w:ascii="Cambria Math" w:hAnsi="Cambria Math" w:cs="Arial"/>
          <w:color w:val="000000" w:themeColor="text1"/>
          <w:sz w:val="20"/>
        </w:rPr>
        <w:t>Ingreso al Productor</w:t>
      </w:r>
    </w:p>
    <w:p w14:paraId="7C23142C" w14:textId="77777777" w:rsidR="00914134" w:rsidRPr="00D23328"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IN             =  </m:t>
        </m:r>
      </m:oMath>
      <w:r w:rsidRPr="00D23328">
        <w:rPr>
          <w:rFonts w:ascii="Cambria Math" w:hAnsi="Cambria Math" w:cs="Arial"/>
          <w:b/>
          <w:color w:val="000000" w:themeColor="text1"/>
        </w:rPr>
        <w:t xml:space="preserve"> </w:t>
      </w:r>
      <w:r w:rsidRPr="00D23328">
        <w:rPr>
          <w:rFonts w:ascii="Cambria Math" w:hAnsi="Cambria Math" w:cs="Arial"/>
          <w:color w:val="000000" w:themeColor="text1"/>
          <w:sz w:val="20"/>
          <w:szCs w:val="20"/>
        </w:rPr>
        <w:t>Impuesto Nacional</w:t>
      </w:r>
    </w:p>
    <w:p w14:paraId="68C9D0A5" w14:textId="77777777" w:rsidR="00914134" w:rsidRPr="00D23328"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IVA           = </m:t>
        </m:r>
      </m:oMath>
      <w:r w:rsidRPr="00D23328">
        <w:rPr>
          <w:rFonts w:ascii="Cambria Math" w:hAnsi="Cambria Math" w:cs="Arial"/>
          <w:b/>
          <w:color w:val="000000" w:themeColor="text1"/>
        </w:rPr>
        <w:t xml:space="preserve"> </w:t>
      </w:r>
      <w:r w:rsidRPr="00D23328">
        <w:rPr>
          <w:rFonts w:ascii="Cambria Math" w:hAnsi="Cambria Math" w:cs="Arial"/>
          <w:color w:val="000000" w:themeColor="text1"/>
          <w:sz w:val="20"/>
          <w:szCs w:val="20"/>
        </w:rPr>
        <w:t>Impuesto al Valor Agregado</w:t>
      </w:r>
    </w:p>
    <w:p w14:paraId="2156431A" w14:textId="77777777" w:rsidR="00914134" w:rsidRPr="00D23328"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IC              = </m:t>
        </m:r>
      </m:oMath>
      <w:r w:rsidRPr="00D23328">
        <w:rPr>
          <w:rFonts w:ascii="Cambria Math" w:hAnsi="Cambria Math" w:cs="Arial"/>
          <w:b/>
          <w:color w:val="000000" w:themeColor="text1"/>
        </w:rPr>
        <w:t xml:space="preserve"> </w:t>
      </w:r>
      <w:r w:rsidRPr="00D23328">
        <w:rPr>
          <w:rFonts w:ascii="Cambria Math" w:hAnsi="Cambria Math" w:cs="Arial"/>
          <w:color w:val="000000" w:themeColor="text1"/>
          <w:sz w:val="20"/>
          <w:szCs w:val="20"/>
        </w:rPr>
        <w:t>Impuesto al Carbono</w:t>
      </w:r>
    </w:p>
    <w:p w14:paraId="05590B46" w14:textId="77777777" w:rsidR="00914134" w:rsidRPr="00D23328"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Tm            =</m:t>
        </m:r>
        <m:r>
          <m:rPr>
            <m:sty m:val="bi"/>
          </m:rPr>
          <w:rPr>
            <w:rFonts w:ascii="Cambria Math" w:hAnsi="Cambria Math" w:cs="Arial"/>
            <w:color w:val="000000" w:themeColor="text1"/>
          </w:rPr>
          <m:t xml:space="preserve"> </m:t>
        </m:r>
      </m:oMath>
      <w:r w:rsidRPr="00D23328">
        <w:rPr>
          <w:rFonts w:ascii="Cambria Math" w:hAnsi="Cambria Math" w:cs="Arial"/>
          <w:b/>
          <w:color w:val="000000" w:themeColor="text1"/>
        </w:rPr>
        <w:t xml:space="preserve"> </w:t>
      </w:r>
      <w:r w:rsidRPr="00D23328">
        <w:rPr>
          <w:rFonts w:ascii="Cambria Math" w:hAnsi="Cambria Math" w:cs="Arial"/>
          <w:color w:val="000000" w:themeColor="text1"/>
          <w:sz w:val="20"/>
          <w:szCs w:val="20"/>
        </w:rPr>
        <w:t>Tarifa de marcación</w:t>
      </w:r>
    </w:p>
    <w:p w14:paraId="44123334" w14:textId="77777777" w:rsidR="00914134" w:rsidRPr="00D23328"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Tt              = </m:t>
        </m:r>
      </m:oMath>
      <w:r w:rsidRPr="00D23328">
        <w:rPr>
          <w:rFonts w:ascii="Cambria Math" w:hAnsi="Cambria Math" w:cs="Arial"/>
          <w:b/>
          <w:color w:val="000000" w:themeColor="text1"/>
        </w:rPr>
        <w:t xml:space="preserve"> </w:t>
      </w:r>
      <w:r w:rsidRPr="00D23328">
        <w:rPr>
          <w:rFonts w:ascii="Cambria Math" w:hAnsi="Cambria Math" w:cs="Arial"/>
          <w:color w:val="000000" w:themeColor="text1"/>
          <w:sz w:val="20"/>
          <w:szCs w:val="20"/>
        </w:rPr>
        <w:t>Tarifa de transporte</w:t>
      </w:r>
    </w:p>
    <w:p w14:paraId="09432344" w14:textId="77777777" w:rsidR="00914134" w:rsidRPr="00D23328"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Mpc         =  </m:t>
        </m:r>
      </m:oMath>
      <w:r w:rsidRPr="00D23328">
        <w:rPr>
          <w:rFonts w:ascii="Cambria Math" w:hAnsi="Cambria Math" w:cs="Arial"/>
          <w:b/>
          <w:color w:val="000000" w:themeColor="text1"/>
        </w:rPr>
        <w:t xml:space="preserve"> </w:t>
      </w:r>
      <w:r w:rsidRPr="00D23328">
        <w:rPr>
          <w:rFonts w:ascii="Cambria Math" w:hAnsi="Cambria Math" w:cs="Arial"/>
          <w:color w:val="000000" w:themeColor="text1"/>
          <w:sz w:val="20"/>
          <w:szCs w:val="20"/>
        </w:rPr>
        <w:t>Margen Plan de Continuidad</w:t>
      </w:r>
    </w:p>
    <w:p w14:paraId="6FACA537" w14:textId="77777777" w:rsidR="00914134" w:rsidRPr="00D23328"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Mdma     = </m:t>
        </m:r>
      </m:oMath>
      <w:r w:rsidRPr="00D23328">
        <w:rPr>
          <w:rFonts w:ascii="Cambria Math" w:hAnsi="Cambria Math" w:cs="Arial"/>
          <w:b/>
          <w:color w:val="000000" w:themeColor="text1"/>
        </w:rPr>
        <w:t xml:space="preserve"> </w:t>
      </w:r>
      <w:r w:rsidRPr="00D23328">
        <w:rPr>
          <w:rFonts w:ascii="Cambria Math" w:hAnsi="Cambria Math" w:cs="Arial"/>
          <w:color w:val="000000" w:themeColor="text1"/>
          <w:sz w:val="20"/>
          <w:szCs w:val="20"/>
        </w:rPr>
        <w:t>Margen al distribuidor Mayorista</w:t>
      </w:r>
    </w:p>
    <w:p w14:paraId="4A8A6A40" w14:textId="32D6A091" w:rsidR="00AF0674" w:rsidRDefault="00AF0674" w:rsidP="00914134">
      <w:pPr>
        <w:tabs>
          <w:tab w:val="left" w:pos="1843"/>
          <w:tab w:val="left" w:pos="1985"/>
        </w:tabs>
        <w:ind w:left="567" w:right="567"/>
        <w:rPr>
          <w:rFonts w:ascii="Cambria Math" w:eastAsiaTheme="minorEastAsia" w:hAnsi="Cambria Math"/>
          <w:b/>
          <w:i/>
          <w:color w:val="000000" w:themeColor="text1"/>
        </w:rPr>
      </w:pPr>
      <m:oMath>
        <m:r>
          <m:rPr>
            <m:sty m:val="bi"/>
          </m:rPr>
          <w:rPr>
            <w:rFonts w:ascii="Cambria Math" w:hAnsi="Cambria Math"/>
            <w:color w:val="000000" w:themeColor="text1"/>
          </w:rPr>
          <m:t xml:space="preserve">VA MY   = </m:t>
        </m:r>
      </m:oMath>
      <w:r w:rsidRPr="00D23328">
        <w:rPr>
          <w:rFonts w:ascii="Cambria Math" w:hAnsi="Cambria Math" w:cs="Arial"/>
          <w:b/>
          <w:color w:val="000000" w:themeColor="text1"/>
        </w:rPr>
        <w:t xml:space="preserve"> </w:t>
      </w:r>
      <w:r w:rsidRPr="00D23328">
        <w:rPr>
          <w:rFonts w:ascii="Cambria Math" w:hAnsi="Cambria Math" w:cs="Arial"/>
          <w:color w:val="000000" w:themeColor="text1"/>
          <w:sz w:val="20"/>
          <w:szCs w:val="20"/>
        </w:rPr>
        <w:t>Iva Margen Mayorista</w:t>
      </w:r>
    </w:p>
    <w:p w14:paraId="4D4B340D" w14:textId="77777777" w:rsidR="00914134" w:rsidRPr="00D23328"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ST             =  </m:t>
        </m:r>
      </m:oMath>
      <w:r w:rsidRPr="00D23328">
        <w:rPr>
          <w:rFonts w:ascii="Cambria Math" w:hAnsi="Cambria Math" w:cs="Arial"/>
          <w:b/>
          <w:color w:val="000000" w:themeColor="text1"/>
        </w:rPr>
        <w:t xml:space="preserve"> </w:t>
      </w:r>
      <w:r w:rsidRPr="00D23328">
        <w:rPr>
          <w:rFonts w:ascii="Cambria Math" w:hAnsi="Cambria Math" w:cs="Arial"/>
          <w:color w:val="000000" w:themeColor="text1"/>
          <w:sz w:val="20"/>
          <w:szCs w:val="20"/>
        </w:rPr>
        <w:t>Impuesto de Sobretasa</w:t>
      </w:r>
    </w:p>
    <w:p w14:paraId="5918C757" w14:textId="77777777" w:rsidR="00914134" w:rsidRPr="00D23328"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Mdmi      = </m:t>
        </m:r>
      </m:oMath>
      <w:r w:rsidRPr="00D23328">
        <w:rPr>
          <w:rFonts w:ascii="Cambria Math" w:hAnsi="Cambria Math" w:cs="Arial"/>
          <w:b/>
          <w:color w:val="000000" w:themeColor="text1"/>
        </w:rPr>
        <w:t xml:space="preserve"> </w:t>
      </w:r>
      <w:r w:rsidRPr="00D23328">
        <w:rPr>
          <w:rFonts w:ascii="Cambria Math" w:hAnsi="Cambria Math" w:cs="Arial"/>
          <w:color w:val="000000" w:themeColor="text1"/>
          <w:sz w:val="20"/>
          <w:szCs w:val="20"/>
        </w:rPr>
        <w:t>Margen al distribuidor Minorista</w:t>
      </w:r>
    </w:p>
    <w:p w14:paraId="26A42EAC" w14:textId="77777777" w:rsidR="00914134" w:rsidRPr="00D23328" w:rsidRDefault="00914134" w:rsidP="00914134">
      <w:pPr>
        <w:tabs>
          <w:tab w:val="left" w:pos="1843"/>
          <w:tab w:val="left" w:pos="1985"/>
        </w:tabs>
        <w:ind w:left="567" w:right="567"/>
        <w:rPr>
          <w:rFonts w:ascii="Cambria Math" w:hAnsi="Cambria Math" w:cs="Arial"/>
          <w:color w:val="000000" w:themeColor="text1"/>
          <w:sz w:val="20"/>
          <w:szCs w:val="20"/>
        </w:rPr>
      </w:pPr>
      <m:oMath>
        <m:r>
          <m:rPr>
            <m:sty m:val="bi"/>
          </m:rPr>
          <w:rPr>
            <w:rFonts w:ascii="Cambria Math" w:hAnsi="Cambria Math"/>
            <w:color w:val="000000" w:themeColor="text1"/>
          </w:rPr>
          <m:t xml:space="preserve">Tp             = </m:t>
        </m:r>
      </m:oMath>
      <w:r w:rsidRPr="00D23328">
        <w:rPr>
          <w:rFonts w:ascii="Cambria Math" w:hAnsi="Cambria Math" w:cs="Arial"/>
          <w:b/>
          <w:color w:val="000000" w:themeColor="text1"/>
        </w:rPr>
        <w:t xml:space="preserve"> </w:t>
      </w:r>
      <w:r w:rsidRPr="00D23328">
        <w:rPr>
          <w:rFonts w:ascii="Cambria Math" w:hAnsi="Cambria Math" w:cs="Arial"/>
          <w:color w:val="000000" w:themeColor="text1"/>
          <w:sz w:val="20"/>
          <w:szCs w:val="20"/>
        </w:rPr>
        <w:t>Transporte a planta de abasto</w:t>
      </w:r>
    </w:p>
    <w:p w14:paraId="0EE86C0F" w14:textId="77777777" w:rsidR="00914134" w:rsidRPr="00E023B3" w:rsidRDefault="00914134" w:rsidP="00914134">
      <w:pPr>
        <w:tabs>
          <w:tab w:val="left" w:pos="1843"/>
          <w:tab w:val="left" w:pos="1985"/>
        </w:tabs>
        <w:ind w:left="567" w:right="567"/>
        <w:rPr>
          <w:rFonts w:ascii="Cambria Math" w:hAnsi="Cambria Math"/>
          <w:b/>
          <w:i/>
          <w:color w:val="000000" w:themeColor="text1"/>
        </w:rPr>
      </w:pPr>
    </w:p>
    <w:p w14:paraId="05862470" w14:textId="77777777" w:rsidR="00914134" w:rsidRPr="00D23328" w:rsidRDefault="00914134" w:rsidP="00914134">
      <w:pPr>
        <w:spacing w:before="240" w:after="240" w:line="276" w:lineRule="auto"/>
        <w:jc w:val="both"/>
        <w:rPr>
          <w:rFonts w:ascii="Arial" w:hAnsi="Arial" w:cs="Arial"/>
          <w:sz w:val="22"/>
        </w:rPr>
      </w:pPr>
      <w:r w:rsidRPr="00D23328">
        <w:rPr>
          <w:rFonts w:ascii="Arial" w:hAnsi="Arial" w:cs="Arial"/>
          <w:sz w:val="22"/>
        </w:rPr>
        <w:t>El artículo 218, en la parte VIII de la Ley 1819 del 29 de diciembre de 2016, modifica el artículo 167 de la Ley 1607 de 2012, en donde se establece el Impuesto Nacional a la Gasolina y al ACPM y se establece de la siguiente manera: “El hecho generador del Impuesto Nacional a la Gasolina y al ACPM es la venta, retiro, importación para el consumo propio o importación para la venta de gasolina y ACPM, y se causa en una sola etapa respecto del hecho generador que ocurra primero.” El parágrafo 2 del artículo en mención establece que “la venta de diésel marino y combustibles utilizados para reaprovisionamiento de los buques en tráfico internacional es considerada como una exportación, en consecuencia el reaprovisionamiento de combustibles de estos buques no serán objeto de cobro del impuesto nacional a la gasolina y al ACPM”</w:t>
      </w:r>
    </w:p>
    <w:p w14:paraId="06309DE1" w14:textId="27F1564D" w:rsidR="00914134" w:rsidRDefault="00914134" w:rsidP="00914134">
      <w:pPr>
        <w:spacing w:before="240" w:after="240" w:line="276" w:lineRule="auto"/>
        <w:jc w:val="both"/>
        <w:rPr>
          <w:rFonts w:ascii="Arial" w:hAnsi="Arial" w:cs="Arial"/>
          <w:sz w:val="22"/>
        </w:rPr>
      </w:pPr>
      <w:r w:rsidRPr="00D23328">
        <w:rPr>
          <w:rFonts w:ascii="Arial" w:hAnsi="Arial" w:cs="Arial"/>
          <w:sz w:val="22"/>
        </w:rPr>
        <w:t xml:space="preserve">La reforma tributaria, Ley 1819 del 29 de diciembre de 2016, en el artículo 219 establece la modificación del artículo 168 de la Ley 1607 de 2012 en la cual se establece la base gravable y tarifa del Impuesto Nacional para gasolina y ACPM. El impuesto Nacional para la gasolina “se liquidará a razón </w:t>
      </w:r>
      <w:r w:rsidRPr="005A7135">
        <w:rPr>
          <w:rFonts w:ascii="Arial" w:hAnsi="Arial" w:cs="Arial"/>
          <w:sz w:val="22"/>
        </w:rPr>
        <w:t xml:space="preserve">de $469 pesos por galón. El parágrafo </w:t>
      </w:r>
      <w:r w:rsidRPr="00D23328">
        <w:rPr>
          <w:rFonts w:ascii="Arial" w:hAnsi="Arial" w:cs="Arial"/>
          <w:sz w:val="22"/>
        </w:rPr>
        <w:t>1 del artículo en mención establece que “el valor del Impuesto Nacional se ajustará cada primero de febrero con la inflación del año anterior, a partir del primero de febrero de 2018”</w:t>
      </w:r>
    </w:p>
    <w:p w14:paraId="7E839AE2" w14:textId="77777777" w:rsidR="005A7135" w:rsidRPr="00D23328" w:rsidRDefault="005A7135" w:rsidP="00914134">
      <w:pPr>
        <w:spacing w:before="240" w:after="240" w:line="276" w:lineRule="auto"/>
        <w:jc w:val="both"/>
        <w:rPr>
          <w:rFonts w:ascii="Arial" w:hAnsi="Arial" w:cs="Arial"/>
          <w:sz w:val="22"/>
          <w:highlight w:val="yellow"/>
        </w:rPr>
      </w:pPr>
    </w:p>
    <w:p w14:paraId="19D9CACD" w14:textId="77777777" w:rsidR="005A7135" w:rsidRDefault="00914134" w:rsidP="00914134">
      <w:pPr>
        <w:spacing w:before="240" w:after="240" w:line="276" w:lineRule="auto"/>
        <w:jc w:val="both"/>
        <w:rPr>
          <w:rFonts w:ascii="Arial" w:hAnsi="Arial" w:cs="Arial"/>
          <w:sz w:val="22"/>
        </w:rPr>
      </w:pPr>
      <w:r w:rsidRPr="00D23328">
        <w:rPr>
          <w:rFonts w:ascii="Arial" w:hAnsi="Arial" w:cs="Arial"/>
          <w:sz w:val="22"/>
        </w:rPr>
        <w:lastRenderedPageBreak/>
        <w:t xml:space="preserve">Según lo estipulado en la Reforma Tributaria, Ley 1819 del 29 de diciembre de 2016, en el Artículo 221 de la Parte 9, se establece el Impuesto al Carbono el cual se define como “gravamen que recae sobre el contenido de carbono de todos los combustibles fósiles, incluyendo todos los derivados de petróleo y todos los tipos de gas fósil que sean usados con fines energéticos, siempre que sean usados para combustión”. </w:t>
      </w:r>
    </w:p>
    <w:p w14:paraId="421071D8" w14:textId="77777777" w:rsidR="00914134" w:rsidRPr="009E433E" w:rsidRDefault="00914134" w:rsidP="00914134">
      <w:pPr>
        <w:spacing w:before="240" w:after="240" w:line="276" w:lineRule="auto"/>
        <w:jc w:val="both"/>
        <w:rPr>
          <w:rFonts w:ascii="Arial" w:hAnsi="Arial" w:cs="Arial"/>
          <w:sz w:val="22"/>
        </w:rPr>
      </w:pPr>
      <w:r w:rsidRPr="00D23328">
        <w:rPr>
          <w:rFonts w:ascii="Arial" w:hAnsi="Arial" w:cs="Arial"/>
          <w:sz w:val="22"/>
        </w:rPr>
        <w:t xml:space="preserve">Según la Resolución 90155 de 2014, en sus Artículos 3 y 4, se establece que, para el ACPM y el ACPM mezclado con biocombustible para el uso de motores diésel, el “Margen de Continuidad y su valor está dirigido a remunerar a CENIT Transporte y Logística de Hidrocarburos S.A.S. las inversiones en el plan de continuidad para el abastecimiento del país y específicamente la expansión del sistema Pozos Colorados – Galán a 60 mil barriles por día de capacidad. El valor </w:t>
      </w:r>
      <w:r w:rsidRPr="009E433E">
        <w:rPr>
          <w:rFonts w:ascii="Arial" w:hAnsi="Arial" w:cs="Arial"/>
          <w:sz w:val="22"/>
        </w:rPr>
        <w:t>del margen de continuidad es de $71.51 pesos por galón”.</w:t>
      </w:r>
    </w:p>
    <w:p w14:paraId="0BEC3188" w14:textId="48215650" w:rsidR="00914134" w:rsidRPr="00CC7FAE" w:rsidRDefault="00914134" w:rsidP="00914134">
      <w:pPr>
        <w:spacing w:before="240" w:after="240" w:line="276" w:lineRule="auto"/>
        <w:jc w:val="both"/>
        <w:rPr>
          <w:rFonts w:ascii="Arial" w:hAnsi="Arial" w:cs="Arial"/>
          <w:sz w:val="22"/>
        </w:rPr>
      </w:pPr>
      <w:r w:rsidRPr="00CC7FAE">
        <w:rPr>
          <w:rFonts w:ascii="Arial" w:hAnsi="Arial" w:cs="Arial"/>
          <w:sz w:val="22"/>
        </w:rPr>
        <w:t xml:space="preserve">Respecto al Margen de Distribuidor Mayorista, según lo estipulado en el artículo segundo de la Resolución 41278 del 30 de Diciembre de 2016, “este valor corresponde al margen máximo reconocido a favor del distribuidor mayorista por la venta de ACPM, que se fija a partir del 1 de </w:t>
      </w:r>
      <w:r w:rsidR="00EF2303">
        <w:rPr>
          <w:rFonts w:ascii="Arial" w:hAnsi="Arial" w:cs="Arial"/>
          <w:sz w:val="22"/>
        </w:rPr>
        <w:t>Junio de 2018 en trescientos ochenta y siete pesos</w:t>
      </w:r>
      <w:r w:rsidRPr="00CC7FAE">
        <w:rPr>
          <w:rFonts w:ascii="Arial" w:hAnsi="Arial" w:cs="Arial"/>
          <w:sz w:val="22"/>
        </w:rPr>
        <w:t xml:space="preserve"> </w:t>
      </w:r>
      <w:r w:rsidR="00EF2303">
        <w:rPr>
          <w:rFonts w:ascii="Arial" w:hAnsi="Arial" w:cs="Arial"/>
          <w:sz w:val="22"/>
        </w:rPr>
        <w:t>($387.09</w:t>
      </w:r>
      <w:r w:rsidRPr="00CC7FAE">
        <w:rPr>
          <w:rFonts w:ascii="Arial" w:hAnsi="Arial" w:cs="Arial"/>
          <w:sz w:val="22"/>
        </w:rPr>
        <w:t xml:space="preserve">) por galón, teniendo en cuenta las inversiones en infraestructura, los costos de operación y mantenimiento, así como los gastos de administración y ventas y las pérdidas por evaporación. Este margen se actualizará el 1 de junio de cada año, con base en la variación del índice de precios al consumidor de los últimos 12 meses certificada por el DANE”. </w:t>
      </w:r>
    </w:p>
    <w:p w14:paraId="7F34DB82" w14:textId="77777777" w:rsidR="00914134" w:rsidRPr="00D23328" w:rsidRDefault="00914134" w:rsidP="00914134">
      <w:pPr>
        <w:spacing w:before="240" w:after="240" w:line="276" w:lineRule="auto"/>
        <w:jc w:val="both"/>
        <w:rPr>
          <w:rFonts w:ascii="Arial" w:hAnsi="Arial" w:cs="Arial"/>
          <w:sz w:val="22"/>
          <w:highlight w:val="yellow"/>
        </w:rPr>
      </w:pPr>
      <w:r w:rsidRPr="00D23328">
        <w:rPr>
          <w:rFonts w:ascii="Arial" w:hAnsi="Arial" w:cs="Arial"/>
          <w:sz w:val="22"/>
        </w:rPr>
        <w:t xml:space="preserve">En la </w:t>
      </w:r>
      <w:r w:rsidRPr="00D23328">
        <w:rPr>
          <w:rFonts w:ascii="Arial" w:hAnsi="Arial" w:cs="Arial"/>
          <w:sz w:val="22"/>
          <w:szCs w:val="22"/>
        </w:rPr>
        <w:fldChar w:fldCharType="begin"/>
      </w:r>
      <w:r w:rsidRPr="00D23328">
        <w:rPr>
          <w:rFonts w:ascii="Arial" w:hAnsi="Arial" w:cs="Arial"/>
          <w:sz w:val="22"/>
          <w:szCs w:val="22"/>
        </w:rPr>
        <w:instrText xml:space="preserve"> REF _Ref514765882 \h  \* MERGEFORMAT </w:instrText>
      </w:r>
      <w:r w:rsidRPr="00D23328">
        <w:rPr>
          <w:rFonts w:ascii="Arial" w:hAnsi="Arial" w:cs="Arial"/>
          <w:sz w:val="22"/>
          <w:szCs w:val="22"/>
        </w:rPr>
      </w:r>
      <w:r w:rsidRPr="00D23328">
        <w:rPr>
          <w:rFonts w:ascii="Arial" w:hAnsi="Arial" w:cs="Arial"/>
          <w:sz w:val="22"/>
          <w:szCs w:val="22"/>
        </w:rPr>
        <w:fldChar w:fldCharType="separate"/>
      </w:r>
      <w:r w:rsidR="00915705" w:rsidRPr="00915705">
        <w:rPr>
          <w:rFonts w:ascii="Arial" w:hAnsi="Arial" w:cs="Arial"/>
          <w:sz w:val="22"/>
          <w:szCs w:val="22"/>
          <w:highlight w:val="yellow"/>
        </w:rPr>
        <w:t>Tabla 7</w:t>
      </w:r>
      <w:r w:rsidR="00915705" w:rsidRPr="00915705">
        <w:rPr>
          <w:rFonts w:ascii="Arial" w:hAnsi="Arial" w:cs="Arial"/>
          <w:sz w:val="22"/>
          <w:szCs w:val="22"/>
          <w:highlight w:val="yellow"/>
        </w:rPr>
        <w:noBreakHyphen/>
        <w:t>1</w:t>
      </w:r>
      <w:r w:rsidRPr="00D23328">
        <w:rPr>
          <w:rFonts w:ascii="Arial" w:hAnsi="Arial" w:cs="Arial"/>
          <w:sz w:val="22"/>
          <w:szCs w:val="22"/>
        </w:rPr>
        <w:fldChar w:fldCharType="end"/>
      </w:r>
      <w:r w:rsidRPr="00D23328">
        <w:rPr>
          <w:rFonts w:ascii="Arial" w:hAnsi="Arial" w:cs="Arial"/>
          <w:sz w:val="22"/>
        </w:rPr>
        <w:t xml:space="preserve"> se muestra cada uno de los componentes definidos, su regulación y forma de cálculo:</w:t>
      </w:r>
    </w:p>
    <w:p w14:paraId="29D617C5" w14:textId="77777777" w:rsidR="00914134" w:rsidRPr="003A1AA0" w:rsidRDefault="00914134" w:rsidP="00914134">
      <w:pPr>
        <w:pStyle w:val="Descripcin"/>
        <w:keepNext/>
        <w:spacing w:before="0" w:after="0"/>
        <w:jc w:val="center"/>
        <w:rPr>
          <w:b/>
          <w:i w:val="0"/>
          <w:color w:val="auto"/>
          <w:sz w:val="20"/>
          <w:highlight w:val="yellow"/>
        </w:rPr>
      </w:pPr>
      <w:bookmarkStart w:id="329" w:name="_Ref514765882"/>
      <w:bookmarkStart w:id="330" w:name="_Toc529889753"/>
      <w:r w:rsidRPr="003A1AA0">
        <w:rPr>
          <w:b/>
          <w:i w:val="0"/>
          <w:color w:val="auto"/>
          <w:sz w:val="20"/>
          <w:highlight w:val="yellow"/>
        </w:rPr>
        <w:t xml:space="preserve">Tabla </w:t>
      </w:r>
      <w:r>
        <w:rPr>
          <w:b/>
          <w:i w:val="0"/>
          <w:color w:val="auto"/>
          <w:sz w:val="20"/>
          <w:highlight w:val="yellow"/>
        </w:rPr>
        <w:fldChar w:fldCharType="begin"/>
      </w:r>
      <w:r>
        <w:rPr>
          <w:b/>
          <w:i w:val="0"/>
          <w:color w:val="auto"/>
          <w:sz w:val="20"/>
          <w:highlight w:val="yellow"/>
        </w:rPr>
        <w:instrText xml:space="preserve"> STYLEREF 1 \s </w:instrText>
      </w:r>
      <w:r>
        <w:rPr>
          <w:b/>
          <w:i w:val="0"/>
          <w:color w:val="auto"/>
          <w:sz w:val="20"/>
          <w:highlight w:val="yellow"/>
        </w:rPr>
        <w:fldChar w:fldCharType="separate"/>
      </w:r>
      <w:r w:rsidR="00915705">
        <w:rPr>
          <w:b/>
          <w:i w:val="0"/>
          <w:noProof/>
          <w:color w:val="auto"/>
          <w:sz w:val="20"/>
          <w:highlight w:val="yellow"/>
        </w:rPr>
        <w:t>7</w:t>
      </w:r>
      <w:r>
        <w:rPr>
          <w:b/>
          <w:i w:val="0"/>
          <w:color w:val="auto"/>
          <w:sz w:val="20"/>
          <w:highlight w:val="yellow"/>
        </w:rPr>
        <w:fldChar w:fldCharType="end"/>
      </w:r>
      <w:r>
        <w:rPr>
          <w:b/>
          <w:i w:val="0"/>
          <w:color w:val="auto"/>
          <w:sz w:val="20"/>
          <w:highlight w:val="yellow"/>
        </w:rPr>
        <w:noBreakHyphen/>
      </w:r>
      <w:r>
        <w:rPr>
          <w:b/>
          <w:i w:val="0"/>
          <w:color w:val="auto"/>
          <w:sz w:val="20"/>
          <w:highlight w:val="yellow"/>
        </w:rPr>
        <w:fldChar w:fldCharType="begin"/>
      </w:r>
      <w:r>
        <w:rPr>
          <w:b/>
          <w:i w:val="0"/>
          <w:color w:val="auto"/>
          <w:sz w:val="20"/>
          <w:highlight w:val="yellow"/>
        </w:rPr>
        <w:instrText xml:space="preserve"> SEQ Tabla \* ARABIC \s 1 </w:instrText>
      </w:r>
      <w:r>
        <w:rPr>
          <w:b/>
          <w:i w:val="0"/>
          <w:color w:val="auto"/>
          <w:sz w:val="20"/>
          <w:highlight w:val="yellow"/>
        </w:rPr>
        <w:fldChar w:fldCharType="separate"/>
      </w:r>
      <w:r w:rsidR="00915705">
        <w:rPr>
          <w:b/>
          <w:i w:val="0"/>
          <w:noProof/>
          <w:color w:val="auto"/>
          <w:sz w:val="20"/>
          <w:highlight w:val="yellow"/>
        </w:rPr>
        <w:t>1</w:t>
      </w:r>
      <w:r>
        <w:rPr>
          <w:b/>
          <w:i w:val="0"/>
          <w:color w:val="auto"/>
          <w:sz w:val="20"/>
          <w:highlight w:val="yellow"/>
        </w:rPr>
        <w:fldChar w:fldCharType="end"/>
      </w:r>
      <w:bookmarkEnd w:id="329"/>
      <w:r w:rsidRPr="003A1AA0">
        <w:rPr>
          <w:b/>
          <w:i w:val="0"/>
          <w:color w:val="auto"/>
          <w:sz w:val="20"/>
          <w:highlight w:val="yellow"/>
        </w:rPr>
        <w:t xml:space="preserve"> </w:t>
      </w:r>
      <w:r>
        <w:rPr>
          <w:i w:val="0"/>
          <w:color w:val="auto"/>
          <w:sz w:val="20"/>
        </w:rPr>
        <w:t>Componentes t</w:t>
      </w:r>
      <w:r w:rsidRPr="003A1AA0">
        <w:rPr>
          <w:i w:val="0"/>
          <w:color w:val="auto"/>
          <w:sz w:val="20"/>
        </w:rPr>
        <w:t>arifarios del Diésel</w:t>
      </w:r>
      <w:bookmarkEnd w:id="330"/>
    </w:p>
    <w:tbl>
      <w:tblPr>
        <w:tblStyle w:val="Tabladecuadrcula4-nfasis5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376"/>
      </w:tblGrid>
      <w:tr w:rsidR="00914134" w:rsidRPr="007E23C5" w14:paraId="59818DBB" w14:textId="77777777" w:rsidTr="00E01F47">
        <w:trPr>
          <w:cnfStyle w:val="100000000000" w:firstRow="1" w:lastRow="0" w:firstColumn="0" w:lastColumn="0" w:oddVBand="0" w:evenVBand="0" w:oddHBand="0" w:evenHBand="0" w:firstRowFirstColumn="0" w:firstRowLastColumn="0" w:lastRowFirstColumn="0" w:lastRowLastColumn="0"/>
          <w:trHeight w:val="543"/>
          <w:tblHeader/>
          <w:jc w:val="center"/>
        </w:trPr>
        <w:tc>
          <w:tcPr>
            <w:cnfStyle w:val="001000000000" w:firstRow="0" w:lastRow="0" w:firstColumn="1" w:lastColumn="0" w:oddVBand="0" w:evenVBand="0" w:oddHBand="0" w:evenHBand="0" w:firstRowFirstColumn="0" w:firstRowLastColumn="0" w:lastRowFirstColumn="0" w:lastRowLastColumn="0"/>
            <w:tcW w:w="2263" w:type="dxa"/>
            <w:tcBorders>
              <w:top w:val="double" w:sz="4" w:space="0" w:color="auto"/>
              <w:left w:val="none" w:sz="0" w:space="0" w:color="auto"/>
              <w:bottom w:val="single" w:sz="4" w:space="0" w:color="auto"/>
              <w:right w:val="none" w:sz="0" w:space="0" w:color="auto"/>
            </w:tcBorders>
            <w:shd w:val="clear" w:color="auto" w:fill="auto"/>
            <w:vAlign w:val="center"/>
          </w:tcPr>
          <w:p w14:paraId="155A98B1" w14:textId="77777777" w:rsidR="00914134" w:rsidRPr="00D23328" w:rsidRDefault="00914134" w:rsidP="0024531A">
            <w:pPr>
              <w:spacing w:before="40" w:after="40" w:line="276" w:lineRule="auto"/>
              <w:jc w:val="center"/>
              <w:rPr>
                <w:rFonts w:ascii="Arial" w:hAnsi="Arial" w:cs="Arial"/>
                <w:color w:val="000000" w:themeColor="text1"/>
                <w:sz w:val="20"/>
                <w:szCs w:val="20"/>
              </w:rPr>
            </w:pPr>
            <w:r w:rsidRPr="00D23328">
              <w:rPr>
                <w:rFonts w:ascii="Arial" w:hAnsi="Arial" w:cs="Arial"/>
                <w:color w:val="000000" w:themeColor="text1"/>
                <w:sz w:val="20"/>
                <w:szCs w:val="20"/>
              </w:rPr>
              <w:t>COMPONENTE</w:t>
            </w:r>
          </w:p>
        </w:tc>
        <w:tc>
          <w:tcPr>
            <w:tcW w:w="7376" w:type="dxa"/>
            <w:tcBorders>
              <w:top w:val="double" w:sz="4" w:space="0" w:color="auto"/>
              <w:left w:val="none" w:sz="0" w:space="0" w:color="auto"/>
              <w:bottom w:val="single" w:sz="4" w:space="0" w:color="auto"/>
              <w:right w:val="none" w:sz="0" w:space="0" w:color="auto"/>
            </w:tcBorders>
            <w:shd w:val="clear" w:color="auto" w:fill="auto"/>
            <w:vAlign w:val="center"/>
          </w:tcPr>
          <w:p w14:paraId="4FA073A6" w14:textId="77777777" w:rsidR="00914134" w:rsidRPr="00D23328" w:rsidRDefault="00914134" w:rsidP="0024531A">
            <w:pPr>
              <w:spacing w:before="40" w:after="4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23328">
              <w:rPr>
                <w:rFonts w:ascii="Arial" w:hAnsi="Arial" w:cs="Arial"/>
                <w:color w:val="000000" w:themeColor="text1"/>
                <w:sz w:val="20"/>
                <w:szCs w:val="20"/>
              </w:rPr>
              <w:t>DESCRIPCIÓN</w:t>
            </w:r>
          </w:p>
        </w:tc>
      </w:tr>
      <w:tr w:rsidR="00914134" w:rsidRPr="007E23C5" w14:paraId="1A2D4B64" w14:textId="77777777" w:rsidTr="00E01F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shd w:val="clear" w:color="auto" w:fill="FFFFFF" w:themeFill="background1"/>
            <w:vAlign w:val="center"/>
          </w:tcPr>
          <w:p w14:paraId="5A272463" w14:textId="77777777" w:rsidR="00914134" w:rsidRPr="00D23328" w:rsidRDefault="00914134" w:rsidP="0024531A">
            <w:pPr>
              <w:spacing w:before="40" w:after="40" w:line="276" w:lineRule="auto"/>
              <w:jc w:val="center"/>
              <w:rPr>
                <w:rFonts w:ascii="Arial" w:hAnsi="Arial" w:cs="Arial"/>
                <w:color w:val="000000" w:themeColor="text1"/>
                <w:sz w:val="20"/>
                <w:szCs w:val="20"/>
                <w:lang w:val="es-CO"/>
              </w:rPr>
            </w:pPr>
            <w:r w:rsidRPr="00D23328">
              <w:rPr>
                <w:rFonts w:ascii="Arial" w:hAnsi="Arial" w:cs="Arial"/>
                <w:color w:val="000000" w:themeColor="text1"/>
                <w:sz w:val="20"/>
                <w:szCs w:val="20"/>
                <w:lang w:val="es-CO"/>
              </w:rPr>
              <w:t>Ingreso al Productor</w:t>
            </w:r>
          </w:p>
        </w:tc>
        <w:tc>
          <w:tcPr>
            <w:tcW w:w="7376" w:type="dxa"/>
            <w:tcBorders>
              <w:top w:val="single" w:sz="4" w:space="0" w:color="auto"/>
              <w:bottom w:val="single" w:sz="4" w:space="0" w:color="auto"/>
            </w:tcBorders>
            <w:shd w:val="clear" w:color="auto" w:fill="FFFFFF" w:themeFill="background1"/>
          </w:tcPr>
          <w:p w14:paraId="2AABC18F" w14:textId="77777777" w:rsidR="00914134" w:rsidRPr="00D23328" w:rsidRDefault="00914134" w:rsidP="0024531A">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CO"/>
              </w:rPr>
            </w:pPr>
            <w:r w:rsidRPr="00D23328">
              <w:rPr>
                <w:rFonts w:ascii="Arial" w:hAnsi="Arial" w:cs="Arial"/>
                <w:color w:val="000000" w:themeColor="text1"/>
                <w:sz w:val="20"/>
                <w:szCs w:val="20"/>
                <w:lang w:val="es-CO"/>
              </w:rPr>
              <w:t>Para cada combustible, el MME definió un esquema de cálculo independiente. El diésel se calcula con un precio paridad ponderado entre importaciones y exportaciones, utilizando los índices Ultra Low Sulfur Diesel y Diesel No.2 de la Costa del Golfo.</w:t>
            </w:r>
          </w:p>
        </w:tc>
      </w:tr>
      <w:tr w:rsidR="00914134" w:rsidRPr="007E23C5" w14:paraId="7C3DCECE" w14:textId="77777777" w:rsidTr="00E01F47">
        <w:trPr>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shd w:val="clear" w:color="auto" w:fill="FFFFFF" w:themeFill="background1"/>
            <w:vAlign w:val="center"/>
          </w:tcPr>
          <w:p w14:paraId="56B1F6E5" w14:textId="77777777" w:rsidR="00914134" w:rsidRPr="00D23328" w:rsidRDefault="00914134" w:rsidP="0024531A">
            <w:pPr>
              <w:spacing w:before="40" w:after="40" w:line="276" w:lineRule="auto"/>
              <w:jc w:val="center"/>
              <w:rPr>
                <w:rFonts w:ascii="Arial" w:hAnsi="Arial" w:cs="Arial"/>
                <w:color w:val="000000" w:themeColor="text1"/>
                <w:sz w:val="20"/>
                <w:szCs w:val="20"/>
                <w:lang w:val="es-CO"/>
              </w:rPr>
            </w:pPr>
            <w:r w:rsidRPr="00D23328">
              <w:rPr>
                <w:rFonts w:ascii="Arial" w:hAnsi="Arial" w:cs="Arial"/>
                <w:color w:val="000000" w:themeColor="text1"/>
                <w:sz w:val="20"/>
                <w:szCs w:val="20"/>
                <w:lang w:val="es-CO"/>
              </w:rPr>
              <w:t>Impuesto Nacional</w:t>
            </w:r>
          </w:p>
        </w:tc>
        <w:tc>
          <w:tcPr>
            <w:tcW w:w="7376" w:type="dxa"/>
            <w:tcBorders>
              <w:top w:val="single" w:sz="4" w:space="0" w:color="auto"/>
              <w:bottom w:val="single" w:sz="4" w:space="0" w:color="auto"/>
            </w:tcBorders>
            <w:shd w:val="clear" w:color="auto" w:fill="FFFFFF" w:themeFill="background1"/>
          </w:tcPr>
          <w:p w14:paraId="0459988B" w14:textId="77777777" w:rsidR="00914134" w:rsidRPr="00D23328" w:rsidRDefault="00914134" w:rsidP="0024531A">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CO"/>
              </w:rPr>
            </w:pPr>
            <w:r w:rsidRPr="00D23328">
              <w:rPr>
                <w:rFonts w:ascii="Arial" w:hAnsi="Arial" w:cs="Arial"/>
                <w:color w:val="000000" w:themeColor="text1"/>
                <w:sz w:val="20"/>
                <w:szCs w:val="20"/>
                <w:lang w:val="es-CO"/>
              </w:rPr>
              <w:t>Definido en la Ley 1607 de 2012. Sustituye el impuesto global y el IVA. Se ajusta cada primero de febrero con la inflación del año anterior.</w:t>
            </w:r>
          </w:p>
        </w:tc>
      </w:tr>
      <w:tr w:rsidR="00E01F47" w:rsidRPr="007E23C5" w14:paraId="749D8B9C" w14:textId="77777777" w:rsidTr="00E01F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shd w:val="clear" w:color="auto" w:fill="FFFFFF" w:themeFill="background1"/>
            <w:vAlign w:val="center"/>
          </w:tcPr>
          <w:p w14:paraId="6A33AB85" w14:textId="6A431EA8" w:rsidR="00E01F47" w:rsidRPr="00D23328" w:rsidRDefault="00E01F47" w:rsidP="0024531A">
            <w:pPr>
              <w:spacing w:before="40" w:after="40" w:line="276" w:lineRule="auto"/>
              <w:jc w:val="center"/>
              <w:rPr>
                <w:rFonts w:ascii="Arial" w:hAnsi="Arial" w:cs="Arial"/>
                <w:color w:val="000000" w:themeColor="text1"/>
                <w:sz w:val="20"/>
                <w:szCs w:val="20"/>
                <w:lang w:val="es-CO"/>
              </w:rPr>
            </w:pPr>
            <w:r w:rsidRPr="00D23328">
              <w:rPr>
                <w:rFonts w:ascii="Arial" w:hAnsi="Arial" w:cs="Arial"/>
                <w:color w:val="000000" w:themeColor="text1"/>
                <w:sz w:val="20"/>
                <w:szCs w:val="20"/>
                <w:lang w:val="es-CO"/>
              </w:rPr>
              <w:t xml:space="preserve">Impuesto al Carbono </w:t>
            </w:r>
          </w:p>
        </w:tc>
        <w:tc>
          <w:tcPr>
            <w:tcW w:w="7376" w:type="dxa"/>
            <w:tcBorders>
              <w:top w:val="single" w:sz="4" w:space="0" w:color="auto"/>
              <w:bottom w:val="single" w:sz="4" w:space="0" w:color="auto"/>
            </w:tcBorders>
            <w:shd w:val="clear" w:color="auto" w:fill="FFFFFF" w:themeFill="background1"/>
          </w:tcPr>
          <w:p w14:paraId="5B4802BA" w14:textId="2BFBF3EA" w:rsidR="00E01F47" w:rsidRPr="00D23328" w:rsidRDefault="00E01F47" w:rsidP="0024531A">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CO"/>
              </w:rPr>
            </w:pPr>
            <w:r w:rsidRPr="005A7135">
              <w:rPr>
                <w:rFonts w:ascii="Arial" w:hAnsi="Arial" w:cs="Arial"/>
                <w:sz w:val="20"/>
                <w:szCs w:val="20"/>
                <w:lang w:val="es-ES_tradnl"/>
              </w:rPr>
              <w:t>Tarifa específica considerando el factor de emisión de dióxido de carbono (CO</w:t>
            </w:r>
            <w:r w:rsidRPr="00302EE8">
              <w:rPr>
                <w:rFonts w:ascii="Arial" w:hAnsi="Arial" w:cs="Arial"/>
                <w:sz w:val="20"/>
                <w:szCs w:val="20"/>
                <w:vertAlign w:val="subscript"/>
                <w:lang w:val="es-ES_tradnl"/>
              </w:rPr>
              <w:t>2</w:t>
            </w:r>
            <w:r w:rsidRPr="005A7135">
              <w:rPr>
                <w:rFonts w:ascii="Arial" w:hAnsi="Arial" w:cs="Arial"/>
                <w:sz w:val="20"/>
                <w:szCs w:val="20"/>
                <w:lang w:val="es-ES_tradnl"/>
              </w:rPr>
              <w:t>) para cada combustible determinado, expresado en unidad de volumen (kilogramo de CO</w:t>
            </w:r>
            <w:r w:rsidRPr="00302EE8">
              <w:rPr>
                <w:rFonts w:ascii="Arial" w:hAnsi="Arial" w:cs="Arial"/>
                <w:sz w:val="20"/>
                <w:szCs w:val="20"/>
                <w:vertAlign w:val="subscript"/>
                <w:lang w:val="es-ES_tradnl"/>
              </w:rPr>
              <w:t>2</w:t>
            </w:r>
            <w:r w:rsidRPr="005A7135">
              <w:rPr>
                <w:rFonts w:ascii="Arial" w:hAnsi="Arial" w:cs="Arial"/>
                <w:sz w:val="20"/>
                <w:szCs w:val="20"/>
                <w:lang w:val="es-ES_tradnl"/>
              </w:rPr>
              <w:t>) por unidad energética (Terajouls) de acuerdo con el volumen o peso del combustible.</w:t>
            </w:r>
          </w:p>
        </w:tc>
      </w:tr>
      <w:tr w:rsidR="00E01F47" w:rsidRPr="007E23C5" w14:paraId="54419604" w14:textId="77777777" w:rsidTr="00E01F47">
        <w:trPr>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shd w:val="clear" w:color="auto" w:fill="FFFFFF" w:themeFill="background1"/>
            <w:vAlign w:val="center"/>
          </w:tcPr>
          <w:p w14:paraId="5B01CB0B" w14:textId="6FBE0CAF" w:rsidR="00E01F47" w:rsidRPr="00D23328" w:rsidRDefault="00E01F47" w:rsidP="0024531A">
            <w:pPr>
              <w:spacing w:before="40" w:after="40" w:line="276" w:lineRule="auto"/>
              <w:jc w:val="center"/>
              <w:rPr>
                <w:rFonts w:ascii="Arial" w:hAnsi="Arial" w:cs="Arial"/>
                <w:color w:val="000000" w:themeColor="text1"/>
                <w:sz w:val="20"/>
                <w:szCs w:val="20"/>
                <w:lang w:val="es-CO"/>
              </w:rPr>
            </w:pPr>
            <w:r w:rsidRPr="00D23328">
              <w:rPr>
                <w:rFonts w:ascii="Arial" w:hAnsi="Arial" w:cs="Arial"/>
                <w:color w:val="000000" w:themeColor="text1"/>
                <w:sz w:val="20"/>
                <w:szCs w:val="20"/>
                <w:lang w:val="es-CO"/>
              </w:rPr>
              <w:t>Tarifa de marcación</w:t>
            </w:r>
          </w:p>
        </w:tc>
        <w:tc>
          <w:tcPr>
            <w:tcW w:w="7376" w:type="dxa"/>
            <w:tcBorders>
              <w:top w:val="single" w:sz="4" w:space="0" w:color="auto"/>
              <w:bottom w:val="single" w:sz="4" w:space="0" w:color="auto"/>
            </w:tcBorders>
            <w:shd w:val="clear" w:color="auto" w:fill="FFFFFF" w:themeFill="background1"/>
          </w:tcPr>
          <w:p w14:paraId="6ED74A12" w14:textId="47C05E63" w:rsidR="00E01F47" w:rsidRPr="00D23328" w:rsidRDefault="00E01F47" w:rsidP="0024531A">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CO"/>
              </w:rPr>
            </w:pPr>
            <w:r w:rsidRPr="00D23328">
              <w:rPr>
                <w:rFonts w:ascii="Arial" w:hAnsi="Arial" w:cs="Arial"/>
                <w:color w:val="000000" w:themeColor="text1"/>
                <w:sz w:val="20"/>
                <w:szCs w:val="20"/>
                <w:lang w:val="es-CO"/>
              </w:rPr>
              <w:t>Definida en el Decreto 1503 de 2003 y el 3563 del 2003 de manera independiente para cada combustible. Se crearon tarifas diferenciales según el porcentaje de mezcla con el biocombustible aplicable.</w:t>
            </w:r>
          </w:p>
        </w:tc>
      </w:tr>
      <w:tr w:rsidR="00E01F47" w:rsidRPr="007E23C5" w14:paraId="7054E6E8" w14:textId="77777777" w:rsidTr="00E01F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shd w:val="clear" w:color="auto" w:fill="FFFFFF" w:themeFill="background1"/>
            <w:vAlign w:val="center"/>
          </w:tcPr>
          <w:p w14:paraId="7324EC7E" w14:textId="0EEEA2A3" w:rsidR="00E01F47" w:rsidRPr="00D23328" w:rsidRDefault="00E01F47" w:rsidP="0024531A">
            <w:pPr>
              <w:spacing w:before="40" w:after="40" w:line="276" w:lineRule="auto"/>
              <w:jc w:val="center"/>
              <w:rPr>
                <w:rFonts w:ascii="Arial" w:hAnsi="Arial" w:cs="Arial"/>
                <w:color w:val="000000" w:themeColor="text1"/>
                <w:sz w:val="20"/>
                <w:szCs w:val="20"/>
                <w:lang w:val="es-CO"/>
              </w:rPr>
            </w:pPr>
            <w:r w:rsidRPr="00D23328">
              <w:rPr>
                <w:rFonts w:ascii="Arial" w:hAnsi="Arial" w:cs="Arial"/>
                <w:color w:val="000000" w:themeColor="text1"/>
                <w:sz w:val="20"/>
                <w:szCs w:val="20"/>
                <w:lang w:val="es-CO"/>
              </w:rPr>
              <w:t>Tarifa de Transporte por poliducto</w:t>
            </w:r>
          </w:p>
        </w:tc>
        <w:tc>
          <w:tcPr>
            <w:tcW w:w="7376" w:type="dxa"/>
            <w:tcBorders>
              <w:top w:val="single" w:sz="4" w:space="0" w:color="auto"/>
              <w:bottom w:val="single" w:sz="4" w:space="0" w:color="auto"/>
            </w:tcBorders>
            <w:shd w:val="clear" w:color="auto" w:fill="FFFFFF" w:themeFill="background1"/>
          </w:tcPr>
          <w:p w14:paraId="6A91A431" w14:textId="43015FF1" w:rsidR="00E01F47" w:rsidRPr="00D23328" w:rsidRDefault="00E01F47" w:rsidP="0024531A">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CO"/>
              </w:rPr>
            </w:pPr>
            <w:r w:rsidRPr="00D23328">
              <w:rPr>
                <w:rFonts w:ascii="Arial" w:hAnsi="Arial" w:cs="Arial"/>
                <w:color w:val="000000" w:themeColor="text1"/>
                <w:sz w:val="20"/>
                <w:szCs w:val="20"/>
                <w:lang w:val="es-CO"/>
              </w:rPr>
              <w:t>Costo máximo de transporte a través del sistema de Poliductos definido en la Resolución 181088 de 2003 y sus modificaciones. En el caso de los biocombustibles, la tarifa de transporte se aplica en proporción al porcentaje de mezcla definido, de acuerdo con las tarifas definidas por el MME para cada uno de los Biocombustibles desde las plantas de producción. Se reajusta cada primero de febrero de cada año.</w:t>
            </w:r>
          </w:p>
        </w:tc>
      </w:tr>
      <w:tr w:rsidR="00E01F47" w:rsidRPr="007E23C5" w14:paraId="10CA1193" w14:textId="77777777" w:rsidTr="00E01F47">
        <w:trPr>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shd w:val="clear" w:color="auto" w:fill="FFFFFF" w:themeFill="background1"/>
            <w:vAlign w:val="center"/>
          </w:tcPr>
          <w:p w14:paraId="042B3CD5" w14:textId="41391AD4" w:rsidR="00E01F47" w:rsidRPr="00D23328" w:rsidRDefault="00E01F47" w:rsidP="0024531A">
            <w:pPr>
              <w:spacing w:before="40" w:after="40" w:line="276" w:lineRule="auto"/>
              <w:jc w:val="center"/>
              <w:rPr>
                <w:rFonts w:ascii="Arial" w:hAnsi="Arial" w:cs="Arial"/>
                <w:color w:val="000000" w:themeColor="text1"/>
                <w:sz w:val="20"/>
                <w:szCs w:val="20"/>
                <w:lang w:val="es-CO"/>
              </w:rPr>
            </w:pPr>
            <w:r w:rsidRPr="00D23328">
              <w:rPr>
                <w:rFonts w:ascii="Arial" w:hAnsi="Arial" w:cs="Arial"/>
                <w:color w:val="000000" w:themeColor="text1"/>
                <w:sz w:val="20"/>
                <w:szCs w:val="20"/>
                <w:lang w:val="es-CO"/>
              </w:rPr>
              <w:lastRenderedPageBreak/>
              <w:t>Margen plan de continuidad</w:t>
            </w:r>
          </w:p>
        </w:tc>
        <w:tc>
          <w:tcPr>
            <w:tcW w:w="7376" w:type="dxa"/>
            <w:tcBorders>
              <w:top w:val="single" w:sz="4" w:space="0" w:color="auto"/>
              <w:bottom w:val="single" w:sz="4" w:space="0" w:color="auto"/>
            </w:tcBorders>
            <w:shd w:val="clear" w:color="auto" w:fill="FFFFFF" w:themeFill="background1"/>
          </w:tcPr>
          <w:p w14:paraId="09C9763F" w14:textId="5C1847AA" w:rsidR="00E01F47" w:rsidRPr="00D23328" w:rsidRDefault="00E01F47" w:rsidP="0024531A">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CO"/>
              </w:rPr>
            </w:pPr>
            <w:r w:rsidRPr="00D23328">
              <w:rPr>
                <w:rFonts w:ascii="Arial" w:hAnsi="Arial" w:cs="Arial"/>
                <w:color w:val="000000" w:themeColor="text1"/>
                <w:sz w:val="20"/>
                <w:szCs w:val="20"/>
                <w:lang w:val="es-CO"/>
              </w:rPr>
              <w:t>Este margen remunera a Ecopetrol S.A. las inversiones en el plan de continuidad para el abastecimiento del país y específicamente la expansión del sistema Pozos Colorados – Galán a 60 mil barriles por día de capacidad y parte del montaje del poliducto Mansilla – Tocancipá</w:t>
            </w:r>
            <w:r w:rsidRPr="00D23328">
              <w:rPr>
                <w:rFonts w:ascii="Arial" w:hAnsi="Arial" w:cs="Arial"/>
                <w:b/>
                <w:color w:val="000000" w:themeColor="text1"/>
                <w:sz w:val="20"/>
                <w:szCs w:val="20"/>
                <w:lang w:val="es-CO"/>
              </w:rPr>
              <w:t>.</w:t>
            </w:r>
          </w:p>
        </w:tc>
      </w:tr>
      <w:tr w:rsidR="00E01F47" w:rsidRPr="007E23C5" w14:paraId="68228893" w14:textId="77777777" w:rsidTr="00E01F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shd w:val="clear" w:color="auto" w:fill="FFFFFF" w:themeFill="background1"/>
            <w:vAlign w:val="center"/>
          </w:tcPr>
          <w:p w14:paraId="33110134" w14:textId="5CA327D7" w:rsidR="00E01F47" w:rsidRPr="00D23328" w:rsidRDefault="00E01F47" w:rsidP="0024531A">
            <w:pPr>
              <w:spacing w:before="40" w:after="40" w:line="276" w:lineRule="auto"/>
              <w:jc w:val="center"/>
              <w:rPr>
                <w:rFonts w:ascii="Arial" w:hAnsi="Arial" w:cs="Arial"/>
                <w:color w:val="000000" w:themeColor="text1"/>
                <w:sz w:val="20"/>
                <w:szCs w:val="20"/>
                <w:lang w:val="es-CO"/>
              </w:rPr>
            </w:pPr>
            <w:r w:rsidRPr="00D23328">
              <w:rPr>
                <w:rFonts w:ascii="Arial" w:hAnsi="Arial" w:cs="Arial"/>
                <w:color w:val="000000" w:themeColor="text1"/>
                <w:sz w:val="20"/>
                <w:szCs w:val="20"/>
                <w:lang w:val="es-CO"/>
              </w:rPr>
              <w:t>Margen al Distribuidor mayorista</w:t>
            </w:r>
          </w:p>
        </w:tc>
        <w:tc>
          <w:tcPr>
            <w:tcW w:w="7376" w:type="dxa"/>
            <w:tcBorders>
              <w:top w:val="single" w:sz="4" w:space="0" w:color="auto"/>
              <w:bottom w:val="single" w:sz="4" w:space="0" w:color="auto"/>
            </w:tcBorders>
            <w:shd w:val="clear" w:color="auto" w:fill="FFFFFF" w:themeFill="background1"/>
          </w:tcPr>
          <w:p w14:paraId="2E6808B3" w14:textId="74C41888" w:rsidR="00E01F47" w:rsidRPr="00D23328" w:rsidRDefault="00E01F47" w:rsidP="0024531A">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CO"/>
              </w:rPr>
            </w:pPr>
            <w:r w:rsidRPr="00D23328">
              <w:rPr>
                <w:rFonts w:ascii="Arial" w:hAnsi="Arial" w:cs="Arial"/>
                <w:color w:val="000000" w:themeColor="text1"/>
                <w:sz w:val="20"/>
                <w:szCs w:val="20"/>
                <w:lang w:val="es-CO"/>
              </w:rPr>
              <w:t>Valor definido por MME a partir de la Resolución 824338 de 1998. Con la Resolución 91657 del 30 de octubre de 2012 este valor se estableció en $305. Actualmente se encuentra en $375.34 pesos por galón.</w:t>
            </w:r>
          </w:p>
        </w:tc>
      </w:tr>
      <w:tr w:rsidR="00E01F47" w:rsidRPr="007E23C5" w14:paraId="613E32AE" w14:textId="77777777" w:rsidTr="00E01F47">
        <w:trPr>
          <w:trHeight w:val="283"/>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shd w:val="clear" w:color="auto" w:fill="FFFFFF" w:themeFill="background1"/>
            <w:vAlign w:val="center"/>
          </w:tcPr>
          <w:p w14:paraId="0FDE6F88" w14:textId="434B6A98" w:rsidR="00E01F47" w:rsidRPr="00D23328" w:rsidRDefault="00E01F47" w:rsidP="0024531A">
            <w:pPr>
              <w:spacing w:before="40" w:after="40" w:line="276" w:lineRule="auto"/>
              <w:jc w:val="center"/>
              <w:rPr>
                <w:rFonts w:ascii="Arial" w:hAnsi="Arial" w:cs="Arial"/>
                <w:color w:val="000000" w:themeColor="text1"/>
                <w:sz w:val="20"/>
                <w:szCs w:val="20"/>
                <w:lang w:val="es-CO"/>
              </w:rPr>
            </w:pPr>
            <w:r w:rsidRPr="00D23328">
              <w:rPr>
                <w:rFonts w:ascii="Arial" w:hAnsi="Arial" w:cs="Arial"/>
                <w:color w:val="000000" w:themeColor="text1"/>
                <w:sz w:val="20"/>
                <w:szCs w:val="20"/>
                <w:lang w:val="es-CO"/>
              </w:rPr>
              <w:t>iva  margen distribuidor mayorista</w:t>
            </w:r>
          </w:p>
        </w:tc>
        <w:tc>
          <w:tcPr>
            <w:tcW w:w="7376" w:type="dxa"/>
            <w:tcBorders>
              <w:top w:val="single" w:sz="4" w:space="0" w:color="auto"/>
              <w:bottom w:val="single" w:sz="4" w:space="0" w:color="auto"/>
            </w:tcBorders>
            <w:shd w:val="clear" w:color="auto" w:fill="FFFFFF" w:themeFill="background1"/>
            <w:vAlign w:val="center"/>
          </w:tcPr>
          <w:p w14:paraId="63697F1C" w14:textId="6918C9EB" w:rsidR="00E01F47" w:rsidRPr="00D23328" w:rsidRDefault="00E01F47" w:rsidP="0024531A">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CO"/>
              </w:rPr>
            </w:pPr>
            <w:r w:rsidRPr="005A7135">
              <w:rPr>
                <w:rFonts w:ascii="Arial" w:hAnsi="Arial" w:cs="Arial"/>
                <w:sz w:val="20"/>
                <w:szCs w:val="20"/>
                <w:lang w:val="es-ES_tradnl"/>
              </w:rPr>
              <w:t>Valor establecido por el artículo 467 del Estatuto tributario, modificado por el Art 183 de la Ley 1819 de 29 de diciembre de 2016</w:t>
            </w:r>
          </w:p>
        </w:tc>
      </w:tr>
      <w:tr w:rsidR="00E01F47" w:rsidRPr="007E23C5" w14:paraId="5632D898" w14:textId="77777777" w:rsidTr="00E01F4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shd w:val="clear" w:color="auto" w:fill="FFFFFF" w:themeFill="background1"/>
            <w:vAlign w:val="center"/>
          </w:tcPr>
          <w:p w14:paraId="2A2B316D" w14:textId="39EC76E5" w:rsidR="00E01F47" w:rsidRPr="00D23328" w:rsidRDefault="00E01F47" w:rsidP="0024531A">
            <w:pPr>
              <w:jc w:val="center"/>
              <w:rPr>
                <w:rFonts w:ascii="Arial" w:hAnsi="Arial" w:cs="Arial"/>
                <w:color w:val="000000" w:themeColor="text1"/>
                <w:sz w:val="20"/>
                <w:szCs w:val="20"/>
                <w:lang w:val="es-CO"/>
              </w:rPr>
            </w:pPr>
            <w:r w:rsidRPr="00D23328">
              <w:rPr>
                <w:rFonts w:ascii="Arial" w:hAnsi="Arial" w:cs="Arial"/>
                <w:color w:val="000000" w:themeColor="text1"/>
                <w:sz w:val="20"/>
                <w:szCs w:val="20"/>
                <w:lang w:val="es-CO"/>
              </w:rPr>
              <w:t>Sobretasa</w:t>
            </w:r>
          </w:p>
        </w:tc>
        <w:tc>
          <w:tcPr>
            <w:tcW w:w="7376" w:type="dxa"/>
            <w:tcBorders>
              <w:top w:val="single" w:sz="4" w:space="0" w:color="auto"/>
              <w:bottom w:val="single" w:sz="4" w:space="0" w:color="auto"/>
            </w:tcBorders>
            <w:shd w:val="clear" w:color="auto" w:fill="FFFFFF" w:themeFill="background1"/>
          </w:tcPr>
          <w:p w14:paraId="5613F1DF" w14:textId="3F99FB3E" w:rsidR="00E01F47" w:rsidRPr="001D7E55" w:rsidRDefault="00E01F47" w:rsidP="0024531A">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D23328">
              <w:rPr>
                <w:rFonts w:ascii="Arial" w:hAnsi="Arial" w:cs="Arial"/>
                <w:color w:val="000000" w:themeColor="text1"/>
                <w:sz w:val="20"/>
                <w:szCs w:val="20"/>
                <w:lang w:val="es-CO"/>
              </w:rPr>
              <w:t>Se calcula a partir de la base de liquidación definida por el MME, en concordancia con la metodología definida en el Decreto 1870 de 2008. Para la GMC el porcentaje aplicable es de 25%, en el caso del Diesel es 6%. Cabe anotar que los municipios son autónomos en fijar el porcentaje, por ser impuestos de carácter regional</w:t>
            </w:r>
          </w:p>
        </w:tc>
      </w:tr>
      <w:tr w:rsidR="00E01F47" w:rsidRPr="007E23C5" w14:paraId="109FD72F" w14:textId="77777777" w:rsidTr="00E01F47">
        <w:trPr>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shd w:val="clear" w:color="auto" w:fill="FFFFFF" w:themeFill="background1"/>
            <w:vAlign w:val="center"/>
          </w:tcPr>
          <w:p w14:paraId="77AC1E3A" w14:textId="20CC7046" w:rsidR="00E01F47" w:rsidRPr="00D23328" w:rsidRDefault="00E01F47" w:rsidP="0024531A">
            <w:pPr>
              <w:spacing w:before="40" w:after="40" w:line="276" w:lineRule="auto"/>
              <w:jc w:val="center"/>
              <w:rPr>
                <w:rFonts w:ascii="Arial" w:hAnsi="Arial" w:cs="Arial"/>
                <w:color w:val="000000" w:themeColor="text1"/>
                <w:sz w:val="20"/>
                <w:szCs w:val="20"/>
                <w:lang w:val="es-CO"/>
              </w:rPr>
            </w:pPr>
            <w:r w:rsidRPr="00D23328">
              <w:rPr>
                <w:rFonts w:ascii="Arial" w:hAnsi="Arial" w:cs="Arial"/>
                <w:color w:val="000000" w:themeColor="text1"/>
                <w:sz w:val="20"/>
                <w:szCs w:val="20"/>
                <w:lang w:val="es-CO"/>
              </w:rPr>
              <w:t>Margen al Distribuidor minorista</w:t>
            </w:r>
          </w:p>
        </w:tc>
        <w:tc>
          <w:tcPr>
            <w:tcW w:w="7376" w:type="dxa"/>
            <w:tcBorders>
              <w:top w:val="single" w:sz="4" w:space="0" w:color="auto"/>
              <w:bottom w:val="single" w:sz="4" w:space="0" w:color="auto"/>
            </w:tcBorders>
            <w:shd w:val="clear" w:color="auto" w:fill="FFFFFF" w:themeFill="background1"/>
          </w:tcPr>
          <w:p w14:paraId="21107D33" w14:textId="281D1A56" w:rsidR="00E01F47" w:rsidRPr="00D23328" w:rsidRDefault="00E01F47" w:rsidP="0024531A">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s-CO"/>
              </w:rPr>
            </w:pPr>
            <w:r w:rsidRPr="00D23328">
              <w:rPr>
                <w:rFonts w:ascii="Arial" w:hAnsi="Arial" w:cs="Arial"/>
                <w:color w:val="000000" w:themeColor="text1"/>
                <w:sz w:val="20"/>
                <w:szCs w:val="20"/>
                <w:lang w:val="es-CO"/>
              </w:rPr>
              <w:t>Con la Resolución 182336 del 28 de diciembre de 2011 este valor se estableció en $578 el margen máximo en las ciudades que aplica el régimen de libertad regulada. Se adopta para diferentes ciudades el régimen de libertad vigilada para la fijación del margen minorista con la Resolución 181254 de 2012. Actualmente se encuentra en $706,37/galón.</w:t>
            </w:r>
          </w:p>
        </w:tc>
      </w:tr>
      <w:tr w:rsidR="00E01F47" w:rsidRPr="007E23C5" w14:paraId="682484A3" w14:textId="77777777" w:rsidTr="00E01F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double" w:sz="4" w:space="0" w:color="auto"/>
            </w:tcBorders>
            <w:shd w:val="clear" w:color="auto" w:fill="FFFFFF" w:themeFill="background1"/>
            <w:vAlign w:val="center"/>
          </w:tcPr>
          <w:p w14:paraId="5F0EEEC1" w14:textId="23724D9C" w:rsidR="00E01F47" w:rsidRPr="00D23328" w:rsidRDefault="00E01F47" w:rsidP="0024531A">
            <w:pPr>
              <w:spacing w:before="40" w:after="40" w:line="276" w:lineRule="auto"/>
              <w:jc w:val="center"/>
              <w:rPr>
                <w:rFonts w:ascii="Arial" w:hAnsi="Arial" w:cs="Arial"/>
                <w:color w:val="000000" w:themeColor="text1"/>
                <w:sz w:val="20"/>
                <w:szCs w:val="20"/>
                <w:lang w:val="es-CO"/>
              </w:rPr>
            </w:pPr>
            <w:r w:rsidRPr="00D23328">
              <w:rPr>
                <w:rFonts w:ascii="Arial" w:hAnsi="Arial" w:cs="Arial"/>
                <w:color w:val="000000" w:themeColor="text1"/>
                <w:sz w:val="20"/>
                <w:szCs w:val="20"/>
                <w:lang w:val="es-CO"/>
              </w:rPr>
              <w:t>Transporte Planta de Abasto - EDS</w:t>
            </w:r>
          </w:p>
        </w:tc>
        <w:tc>
          <w:tcPr>
            <w:tcW w:w="7376" w:type="dxa"/>
            <w:tcBorders>
              <w:top w:val="single" w:sz="4" w:space="0" w:color="auto"/>
              <w:bottom w:val="double" w:sz="4" w:space="0" w:color="auto"/>
            </w:tcBorders>
            <w:shd w:val="clear" w:color="auto" w:fill="FFFFFF" w:themeFill="background1"/>
          </w:tcPr>
          <w:p w14:paraId="5AEA434B" w14:textId="7E8EE786" w:rsidR="00E01F47" w:rsidRPr="00D23328" w:rsidRDefault="00E01F47" w:rsidP="0024531A">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CO"/>
              </w:rPr>
            </w:pPr>
            <w:r w:rsidRPr="00D23328">
              <w:rPr>
                <w:rFonts w:ascii="Arial" w:hAnsi="Arial" w:cs="Arial"/>
                <w:color w:val="000000" w:themeColor="text1"/>
                <w:sz w:val="20"/>
                <w:szCs w:val="20"/>
                <w:lang w:val="es-CO"/>
              </w:rPr>
              <w:t>Se calcula de acuerdo a lo establecido en la Resolución 181047 de 2011. Se actualiza cada primero de febrero con el IPC del año inmediatamente anterior.</w:t>
            </w:r>
          </w:p>
        </w:tc>
      </w:tr>
      <w:tr w:rsidR="00E01F47" w:rsidRPr="007E23C5" w14:paraId="79C0DF0F" w14:textId="77777777" w:rsidTr="00E01F47">
        <w:trPr>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double" w:sz="4" w:space="0" w:color="auto"/>
            </w:tcBorders>
            <w:shd w:val="clear" w:color="auto" w:fill="FFFFFF" w:themeFill="background1"/>
            <w:vAlign w:val="center"/>
          </w:tcPr>
          <w:p w14:paraId="5C014CBC" w14:textId="6F5F009D" w:rsidR="00E01F47" w:rsidRPr="00D23328" w:rsidRDefault="00E01F47" w:rsidP="0024531A">
            <w:pPr>
              <w:spacing w:before="40" w:after="40" w:line="276" w:lineRule="auto"/>
              <w:jc w:val="center"/>
              <w:rPr>
                <w:rFonts w:ascii="Arial" w:hAnsi="Arial" w:cs="Arial"/>
                <w:color w:val="000000" w:themeColor="text1"/>
                <w:sz w:val="20"/>
                <w:szCs w:val="20"/>
                <w:lang w:val="es-CO"/>
              </w:rPr>
            </w:pPr>
          </w:p>
        </w:tc>
        <w:tc>
          <w:tcPr>
            <w:tcW w:w="7376" w:type="dxa"/>
            <w:tcBorders>
              <w:top w:val="single" w:sz="4" w:space="0" w:color="auto"/>
              <w:bottom w:val="double" w:sz="4" w:space="0" w:color="auto"/>
            </w:tcBorders>
            <w:shd w:val="clear" w:color="auto" w:fill="FFFFFF" w:themeFill="background1"/>
          </w:tcPr>
          <w:p w14:paraId="38E9BB3D" w14:textId="3AB5E6AB" w:rsidR="00E01F47" w:rsidRPr="00D23328" w:rsidRDefault="00E01F47" w:rsidP="0024531A">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CO"/>
              </w:rPr>
            </w:pPr>
          </w:p>
        </w:tc>
      </w:tr>
    </w:tbl>
    <w:p w14:paraId="773A42B9" w14:textId="77777777" w:rsidR="00914134" w:rsidRPr="00D23328" w:rsidRDefault="00914134" w:rsidP="00914134">
      <w:pPr>
        <w:spacing w:before="240" w:after="240" w:line="276" w:lineRule="auto"/>
        <w:jc w:val="both"/>
        <w:rPr>
          <w:rFonts w:ascii="Arial" w:hAnsi="Arial" w:cs="Arial"/>
          <w:sz w:val="22"/>
        </w:rPr>
      </w:pPr>
      <w:r w:rsidRPr="00D23328">
        <w:rPr>
          <w:rFonts w:ascii="Arial" w:hAnsi="Arial" w:cs="Arial"/>
          <w:sz w:val="22"/>
        </w:rPr>
        <w:t>Posteriormente, a partir del mes de septiembre de 2012, el Ministerio de Minas y Energía, mediante la Resolución 181491 de 2012 estableció una nueva metodología de cálculo del ingreso al productor del Diésel, basada en identificar las tendencias de los precios internacionales del Diésel y aplicarlas a los precios nacionales, por medio del promedio ponderado entre la paridad exportación y la paridad importación.</w:t>
      </w:r>
    </w:p>
    <w:p w14:paraId="111EB237" w14:textId="77777777" w:rsidR="00914134" w:rsidRPr="00D23328" w:rsidRDefault="00914134" w:rsidP="00914134">
      <w:pPr>
        <w:spacing w:before="240" w:after="240" w:line="276" w:lineRule="auto"/>
        <w:jc w:val="both"/>
        <w:rPr>
          <w:rFonts w:ascii="Arial" w:hAnsi="Arial" w:cs="Arial"/>
          <w:sz w:val="22"/>
        </w:rPr>
      </w:pPr>
      <w:r w:rsidRPr="00D23328">
        <w:rPr>
          <w:rFonts w:ascii="Arial" w:hAnsi="Arial" w:cs="Arial"/>
          <w:sz w:val="22"/>
        </w:rPr>
        <w:t>Esta variación incluyó adicionalmente un cambio de los índices utilizados, combinando combustibles de distinto contenido azufre, buscando reflejar de una mejor manera la condición colombiana frente al mercado internacional y el establecimiento de una franja que garantizara un margen de estabilidad en los precios internos, mitigando la volatilidad del precio del petróleo y sus derivados en los consumidores finales colombianos.</w:t>
      </w:r>
    </w:p>
    <w:p w14:paraId="61A796F5" w14:textId="77777777" w:rsidR="00914134" w:rsidRPr="00C9363B" w:rsidRDefault="00D31F30" w:rsidP="00914134">
      <w:pPr>
        <w:rPr>
          <w:rFonts w:asciiTheme="majorHAnsi" w:hAnsiTheme="majorHAnsi"/>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PPP</m:t>
              </m:r>
            </m:e>
            <m:sub>
              <m:r>
                <w:rPr>
                  <w:rFonts w:ascii="Cambria Math" w:hAnsi="Cambria Math"/>
                  <w:color w:val="000000" w:themeColor="text1"/>
                </w:rPr>
                <m:t>t,x,j</m:t>
              </m:r>
            </m:sub>
          </m:sSub>
          <m:r>
            <w:rPr>
              <w:rFonts w:ascii="Cambria Math" w:hAnsi="Cambria Math"/>
              <w:color w:val="000000" w:themeColor="text1"/>
            </w:rPr>
            <m:t>= (</m:t>
          </m:r>
          <m:sSub>
            <m:sSubPr>
              <m:ctrlPr>
                <w:rPr>
                  <w:rFonts w:ascii="Cambria Math" w:hAnsi="Cambria Math"/>
                  <w:i/>
                  <w:color w:val="000000" w:themeColor="text1"/>
                </w:rPr>
              </m:ctrlPr>
            </m:sSubPr>
            <m:e>
              <m:r>
                <w:rPr>
                  <w:rFonts w:ascii="Cambria Math" w:hAnsi="Cambria Math"/>
                  <w:color w:val="000000" w:themeColor="text1"/>
                </w:rPr>
                <m:t>%pronal</m:t>
              </m:r>
            </m:e>
            <m:sub>
              <m:r>
                <w:rPr>
                  <w:rFonts w:ascii="Cambria Math" w:hAnsi="Cambria Math"/>
                  <w:color w:val="000000" w:themeColor="text1"/>
                </w:rPr>
                <m:t>j-1</m:t>
              </m:r>
            </m:sub>
          </m:sSub>
          <m:r>
            <w:rPr>
              <w:rFonts w:ascii="Cambria Math" w:hAnsi="Cambria Math"/>
              <w:color w:val="000000" w:themeColor="text1"/>
            </w:rPr>
            <m:t xml:space="preserve"> </m:t>
          </m:r>
          <m:r>
            <w:rPr>
              <w:rFonts w:ascii="Cambria Math" w:hAnsi="Cambria Math"/>
              <w:color w:val="000000" w:themeColor="text1"/>
              <w:vertAlign w:val="subscript"/>
            </w:rPr>
            <m:t xml:space="preserve"> </m:t>
          </m:r>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PPEXP</m:t>
              </m:r>
            </m:e>
            <m:sub>
              <m:r>
                <w:rPr>
                  <w:rFonts w:ascii="Cambria Math" w:hAnsi="Cambria Math"/>
                  <w:color w:val="000000" w:themeColor="text1"/>
                </w:rPr>
                <m:t>t,j,x</m:t>
              </m:r>
            </m:sub>
          </m:sSub>
          <m:r>
            <w:rPr>
              <w:rFonts w:ascii="Cambria Math" w:hAnsi="Cambria Math"/>
              <w:color w:val="000000" w:themeColor="text1"/>
            </w:rPr>
            <m:t>) + (</m:t>
          </m:r>
          <m:sSub>
            <m:sSubPr>
              <m:ctrlPr>
                <w:rPr>
                  <w:rFonts w:ascii="Cambria Math" w:hAnsi="Cambria Math"/>
                  <w:i/>
                  <w:color w:val="000000" w:themeColor="text1"/>
                </w:rPr>
              </m:ctrlPr>
            </m:sSubPr>
            <m:e>
              <m:r>
                <w:rPr>
                  <w:rFonts w:ascii="Cambria Math" w:hAnsi="Cambria Math"/>
                  <w:color w:val="000000" w:themeColor="text1"/>
                </w:rPr>
                <m:t>%impoj</m:t>
              </m:r>
            </m:e>
            <m:sub>
              <m:r>
                <w:rPr>
                  <w:rFonts w:ascii="Cambria Math" w:hAnsi="Cambria Math"/>
                  <w:color w:val="000000" w:themeColor="text1"/>
                </w:rPr>
                <m:t>j-1</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PPIMPO</m:t>
              </m:r>
            </m:e>
            <m:sub>
              <m:r>
                <w:rPr>
                  <w:rFonts w:ascii="Cambria Math" w:hAnsi="Cambria Math"/>
                  <w:color w:val="000000" w:themeColor="text1"/>
                </w:rPr>
                <m:t>t,j,x</m:t>
              </m:r>
            </m:sub>
          </m:sSub>
          <m:r>
            <w:rPr>
              <w:rFonts w:ascii="Cambria Math" w:hAnsi="Cambria Math"/>
              <w:color w:val="000000" w:themeColor="text1"/>
            </w:rPr>
            <m:t>)</m:t>
          </m:r>
        </m:oMath>
      </m:oMathPara>
    </w:p>
    <w:p w14:paraId="755730EF" w14:textId="77777777" w:rsidR="00914134" w:rsidRPr="006740B7" w:rsidRDefault="00914134" w:rsidP="00914134">
      <w:pPr>
        <w:spacing w:line="360" w:lineRule="auto"/>
        <w:rPr>
          <w:rFonts w:ascii="Arial" w:hAnsi="Arial" w:cs="Arial"/>
          <w:sz w:val="22"/>
          <w:lang w:val="es-ES"/>
        </w:rPr>
      </w:pPr>
      <w:r w:rsidRPr="006740B7">
        <w:rPr>
          <w:rFonts w:ascii="Arial" w:hAnsi="Arial" w:cs="Arial"/>
          <w:sz w:val="22"/>
        </w:rPr>
        <w:t>Donde,</w:t>
      </w:r>
    </w:p>
    <w:p w14:paraId="2CFD2B4C" w14:textId="77777777" w:rsidR="00914134" w:rsidRPr="006740B7" w:rsidRDefault="00914134" w:rsidP="00914134">
      <w:pPr>
        <w:ind w:left="567" w:right="567"/>
        <w:jc w:val="both"/>
        <w:rPr>
          <w:rFonts w:ascii="Cambria Math" w:hAnsi="Cambria Math"/>
          <w:b/>
          <w:i/>
          <w:color w:val="000000" w:themeColor="text1"/>
        </w:rPr>
      </w:pPr>
      <m:oMath>
        <m:r>
          <m:rPr>
            <m:sty m:val="bi"/>
          </m:rPr>
          <w:rPr>
            <w:rFonts w:ascii="Cambria Math" w:hAnsi="Cambria Math"/>
            <w:color w:val="000000" w:themeColor="text1"/>
          </w:rPr>
          <m:t xml:space="preserve">t= </m:t>
        </m:r>
      </m:oMath>
      <w:r w:rsidRPr="006740B7">
        <w:rPr>
          <w:rFonts w:ascii="Cambria Math" w:hAnsi="Cambria Math"/>
          <w:b/>
          <w:i/>
          <w:color w:val="000000" w:themeColor="text1"/>
        </w:rPr>
        <w:t xml:space="preserve"> </w:t>
      </w:r>
      <w:r w:rsidRPr="006740B7">
        <w:rPr>
          <w:rFonts w:ascii="Cambria Math" w:hAnsi="Cambria Math" w:cs="Arial"/>
          <w:color w:val="000000" w:themeColor="text1"/>
          <w:sz w:val="20"/>
          <w:szCs w:val="20"/>
        </w:rPr>
        <w:t>Tiempo medido en días</w:t>
      </w:r>
    </w:p>
    <w:p w14:paraId="0772E0CC" w14:textId="77777777" w:rsidR="00914134" w:rsidRPr="006740B7" w:rsidRDefault="00914134" w:rsidP="00914134">
      <w:pPr>
        <w:ind w:left="567" w:right="567"/>
        <w:jc w:val="both"/>
        <w:rPr>
          <w:rFonts w:ascii="Cambria Math" w:hAnsi="Cambria Math"/>
          <w:b/>
          <w:i/>
          <w:color w:val="000000" w:themeColor="text1"/>
        </w:rPr>
      </w:pPr>
      <m:oMath>
        <m:r>
          <m:rPr>
            <m:sty m:val="bi"/>
          </m:rPr>
          <w:rPr>
            <w:rFonts w:ascii="Cambria Math" w:hAnsi="Cambria Math"/>
            <w:color w:val="000000" w:themeColor="text1"/>
          </w:rPr>
          <m:t xml:space="preserve">x= </m:t>
        </m:r>
      </m:oMath>
      <w:r w:rsidRPr="006740B7">
        <w:rPr>
          <w:rFonts w:ascii="Cambria Math" w:hAnsi="Cambria Math"/>
          <w:b/>
          <w:i/>
          <w:color w:val="000000" w:themeColor="text1"/>
        </w:rPr>
        <w:t xml:space="preserve"> </w:t>
      </w:r>
      <w:r w:rsidRPr="006740B7">
        <w:rPr>
          <w:rFonts w:ascii="Cambria Math" w:hAnsi="Cambria Math" w:cs="Arial"/>
          <w:color w:val="000000" w:themeColor="text1"/>
          <w:sz w:val="20"/>
          <w:szCs w:val="20"/>
        </w:rPr>
        <w:t>Mes en el cual se están haciendo los cálculos</w:t>
      </w:r>
    </w:p>
    <w:p w14:paraId="5D26B1F2" w14:textId="77777777" w:rsidR="00914134" w:rsidRPr="006740B7" w:rsidRDefault="00914134" w:rsidP="00914134">
      <w:pPr>
        <w:ind w:left="567" w:right="567"/>
        <w:jc w:val="both"/>
        <w:rPr>
          <w:rFonts w:ascii="Cambria Math" w:hAnsi="Cambria Math"/>
          <w:b/>
          <w:i/>
          <w:color w:val="000000" w:themeColor="text1"/>
        </w:rPr>
      </w:pPr>
      <m:oMath>
        <m:r>
          <m:rPr>
            <m:sty m:val="bi"/>
          </m:rPr>
          <w:rPr>
            <w:rFonts w:ascii="Cambria Math" w:hAnsi="Cambria Math"/>
            <w:color w:val="000000" w:themeColor="text1"/>
          </w:rPr>
          <m:t xml:space="preserve">j= </m:t>
        </m:r>
      </m:oMath>
      <w:r w:rsidRPr="006740B7">
        <w:rPr>
          <w:rFonts w:ascii="Cambria Math" w:hAnsi="Cambria Math"/>
          <w:b/>
          <w:i/>
          <w:color w:val="000000" w:themeColor="text1"/>
        </w:rPr>
        <w:t xml:space="preserve"> </w:t>
      </w:r>
      <w:r w:rsidRPr="006740B7">
        <w:rPr>
          <w:rFonts w:ascii="Cambria Math" w:hAnsi="Cambria Math" w:cs="Arial"/>
          <w:color w:val="000000" w:themeColor="text1"/>
          <w:sz w:val="20"/>
          <w:szCs w:val="20"/>
        </w:rPr>
        <w:t>Trimestre en el cual se están realizando los cambios</w:t>
      </w:r>
    </w:p>
    <w:p w14:paraId="308587D4" w14:textId="77777777" w:rsidR="00914134" w:rsidRPr="006740B7" w:rsidRDefault="00D31F30" w:rsidP="00914134">
      <w:pPr>
        <w:ind w:left="567" w:right="567"/>
        <w:jc w:val="both"/>
        <w:rPr>
          <w:rFonts w:ascii="Cambria Math" w:hAnsi="Cambria Math" w:cs="Arial"/>
          <w:color w:val="000000" w:themeColor="text1"/>
          <w:sz w:val="20"/>
          <w:szCs w:val="20"/>
        </w:rPr>
      </w:pPr>
      <m:oMath>
        <m:sSub>
          <m:sSubPr>
            <m:ctrlPr>
              <w:rPr>
                <w:rFonts w:ascii="Cambria Math" w:hAnsi="Cambria Math"/>
                <w:b/>
                <w:i/>
                <w:color w:val="000000" w:themeColor="text1"/>
              </w:rPr>
            </m:ctrlPr>
          </m:sSubPr>
          <m:e>
            <m:r>
              <m:rPr>
                <m:sty m:val="bi"/>
              </m:rPr>
              <w:rPr>
                <w:rFonts w:ascii="Cambria Math" w:hAnsi="Cambria Math"/>
                <w:color w:val="000000" w:themeColor="text1"/>
              </w:rPr>
              <m:t>impoj</m:t>
            </m:r>
          </m:e>
          <m:sub>
            <m:r>
              <m:rPr>
                <m:sty m:val="bi"/>
              </m:rPr>
              <w:rPr>
                <w:rFonts w:ascii="Cambria Math" w:hAnsi="Cambria Math"/>
                <w:color w:val="000000" w:themeColor="text1"/>
              </w:rPr>
              <m:t>j-1</m:t>
            </m:r>
          </m:sub>
        </m:sSub>
        <m:r>
          <m:rPr>
            <m:sty m:val="bi"/>
          </m:rPr>
          <w:rPr>
            <w:rFonts w:ascii="Cambria Math" w:hAnsi="Cambria Math"/>
            <w:color w:val="000000" w:themeColor="text1"/>
          </w:rPr>
          <m:t>=</m:t>
        </m:r>
      </m:oMath>
      <w:r w:rsidR="00914134" w:rsidRPr="006740B7">
        <w:rPr>
          <w:rFonts w:ascii="Cambria Math" w:hAnsi="Cambria Math"/>
          <w:b/>
          <w:i/>
          <w:color w:val="000000" w:themeColor="text1"/>
        </w:rPr>
        <w:t xml:space="preserve"> </w:t>
      </w:r>
      <w:r w:rsidR="00914134" w:rsidRPr="006740B7">
        <w:rPr>
          <w:rFonts w:ascii="Cambria Math" w:hAnsi="Cambria Math" w:cs="Arial"/>
          <w:color w:val="000000" w:themeColor="text1"/>
          <w:sz w:val="20"/>
          <w:szCs w:val="20"/>
        </w:rPr>
        <w:t>Porcentaje de  ACPM importado para atender la demanda nacional reportado por Ecopetrol para el trimestre j-1</w:t>
      </w:r>
    </w:p>
    <w:p w14:paraId="0DB88D9C" w14:textId="77777777" w:rsidR="00914134" w:rsidRPr="006740B7" w:rsidRDefault="00D31F30" w:rsidP="00914134">
      <w:pPr>
        <w:ind w:left="567" w:right="567"/>
        <w:jc w:val="both"/>
        <w:rPr>
          <w:rFonts w:ascii="Cambria Math" w:hAnsi="Cambria Math" w:cs="Arial"/>
          <w:color w:val="000000" w:themeColor="text1"/>
          <w:sz w:val="20"/>
          <w:szCs w:val="20"/>
        </w:rPr>
      </w:pPr>
      <m:oMath>
        <m:sSub>
          <m:sSubPr>
            <m:ctrlPr>
              <w:rPr>
                <w:rFonts w:ascii="Cambria Math" w:hAnsi="Cambria Math"/>
                <w:b/>
                <w:i/>
                <w:color w:val="000000" w:themeColor="text1"/>
              </w:rPr>
            </m:ctrlPr>
          </m:sSubPr>
          <m:e>
            <m:r>
              <m:rPr>
                <m:sty m:val="bi"/>
              </m:rPr>
              <w:rPr>
                <w:rFonts w:ascii="Cambria Math" w:hAnsi="Cambria Math"/>
                <w:color w:val="000000" w:themeColor="text1"/>
              </w:rPr>
              <m:t>pronal</m:t>
            </m:r>
          </m:e>
          <m:sub>
            <m:r>
              <m:rPr>
                <m:sty m:val="bi"/>
              </m:rPr>
              <w:rPr>
                <w:rFonts w:ascii="Cambria Math" w:hAnsi="Cambria Math"/>
                <w:color w:val="000000" w:themeColor="text1"/>
              </w:rPr>
              <m:t>j-1</m:t>
            </m:r>
          </m:sub>
        </m:sSub>
        <m:r>
          <m:rPr>
            <m:sty m:val="bi"/>
          </m:rPr>
          <w:rPr>
            <w:rFonts w:ascii="Cambria Math" w:hAnsi="Cambria Math"/>
            <w:color w:val="000000" w:themeColor="text1"/>
          </w:rPr>
          <m:t xml:space="preserve">= </m:t>
        </m:r>
      </m:oMath>
      <w:r w:rsidR="00914134" w:rsidRPr="006740B7">
        <w:rPr>
          <w:rFonts w:ascii="Cambria Math" w:hAnsi="Cambria Math"/>
          <w:b/>
          <w:color w:val="000000" w:themeColor="text1"/>
        </w:rPr>
        <w:t xml:space="preserve"> </w:t>
      </w:r>
      <w:r w:rsidR="00914134" w:rsidRPr="006740B7">
        <w:rPr>
          <w:rFonts w:ascii="Cambria Math" w:hAnsi="Cambria Math" w:cs="Arial"/>
          <w:color w:val="000000" w:themeColor="text1"/>
          <w:sz w:val="20"/>
          <w:szCs w:val="20"/>
        </w:rPr>
        <w:t>Porcentaje de ACPM de producción nacional utilizado para atender la demanda nacional reportado por Ecopetrol para el trimestre j-1</w:t>
      </w:r>
    </w:p>
    <w:p w14:paraId="7C1D58FC" w14:textId="77777777" w:rsidR="00914134" w:rsidRDefault="00914134" w:rsidP="00914134">
      <w:pPr>
        <w:ind w:left="567" w:right="567"/>
        <w:rPr>
          <w:highlight w:val="yellow"/>
        </w:rPr>
      </w:pPr>
    </w:p>
    <w:p w14:paraId="0CEBA80C" w14:textId="77777777" w:rsidR="00914134" w:rsidRPr="006740B7" w:rsidRDefault="00914134" w:rsidP="00914134">
      <w:pPr>
        <w:ind w:left="567" w:right="567"/>
        <w:rPr>
          <w:rFonts w:ascii="Arial" w:hAnsi="Arial" w:cs="Arial"/>
          <w:sz w:val="22"/>
          <w:szCs w:val="22"/>
        </w:rPr>
      </w:pPr>
      <w:r w:rsidRPr="006740B7">
        <w:rPr>
          <w:rFonts w:ascii="Arial" w:hAnsi="Arial" w:cs="Arial"/>
          <w:sz w:val="22"/>
          <w:szCs w:val="22"/>
        </w:rPr>
        <w:t>La fórmula considera:</w:t>
      </w:r>
    </w:p>
    <w:p w14:paraId="479A886F" w14:textId="77777777" w:rsidR="00914134" w:rsidRPr="006740B7" w:rsidRDefault="00914134" w:rsidP="00914134">
      <w:pPr>
        <w:pStyle w:val="Prrafodelista"/>
        <w:numPr>
          <w:ilvl w:val="0"/>
          <w:numId w:val="7"/>
        </w:numPr>
        <w:spacing w:before="240" w:after="240" w:line="276" w:lineRule="auto"/>
        <w:contextualSpacing w:val="0"/>
        <w:rPr>
          <w:rFonts w:cs="Arial"/>
          <w:b w:val="0"/>
          <w:sz w:val="22"/>
          <w:szCs w:val="22"/>
          <w:lang w:val="es-ES"/>
        </w:rPr>
      </w:pPr>
      <w:r w:rsidRPr="006740B7">
        <w:rPr>
          <w:rFonts w:cs="Arial"/>
          <w:b w:val="0"/>
          <w:sz w:val="22"/>
          <w:szCs w:val="22"/>
          <w:lang w:val="es-ES"/>
        </w:rPr>
        <w:t>La paridad exportación del Diésel de producción nacional (precio paridad exportación), referenciado al mercado del Golfo de Estados Unidos, de cada observación diaria del Diésel para uso en motores diésel producido en Colombia calculado como el promedio ponderado de los índices: Diésel N° 2 y el ULSD -Ultra Low Sulfur Diésel de la costa del golfo de Estados Unidos, con base en los volúmenes de las corrientes de diferentes calidades utilizadas por todos los refinadores para la producción de Diésel en la calidad exigida por la regulación.</w:t>
      </w:r>
    </w:p>
    <w:p w14:paraId="0E70ED62" w14:textId="77777777" w:rsidR="00914134" w:rsidRPr="006740B7" w:rsidRDefault="00914134" w:rsidP="00914134">
      <w:pPr>
        <w:pStyle w:val="Prrafodelista"/>
        <w:numPr>
          <w:ilvl w:val="0"/>
          <w:numId w:val="7"/>
        </w:numPr>
        <w:spacing w:before="240" w:after="240" w:line="276" w:lineRule="auto"/>
        <w:contextualSpacing w:val="0"/>
        <w:rPr>
          <w:rFonts w:cs="Arial"/>
          <w:b w:val="0"/>
          <w:sz w:val="22"/>
          <w:szCs w:val="22"/>
          <w:lang w:val="es-ES"/>
        </w:rPr>
      </w:pPr>
      <w:r w:rsidRPr="006740B7">
        <w:rPr>
          <w:rFonts w:cs="Arial"/>
          <w:b w:val="0"/>
          <w:sz w:val="22"/>
          <w:szCs w:val="22"/>
          <w:lang w:val="es-ES"/>
        </w:rPr>
        <w:t xml:space="preserve">La paridad importación del Diésel (precio paridad importación), referenciado al mercado del Golfo de Estados Unidos, de cada observación diaria del Diésel para uso en motores diésel calculado como el promedio ponderado de los índices: Diésel No 2 y ULSD-Ultra Low Sulfur Diésel de la Costa del Golfo de Estados Unidos, con base en los volúmenes de las corrientes de diferentes calidades utilizadas para la producción de Diésel en la calidad exigida por la regulación. </w:t>
      </w:r>
    </w:p>
    <w:p w14:paraId="1D4F8106" w14:textId="77777777" w:rsidR="00914134" w:rsidRPr="006740B7" w:rsidRDefault="00914134" w:rsidP="00914134">
      <w:pPr>
        <w:pStyle w:val="Prrafodelista"/>
        <w:numPr>
          <w:ilvl w:val="0"/>
          <w:numId w:val="7"/>
        </w:numPr>
        <w:spacing w:before="240" w:after="240" w:line="276" w:lineRule="auto"/>
        <w:contextualSpacing w:val="0"/>
        <w:rPr>
          <w:rFonts w:cs="Arial"/>
          <w:b w:val="0"/>
          <w:sz w:val="22"/>
          <w:szCs w:val="22"/>
          <w:lang w:val="es-ES"/>
        </w:rPr>
      </w:pPr>
      <w:r w:rsidRPr="006740B7">
        <w:rPr>
          <w:rFonts w:cs="Arial"/>
          <w:b w:val="0"/>
          <w:sz w:val="22"/>
          <w:szCs w:val="22"/>
          <w:lang w:val="es-ES"/>
        </w:rPr>
        <w:t>El precio ponderado de paridad en la fecha de cálculo, corresponde al último precio ponderado de paridad diario del Diésel, referenciado al mercado del Golfo de Estados Unidos, disponible en la fecha de cálculo de acuerdo con el rezago en los datos reportados por la publicación PLATT's.</w:t>
      </w:r>
    </w:p>
    <w:p w14:paraId="0E159468" w14:textId="68F883BE" w:rsidR="00914134" w:rsidRPr="006740B7" w:rsidRDefault="00914134" w:rsidP="00914134">
      <w:pPr>
        <w:spacing w:before="240" w:after="240" w:line="276" w:lineRule="auto"/>
        <w:jc w:val="both"/>
        <w:rPr>
          <w:rFonts w:ascii="Arial" w:hAnsi="Arial" w:cs="Arial"/>
          <w:sz w:val="22"/>
          <w:highlight w:val="yellow"/>
        </w:rPr>
      </w:pPr>
      <w:r w:rsidRPr="006740B7">
        <w:rPr>
          <w:rFonts w:ascii="Arial" w:hAnsi="Arial" w:cs="Arial"/>
          <w:sz w:val="22"/>
        </w:rPr>
        <w:t xml:space="preserve">La resolución 90497 de 2014, elimina el Low Sulfur Diesel de la formula debido a que Platts dejó de publicar estos precios a Mayo de 2014. Por lo tanto, el promedio ponderado se realiza actualmente con la información del Diésel N° 2 y el Ultra Low Sulfur Diésel. Así entonces, la estimación del ingreso al productor colombiano de Diésel, consideró un análisis comparativo de las series históricas de precios internos e internacionales de la Costa del Golfo, como puede verse en la </w:t>
      </w:r>
      <w:r w:rsidRPr="003723C2">
        <w:rPr>
          <w:rFonts w:ascii="Arial" w:hAnsi="Arial" w:cs="Arial"/>
          <w:sz w:val="22"/>
          <w:szCs w:val="22"/>
        </w:rPr>
        <w:fldChar w:fldCharType="begin"/>
      </w:r>
      <w:r w:rsidRPr="003723C2">
        <w:rPr>
          <w:rFonts w:ascii="Arial" w:hAnsi="Arial" w:cs="Arial"/>
          <w:sz w:val="22"/>
          <w:szCs w:val="22"/>
        </w:rPr>
        <w:instrText xml:space="preserve"> REF _Ref514766109 \h  \* MERGEFORMAT </w:instrText>
      </w:r>
      <w:r w:rsidRPr="003723C2">
        <w:rPr>
          <w:rFonts w:ascii="Arial" w:hAnsi="Arial" w:cs="Arial"/>
          <w:sz w:val="22"/>
          <w:szCs w:val="22"/>
        </w:rPr>
      </w:r>
      <w:r w:rsidRPr="003723C2">
        <w:rPr>
          <w:rFonts w:ascii="Arial" w:hAnsi="Arial" w:cs="Arial"/>
          <w:sz w:val="22"/>
          <w:szCs w:val="22"/>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7</w:t>
      </w:r>
      <w:r w:rsidR="00915705" w:rsidRPr="00915705">
        <w:rPr>
          <w:rFonts w:ascii="Arial" w:hAnsi="Arial" w:cs="Arial"/>
          <w:noProof/>
          <w:sz w:val="22"/>
          <w:szCs w:val="22"/>
          <w:highlight w:val="yellow"/>
        </w:rPr>
        <w:noBreakHyphen/>
        <w:t>1</w:t>
      </w:r>
      <w:r w:rsidRPr="003723C2">
        <w:rPr>
          <w:rFonts w:ascii="Arial" w:hAnsi="Arial" w:cs="Arial"/>
          <w:sz w:val="22"/>
          <w:szCs w:val="22"/>
        </w:rPr>
        <w:fldChar w:fldCharType="end"/>
      </w:r>
      <w:r w:rsidRPr="003723C2">
        <w:rPr>
          <w:rFonts w:ascii="Arial" w:hAnsi="Arial" w:cs="Arial"/>
          <w:sz w:val="22"/>
          <w:szCs w:val="22"/>
        </w:rPr>
        <w:t>.</w:t>
      </w:r>
      <w:r w:rsidR="006E33EF" w:rsidRPr="006740B7">
        <w:rPr>
          <w:rFonts w:ascii="Arial" w:hAnsi="Arial" w:cs="Arial"/>
          <w:sz w:val="22"/>
          <w:highlight w:val="yellow"/>
        </w:rPr>
        <w:t xml:space="preserve"> </w:t>
      </w:r>
    </w:p>
    <w:p w14:paraId="6CEB095C" w14:textId="4AC0D297" w:rsidR="00914134" w:rsidRPr="003E525C" w:rsidRDefault="00914134" w:rsidP="00914134">
      <w:pPr>
        <w:pStyle w:val="Descripcin"/>
        <w:keepNext/>
        <w:spacing w:after="0"/>
        <w:jc w:val="center"/>
        <w:rPr>
          <w:i w:val="0"/>
          <w:color w:val="auto"/>
          <w:sz w:val="20"/>
        </w:rPr>
      </w:pPr>
      <w:bookmarkStart w:id="331" w:name="_Ref514766109"/>
      <w:bookmarkStart w:id="332" w:name="_Toc530033435"/>
      <w:r w:rsidRPr="003E525C">
        <w:rPr>
          <w:b/>
          <w:i w:val="0"/>
          <w:color w:val="auto"/>
          <w:sz w:val="20"/>
          <w:highlight w:val="yellow"/>
        </w:rPr>
        <w:lastRenderedPageBreak/>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7</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bookmarkEnd w:id="331"/>
      <w:r>
        <w:rPr>
          <w:i w:val="0"/>
          <w:color w:val="auto"/>
          <w:sz w:val="20"/>
        </w:rPr>
        <w:t>. Ingreso al productor del d</w:t>
      </w:r>
      <w:r w:rsidRPr="003E525C">
        <w:rPr>
          <w:i w:val="0"/>
          <w:color w:val="auto"/>
          <w:sz w:val="20"/>
        </w:rPr>
        <w:t>iésel colombiano e índice del U.S. Golf Coast</w:t>
      </w:r>
      <w:bookmarkEnd w:id="332"/>
    </w:p>
    <w:p w14:paraId="0FD2F560" w14:textId="77777777" w:rsidR="00914134" w:rsidRDefault="00914134" w:rsidP="00914134">
      <w:pPr>
        <w:jc w:val="center"/>
        <w:rPr>
          <w:highlight w:val="yellow"/>
        </w:rPr>
      </w:pPr>
      <w:r w:rsidRPr="009B5AD3">
        <w:rPr>
          <w:noProof/>
          <w:lang w:val="es-ES" w:eastAsia="es-ES"/>
        </w:rPr>
        <w:drawing>
          <wp:inline distT="0" distB="0" distL="0" distR="0" wp14:anchorId="24540A7E" wp14:editId="47235CDD">
            <wp:extent cx="5400675" cy="3238500"/>
            <wp:effectExtent l="0" t="0" r="9525" b="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2B1C2D88" w14:textId="646037C4" w:rsidR="00914134" w:rsidRPr="000E1D34" w:rsidRDefault="00914134" w:rsidP="00914134">
      <w:pPr>
        <w:jc w:val="center"/>
        <w:rPr>
          <w:rFonts w:ascii="Arial" w:hAnsi="Arial" w:cs="Arial"/>
        </w:rPr>
      </w:pPr>
      <w:r w:rsidRPr="000E1D34">
        <w:rPr>
          <w:rFonts w:ascii="Arial" w:hAnsi="Arial" w:cs="Arial"/>
          <w:b/>
          <w:color w:val="000000" w:themeColor="text1"/>
          <w:sz w:val="16"/>
        </w:rPr>
        <w:t>Fuente:</w:t>
      </w:r>
      <w:r w:rsidR="00AD302D">
        <w:rPr>
          <w:rFonts w:ascii="Arial" w:hAnsi="Arial" w:cs="Arial"/>
          <w:color w:val="000000" w:themeColor="text1"/>
          <w:sz w:val="16"/>
        </w:rPr>
        <w:t xml:space="preserve"> ECP</w:t>
      </w:r>
      <w:r w:rsidR="00AD302D">
        <w:rPr>
          <w:rFonts w:ascii="Arial" w:hAnsi="Arial" w:cs="Arial"/>
          <w:color w:val="000000" w:themeColor="text1"/>
          <w:sz w:val="16"/>
        </w:rPr>
        <w:fldChar w:fldCharType="begin"/>
      </w:r>
      <w:r w:rsidR="00AD302D">
        <w:rPr>
          <w:rFonts w:ascii="Arial" w:hAnsi="Arial" w:cs="Arial"/>
          <w:color w:val="000000" w:themeColor="text1"/>
          <w:sz w:val="16"/>
        </w:rPr>
        <w:instrText xml:space="preserve"> REF _Ref529882807 \r \h </w:instrText>
      </w:r>
      <w:r w:rsidR="00AD302D">
        <w:rPr>
          <w:rFonts w:ascii="Arial" w:hAnsi="Arial" w:cs="Arial"/>
          <w:color w:val="000000" w:themeColor="text1"/>
          <w:sz w:val="16"/>
        </w:rPr>
      </w:r>
      <w:r w:rsidR="00AD302D">
        <w:rPr>
          <w:rFonts w:ascii="Arial" w:hAnsi="Arial" w:cs="Arial"/>
          <w:color w:val="000000" w:themeColor="text1"/>
          <w:sz w:val="16"/>
        </w:rPr>
        <w:fldChar w:fldCharType="separate"/>
      </w:r>
      <w:r w:rsidR="00915705">
        <w:rPr>
          <w:rFonts w:ascii="Arial" w:hAnsi="Arial" w:cs="Arial"/>
          <w:color w:val="000000" w:themeColor="text1"/>
          <w:sz w:val="16"/>
        </w:rPr>
        <w:t>[20]</w:t>
      </w:r>
      <w:r w:rsidR="00AD302D">
        <w:rPr>
          <w:rFonts w:ascii="Arial" w:hAnsi="Arial" w:cs="Arial"/>
          <w:color w:val="000000" w:themeColor="text1"/>
          <w:sz w:val="16"/>
        </w:rPr>
        <w:fldChar w:fldCharType="end"/>
      </w:r>
      <w:r w:rsidR="00AD302D">
        <w:rPr>
          <w:rFonts w:ascii="Arial" w:hAnsi="Arial" w:cs="Arial"/>
          <w:color w:val="000000" w:themeColor="text1"/>
          <w:sz w:val="16"/>
        </w:rPr>
        <w:t>, PLATTS</w:t>
      </w:r>
      <w:r w:rsidR="00AD302D">
        <w:rPr>
          <w:rFonts w:ascii="Arial" w:hAnsi="Arial" w:cs="Arial"/>
          <w:color w:val="000000" w:themeColor="text1"/>
          <w:sz w:val="16"/>
        </w:rPr>
        <w:fldChar w:fldCharType="begin"/>
      </w:r>
      <w:r w:rsidR="00AD302D">
        <w:rPr>
          <w:rFonts w:ascii="Arial" w:hAnsi="Arial" w:cs="Arial"/>
          <w:color w:val="000000" w:themeColor="text1"/>
          <w:sz w:val="16"/>
        </w:rPr>
        <w:instrText xml:space="preserve"> REF _Ref529882813 \r \h </w:instrText>
      </w:r>
      <w:r w:rsidR="00AD302D">
        <w:rPr>
          <w:rFonts w:ascii="Arial" w:hAnsi="Arial" w:cs="Arial"/>
          <w:color w:val="000000" w:themeColor="text1"/>
          <w:sz w:val="16"/>
        </w:rPr>
      </w:r>
      <w:r w:rsidR="00AD302D">
        <w:rPr>
          <w:rFonts w:ascii="Arial" w:hAnsi="Arial" w:cs="Arial"/>
          <w:color w:val="000000" w:themeColor="text1"/>
          <w:sz w:val="16"/>
        </w:rPr>
        <w:fldChar w:fldCharType="separate"/>
      </w:r>
      <w:r w:rsidR="00915705">
        <w:rPr>
          <w:rFonts w:ascii="Arial" w:hAnsi="Arial" w:cs="Arial"/>
          <w:color w:val="000000" w:themeColor="text1"/>
          <w:sz w:val="16"/>
        </w:rPr>
        <w:t>[21]</w:t>
      </w:r>
      <w:r w:rsidR="00AD302D">
        <w:rPr>
          <w:rFonts w:ascii="Arial" w:hAnsi="Arial" w:cs="Arial"/>
          <w:color w:val="000000" w:themeColor="text1"/>
          <w:sz w:val="16"/>
        </w:rPr>
        <w:fldChar w:fldCharType="end"/>
      </w:r>
      <w:r w:rsidRPr="000E1D34">
        <w:rPr>
          <w:rFonts w:ascii="Arial" w:hAnsi="Arial" w:cs="Arial"/>
          <w:color w:val="000000" w:themeColor="text1"/>
          <w:sz w:val="16"/>
        </w:rPr>
        <w:t>.</w:t>
      </w:r>
    </w:p>
    <w:p w14:paraId="730B8315" w14:textId="77777777" w:rsidR="00914134" w:rsidRPr="006740B7" w:rsidRDefault="00914134" w:rsidP="00914134">
      <w:pPr>
        <w:spacing w:before="240" w:after="240" w:line="276" w:lineRule="auto"/>
        <w:jc w:val="both"/>
        <w:rPr>
          <w:rFonts w:ascii="Arial" w:hAnsi="Arial" w:cs="Arial"/>
          <w:sz w:val="22"/>
          <w:highlight w:val="yellow"/>
        </w:rPr>
      </w:pPr>
      <w:r w:rsidRPr="006740B7">
        <w:rPr>
          <w:rFonts w:ascii="Arial" w:hAnsi="Arial" w:cs="Arial"/>
          <w:sz w:val="22"/>
        </w:rPr>
        <w:t>De la gráfica anterior, se puede advertir que el patrón de comportamiento del ingreso al productor fluctúa con los distintos índices en la Costa Golfo acotado entre el mínimo y el máximo de los índices internacionales utilizados, reflejando menor volatilidad en el precio interno. Así mismo, se debe señalar que en diciembre de 2017, el precio del Diésel llega a valor de $1.94 dólares por galón.</w:t>
      </w:r>
    </w:p>
    <w:p w14:paraId="1BB0C42D" w14:textId="7980CE03" w:rsidR="00914134" w:rsidRPr="006740B7" w:rsidRDefault="00914134" w:rsidP="00914134">
      <w:pPr>
        <w:spacing w:before="240" w:after="240" w:line="276" w:lineRule="auto"/>
        <w:jc w:val="both"/>
        <w:rPr>
          <w:rFonts w:ascii="Arial" w:hAnsi="Arial" w:cs="Arial"/>
          <w:sz w:val="22"/>
        </w:rPr>
      </w:pPr>
      <w:r w:rsidRPr="006740B7">
        <w:rPr>
          <w:rFonts w:ascii="Arial" w:hAnsi="Arial" w:cs="Arial"/>
          <w:sz w:val="22"/>
        </w:rPr>
        <w:t xml:space="preserve">Así entonces, el Departamento de Energía de los Estados Unidos plantea en el corto plazo, en su documento STEO - Febrero 2017, un incremento de los precios del diésel con base en un precio promedio del barril del Brent, entre enero de 2018 y diciembre de 2019, de $55.5 dólares por barril, como se puede observar en </w:t>
      </w:r>
      <w:r w:rsidRPr="003723C2">
        <w:rPr>
          <w:rFonts w:ascii="Arial" w:hAnsi="Arial" w:cs="Arial"/>
          <w:sz w:val="22"/>
          <w:szCs w:val="22"/>
        </w:rPr>
        <w:t xml:space="preserve">la </w:t>
      </w:r>
      <w:r w:rsidRPr="00AE71B8">
        <w:rPr>
          <w:rFonts w:ascii="Arial" w:hAnsi="Arial" w:cs="Arial"/>
          <w:sz w:val="22"/>
          <w:szCs w:val="22"/>
          <w:highlight w:val="yellow"/>
        </w:rPr>
        <w:fldChar w:fldCharType="begin"/>
      </w:r>
      <w:r w:rsidRPr="00AE71B8">
        <w:rPr>
          <w:rFonts w:ascii="Arial" w:hAnsi="Arial" w:cs="Arial"/>
          <w:sz w:val="22"/>
          <w:szCs w:val="22"/>
          <w:highlight w:val="yellow"/>
        </w:rPr>
        <w:instrText xml:space="preserve"> REF _Ref499804280 \h  \* MERGEFORMAT </w:instrText>
      </w:r>
      <w:r w:rsidRPr="00AE71B8">
        <w:rPr>
          <w:rFonts w:ascii="Arial" w:hAnsi="Arial" w:cs="Arial"/>
          <w:sz w:val="22"/>
          <w:szCs w:val="22"/>
          <w:highlight w:val="yellow"/>
        </w:rPr>
      </w:r>
      <w:r w:rsidRPr="00AE71B8">
        <w:rPr>
          <w:rFonts w:ascii="Arial" w:hAnsi="Arial" w:cs="Arial"/>
          <w:sz w:val="22"/>
          <w:szCs w:val="22"/>
          <w:highlight w:val="yellow"/>
        </w:rPr>
        <w:fldChar w:fldCharType="separate"/>
      </w:r>
      <w:r w:rsidR="00AE71B8" w:rsidRPr="00AE71B8">
        <w:rPr>
          <w:rFonts w:ascii="Arial" w:hAnsi="Arial" w:cs="Arial"/>
          <w:bCs/>
          <w:sz w:val="22"/>
          <w:szCs w:val="22"/>
          <w:highlight w:val="yellow"/>
          <w:lang w:val="es-ES"/>
        </w:rPr>
        <w:fldChar w:fldCharType="begin"/>
      </w:r>
      <w:r w:rsidR="00AE71B8" w:rsidRPr="00AE71B8">
        <w:rPr>
          <w:rFonts w:ascii="Arial" w:hAnsi="Arial" w:cs="Arial"/>
          <w:sz w:val="22"/>
          <w:szCs w:val="22"/>
          <w:highlight w:val="yellow"/>
        </w:rPr>
        <w:instrText xml:space="preserve"> REF _Ref514917055 \h </w:instrText>
      </w:r>
      <w:r w:rsidR="00AE71B8" w:rsidRPr="00AE71B8">
        <w:rPr>
          <w:rFonts w:ascii="Arial" w:hAnsi="Arial" w:cs="Arial"/>
          <w:bCs/>
          <w:sz w:val="22"/>
          <w:szCs w:val="22"/>
          <w:highlight w:val="yellow"/>
          <w:lang w:val="es-ES"/>
        </w:rPr>
        <w:instrText xml:space="preserve"> \* MERGEFORMAT </w:instrText>
      </w:r>
      <w:r w:rsidR="00AE71B8" w:rsidRPr="00AE71B8">
        <w:rPr>
          <w:rFonts w:ascii="Arial" w:hAnsi="Arial" w:cs="Arial"/>
          <w:bCs/>
          <w:sz w:val="22"/>
          <w:szCs w:val="22"/>
          <w:highlight w:val="yellow"/>
          <w:lang w:val="es-ES"/>
        </w:rPr>
      </w:r>
      <w:r w:rsidR="00AE71B8" w:rsidRPr="00AE71B8">
        <w:rPr>
          <w:rFonts w:ascii="Arial" w:hAnsi="Arial" w:cs="Arial"/>
          <w:bCs/>
          <w:sz w:val="22"/>
          <w:szCs w:val="22"/>
          <w:highlight w:val="yellow"/>
          <w:lang w:val="es-ES"/>
        </w:rPr>
        <w:fldChar w:fldCharType="separate"/>
      </w:r>
      <w:r w:rsidR="00AE71B8" w:rsidRPr="00AE71B8">
        <w:rPr>
          <w:rFonts w:ascii="Arial" w:hAnsi="Arial" w:cs="Arial"/>
          <w:sz w:val="22"/>
          <w:szCs w:val="22"/>
          <w:highlight w:val="yellow"/>
        </w:rPr>
        <w:t xml:space="preserve">Gráfica </w:t>
      </w:r>
      <w:r w:rsidR="00AE71B8" w:rsidRPr="00AE71B8">
        <w:rPr>
          <w:rFonts w:ascii="Arial" w:hAnsi="Arial" w:cs="Arial"/>
          <w:noProof/>
          <w:sz w:val="22"/>
          <w:szCs w:val="22"/>
          <w:highlight w:val="yellow"/>
        </w:rPr>
        <w:t>7</w:t>
      </w:r>
      <w:r w:rsidR="00AE71B8" w:rsidRPr="00AE71B8">
        <w:rPr>
          <w:rFonts w:ascii="Arial" w:hAnsi="Arial" w:cs="Arial"/>
          <w:sz w:val="22"/>
          <w:szCs w:val="22"/>
          <w:highlight w:val="yellow"/>
        </w:rPr>
        <w:noBreakHyphen/>
      </w:r>
      <w:r w:rsidR="00AE71B8" w:rsidRPr="00AE71B8">
        <w:rPr>
          <w:rFonts w:ascii="Arial" w:hAnsi="Arial" w:cs="Arial"/>
          <w:noProof/>
          <w:sz w:val="22"/>
          <w:szCs w:val="22"/>
          <w:highlight w:val="yellow"/>
        </w:rPr>
        <w:t>2</w:t>
      </w:r>
      <w:r w:rsidR="00AE71B8" w:rsidRPr="00AE71B8">
        <w:rPr>
          <w:rFonts w:ascii="Arial" w:hAnsi="Arial" w:cs="Arial"/>
          <w:bCs/>
          <w:sz w:val="22"/>
          <w:szCs w:val="22"/>
          <w:highlight w:val="yellow"/>
          <w:lang w:val="es-ES"/>
        </w:rPr>
        <w:fldChar w:fldCharType="end"/>
      </w:r>
      <w:r w:rsidR="00915705" w:rsidRPr="00AE71B8">
        <w:rPr>
          <w:rFonts w:ascii="Arial" w:hAnsi="Arial" w:cs="Arial"/>
          <w:bCs/>
          <w:sz w:val="22"/>
          <w:szCs w:val="22"/>
          <w:highlight w:val="yellow"/>
          <w:lang w:val="es-ES"/>
        </w:rPr>
        <w:t>.</w:t>
      </w:r>
      <w:r w:rsidRPr="00AE71B8">
        <w:rPr>
          <w:rFonts w:ascii="Arial" w:hAnsi="Arial" w:cs="Arial"/>
          <w:sz w:val="22"/>
          <w:szCs w:val="22"/>
          <w:highlight w:val="yellow"/>
        </w:rPr>
        <w:fldChar w:fldCharType="end"/>
      </w:r>
      <w:r w:rsidRPr="003723C2">
        <w:rPr>
          <w:rFonts w:ascii="Arial" w:hAnsi="Arial" w:cs="Arial"/>
          <w:sz w:val="22"/>
        </w:rPr>
        <w:t xml:space="preserve"> </w:t>
      </w:r>
      <w:r w:rsidRPr="006740B7">
        <w:rPr>
          <w:rFonts w:ascii="Arial" w:hAnsi="Arial" w:cs="Arial"/>
          <w:sz w:val="22"/>
        </w:rPr>
        <w:t>Esta dinámica del mercado de la Costa del Golfo, llevaría a los precios nacionales a una estabilidad cercana a un promedio de $1,78 dólares por galón en 2019.</w:t>
      </w:r>
    </w:p>
    <w:p w14:paraId="6762BC73" w14:textId="459BFD63" w:rsidR="00914134" w:rsidRDefault="00914134" w:rsidP="00914134">
      <w:pPr>
        <w:pStyle w:val="Descripcin"/>
        <w:keepNext/>
        <w:spacing w:after="0"/>
        <w:jc w:val="center"/>
        <w:rPr>
          <w:i w:val="0"/>
          <w:color w:val="auto"/>
          <w:sz w:val="20"/>
        </w:rPr>
      </w:pPr>
      <w:bookmarkStart w:id="333" w:name="_Ref514917055"/>
      <w:bookmarkStart w:id="334" w:name="_Toc530033436"/>
      <w:r w:rsidRPr="006E0603">
        <w:rPr>
          <w:b/>
          <w:i w:val="0"/>
          <w:color w:val="auto"/>
          <w:sz w:val="20"/>
          <w:highlight w:val="yellow"/>
        </w:rPr>
        <w:lastRenderedPageBreak/>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7</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2</w:t>
      </w:r>
      <w:r w:rsidR="00DA50A5">
        <w:rPr>
          <w:b/>
          <w:i w:val="0"/>
          <w:color w:val="auto"/>
          <w:sz w:val="20"/>
          <w:highlight w:val="yellow"/>
        </w:rPr>
        <w:fldChar w:fldCharType="end"/>
      </w:r>
      <w:bookmarkEnd w:id="333"/>
      <w:r w:rsidRPr="006E0603">
        <w:rPr>
          <w:i w:val="0"/>
          <w:color w:val="auto"/>
          <w:sz w:val="20"/>
        </w:rPr>
        <w:t xml:space="preserve">. Perspectiva </w:t>
      </w:r>
      <w:r>
        <w:rPr>
          <w:i w:val="0"/>
          <w:color w:val="auto"/>
          <w:sz w:val="20"/>
        </w:rPr>
        <w:t>corto p</w:t>
      </w:r>
      <w:r w:rsidRPr="006E0603">
        <w:rPr>
          <w:i w:val="0"/>
          <w:color w:val="auto"/>
          <w:sz w:val="20"/>
        </w:rPr>
        <w:t xml:space="preserve">lazo IP </w:t>
      </w:r>
      <w:r>
        <w:rPr>
          <w:i w:val="0"/>
          <w:color w:val="auto"/>
          <w:sz w:val="20"/>
        </w:rPr>
        <w:t>d</w:t>
      </w:r>
      <w:r w:rsidRPr="006E0603">
        <w:rPr>
          <w:i w:val="0"/>
          <w:color w:val="auto"/>
          <w:sz w:val="20"/>
        </w:rPr>
        <w:t>iésel</w:t>
      </w:r>
      <w:bookmarkEnd w:id="334"/>
    </w:p>
    <w:p w14:paraId="51E47A44" w14:textId="77777777" w:rsidR="00914134" w:rsidRPr="00AB26A2" w:rsidRDefault="00914134" w:rsidP="00914134">
      <w:pPr>
        <w:jc w:val="center"/>
        <w:rPr>
          <w:lang w:val="es-CO" w:eastAsia="es-ES"/>
        </w:rPr>
      </w:pPr>
      <w:r w:rsidRPr="00AB26A2">
        <w:rPr>
          <w:noProof/>
          <w:lang w:val="es-ES" w:eastAsia="es-ES"/>
        </w:rPr>
        <w:drawing>
          <wp:inline distT="0" distB="0" distL="0" distR="0" wp14:anchorId="32AE6300" wp14:editId="6718D33C">
            <wp:extent cx="5406571" cy="3240000"/>
            <wp:effectExtent l="0" t="0" r="381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06571" cy="3240000"/>
                    </a:xfrm>
                    <a:prstGeom prst="rect">
                      <a:avLst/>
                    </a:prstGeom>
                    <a:noFill/>
                    <a:ln>
                      <a:noFill/>
                    </a:ln>
                  </pic:spPr>
                </pic:pic>
              </a:graphicData>
            </a:graphic>
          </wp:inline>
        </w:drawing>
      </w:r>
    </w:p>
    <w:p w14:paraId="45337186" w14:textId="54050BBF" w:rsidR="00914134" w:rsidRPr="00AD302D" w:rsidRDefault="00AD302D" w:rsidP="00AD302D">
      <w:pPr>
        <w:jc w:val="center"/>
        <w:rPr>
          <w:rFonts w:ascii="Arial" w:hAnsi="Arial" w:cs="Arial"/>
        </w:rPr>
      </w:pPr>
      <w:r w:rsidRPr="000E1D34">
        <w:rPr>
          <w:rFonts w:ascii="Arial" w:hAnsi="Arial" w:cs="Arial"/>
          <w:b/>
          <w:color w:val="000000" w:themeColor="text1"/>
          <w:sz w:val="16"/>
        </w:rPr>
        <w:t>Fuente:</w:t>
      </w:r>
      <w:r>
        <w:rPr>
          <w:rFonts w:ascii="Arial" w:hAnsi="Arial" w:cs="Arial"/>
          <w:color w:val="000000" w:themeColor="text1"/>
          <w:sz w:val="16"/>
        </w:rPr>
        <w:t xml:space="preserve"> EIA</w:t>
      </w:r>
      <w:r>
        <w:rPr>
          <w:rFonts w:ascii="Arial" w:hAnsi="Arial" w:cs="Arial"/>
          <w:color w:val="000000" w:themeColor="text1"/>
          <w:sz w:val="16"/>
        </w:rPr>
        <w:fldChar w:fldCharType="begin"/>
      </w:r>
      <w:r>
        <w:rPr>
          <w:rFonts w:ascii="Arial" w:hAnsi="Arial" w:cs="Arial"/>
          <w:color w:val="000000" w:themeColor="text1"/>
          <w:sz w:val="16"/>
        </w:rPr>
        <w:instrText xml:space="preserve"> REF _Ref529881539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[11]</w:t>
      </w:r>
      <w:r>
        <w:rPr>
          <w:rFonts w:ascii="Arial" w:hAnsi="Arial" w:cs="Arial"/>
          <w:color w:val="000000" w:themeColor="text1"/>
          <w:sz w:val="16"/>
        </w:rPr>
        <w:fldChar w:fldCharType="end"/>
      </w:r>
      <w:r>
        <w:rPr>
          <w:rFonts w:ascii="Arial" w:hAnsi="Arial" w:cs="Arial"/>
          <w:color w:val="000000" w:themeColor="text1"/>
          <w:sz w:val="16"/>
        </w:rPr>
        <w:t>, ECP</w:t>
      </w:r>
      <w:r>
        <w:rPr>
          <w:rFonts w:ascii="Arial" w:hAnsi="Arial" w:cs="Arial"/>
          <w:color w:val="000000" w:themeColor="text1"/>
          <w:sz w:val="16"/>
        </w:rPr>
        <w:fldChar w:fldCharType="begin"/>
      </w:r>
      <w:r>
        <w:rPr>
          <w:rFonts w:ascii="Arial" w:hAnsi="Arial" w:cs="Arial"/>
          <w:color w:val="000000" w:themeColor="text1"/>
          <w:sz w:val="16"/>
        </w:rPr>
        <w:instrText xml:space="preserve"> REF _Ref529882807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[20]</w:t>
      </w:r>
      <w:r>
        <w:rPr>
          <w:rFonts w:ascii="Arial" w:hAnsi="Arial" w:cs="Arial"/>
          <w:color w:val="000000" w:themeColor="text1"/>
          <w:sz w:val="16"/>
        </w:rPr>
        <w:fldChar w:fldCharType="end"/>
      </w:r>
      <w:r>
        <w:rPr>
          <w:rFonts w:ascii="Arial" w:hAnsi="Arial" w:cs="Arial"/>
          <w:color w:val="000000" w:themeColor="text1"/>
          <w:sz w:val="16"/>
        </w:rPr>
        <w:t>, PLATTS</w:t>
      </w:r>
      <w:r>
        <w:rPr>
          <w:rFonts w:ascii="Arial" w:hAnsi="Arial" w:cs="Arial"/>
          <w:color w:val="000000" w:themeColor="text1"/>
          <w:sz w:val="16"/>
        </w:rPr>
        <w:fldChar w:fldCharType="begin"/>
      </w:r>
      <w:r>
        <w:rPr>
          <w:rFonts w:ascii="Arial" w:hAnsi="Arial" w:cs="Arial"/>
          <w:color w:val="000000" w:themeColor="text1"/>
          <w:sz w:val="16"/>
        </w:rPr>
        <w:instrText xml:space="preserve"> REF _Ref529882813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[21]</w:t>
      </w:r>
      <w:r>
        <w:rPr>
          <w:rFonts w:ascii="Arial" w:hAnsi="Arial" w:cs="Arial"/>
          <w:color w:val="000000" w:themeColor="text1"/>
          <w:sz w:val="16"/>
        </w:rPr>
        <w:fldChar w:fldCharType="end"/>
      </w:r>
      <w:r>
        <w:rPr>
          <w:rFonts w:ascii="Arial" w:hAnsi="Arial" w:cs="Arial"/>
          <w:color w:val="000000" w:themeColor="text1"/>
          <w:sz w:val="16"/>
        </w:rPr>
        <w:t>, UPME</w:t>
      </w:r>
    </w:p>
    <w:p w14:paraId="6196EDF4" w14:textId="77777777" w:rsidR="00914134" w:rsidRPr="006740B7" w:rsidRDefault="00914134" w:rsidP="00914134">
      <w:pPr>
        <w:spacing w:before="240" w:after="240" w:line="276" w:lineRule="auto"/>
        <w:jc w:val="both"/>
        <w:rPr>
          <w:rFonts w:ascii="Arial" w:hAnsi="Arial" w:cs="Arial"/>
          <w:sz w:val="22"/>
        </w:rPr>
      </w:pPr>
      <w:r w:rsidRPr="006740B7">
        <w:rPr>
          <w:rFonts w:ascii="Arial" w:hAnsi="Arial" w:cs="Arial"/>
          <w:sz w:val="22"/>
        </w:rPr>
        <w:t xml:space="preserve">Por el comportamiento presentado, se tomó como driver para la estimación de largo plazo el “BRENT” del escenario de corto plazo del STEO – Febrero 2018, el comportamiento del BRENT de largo plazo del Departamento de Energía de los Estados Unidos y las aperturas de los escenarios del AEO 2017. </w:t>
      </w:r>
      <w:r w:rsidRPr="006740B7">
        <w:rPr>
          <w:rFonts w:ascii="Arial" w:hAnsi="Arial" w:cs="Arial"/>
          <w:sz w:val="22"/>
          <w:highlight w:val="yellow"/>
        </w:rPr>
        <w:t xml:space="preserve">La </w:t>
      </w:r>
      <w:r w:rsidRPr="006740B7">
        <w:rPr>
          <w:rFonts w:ascii="Arial" w:hAnsi="Arial" w:cs="Arial"/>
          <w:sz w:val="22"/>
          <w:szCs w:val="22"/>
          <w:highlight w:val="yellow"/>
        </w:rPr>
        <w:fldChar w:fldCharType="begin"/>
      </w:r>
      <w:r w:rsidRPr="006740B7">
        <w:rPr>
          <w:rFonts w:ascii="Arial" w:hAnsi="Arial" w:cs="Arial"/>
          <w:sz w:val="22"/>
          <w:szCs w:val="22"/>
          <w:highlight w:val="yellow"/>
        </w:rPr>
        <w:instrText xml:space="preserve"> REF _Ref514766253 \h  \* MERGEFORMAT </w:instrText>
      </w:r>
      <w:r w:rsidRPr="006740B7">
        <w:rPr>
          <w:rFonts w:ascii="Arial" w:hAnsi="Arial" w:cs="Arial"/>
          <w:sz w:val="22"/>
          <w:szCs w:val="22"/>
          <w:highlight w:val="yellow"/>
        </w:rPr>
      </w:r>
      <w:r w:rsidRPr="006740B7">
        <w:rPr>
          <w:rFonts w:ascii="Arial" w:hAnsi="Arial" w:cs="Arial"/>
          <w:sz w:val="22"/>
          <w:szCs w:val="22"/>
          <w:highlight w:val="yellow"/>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7</w:t>
      </w:r>
      <w:r w:rsidR="00915705" w:rsidRPr="00915705">
        <w:rPr>
          <w:rFonts w:ascii="Arial" w:hAnsi="Arial" w:cs="Arial"/>
          <w:noProof/>
          <w:sz w:val="22"/>
          <w:szCs w:val="22"/>
          <w:highlight w:val="yellow"/>
        </w:rPr>
        <w:noBreakHyphen/>
        <w:t>3</w:t>
      </w:r>
      <w:r w:rsidRPr="006740B7">
        <w:rPr>
          <w:rFonts w:ascii="Arial" w:hAnsi="Arial" w:cs="Arial"/>
          <w:sz w:val="22"/>
          <w:szCs w:val="22"/>
          <w:highlight w:val="yellow"/>
        </w:rPr>
        <w:fldChar w:fldCharType="end"/>
      </w:r>
      <w:r w:rsidRPr="006740B7">
        <w:rPr>
          <w:rFonts w:ascii="Arial" w:hAnsi="Arial" w:cs="Arial"/>
          <w:sz w:val="22"/>
          <w:highlight w:val="yellow"/>
        </w:rPr>
        <w:t xml:space="preserve"> </w:t>
      </w:r>
      <w:r w:rsidRPr="006740B7">
        <w:rPr>
          <w:rFonts w:ascii="Arial" w:hAnsi="Arial" w:cs="Arial"/>
          <w:sz w:val="22"/>
        </w:rPr>
        <w:t>presenta la proyección del ingreso al productor colombiano en dólares por galón constantes a diciembre de 2017, para los tres diferentes escenarios.</w:t>
      </w:r>
    </w:p>
    <w:p w14:paraId="7633A665" w14:textId="09F2D11D" w:rsidR="00914134" w:rsidRDefault="00914134" w:rsidP="00914134">
      <w:pPr>
        <w:pStyle w:val="Descripcin"/>
        <w:keepNext/>
        <w:spacing w:after="0"/>
        <w:jc w:val="center"/>
        <w:rPr>
          <w:i w:val="0"/>
          <w:color w:val="auto"/>
          <w:sz w:val="20"/>
        </w:rPr>
      </w:pPr>
      <w:bookmarkStart w:id="335" w:name="_Ref514766253"/>
      <w:bookmarkStart w:id="336" w:name="_Toc530033437"/>
      <w:r w:rsidRPr="006E0603">
        <w:rPr>
          <w:b/>
          <w:i w:val="0"/>
          <w:color w:val="auto"/>
          <w:sz w:val="20"/>
          <w:highlight w:val="yellow"/>
        </w:rPr>
        <w:lastRenderedPageBreak/>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7</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3</w:t>
      </w:r>
      <w:r w:rsidR="00DA50A5">
        <w:rPr>
          <w:b/>
          <w:i w:val="0"/>
          <w:color w:val="auto"/>
          <w:sz w:val="20"/>
          <w:highlight w:val="yellow"/>
        </w:rPr>
        <w:fldChar w:fldCharType="end"/>
      </w:r>
      <w:bookmarkEnd w:id="335"/>
      <w:r w:rsidRPr="006E0603">
        <w:rPr>
          <w:b/>
          <w:i w:val="0"/>
          <w:color w:val="auto"/>
          <w:sz w:val="20"/>
          <w:highlight w:val="yellow"/>
        </w:rPr>
        <w:t xml:space="preserve">. </w:t>
      </w:r>
      <w:r w:rsidRPr="006E0603">
        <w:rPr>
          <w:i w:val="0"/>
          <w:color w:val="auto"/>
          <w:sz w:val="20"/>
        </w:rPr>
        <w:t xml:space="preserve">Proyección por escenarios del ingreso al productor colombiano </w:t>
      </w:r>
      <w:r>
        <w:rPr>
          <w:i w:val="0"/>
          <w:color w:val="auto"/>
          <w:sz w:val="20"/>
        </w:rPr>
        <w:t>del Diésel</w:t>
      </w:r>
      <w:bookmarkEnd w:id="336"/>
    </w:p>
    <w:p w14:paraId="36835B17" w14:textId="77777777" w:rsidR="00914134" w:rsidRPr="000E1D34" w:rsidRDefault="00914134" w:rsidP="00914134">
      <w:pPr>
        <w:jc w:val="center"/>
        <w:rPr>
          <w:lang w:val="es-CO" w:eastAsia="es-ES"/>
        </w:rPr>
      </w:pPr>
      <w:r w:rsidRPr="000E1D34">
        <w:rPr>
          <w:noProof/>
          <w:lang w:val="es-ES" w:eastAsia="es-ES"/>
        </w:rPr>
        <w:drawing>
          <wp:inline distT="0" distB="0" distL="0" distR="0" wp14:anchorId="3E6C95A4" wp14:editId="66B57D2E">
            <wp:extent cx="5400000" cy="3240000"/>
            <wp:effectExtent l="0" t="0" r="0" b="0"/>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00000" cy="3240000"/>
                    </a:xfrm>
                    <a:prstGeom prst="rect">
                      <a:avLst/>
                    </a:prstGeom>
                    <a:noFill/>
                    <a:ln>
                      <a:noFill/>
                    </a:ln>
                  </pic:spPr>
                </pic:pic>
              </a:graphicData>
            </a:graphic>
          </wp:inline>
        </w:drawing>
      </w:r>
    </w:p>
    <w:p w14:paraId="5BB18AD3" w14:textId="77777777" w:rsidR="00AD302D" w:rsidRPr="000E1D34" w:rsidRDefault="00AD302D" w:rsidP="00AD302D">
      <w:pPr>
        <w:spacing w:line="276" w:lineRule="auto"/>
        <w:jc w:val="center"/>
        <w:rPr>
          <w:rFonts w:ascii="Arial" w:hAnsi="Arial" w:cs="Arial"/>
          <w:color w:val="000000" w:themeColor="text1"/>
          <w:sz w:val="16"/>
        </w:rPr>
      </w:pPr>
      <w:r w:rsidRPr="000E1D34">
        <w:rPr>
          <w:rFonts w:ascii="Arial" w:hAnsi="Arial" w:cs="Arial"/>
          <w:b/>
          <w:color w:val="000000" w:themeColor="text1"/>
          <w:sz w:val="16"/>
        </w:rPr>
        <w:t>Fuente</w:t>
      </w:r>
      <w:r w:rsidRPr="000E1D34">
        <w:rPr>
          <w:rFonts w:ascii="Arial" w:hAnsi="Arial" w:cs="Arial"/>
          <w:color w:val="000000" w:themeColor="text1"/>
          <w:sz w:val="16"/>
        </w:rPr>
        <w:t xml:space="preserve">: </w:t>
      </w:r>
      <w:r>
        <w:rPr>
          <w:rFonts w:ascii="Arial" w:hAnsi="Arial" w:cs="Arial"/>
          <w:color w:val="000000" w:themeColor="text1"/>
          <w:sz w:val="16"/>
        </w:rPr>
        <w:t>WM</w:t>
      </w:r>
      <w:r>
        <w:rPr>
          <w:rFonts w:ascii="Arial" w:hAnsi="Arial" w:cs="Arial"/>
          <w:color w:val="000000" w:themeColor="text1"/>
          <w:sz w:val="16"/>
        </w:rPr>
        <w:fldChar w:fldCharType="begin"/>
      </w:r>
      <w:r>
        <w:rPr>
          <w:rFonts w:ascii="Arial" w:hAnsi="Arial" w:cs="Arial"/>
          <w:color w:val="000000" w:themeColor="text1"/>
          <w:sz w:val="16"/>
        </w:rPr>
        <w:instrText xml:space="preserve"> REF _Ref529881535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[10]</w:t>
      </w:r>
      <w:r>
        <w:rPr>
          <w:rFonts w:ascii="Arial" w:hAnsi="Arial" w:cs="Arial"/>
          <w:color w:val="000000" w:themeColor="text1"/>
          <w:sz w:val="16"/>
        </w:rPr>
        <w:fldChar w:fldCharType="end"/>
      </w:r>
      <w:r>
        <w:rPr>
          <w:rFonts w:ascii="Arial" w:hAnsi="Arial" w:cs="Arial"/>
          <w:color w:val="000000" w:themeColor="text1"/>
          <w:sz w:val="16"/>
        </w:rPr>
        <w:t xml:space="preserve">, </w:t>
      </w:r>
      <w:r w:rsidRPr="000E1D34">
        <w:rPr>
          <w:rFonts w:ascii="Arial" w:hAnsi="Arial" w:cs="Arial"/>
          <w:color w:val="000000" w:themeColor="text1"/>
          <w:sz w:val="16"/>
        </w:rPr>
        <w:t>EIA</w:t>
      </w:r>
      <w:r>
        <w:rPr>
          <w:rFonts w:ascii="Arial" w:hAnsi="Arial" w:cs="Arial"/>
          <w:color w:val="000000" w:themeColor="text1"/>
          <w:sz w:val="16"/>
        </w:rPr>
        <w:fldChar w:fldCharType="begin"/>
      </w:r>
      <w:r>
        <w:rPr>
          <w:rFonts w:ascii="Arial" w:hAnsi="Arial" w:cs="Arial"/>
          <w:color w:val="000000" w:themeColor="text1"/>
          <w:sz w:val="16"/>
        </w:rPr>
        <w:instrText xml:space="preserve"> REF _Ref529881539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[11]</w:t>
      </w:r>
      <w:r>
        <w:rPr>
          <w:rFonts w:ascii="Arial" w:hAnsi="Arial" w:cs="Arial"/>
          <w:color w:val="000000" w:themeColor="text1"/>
          <w:sz w:val="16"/>
        </w:rPr>
        <w:fldChar w:fldCharType="end"/>
      </w:r>
      <w:r>
        <w:rPr>
          <w:rFonts w:ascii="Arial" w:hAnsi="Arial" w:cs="Arial"/>
          <w:color w:val="000000" w:themeColor="text1"/>
          <w:sz w:val="16"/>
        </w:rPr>
        <w:t>, ECP</w:t>
      </w:r>
      <w:r>
        <w:rPr>
          <w:rFonts w:ascii="Arial" w:hAnsi="Arial" w:cs="Arial"/>
          <w:color w:val="000000" w:themeColor="text1"/>
          <w:sz w:val="16"/>
        </w:rPr>
        <w:fldChar w:fldCharType="begin"/>
      </w:r>
      <w:r>
        <w:rPr>
          <w:rFonts w:ascii="Arial" w:hAnsi="Arial" w:cs="Arial"/>
          <w:color w:val="000000" w:themeColor="text1"/>
          <w:sz w:val="16"/>
        </w:rPr>
        <w:instrText xml:space="preserve"> REF _Ref529882807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[20]</w:t>
      </w:r>
      <w:r>
        <w:rPr>
          <w:rFonts w:ascii="Arial" w:hAnsi="Arial" w:cs="Arial"/>
          <w:color w:val="000000" w:themeColor="text1"/>
          <w:sz w:val="16"/>
        </w:rPr>
        <w:fldChar w:fldCharType="end"/>
      </w:r>
      <w:r>
        <w:rPr>
          <w:rFonts w:ascii="Arial" w:hAnsi="Arial" w:cs="Arial"/>
          <w:color w:val="000000" w:themeColor="text1"/>
          <w:sz w:val="16"/>
        </w:rPr>
        <w:t xml:space="preserve">, </w:t>
      </w:r>
      <w:r w:rsidRPr="000E1D34">
        <w:rPr>
          <w:rFonts w:ascii="Arial" w:hAnsi="Arial" w:cs="Arial"/>
          <w:color w:val="000000" w:themeColor="text1"/>
          <w:sz w:val="16"/>
        </w:rPr>
        <w:t>UPME</w:t>
      </w:r>
    </w:p>
    <w:p w14:paraId="0731E37F" w14:textId="77777777" w:rsidR="00914134" w:rsidRPr="006740B7" w:rsidRDefault="00914134" w:rsidP="00914134">
      <w:pPr>
        <w:spacing w:before="240" w:after="240" w:line="276" w:lineRule="auto"/>
        <w:jc w:val="both"/>
        <w:rPr>
          <w:rFonts w:ascii="Arial" w:hAnsi="Arial" w:cs="Arial"/>
          <w:sz w:val="22"/>
          <w:highlight w:val="yellow"/>
        </w:rPr>
      </w:pPr>
      <w:r w:rsidRPr="006740B7">
        <w:rPr>
          <w:rFonts w:ascii="Arial" w:hAnsi="Arial" w:cs="Arial"/>
          <w:sz w:val="22"/>
        </w:rPr>
        <w:t>De los resultados anteriores, el escenario base o de referencia presenta un una caída del 22% en el corto plazo pasando de los $2.27 dólares por galón a $1.76 dóla</w:t>
      </w:r>
      <w:r>
        <w:rPr>
          <w:rFonts w:ascii="Arial" w:hAnsi="Arial" w:cs="Arial"/>
          <w:sz w:val="22"/>
        </w:rPr>
        <w:t>res por galón, y al largo plazo</w:t>
      </w:r>
      <w:r w:rsidRPr="006740B7">
        <w:rPr>
          <w:rFonts w:ascii="Arial" w:hAnsi="Arial" w:cs="Arial"/>
          <w:sz w:val="22"/>
        </w:rPr>
        <w:t xml:space="preserve"> evidencia un crecimien</w:t>
      </w:r>
      <w:r>
        <w:rPr>
          <w:rFonts w:ascii="Arial" w:hAnsi="Arial" w:cs="Arial"/>
          <w:sz w:val="22"/>
        </w:rPr>
        <w:t>to anual promedio 1</w:t>
      </w:r>
      <w:r w:rsidRPr="006740B7">
        <w:rPr>
          <w:rFonts w:ascii="Arial" w:hAnsi="Arial" w:cs="Arial"/>
          <w:sz w:val="22"/>
        </w:rPr>
        <w:t>.5%.hasta alca</w:t>
      </w:r>
      <w:r>
        <w:rPr>
          <w:rFonts w:ascii="Arial" w:hAnsi="Arial" w:cs="Arial"/>
          <w:sz w:val="22"/>
        </w:rPr>
        <w:t>n</w:t>
      </w:r>
      <w:r w:rsidRPr="006740B7">
        <w:rPr>
          <w:rFonts w:ascii="Arial" w:hAnsi="Arial" w:cs="Arial"/>
          <w:sz w:val="22"/>
        </w:rPr>
        <w:t>zar un pr</w:t>
      </w:r>
      <w:r>
        <w:rPr>
          <w:rFonts w:ascii="Arial" w:hAnsi="Arial" w:cs="Arial"/>
          <w:sz w:val="22"/>
        </w:rPr>
        <w:t>ecio máximo en el año 2040 de $2</w:t>
      </w:r>
      <w:r w:rsidRPr="006740B7">
        <w:rPr>
          <w:rFonts w:ascii="Arial" w:hAnsi="Arial" w:cs="Arial"/>
          <w:sz w:val="22"/>
        </w:rPr>
        <w:t xml:space="preserve"> dólares por galón. Así mismo, los escenarios alto y bajo presentan unos valores al final del horizonte de proyección de $</w:t>
      </w:r>
      <w:r>
        <w:rPr>
          <w:rFonts w:ascii="Arial" w:hAnsi="Arial" w:cs="Arial"/>
          <w:sz w:val="22"/>
        </w:rPr>
        <w:t>4 dólares por galón y $0</w:t>
      </w:r>
      <w:r w:rsidRPr="006740B7">
        <w:rPr>
          <w:rFonts w:ascii="Arial" w:hAnsi="Arial" w:cs="Arial"/>
          <w:sz w:val="22"/>
        </w:rPr>
        <w:t>.</w:t>
      </w:r>
      <w:r>
        <w:rPr>
          <w:rFonts w:ascii="Arial" w:hAnsi="Arial" w:cs="Arial"/>
          <w:sz w:val="22"/>
        </w:rPr>
        <w:t>87</w:t>
      </w:r>
      <w:r w:rsidRPr="006740B7">
        <w:rPr>
          <w:rFonts w:ascii="Arial" w:hAnsi="Arial" w:cs="Arial"/>
          <w:sz w:val="22"/>
        </w:rPr>
        <w:t xml:space="preserve"> dólares por galón respectivamente.</w:t>
      </w:r>
    </w:p>
    <w:p w14:paraId="1FF12D12" w14:textId="77777777" w:rsidR="00914134" w:rsidRPr="006740B7" w:rsidRDefault="00914134" w:rsidP="00914134">
      <w:pPr>
        <w:spacing w:before="240" w:after="240" w:line="276" w:lineRule="auto"/>
        <w:jc w:val="both"/>
        <w:rPr>
          <w:rFonts w:ascii="Arial" w:hAnsi="Arial" w:cs="Arial"/>
          <w:sz w:val="22"/>
        </w:rPr>
      </w:pPr>
      <w:r w:rsidRPr="006740B7">
        <w:rPr>
          <w:rFonts w:ascii="Arial" w:hAnsi="Arial" w:cs="Arial"/>
          <w:sz w:val="22"/>
        </w:rPr>
        <w:t xml:space="preserve">Para calcular el precio en planta de generación se emplearon los componentes de la estructura de precios presentados en la </w:t>
      </w:r>
      <w:r w:rsidRPr="006740B7">
        <w:rPr>
          <w:rFonts w:ascii="Arial" w:hAnsi="Arial" w:cs="Arial"/>
          <w:sz w:val="22"/>
          <w:szCs w:val="22"/>
          <w:highlight w:val="yellow"/>
        </w:rPr>
        <w:fldChar w:fldCharType="begin"/>
      </w:r>
      <w:r w:rsidRPr="006740B7">
        <w:rPr>
          <w:rFonts w:ascii="Arial" w:hAnsi="Arial" w:cs="Arial"/>
          <w:sz w:val="22"/>
          <w:szCs w:val="22"/>
          <w:highlight w:val="yellow"/>
        </w:rPr>
        <w:instrText xml:space="preserve"> REF _Ref514765882 \h  \* MERGEFORMAT </w:instrText>
      </w:r>
      <w:r w:rsidRPr="006740B7">
        <w:rPr>
          <w:rFonts w:ascii="Arial" w:hAnsi="Arial" w:cs="Arial"/>
          <w:sz w:val="22"/>
          <w:szCs w:val="22"/>
          <w:highlight w:val="yellow"/>
        </w:rPr>
      </w:r>
      <w:r w:rsidRPr="006740B7">
        <w:rPr>
          <w:rFonts w:ascii="Arial" w:hAnsi="Arial" w:cs="Arial"/>
          <w:sz w:val="22"/>
          <w:szCs w:val="22"/>
          <w:highlight w:val="yellow"/>
        </w:rPr>
        <w:fldChar w:fldCharType="separate"/>
      </w:r>
      <w:r w:rsidR="00915705" w:rsidRPr="00915705">
        <w:rPr>
          <w:rFonts w:ascii="Arial" w:hAnsi="Arial" w:cs="Arial"/>
          <w:sz w:val="22"/>
          <w:szCs w:val="22"/>
          <w:highlight w:val="yellow"/>
        </w:rPr>
        <w:t xml:space="preserve">Tabla </w:t>
      </w:r>
      <w:r w:rsidR="00915705" w:rsidRPr="00915705">
        <w:rPr>
          <w:rFonts w:ascii="Arial" w:hAnsi="Arial" w:cs="Arial"/>
          <w:noProof/>
          <w:sz w:val="22"/>
          <w:szCs w:val="22"/>
          <w:highlight w:val="yellow"/>
        </w:rPr>
        <w:t>7</w:t>
      </w:r>
      <w:r w:rsidR="00915705" w:rsidRPr="00915705">
        <w:rPr>
          <w:rFonts w:ascii="Arial" w:hAnsi="Arial" w:cs="Arial"/>
          <w:noProof/>
          <w:sz w:val="22"/>
          <w:szCs w:val="22"/>
          <w:highlight w:val="yellow"/>
        </w:rPr>
        <w:noBreakHyphen/>
        <w:t>1</w:t>
      </w:r>
      <w:r w:rsidRPr="006740B7">
        <w:rPr>
          <w:rFonts w:ascii="Arial" w:hAnsi="Arial" w:cs="Arial"/>
          <w:sz w:val="22"/>
          <w:szCs w:val="22"/>
          <w:highlight w:val="yellow"/>
        </w:rPr>
        <w:fldChar w:fldCharType="end"/>
      </w:r>
      <w:r w:rsidRPr="006740B7">
        <w:rPr>
          <w:rFonts w:ascii="Arial" w:hAnsi="Arial" w:cs="Arial"/>
          <w:sz w:val="22"/>
        </w:rPr>
        <w:t xml:space="preserve"> en donde el transporte terrestre cubre desde el punto Mayorista hasta el punto de entrega más cercano a la planta de generación que será atendida, según sea el caso. Los precios finales correspondientes al escenario de referencia, son aplicados en aquellas plantas térmicas que utilizan el Diésel como combustible identificadas en la </w:t>
      </w:r>
      <w:r w:rsidRPr="006740B7">
        <w:rPr>
          <w:rFonts w:ascii="Arial" w:hAnsi="Arial" w:cs="Arial"/>
          <w:sz w:val="22"/>
          <w:szCs w:val="22"/>
          <w:highlight w:val="yellow"/>
        </w:rPr>
        <w:fldChar w:fldCharType="begin"/>
      </w:r>
      <w:r w:rsidRPr="006740B7">
        <w:rPr>
          <w:rFonts w:ascii="Arial" w:hAnsi="Arial" w:cs="Arial"/>
          <w:sz w:val="22"/>
          <w:szCs w:val="22"/>
          <w:highlight w:val="yellow"/>
        </w:rPr>
        <w:instrText xml:space="preserve"> REF _Ref514766590 \h  \* MERGEFORMAT </w:instrText>
      </w:r>
      <w:r w:rsidRPr="006740B7">
        <w:rPr>
          <w:rFonts w:ascii="Arial" w:hAnsi="Arial" w:cs="Arial"/>
          <w:sz w:val="22"/>
          <w:szCs w:val="22"/>
          <w:highlight w:val="yellow"/>
        </w:rPr>
      </w:r>
      <w:r w:rsidRPr="006740B7">
        <w:rPr>
          <w:rFonts w:ascii="Arial" w:hAnsi="Arial" w:cs="Arial"/>
          <w:sz w:val="22"/>
          <w:szCs w:val="22"/>
          <w:highlight w:val="yellow"/>
        </w:rPr>
        <w:fldChar w:fldCharType="separate"/>
      </w:r>
      <w:r w:rsidR="00915705" w:rsidRPr="00915705">
        <w:rPr>
          <w:rFonts w:ascii="Arial" w:hAnsi="Arial" w:cs="Arial"/>
          <w:sz w:val="22"/>
          <w:szCs w:val="22"/>
          <w:highlight w:val="yellow"/>
        </w:rPr>
        <w:t>Tabla 7</w:t>
      </w:r>
      <w:r w:rsidR="00915705" w:rsidRPr="00915705">
        <w:rPr>
          <w:rFonts w:ascii="Arial" w:hAnsi="Arial" w:cs="Arial"/>
          <w:sz w:val="22"/>
          <w:szCs w:val="22"/>
          <w:highlight w:val="yellow"/>
        </w:rPr>
        <w:noBreakHyphen/>
        <w:t>2</w:t>
      </w:r>
      <w:r w:rsidRPr="006740B7">
        <w:rPr>
          <w:rFonts w:ascii="Arial" w:hAnsi="Arial" w:cs="Arial"/>
          <w:sz w:val="22"/>
          <w:szCs w:val="22"/>
          <w:highlight w:val="yellow"/>
        </w:rPr>
        <w:fldChar w:fldCharType="end"/>
      </w:r>
      <w:r w:rsidRPr="006740B7">
        <w:rPr>
          <w:rFonts w:ascii="Arial" w:hAnsi="Arial" w:cs="Arial"/>
          <w:sz w:val="22"/>
        </w:rPr>
        <w:t>.</w:t>
      </w:r>
    </w:p>
    <w:p w14:paraId="025ACC48" w14:textId="77777777" w:rsidR="00914134" w:rsidRPr="00FD09A7" w:rsidRDefault="00914134" w:rsidP="00914134">
      <w:pPr>
        <w:pStyle w:val="Descripcin"/>
        <w:keepNext/>
        <w:spacing w:before="0" w:after="0"/>
        <w:jc w:val="center"/>
        <w:rPr>
          <w:b/>
          <w:i w:val="0"/>
          <w:color w:val="auto"/>
          <w:sz w:val="20"/>
          <w:highlight w:val="yellow"/>
        </w:rPr>
      </w:pPr>
      <w:bookmarkStart w:id="337" w:name="_Ref514766590"/>
      <w:bookmarkStart w:id="338" w:name="_Toc529889754"/>
      <w:r w:rsidRPr="00FD09A7">
        <w:rPr>
          <w:b/>
          <w:i w:val="0"/>
          <w:color w:val="auto"/>
          <w:sz w:val="20"/>
          <w:highlight w:val="yellow"/>
        </w:rPr>
        <w:t xml:space="preserve">Tabla </w:t>
      </w:r>
      <w:r>
        <w:rPr>
          <w:b/>
          <w:i w:val="0"/>
          <w:color w:val="auto"/>
          <w:sz w:val="20"/>
          <w:highlight w:val="yellow"/>
        </w:rPr>
        <w:fldChar w:fldCharType="begin"/>
      </w:r>
      <w:r>
        <w:rPr>
          <w:b/>
          <w:i w:val="0"/>
          <w:color w:val="auto"/>
          <w:sz w:val="20"/>
          <w:highlight w:val="yellow"/>
        </w:rPr>
        <w:instrText xml:space="preserve"> STYLEREF 1 \s </w:instrText>
      </w:r>
      <w:r>
        <w:rPr>
          <w:b/>
          <w:i w:val="0"/>
          <w:color w:val="auto"/>
          <w:sz w:val="20"/>
          <w:highlight w:val="yellow"/>
        </w:rPr>
        <w:fldChar w:fldCharType="separate"/>
      </w:r>
      <w:r w:rsidR="00915705">
        <w:rPr>
          <w:b/>
          <w:i w:val="0"/>
          <w:noProof/>
          <w:color w:val="auto"/>
          <w:sz w:val="20"/>
          <w:highlight w:val="yellow"/>
        </w:rPr>
        <w:t>7</w:t>
      </w:r>
      <w:r>
        <w:rPr>
          <w:b/>
          <w:i w:val="0"/>
          <w:color w:val="auto"/>
          <w:sz w:val="20"/>
          <w:highlight w:val="yellow"/>
        </w:rPr>
        <w:fldChar w:fldCharType="end"/>
      </w:r>
      <w:r>
        <w:rPr>
          <w:b/>
          <w:i w:val="0"/>
          <w:color w:val="auto"/>
          <w:sz w:val="20"/>
          <w:highlight w:val="yellow"/>
        </w:rPr>
        <w:noBreakHyphen/>
      </w:r>
      <w:r>
        <w:rPr>
          <w:b/>
          <w:i w:val="0"/>
          <w:color w:val="auto"/>
          <w:sz w:val="20"/>
          <w:highlight w:val="yellow"/>
        </w:rPr>
        <w:fldChar w:fldCharType="begin"/>
      </w:r>
      <w:r>
        <w:rPr>
          <w:b/>
          <w:i w:val="0"/>
          <w:color w:val="auto"/>
          <w:sz w:val="20"/>
          <w:highlight w:val="yellow"/>
        </w:rPr>
        <w:instrText xml:space="preserve"> SEQ Tabla \* ARABIC \s 1 </w:instrText>
      </w:r>
      <w:r>
        <w:rPr>
          <w:b/>
          <w:i w:val="0"/>
          <w:color w:val="auto"/>
          <w:sz w:val="20"/>
          <w:highlight w:val="yellow"/>
        </w:rPr>
        <w:fldChar w:fldCharType="separate"/>
      </w:r>
      <w:r w:rsidR="00915705">
        <w:rPr>
          <w:b/>
          <w:i w:val="0"/>
          <w:noProof/>
          <w:color w:val="auto"/>
          <w:sz w:val="20"/>
          <w:highlight w:val="yellow"/>
        </w:rPr>
        <w:t>2</w:t>
      </w:r>
      <w:r>
        <w:rPr>
          <w:b/>
          <w:i w:val="0"/>
          <w:color w:val="auto"/>
          <w:sz w:val="20"/>
          <w:highlight w:val="yellow"/>
        </w:rPr>
        <w:fldChar w:fldCharType="end"/>
      </w:r>
      <w:bookmarkEnd w:id="337"/>
      <w:r w:rsidRPr="00FD09A7">
        <w:rPr>
          <w:b/>
          <w:i w:val="0"/>
          <w:color w:val="auto"/>
          <w:sz w:val="20"/>
          <w:highlight w:val="yellow"/>
        </w:rPr>
        <w:t xml:space="preserve">. </w:t>
      </w:r>
      <w:r w:rsidRPr="00FD09A7">
        <w:rPr>
          <w:i w:val="0"/>
          <w:color w:val="auto"/>
          <w:sz w:val="20"/>
        </w:rPr>
        <w:t>Plantas de Generación que consumen diésel</w:t>
      </w:r>
      <w:bookmarkEnd w:id="338"/>
    </w:p>
    <w:tbl>
      <w:tblPr>
        <w:tblW w:w="0" w:type="auto"/>
        <w:jc w:val="center"/>
        <w:tblLook w:val="04A0" w:firstRow="1" w:lastRow="0" w:firstColumn="1" w:lastColumn="0" w:noHBand="0" w:noVBand="1"/>
      </w:tblPr>
      <w:tblGrid>
        <w:gridCol w:w="2261"/>
        <w:gridCol w:w="1659"/>
        <w:gridCol w:w="1905"/>
        <w:gridCol w:w="1295"/>
        <w:gridCol w:w="1150"/>
        <w:gridCol w:w="1361"/>
      </w:tblGrid>
      <w:tr w:rsidR="00914134" w:rsidRPr="00A60933" w14:paraId="51EFA757" w14:textId="77777777" w:rsidTr="0024531A">
        <w:trPr>
          <w:trHeight w:val="466"/>
          <w:jc w:val="center"/>
        </w:trPr>
        <w:tc>
          <w:tcPr>
            <w:tcW w:w="1985" w:type="dxa"/>
            <w:tcBorders>
              <w:top w:val="double" w:sz="4" w:space="0" w:color="auto"/>
              <w:bottom w:val="single" w:sz="4" w:space="0" w:color="auto"/>
            </w:tcBorders>
            <w:shd w:val="clear" w:color="auto" w:fill="auto"/>
            <w:noWrap/>
            <w:vAlign w:val="center"/>
            <w:hideMark/>
          </w:tcPr>
          <w:p w14:paraId="705B973B" w14:textId="77777777" w:rsidR="00914134" w:rsidRPr="006740B7" w:rsidRDefault="00914134" w:rsidP="0024531A">
            <w:pPr>
              <w:spacing w:line="276" w:lineRule="auto"/>
              <w:rPr>
                <w:rFonts w:ascii="Arial" w:hAnsi="Arial" w:cs="Arial"/>
                <w:color w:val="000000"/>
                <w:sz w:val="20"/>
              </w:rPr>
            </w:pPr>
            <w:r w:rsidRPr="006740B7">
              <w:rPr>
                <w:rFonts w:ascii="Arial" w:hAnsi="Arial" w:cs="Arial"/>
                <w:color w:val="000000"/>
                <w:sz w:val="20"/>
              </w:rPr>
              <w:t> </w:t>
            </w:r>
          </w:p>
        </w:tc>
        <w:tc>
          <w:tcPr>
            <w:tcW w:w="1659" w:type="dxa"/>
            <w:tcBorders>
              <w:top w:val="double" w:sz="4" w:space="0" w:color="auto"/>
              <w:bottom w:val="single" w:sz="4" w:space="0" w:color="auto"/>
            </w:tcBorders>
            <w:shd w:val="clear" w:color="auto" w:fill="auto"/>
            <w:vAlign w:val="center"/>
            <w:hideMark/>
          </w:tcPr>
          <w:p w14:paraId="04C5B1AB" w14:textId="77777777" w:rsidR="00914134" w:rsidRPr="00A60933" w:rsidRDefault="00914134" w:rsidP="0024531A">
            <w:pPr>
              <w:spacing w:line="276" w:lineRule="auto"/>
              <w:jc w:val="center"/>
              <w:rPr>
                <w:rFonts w:ascii="Arial" w:hAnsi="Arial" w:cs="Arial"/>
                <w:b/>
                <w:bCs/>
                <w:color w:val="000000"/>
                <w:sz w:val="20"/>
                <w:lang w:val="en-US"/>
              </w:rPr>
            </w:pPr>
            <w:r w:rsidRPr="00A60933">
              <w:rPr>
                <w:rFonts w:ascii="Arial" w:hAnsi="Arial" w:cs="Arial"/>
                <w:b/>
                <w:bCs/>
                <w:color w:val="000000"/>
                <w:sz w:val="20"/>
                <w:lang w:val="en-US"/>
              </w:rPr>
              <w:t>UBICACIÓN</w:t>
            </w:r>
          </w:p>
        </w:tc>
        <w:tc>
          <w:tcPr>
            <w:tcW w:w="0" w:type="auto"/>
            <w:tcBorders>
              <w:top w:val="double" w:sz="4" w:space="0" w:color="auto"/>
              <w:bottom w:val="single" w:sz="4" w:space="0" w:color="auto"/>
            </w:tcBorders>
            <w:shd w:val="clear" w:color="auto" w:fill="auto"/>
            <w:vAlign w:val="center"/>
            <w:hideMark/>
          </w:tcPr>
          <w:p w14:paraId="2F3DA1A6" w14:textId="77777777" w:rsidR="00914134" w:rsidRPr="00A60933" w:rsidRDefault="00914134" w:rsidP="0024531A">
            <w:pPr>
              <w:spacing w:line="276" w:lineRule="auto"/>
              <w:jc w:val="center"/>
              <w:rPr>
                <w:rFonts w:ascii="Arial" w:hAnsi="Arial" w:cs="Arial"/>
                <w:b/>
                <w:bCs/>
                <w:color w:val="000000"/>
                <w:sz w:val="20"/>
                <w:lang w:val="en-US"/>
              </w:rPr>
            </w:pPr>
            <w:r w:rsidRPr="00A60933">
              <w:rPr>
                <w:rFonts w:ascii="Arial" w:hAnsi="Arial" w:cs="Arial"/>
                <w:b/>
                <w:bCs/>
                <w:color w:val="000000"/>
                <w:sz w:val="20"/>
                <w:lang w:val="en-US"/>
              </w:rPr>
              <w:t>DEPARTAMENTO</w:t>
            </w:r>
          </w:p>
        </w:tc>
        <w:tc>
          <w:tcPr>
            <w:tcW w:w="0" w:type="auto"/>
            <w:tcBorders>
              <w:top w:val="double" w:sz="4" w:space="0" w:color="auto"/>
              <w:bottom w:val="single" w:sz="4" w:space="0" w:color="auto"/>
            </w:tcBorders>
            <w:shd w:val="clear" w:color="auto" w:fill="auto"/>
            <w:vAlign w:val="center"/>
            <w:hideMark/>
          </w:tcPr>
          <w:p w14:paraId="6A6F1D71" w14:textId="77777777" w:rsidR="00914134" w:rsidRPr="00A60933" w:rsidRDefault="00914134" w:rsidP="0024531A">
            <w:pPr>
              <w:spacing w:line="276" w:lineRule="auto"/>
              <w:jc w:val="center"/>
              <w:rPr>
                <w:rFonts w:ascii="Arial" w:hAnsi="Arial" w:cs="Arial"/>
                <w:b/>
                <w:bCs/>
                <w:color w:val="000000"/>
                <w:sz w:val="20"/>
                <w:lang w:val="en-US"/>
              </w:rPr>
            </w:pPr>
            <w:r w:rsidRPr="00A60933">
              <w:rPr>
                <w:rFonts w:ascii="Arial" w:hAnsi="Arial" w:cs="Arial"/>
                <w:b/>
                <w:bCs/>
                <w:color w:val="000000"/>
                <w:sz w:val="20"/>
                <w:lang w:val="en-US"/>
              </w:rPr>
              <w:t>CIUDAD/</w:t>
            </w:r>
          </w:p>
          <w:p w14:paraId="43C96479" w14:textId="77777777" w:rsidR="00914134" w:rsidRPr="00A60933" w:rsidRDefault="00914134" w:rsidP="0024531A">
            <w:pPr>
              <w:spacing w:line="276" w:lineRule="auto"/>
              <w:jc w:val="center"/>
              <w:rPr>
                <w:rFonts w:ascii="Arial" w:hAnsi="Arial" w:cs="Arial"/>
                <w:b/>
                <w:bCs/>
                <w:color w:val="000000"/>
                <w:sz w:val="20"/>
                <w:lang w:val="en-US"/>
              </w:rPr>
            </w:pPr>
            <w:r w:rsidRPr="00A60933">
              <w:rPr>
                <w:rFonts w:ascii="Arial" w:hAnsi="Arial" w:cs="Arial"/>
                <w:b/>
                <w:bCs/>
                <w:color w:val="000000"/>
                <w:sz w:val="20"/>
                <w:lang w:val="en-US"/>
              </w:rPr>
              <w:t>MUNICIPIO</w:t>
            </w:r>
          </w:p>
        </w:tc>
        <w:tc>
          <w:tcPr>
            <w:tcW w:w="0" w:type="auto"/>
            <w:tcBorders>
              <w:top w:val="double" w:sz="4" w:space="0" w:color="auto"/>
              <w:bottom w:val="single" w:sz="4" w:space="0" w:color="auto"/>
            </w:tcBorders>
            <w:shd w:val="clear" w:color="auto" w:fill="auto"/>
            <w:vAlign w:val="center"/>
            <w:hideMark/>
          </w:tcPr>
          <w:p w14:paraId="2020496E" w14:textId="77777777" w:rsidR="00914134" w:rsidRPr="00A60933" w:rsidRDefault="00914134" w:rsidP="0024531A">
            <w:pPr>
              <w:spacing w:line="276" w:lineRule="auto"/>
              <w:jc w:val="center"/>
              <w:rPr>
                <w:rFonts w:ascii="Arial" w:hAnsi="Arial" w:cs="Arial"/>
                <w:b/>
                <w:bCs/>
                <w:color w:val="000000"/>
                <w:sz w:val="20"/>
                <w:lang w:val="en-US"/>
              </w:rPr>
            </w:pPr>
            <w:r w:rsidRPr="00A60933">
              <w:rPr>
                <w:rFonts w:ascii="Arial" w:hAnsi="Arial" w:cs="Arial"/>
                <w:b/>
                <w:bCs/>
                <w:color w:val="000000"/>
                <w:sz w:val="20"/>
                <w:lang w:val="en-US"/>
              </w:rPr>
              <w:t>FUENTE</w:t>
            </w:r>
          </w:p>
        </w:tc>
        <w:tc>
          <w:tcPr>
            <w:tcW w:w="0" w:type="auto"/>
            <w:tcBorders>
              <w:top w:val="double" w:sz="4" w:space="0" w:color="auto"/>
              <w:bottom w:val="single" w:sz="4" w:space="0" w:color="auto"/>
            </w:tcBorders>
            <w:shd w:val="clear" w:color="auto" w:fill="auto"/>
            <w:vAlign w:val="center"/>
            <w:hideMark/>
          </w:tcPr>
          <w:p w14:paraId="11ADC1C7" w14:textId="77777777" w:rsidR="00914134" w:rsidRPr="00A60933" w:rsidRDefault="00914134" w:rsidP="0024531A">
            <w:pPr>
              <w:spacing w:line="276" w:lineRule="auto"/>
              <w:jc w:val="center"/>
              <w:rPr>
                <w:rFonts w:ascii="Arial" w:hAnsi="Arial" w:cs="Arial"/>
                <w:b/>
                <w:bCs/>
                <w:color w:val="000000"/>
                <w:sz w:val="20"/>
                <w:lang w:val="en-US"/>
              </w:rPr>
            </w:pPr>
            <w:r w:rsidRPr="00A60933">
              <w:rPr>
                <w:rFonts w:ascii="Arial" w:hAnsi="Arial" w:cs="Arial"/>
                <w:b/>
                <w:bCs/>
                <w:color w:val="000000"/>
                <w:sz w:val="20"/>
                <w:lang w:val="en-US"/>
              </w:rPr>
              <w:t>DESCARGA</w:t>
            </w:r>
          </w:p>
        </w:tc>
      </w:tr>
      <w:tr w:rsidR="00914134" w:rsidRPr="00A60933" w14:paraId="6551359D" w14:textId="77777777" w:rsidTr="0024531A">
        <w:trPr>
          <w:trHeight w:val="285"/>
          <w:jc w:val="center"/>
        </w:trPr>
        <w:tc>
          <w:tcPr>
            <w:tcW w:w="1985" w:type="dxa"/>
            <w:tcBorders>
              <w:top w:val="single" w:sz="4" w:space="0" w:color="auto"/>
              <w:bottom w:val="single" w:sz="4" w:space="0" w:color="auto"/>
            </w:tcBorders>
            <w:shd w:val="clear" w:color="auto" w:fill="auto"/>
            <w:noWrap/>
            <w:vAlign w:val="center"/>
            <w:hideMark/>
          </w:tcPr>
          <w:p w14:paraId="71F38959" w14:textId="77777777" w:rsidR="00914134" w:rsidRPr="00A60933" w:rsidRDefault="00914134" w:rsidP="0024531A">
            <w:pPr>
              <w:spacing w:line="276" w:lineRule="auto"/>
              <w:rPr>
                <w:rFonts w:ascii="Arial" w:hAnsi="Arial" w:cs="Arial"/>
                <w:b/>
                <w:bCs/>
                <w:color w:val="000000"/>
                <w:sz w:val="20"/>
                <w:lang w:val="en-US"/>
              </w:rPr>
            </w:pPr>
            <w:r w:rsidRPr="00A60933">
              <w:rPr>
                <w:rFonts w:ascii="Arial" w:hAnsi="Arial" w:cs="Arial"/>
                <w:b/>
                <w:bCs/>
                <w:color w:val="000000"/>
                <w:sz w:val="20"/>
                <w:lang w:val="en-US"/>
              </w:rPr>
              <w:t>TERMOFLORES</w:t>
            </w:r>
          </w:p>
        </w:tc>
        <w:tc>
          <w:tcPr>
            <w:tcW w:w="1659" w:type="dxa"/>
            <w:tcBorders>
              <w:top w:val="single" w:sz="4" w:space="0" w:color="auto"/>
              <w:bottom w:val="single" w:sz="4" w:space="0" w:color="auto"/>
            </w:tcBorders>
            <w:shd w:val="clear" w:color="auto" w:fill="auto"/>
            <w:noWrap/>
            <w:vAlign w:val="center"/>
            <w:hideMark/>
          </w:tcPr>
          <w:p w14:paraId="26E905E2"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COSTA</w:t>
            </w:r>
          </w:p>
        </w:tc>
        <w:tc>
          <w:tcPr>
            <w:tcW w:w="0" w:type="auto"/>
            <w:tcBorders>
              <w:top w:val="single" w:sz="4" w:space="0" w:color="auto"/>
              <w:bottom w:val="single" w:sz="4" w:space="0" w:color="auto"/>
            </w:tcBorders>
            <w:shd w:val="clear" w:color="auto" w:fill="auto"/>
            <w:noWrap/>
            <w:vAlign w:val="center"/>
            <w:hideMark/>
          </w:tcPr>
          <w:p w14:paraId="54936DF7"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Atlántico</w:t>
            </w:r>
          </w:p>
        </w:tc>
        <w:tc>
          <w:tcPr>
            <w:tcW w:w="0" w:type="auto"/>
            <w:tcBorders>
              <w:top w:val="single" w:sz="4" w:space="0" w:color="auto"/>
              <w:bottom w:val="single" w:sz="4" w:space="0" w:color="auto"/>
            </w:tcBorders>
            <w:shd w:val="clear" w:color="auto" w:fill="auto"/>
            <w:noWrap/>
            <w:vAlign w:val="center"/>
            <w:hideMark/>
          </w:tcPr>
          <w:p w14:paraId="36EE85C8"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Barranquilla</w:t>
            </w:r>
          </w:p>
        </w:tc>
        <w:tc>
          <w:tcPr>
            <w:tcW w:w="0" w:type="auto"/>
            <w:tcBorders>
              <w:top w:val="single" w:sz="4" w:space="0" w:color="auto"/>
              <w:bottom w:val="single" w:sz="4" w:space="0" w:color="auto"/>
            </w:tcBorders>
            <w:shd w:val="clear" w:color="auto" w:fill="auto"/>
            <w:noWrap/>
            <w:vAlign w:val="center"/>
            <w:hideMark/>
          </w:tcPr>
          <w:p w14:paraId="778F1674"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Cartagena</w:t>
            </w:r>
          </w:p>
        </w:tc>
        <w:tc>
          <w:tcPr>
            <w:tcW w:w="0" w:type="auto"/>
            <w:tcBorders>
              <w:top w:val="single" w:sz="4" w:space="0" w:color="auto"/>
              <w:bottom w:val="single" w:sz="4" w:space="0" w:color="auto"/>
            </w:tcBorders>
            <w:shd w:val="clear" w:color="auto" w:fill="auto"/>
            <w:noWrap/>
            <w:vAlign w:val="center"/>
            <w:hideMark/>
          </w:tcPr>
          <w:p w14:paraId="475D6750"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Baranoa</w:t>
            </w:r>
          </w:p>
        </w:tc>
      </w:tr>
      <w:tr w:rsidR="00914134" w:rsidRPr="00A60933" w14:paraId="2006EE56" w14:textId="77777777" w:rsidTr="0024531A">
        <w:trPr>
          <w:trHeight w:val="285"/>
          <w:jc w:val="center"/>
        </w:trPr>
        <w:tc>
          <w:tcPr>
            <w:tcW w:w="1985" w:type="dxa"/>
            <w:tcBorders>
              <w:top w:val="single" w:sz="4" w:space="0" w:color="auto"/>
            </w:tcBorders>
            <w:shd w:val="clear" w:color="auto" w:fill="auto"/>
            <w:noWrap/>
            <w:vAlign w:val="center"/>
            <w:hideMark/>
          </w:tcPr>
          <w:p w14:paraId="7782A1CC" w14:textId="77777777" w:rsidR="00914134" w:rsidRPr="00A60933" w:rsidRDefault="00914134" w:rsidP="0024531A">
            <w:pPr>
              <w:spacing w:line="276" w:lineRule="auto"/>
              <w:rPr>
                <w:rFonts w:ascii="Arial" w:hAnsi="Arial" w:cs="Arial"/>
                <w:b/>
                <w:bCs/>
                <w:color w:val="000000"/>
                <w:sz w:val="20"/>
                <w:lang w:val="en-US"/>
              </w:rPr>
            </w:pPr>
            <w:r w:rsidRPr="00A60933">
              <w:rPr>
                <w:rFonts w:ascii="Arial" w:hAnsi="Arial" w:cs="Arial"/>
                <w:b/>
                <w:bCs/>
                <w:color w:val="000000"/>
                <w:sz w:val="20"/>
                <w:lang w:val="en-US"/>
              </w:rPr>
              <w:t>TERMOSIERRA</w:t>
            </w:r>
          </w:p>
        </w:tc>
        <w:tc>
          <w:tcPr>
            <w:tcW w:w="1659" w:type="dxa"/>
            <w:tcBorders>
              <w:top w:val="single" w:sz="4" w:space="0" w:color="auto"/>
            </w:tcBorders>
            <w:shd w:val="clear" w:color="auto" w:fill="auto"/>
            <w:noWrap/>
            <w:vAlign w:val="center"/>
            <w:hideMark/>
          </w:tcPr>
          <w:p w14:paraId="6986002D"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CENTRO</w:t>
            </w:r>
          </w:p>
        </w:tc>
        <w:tc>
          <w:tcPr>
            <w:tcW w:w="0" w:type="auto"/>
            <w:tcBorders>
              <w:top w:val="single" w:sz="4" w:space="0" w:color="auto"/>
            </w:tcBorders>
            <w:shd w:val="clear" w:color="auto" w:fill="auto"/>
            <w:noWrap/>
            <w:vAlign w:val="center"/>
            <w:hideMark/>
          </w:tcPr>
          <w:p w14:paraId="54C19BEF"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Antioquia</w:t>
            </w:r>
          </w:p>
        </w:tc>
        <w:tc>
          <w:tcPr>
            <w:tcW w:w="0" w:type="auto"/>
            <w:tcBorders>
              <w:top w:val="single" w:sz="4" w:space="0" w:color="auto"/>
            </w:tcBorders>
            <w:shd w:val="clear" w:color="auto" w:fill="auto"/>
            <w:noWrap/>
            <w:vAlign w:val="center"/>
            <w:hideMark/>
          </w:tcPr>
          <w:p w14:paraId="2287F4A5"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Puerto Nare</w:t>
            </w:r>
          </w:p>
        </w:tc>
        <w:tc>
          <w:tcPr>
            <w:tcW w:w="0" w:type="auto"/>
            <w:tcBorders>
              <w:top w:val="single" w:sz="4" w:space="0" w:color="auto"/>
            </w:tcBorders>
            <w:shd w:val="clear" w:color="auto" w:fill="auto"/>
            <w:noWrap/>
            <w:vAlign w:val="center"/>
            <w:hideMark/>
          </w:tcPr>
          <w:p w14:paraId="54C12918"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Barranca</w:t>
            </w:r>
          </w:p>
        </w:tc>
        <w:tc>
          <w:tcPr>
            <w:tcW w:w="0" w:type="auto"/>
            <w:tcBorders>
              <w:top w:val="single" w:sz="4" w:space="0" w:color="auto"/>
            </w:tcBorders>
            <w:shd w:val="clear" w:color="auto" w:fill="auto"/>
            <w:noWrap/>
            <w:vAlign w:val="center"/>
            <w:hideMark/>
          </w:tcPr>
          <w:p w14:paraId="11525EAE"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Vasconia</w:t>
            </w:r>
          </w:p>
        </w:tc>
      </w:tr>
      <w:tr w:rsidR="00914134" w:rsidRPr="00A60933" w14:paraId="072B2E0C" w14:textId="77777777" w:rsidTr="0024531A">
        <w:trPr>
          <w:trHeight w:val="285"/>
          <w:jc w:val="center"/>
        </w:trPr>
        <w:tc>
          <w:tcPr>
            <w:tcW w:w="1985" w:type="dxa"/>
            <w:tcBorders>
              <w:bottom w:val="single" w:sz="4" w:space="0" w:color="auto"/>
            </w:tcBorders>
            <w:shd w:val="clear" w:color="auto" w:fill="auto"/>
            <w:noWrap/>
            <w:vAlign w:val="center"/>
            <w:hideMark/>
          </w:tcPr>
          <w:p w14:paraId="44F22AC4" w14:textId="77777777" w:rsidR="00914134" w:rsidRPr="00A60933" w:rsidRDefault="00914134" w:rsidP="0024531A">
            <w:pPr>
              <w:spacing w:line="276" w:lineRule="auto"/>
              <w:rPr>
                <w:rFonts w:ascii="Arial" w:hAnsi="Arial" w:cs="Arial"/>
                <w:b/>
                <w:bCs/>
                <w:color w:val="000000"/>
                <w:sz w:val="20"/>
                <w:lang w:val="en-US"/>
              </w:rPr>
            </w:pPr>
            <w:r w:rsidRPr="00A60933">
              <w:rPr>
                <w:rFonts w:ascii="Arial" w:hAnsi="Arial" w:cs="Arial"/>
                <w:b/>
                <w:bCs/>
                <w:color w:val="000000"/>
                <w:sz w:val="20"/>
                <w:lang w:val="en-US"/>
              </w:rPr>
              <w:t>TERMODORADA</w:t>
            </w:r>
          </w:p>
        </w:tc>
        <w:tc>
          <w:tcPr>
            <w:tcW w:w="1659" w:type="dxa"/>
            <w:tcBorders>
              <w:bottom w:val="single" w:sz="4" w:space="0" w:color="auto"/>
            </w:tcBorders>
            <w:shd w:val="clear" w:color="auto" w:fill="auto"/>
            <w:noWrap/>
            <w:vAlign w:val="center"/>
            <w:hideMark/>
          </w:tcPr>
          <w:p w14:paraId="195F6CA9"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CENTRO</w:t>
            </w:r>
          </w:p>
        </w:tc>
        <w:tc>
          <w:tcPr>
            <w:tcW w:w="0" w:type="auto"/>
            <w:tcBorders>
              <w:bottom w:val="single" w:sz="4" w:space="0" w:color="auto"/>
            </w:tcBorders>
            <w:shd w:val="clear" w:color="auto" w:fill="auto"/>
            <w:noWrap/>
            <w:vAlign w:val="center"/>
            <w:hideMark/>
          </w:tcPr>
          <w:p w14:paraId="7CD83F7F"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Caldas</w:t>
            </w:r>
          </w:p>
        </w:tc>
        <w:tc>
          <w:tcPr>
            <w:tcW w:w="0" w:type="auto"/>
            <w:tcBorders>
              <w:bottom w:val="single" w:sz="4" w:space="0" w:color="auto"/>
            </w:tcBorders>
            <w:shd w:val="clear" w:color="auto" w:fill="auto"/>
            <w:noWrap/>
            <w:vAlign w:val="center"/>
            <w:hideMark/>
          </w:tcPr>
          <w:p w14:paraId="0F08DC82"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La Dorada</w:t>
            </w:r>
          </w:p>
        </w:tc>
        <w:tc>
          <w:tcPr>
            <w:tcW w:w="0" w:type="auto"/>
            <w:tcBorders>
              <w:bottom w:val="single" w:sz="4" w:space="0" w:color="auto"/>
            </w:tcBorders>
            <w:shd w:val="clear" w:color="auto" w:fill="auto"/>
            <w:noWrap/>
            <w:vAlign w:val="center"/>
            <w:hideMark/>
          </w:tcPr>
          <w:p w14:paraId="620013F5"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Barranca</w:t>
            </w:r>
          </w:p>
        </w:tc>
        <w:tc>
          <w:tcPr>
            <w:tcW w:w="0" w:type="auto"/>
            <w:tcBorders>
              <w:bottom w:val="single" w:sz="4" w:space="0" w:color="auto"/>
            </w:tcBorders>
            <w:shd w:val="clear" w:color="auto" w:fill="auto"/>
            <w:noWrap/>
            <w:vAlign w:val="center"/>
            <w:hideMark/>
          </w:tcPr>
          <w:p w14:paraId="380A88B4"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La Dorada</w:t>
            </w:r>
          </w:p>
        </w:tc>
      </w:tr>
      <w:tr w:rsidR="00914134" w:rsidRPr="00A60933" w14:paraId="3D7C5BC8" w14:textId="77777777" w:rsidTr="0024531A">
        <w:trPr>
          <w:trHeight w:val="285"/>
          <w:jc w:val="center"/>
        </w:trPr>
        <w:tc>
          <w:tcPr>
            <w:tcW w:w="1985" w:type="dxa"/>
            <w:tcBorders>
              <w:top w:val="single" w:sz="4" w:space="0" w:color="auto"/>
              <w:bottom w:val="single" w:sz="4" w:space="0" w:color="auto"/>
            </w:tcBorders>
            <w:shd w:val="clear" w:color="auto" w:fill="auto"/>
            <w:noWrap/>
            <w:vAlign w:val="center"/>
          </w:tcPr>
          <w:p w14:paraId="1E922EDF" w14:textId="77777777" w:rsidR="00914134" w:rsidRPr="00A60933" w:rsidRDefault="00914134" w:rsidP="0024531A">
            <w:pPr>
              <w:spacing w:line="276" w:lineRule="auto"/>
              <w:rPr>
                <w:rFonts w:ascii="Arial" w:hAnsi="Arial" w:cs="Arial"/>
                <w:b/>
                <w:bCs/>
                <w:color w:val="000000"/>
                <w:sz w:val="20"/>
                <w:lang w:val="en-US"/>
              </w:rPr>
            </w:pPr>
            <w:r w:rsidRPr="00A60933">
              <w:rPr>
                <w:rFonts w:ascii="Arial" w:hAnsi="Arial" w:cs="Arial"/>
                <w:b/>
                <w:bCs/>
                <w:color w:val="000000"/>
                <w:sz w:val="20"/>
                <w:lang w:val="en-US"/>
              </w:rPr>
              <w:t>TERMOCANDELARIA</w:t>
            </w:r>
          </w:p>
        </w:tc>
        <w:tc>
          <w:tcPr>
            <w:tcW w:w="1659" w:type="dxa"/>
            <w:tcBorders>
              <w:top w:val="single" w:sz="4" w:space="0" w:color="auto"/>
              <w:bottom w:val="single" w:sz="4" w:space="0" w:color="auto"/>
            </w:tcBorders>
            <w:shd w:val="clear" w:color="auto" w:fill="auto"/>
            <w:noWrap/>
            <w:vAlign w:val="center"/>
          </w:tcPr>
          <w:p w14:paraId="691CD070"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COSTA</w:t>
            </w:r>
          </w:p>
        </w:tc>
        <w:tc>
          <w:tcPr>
            <w:tcW w:w="0" w:type="auto"/>
            <w:tcBorders>
              <w:top w:val="single" w:sz="4" w:space="0" w:color="auto"/>
              <w:bottom w:val="single" w:sz="4" w:space="0" w:color="auto"/>
            </w:tcBorders>
            <w:shd w:val="clear" w:color="auto" w:fill="auto"/>
            <w:noWrap/>
            <w:vAlign w:val="center"/>
          </w:tcPr>
          <w:p w14:paraId="11755812"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Bolívar</w:t>
            </w:r>
          </w:p>
        </w:tc>
        <w:tc>
          <w:tcPr>
            <w:tcW w:w="0" w:type="auto"/>
            <w:tcBorders>
              <w:top w:val="single" w:sz="4" w:space="0" w:color="auto"/>
              <w:bottom w:val="single" w:sz="4" w:space="0" w:color="auto"/>
            </w:tcBorders>
            <w:shd w:val="clear" w:color="auto" w:fill="auto"/>
            <w:noWrap/>
            <w:vAlign w:val="center"/>
          </w:tcPr>
          <w:p w14:paraId="5DC055EC"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Cartagena</w:t>
            </w:r>
          </w:p>
        </w:tc>
        <w:tc>
          <w:tcPr>
            <w:tcW w:w="0" w:type="auto"/>
            <w:tcBorders>
              <w:top w:val="single" w:sz="4" w:space="0" w:color="auto"/>
              <w:bottom w:val="single" w:sz="4" w:space="0" w:color="auto"/>
            </w:tcBorders>
            <w:shd w:val="clear" w:color="auto" w:fill="auto"/>
            <w:noWrap/>
            <w:vAlign w:val="center"/>
          </w:tcPr>
          <w:p w14:paraId="36AD1F18"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Cartagena</w:t>
            </w:r>
          </w:p>
        </w:tc>
        <w:tc>
          <w:tcPr>
            <w:tcW w:w="0" w:type="auto"/>
            <w:tcBorders>
              <w:top w:val="single" w:sz="4" w:space="0" w:color="auto"/>
              <w:bottom w:val="single" w:sz="4" w:space="0" w:color="auto"/>
            </w:tcBorders>
            <w:shd w:val="clear" w:color="auto" w:fill="auto"/>
            <w:noWrap/>
            <w:vAlign w:val="center"/>
          </w:tcPr>
          <w:p w14:paraId="2A8EA5D3" w14:textId="77777777" w:rsidR="00914134" w:rsidRPr="00A60933" w:rsidRDefault="00914134" w:rsidP="0024531A">
            <w:pPr>
              <w:spacing w:line="276" w:lineRule="auto"/>
              <w:jc w:val="center"/>
              <w:rPr>
                <w:rFonts w:ascii="Arial" w:hAnsi="Arial" w:cs="Arial"/>
                <w:color w:val="000000"/>
                <w:sz w:val="20"/>
                <w:lang w:val="en-US"/>
              </w:rPr>
            </w:pPr>
          </w:p>
        </w:tc>
      </w:tr>
      <w:tr w:rsidR="00914134" w:rsidRPr="00A60933" w14:paraId="0E7E19D1" w14:textId="77777777" w:rsidTr="0024531A">
        <w:trPr>
          <w:trHeight w:val="285"/>
          <w:jc w:val="center"/>
        </w:trPr>
        <w:tc>
          <w:tcPr>
            <w:tcW w:w="1985" w:type="dxa"/>
            <w:tcBorders>
              <w:top w:val="single" w:sz="4" w:space="0" w:color="auto"/>
              <w:bottom w:val="single" w:sz="4" w:space="0" w:color="auto"/>
            </w:tcBorders>
            <w:shd w:val="clear" w:color="auto" w:fill="auto"/>
            <w:noWrap/>
            <w:vAlign w:val="center"/>
          </w:tcPr>
          <w:p w14:paraId="66D9D01C" w14:textId="77777777" w:rsidR="00914134" w:rsidRPr="00A60933" w:rsidRDefault="00914134" w:rsidP="0024531A">
            <w:pPr>
              <w:spacing w:line="276" w:lineRule="auto"/>
              <w:rPr>
                <w:rFonts w:ascii="Arial" w:hAnsi="Arial" w:cs="Arial"/>
                <w:b/>
                <w:bCs/>
                <w:color w:val="000000"/>
                <w:sz w:val="20"/>
                <w:lang w:val="en-US"/>
              </w:rPr>
            </w:pPr>
            <w:r w:rsidRPr="00A60933">
              <w:rPr>
                <w:rFonts w:ascii="Arial" w:hAnsi="Arial" w:cs="Arial"/>
                <w:b/>
                <w:bCs/>
                <w:color w:val="000000"/>
                <w:sz w:val="20"/>
                <w:lang w:val="en-US"/>
              </w:rPr>
              <w:t>TERMOCENTRO</w:t>
            </w:r>
          </w:p>
        </w:tc>
        <w:tc>
          <w:tcPr>
            <w:tcW w:w="1659" w:type="dxa"/>
            <w:tcBorders>
              <w:top w:val="single" w:sz="4" w:space="0" w:color="auto"/>
              <w:bottom w:val="single" w:sz="4" w:space="0" w:color="auto"/>
            </w:tcBorders>
            <w:shd w:val="clear" w:color="auto" w:fill="auto"/>
            <w:noWrap/>
            <w:vAlign w:val="center"/>
          </w:tcPr>
          <w:p w14:paraId="4D11B4D0"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CENTRO</w:t>
            </w:r>
          </w:p>
        </w:tc>
        <w:tc>
          <w:tcPr>
            <w:tcW w:w="0" w:type="auto"/>
            <w:tcBorders>
              <w:top w:val="single" w:sz="4" w:space="0" w:color="auto"/>
              <w:bottom w:val="single" w:sz="4" w:space="0" w:color="auto"/>
            </w:tcBorders>
            <w:shd w:val="clear" w:color="auto" w:fill="auto"/>
            <w:noWrap/>
            <w:vAlign w:val="center"/>
          </w:tcPr>
          <w:p w14:paraId="3B5265F5"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Cimitarra</w:t>
            </w:r>
          </w:p>
        </w:tc>
        <w:tc>
          <w:tcPr>
            <w:tcW w:w="0" w:type="auto"/>
            <w:tcBorders>
              <w:top w:val="single" w:sz="4" w:space="0" w:color="auto"/>
              <w:bottom w:val="single" w:sz="4" w:space="0" w:color="auto"/>
            </w:tcBorders>
            <w:shd w:val="clear" w:color="auto" w:fill="auto"/>
            <w:noWrap/>
            <w:vAlign w:val="center"/>
          </w:tcPr>
          <w:p w14:paraId="631E2C09"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Santander</w:t>
            </w:r>
          </w:p>
        </w:tc>
        <w:tc>
          <w:tcPr>
            <w:tcW w:w="0" w:type="auto"/>
            <w:tcBorders>
              <w:top w:val="single" w:sz="4" w:space="0" w:color="auto"/>
              <w:bottom w:val="single" w:sz="4" w:space="0" w:color="auto"/>
            </w:tcBorders>
            <w:shd w:val="clear" w:color="auto" w:fill="auto"/>
            <w:noWrap/>
            <w:vAlign w:val="center"/>
          </w:tcPr>
          <w:p w14:paraId="178C52C7"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Cusiana</w:t>
            </w:r>
          </w:p>
        </w:tc>
        <w:tc>
          <w:tcPr>
            <w:tcW w:w="0" w:type="auto"/>
            <w:tcBorders>
              <w:top w:val="single" w:sz="4" w:space="0" w:color="auto"/>
              <w:bottom w:val="single" w:sz="4" w:space="0" w:color="auto"/>
            </w:tcBorders>
            <w:shd w:val="clear" w:color="auto" w:fill="auto"/>
            <w:noWrap/>
            <w:vAlign w:val="center"/>
          </w:tcPr>
          <w:p w14:paraId="7D505948" w14:textId="77777777" w:rsidR="00914134" w:rsidRPr="00A60933" w:rsidRDefault="00914134" w:rsidP="0024531A">
            <w:pPr>
              <w:spacing w:line="276" w:lineRule="auto"/>
              <w:jc w:val="center"/>
              <w:rPr>
                <w:rFonts w:ascii="Arial" w:hAnsi="Arial" w:cs="Arial"/>
                <w:color w:val="000000"/>
                <w:sz w:val="20"/>
                <w:lang w:val="en-US"/>
              </w:rPr>
            </w:pPr>
          </w:p>
        </w:tc>
      </w:tr>
      <w:tr w:rsidR="00914134" w:rsidRPr="006740B7" w14:paraId="2882E7CD" w14:textId="77777777" w:rsidTr="0024531A">
        <w:trPr>
          <w:trHeight w:val="285"/>
          <w:jc w:val="center"/>
        </w:trPr>
        <w:tc>
          <w:tcPr>
            <w:tcW w:w="1985" w:type="dxa"/>
            <w:tcBorders>
              <w:top w:val="single" w:sz="4" w:space="0" w:color="auto"/>
              <w:bottom w:val="double" w:sz="4" w:space="0" w:color="auto"/>
            </w:tcBorders>
            <w:shd w:val="clear" w:color="auto" w:fill="auto"/>
            <w:noWrap/>
            <w:vAlign w:val="center"/>
            <w:hideMark/>
          </w:tcPr>
          <w:p w14:paraId="16B127BE" w14:textId="77777777" w:rsidR="00914134" w:rsidRPr="00A60933" w:rsidRDefault="00914134" w:rsidP="0024531A">
            <w:pPr>
              <w:spacing w:line="276" w:lineRule="auto"/>
              <w:rPr>
                <w:rFonts w:ascii="Arial" w:hAnsi="Arial" w:cs="Arial"/>
                <w:b/>
                <w:bCs/>
                <w:color w:val="000000"/>
                <w:sz w:val="20"/>
                <w:lang w:val="en-US"/>
              </w:rPr>
            </w:pPr>
            <w:r w:rsidRPr="00A60933">
              <w:rPr>
                <w:rFonts w:ascii="Arial" w:hAnsi="Arial" w:cs="Arial"/>
                <w:b/>
                <w:bCs/>
                <w:color w:val="000000"/>
                <w:sz w:val="20"/>
                <w:lang w:val="en-US"/>
              </w:rPr>
              <w:t>TERMOVALLE</w:t>
            </w:r>
          </w:p>
        </w:tc>
        <w:tc>
          <w:tcPr>
            <w:tcW w:w="1659" w:type="dxa"/>
            <w:tcBorders>
              <w:top w:val="single" w:sz="4" w:space="0" w:color="auto"/>
              <w:bottom w:val="double" w:sz="4" w:space="0" w:color="auto"/>
            </w:tcBorders>
            <w:shd w:val="clear" w:color="auto" w:fill="auto"/>
            <w:noWrap/>
            <w:vAlign w:val="center"/>
            <w:hideMark/>
          </w:tcPr>
          <w:p w14:paraId="254E5C12"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CENTRO</w:t>
            </w:r>
          </w:p>
        </w:tc>
        <w:tc>
          <w:tcPr>
            <w:tcW w:w="0" w:type="auto"/>
            <w:tcBorders>
              <w:top w:val="single" w:sz="4" w:space="0" w:color="auto"/>
              <w:bottom w:val="double" w:sz="4" w:space="0" w:color="auto"/>
            </w:tcBorders>
            <w:shd w:val="clear" w:color="auto" w:fill="auto"/>
            <w:noWrap/>
            <w:vAlign w:val="center"/>
            <w:hideMark/>
          </w:tcPr>
          <w:p w14:paraId="4A2EF348"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Valle del Cauca</w:t>
            </w:r>
          </w:p>
        </w:tc>
        <w:tc>
          <w:tcPr>
            <w:tcW w:w="0" w:type="auto"/>
            <w:tcBorders>
              <w:top w:val="single" w:sz="4" w:space="0" w:color="auto"/>
              <w:bottom w:val="double" w:sz="4" w:space="0" w:color="auto"/>
            </w:tcBorders>
            <w:shd w:val="clear" w:color="auto" w:fill="auto"/>
            <w:noWrap/>
            <w:vAlign w:val="center"/>
            <w:hideMark/>
          </w:tcPr>
          <w:p w14:paraId="0637FBB5"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Palmira</w:t>
            </w:r>
          </w:p>
        </w:tc>
        <w:tc>
          <w:tcPr>
            <w:tcW w:w="0" w:type="auto"/>
            <w:tcBorders>
              <w:top w:val="single" w:sz="4" w:space="0" w:color="auto"/>
              <w:bottom w:val="double" w:sz="4" w:space="0" w:color="auto"/>
            </w:tcBorders>
            <w:shd w:val="clear" w:color="auto" w:fill="auto"/>
            <w:noWrap/>
            <w:vAlign w:val="center"/>
            <w:hideMark/>
          </w:tcPr>
          <w:p w14:paraId="2CC00D78"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Barranca</w:t>
            </w:r>
          </w:p>
        </w:tc>
        <w:tc>
          <w:tcPr>
            <w:tcW w:w="0" w:type="auto"/>
            <w:tcBorders>
              <w:top w:val="single" w:sz="4" w:space="0" w:color="auto"/>
              <w:bottom w:val="double" w:sz="4" w:space="0" w:color="auto"/>
            </w:tcBorders>
            <w:shd w:val="clear" w:color="auto" w:fill="auto"/>
            <w:noWrap/>
            <w:vAlign w:val="center"/>
            <w:hideMark/>
          </w:tcPr>
          <w:p w14:paraId="5ED18FB4" w14:textId="77777777" w:rsidR="00914134" w:rsidRPr="00A60933" w:rsidRDefault="00914134" w:rsidP="0024531A">
            <w:pPr>
              <w:spacing w:line="276" w:lineRule="auto"/>
              <w:jc w:val="center"/>
              <w:rPr>
                <w:rFonts w:ascii="Arial" w:hAnsi="Arial" w:cs="Arial"/>
                <w:color w:val="000000"/>
                <w:sz w:val="20"/>
                <w:lang w:val="en-US"/>
              </w:rPr>
            </w:pPr>
            <w:r w:rsidRPr="00A60933">
              <w:rPr>
                <w:rFonts w:ascii="Arial" w:hAnsi="Arial" w:cs="Arial"/>
                <w:color w:val="000000"/>
                <w:sz w:val="20"/>
                <w:lang w:val="en-US"/>
              </w:rPr>
              <w:t>Yumbo</w:t>
            </w:r>
          </w:p>
        </w:tc>
      </w:tr>
    </w:tbl>
    <w:p w14:paraId="41035D2B" w14:textId="77777777" w:rsidR="00914134" w:rsidRPr="006740B7" w:rsidRDefault="00914134" w:rsidP="00914134">
      <w:pPr>
        <w:spacing w:before="240" w:after="240" w:line="276" w:lineRule="auto"/>
        <w:jc w:val="both"/>
        <w:rPr>
          <w:rFonts w:ascii="Arial" w:hAnsi="Arial" w:cs="Arial"/>
          <w:sz w:val="22"/>
        </w:rPr>
      </w:pPr>
      <w:r w:rsidRPr="006740B7">
        <w:rPr>
          <w:rFonts w:ascii="Arial" w:hAnsi="Arial" w:cs="Arial"/>
          <w:sz w:val="22"/>
        </w:rPr>
        <w:t xml:space="preserve">El cálculo de los distintos parámetros que incluye la estructura del precio del Diésel, se realizó a partir de la proyección del IPC colombiano definido por el gobierno y los estimados del Ministerio </w:t>
      </w:r>
      <w:r w:rsidRPr="006740B7">
        <w:rPr>
          <w:rFonts w:ascii="Arial" w:hAnsi="Arial" w:cs="Arial"/>
          <w:sz w:val="22"/>
        </w:rPr>
        <w:lastRenderedPageBreak/>
        <w:t>de Hacienda. La remuneración al distribuidor mayorista y margen plan de continuidad tomó en cuenta la norma establecida y para la determinación de las variables tarifa de marcación se utilizó el valor existente al momento de la proyección.</w:t>
      </w:r>
    </w:p>
    <w:p w14:paraId="391A0F37" w14:textId="5C79C0DC" w:rsidR="00914134" w:rsidRDefault="00914134" w:rsidP="00914134">
      <w:pPr>
        <w:pStyle w:val="Descripcin"/>
        <w:spacing w:after="0"/>
        <w:jc w:val="center"/>
        <w:rPr>
          <w:i w:val="0"/>
          <w:color w:val="auto"/>
          <w:sz w:val="20"/>
        </w:rPr>
      </w:pPr>
      <w:bookmarkStart w:id="339" w:name="_Ref499806476"/>
      <w:bookmarkStart w:id="340" w:name="_Toc403641029"/>
      <w:bookmarkStart w:id="341" w:name="_Toc403641268"/>
      <w:bookmarkStart w:id="342" w:name="_Toc403641424"/>
      <w:bookmarkStart w:id="343" w:name="_Toc403641976"/>
      <w:bookmarkStart w:id="344" w:name="_Toc403642026"/>
      <w:bookmarkStart w:id="345" w:name="_Toc401316990"/>
      <w:bookmarkStart w:id="346" w:name="_Toc447098019"/>
      <w:bookmarkStart w:id="347" w:name="_Toc499799392"/>
      <w:bookmarkStart w:id="348" w:name="_Toc530033438"/>
      <w:r w:rsidRPr="000E1D34">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7</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4</w:t>
      </w:r>
      <w:r w:rsidR="00DA50A5">
        <w:rPr>
          <w:b/>
          <w:i w:val="0"/>
          <w:color w:val="auto"/>
          <w:sz w:val="20"/>
          <w:highlight w:val="yellow"/>
        </w:rPr>
        <w:fldChar w:fldCharType="end"/>
      </w:r>
      <w:bookmarkEnd w:id="339"/>
      <w:r w:rsidRPr="000E1D34">
        <w:rPr>
          <w:b/>
          <w:i w:val="0"/>
          <w:color w:val="auto"/>
          <w:sz w:val="20"/>
          <w:highlight w:val="yellow"/>
        </w:rPr>
        <w:t xml:space="preserve">. </w:t>
      </w:r>
      <w:r w:rsidRPr="000E1D34">
        <w:rPr>
          <w:i w:val="0"/>
          <w:color w:val="auto"/>
          <w:sz w:val="20"/>
        </w:rPr>
        <w:t>Proyecciones del precio de referencia del Diésel para las plantas de generación</w:t>
      </w:r>
      <w:bookmarkEnd w:id="340"/>
      <w:bookmarkEnd w:id="341"/>
      <w:bookmarkEnd w:id="342"/>
      <w:bookmarkEnd w:id="343"/>
      <w:bookmarkEnd w:id="344"/>
      <w:bookmarkEnd w:id="345"/>
      <w:bookmarkEnd w:id="346"/>
      <w:bookmarkEnd w:id="347"/>
      <w:bookmarkEnd w:id="348"/>
    </w:p>
    <w:p w14:paraId="37C68D98" w14:textId="77777777" w:rsidR="00914134" w:rsidRPr="000E1D34" w:rsidRDefault="00914134" w:rsidP="00914134">
      <w:pPr>
        <w:jc w:val="center"/>
        <w:rPr>
          <w:highlight w:val="yellow"/>
          <w:lang w:val="es-CO" w:eastAsia="es-ES"/>
        </w:rPr>
      </w:pPr>
      <w:r w:rsidRPr="000E1D34">
        <w:rPr>
          <w:noProof/>
          <w:lang w:val="es-ES" w:eastAsia="es-ES"/>
        </w:rPr>
        <w:drawing>
          <wp:inline distT="0" distB="0" distL="0" distR="0" wp14:anchorId="5B904E49" wp14:editId="4A183B08">
            <wp:extent cx="5433695" cy="3261995"/>
            <wp:effectExtent l="0" t="0" r="0" b="0"/>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33695" cy="3261995"/>
                    </a:xfrm>
                    <a:prstGeom prst="rect">
                      <a:avLst/>
                    </a:prstGeom>
                    <a:noFill/>
                    <a:ln>
                      <a:noFill/>
                    </a:ln>
                  </pic:spPr>
                </pic:pic>
              </a:graphicData>
            </a:graphic>
          </wp:inline>
        </w:drawing>
      </w:r>
    </w:p>
    <w:p w14:paraId="5732C72D" w14:textId="2DD35B39" w:rsidR="00914134" w:rsidRPr="000E1D34" w:rsidRDefault="00914134" w:rsidP="00914134">
      <w:pPr>
        <w:jc w:val="center"/>
        <w:rPr>
          <w:rFonts w:ascii="Arial" w:hAnsi="Arial" w:cs="Arial"/>
          <w:color w:val="000000" w:themeColor="text1"/>
          <w:sz w:val="16"/>
        </w:rPr>
      </w:pPr>
      <w:r w:rsidRPr="000E1D34">
        <w:rPr>
          <w:rFonts w:ascii="Arial" w:hAnsi="Arial" w:cs="Arial"/>
          <w:b/>
          <w:color w:val="000000" w:themeColor="text1"/>
          <w:sz w:val="16"/>
        </w:rPr>
        <w:t>Fuente:</w:t>
      </w:r>
      <w:r w:rsidRPr="000E1D34">
        <w:rPr>
          <w:rFonts w:ascii="Arial" w:hAnsi="Arial" w:cs="Arial"/>
          <w:color w:val="000000" w:themeColor="text1"/>
          <w:sz w:val="16"/>
        </w:rPr>
        <w:t xml:space="preserve"> </w:t>
      </w:r>
      <w:r w:rsidR="00AD302D">
        <w:rPr>
          <w:rFonts w:ascii="Arial" w:hAnsi="Arial" w:cs="Arial"/>
          <w:color w:val="000000" w:themeColor="text1"/>
          <w:sz w:val="16"/>
        </w:rPr>
        <w:t>EIA</w:t>
      </w:r>
      <w:r w:rsidR="00AD302D">
        <w:rPr>
          <w:rFonts w:ascii="Arial" w:hAnsi="Arial" w:cs="Arial"/>
          <w:color w:val="000000" w:themeColor="text1"/>
          <w:sz w:val="16"/>
        </w:rPr>
        <w:fldChar w:fldCharType="begin"/>
      </w:r>
      <w:r w:rsidR="00AD302D">
        <w:rPr>
          <w:rFonts w:ascii="Arial" w:hAnsi="Arial" w:cs="Arial"/>
          <w:color w:val="000000" w:themeColor="text1"/>
          <w:sz w:val="16"/>
        </w:rPr>
        <w:instrText xml:space="preserve"> REF _Ref529881539 \r \h </w:instrText>
      </w:r>
      <w:r w:rsidR="00AD302D">
        <w:rPr>
          <w:rFonts w:ascii="Arial" w:hAnsi="Arial" w:cs="Arial"/>
          <w:color w:val="000000" w:themeColor="text1"/>
          <w:sz w:val="16"/>
        </w:rPr>
      </w:r>
      <w:r w:rsidR="00AD302D">
        <w:rPr>
          <w:rFonts w:ascii="Arial" w:hAnsi="Arial" w:cs="Arial"/>
          <w:color w:val="000000" w:themeColor="text1"/>
          <w:sz w:val="16"/>
        </w:rPr>
        <w:fldChar w:fldCharType="separate"/>
      </w:r>
      <w:r w:rsidR="00915705">
        <w:rPr>
          <w:rFonts w:ascii="Arial" w:hAnsi="Arial" w:cs="Arial"/>
          <w:color w:val="000000" w:themeColor="text1"/>
          <w:sz w:val="16"/>
        </w:rPr>
        <w:t>[11]</w:t>
      </w:r>
      <w:r w:rsidR="00AD302D">
        <w:rPr>
          <w:rFonts w:ascii="Arial" w:hAnsi="Arial" w:cs="Arial"/>
          <w:color w:val="000000" w:themeColor="text1"/>
          <w:sz w:val="16"/>
        </w:rPr>
        <w:fldChar w:fldCharType="end"/>
      </w:r>
      <w:r w:rsidR="00AD302D">
        <w:rPr>
          <w:rFonts w:ascii="Arial" w:hAnsi="Arial" w:cs="Arial"/>
          <w:color w:val="000000" w:themeColor="text1"/>
          <w:sz w:val="16"/>
        </w:rPr>
        <w:t>, ECP</w:t>
      </w:r>
      <w:r w:rsidR="00AD302D">
        <w:rPr>
          <w:rFonts w:ascii="Arial" w:hAnsi="Arial" w:cs="Arial"/>
          <w:color w:val="000000" w:themeColor="text1"/>
          <w:sz w:val="16"/>
        </w:rPr>
        <w:fldChar w:fldCharType="begin"/>
      </w:r>
      <w:r w:rsidR="00AD302D">
        <w:rPr>
          <w:rFonts w:ascii="Arial" w:hAnsi="Arial" w:cs="Arial"/>
          <w:color w:val="000000" w:themeColor="text1"/>
          <w:sz w:val="16"/>
        </w:rPr>
        <w:instrText xml:space="preserve"> REF _Ref529882807 \r \h </w:instrText>
      </w:r>
      <w:r w:rsidR="00AD302D">
        <w:rPr>
          <w:rFonts w:ascii="Arial" w:hAnsi="Arial" w:cs="Arial"/>
          <w:color w:val="000000" w:themeColor="text1"/>
          <w:sz w:val="16"/>
        </w:rPr>
      </w:r>
      <w:r w:rsidR="00AD302D">
        <w:rPr>
          <w:rFonts w:ascii="Arial" w:hAnsi="Arial" w:cs="Arial"/>
          <w:color w:val="000000" w:themeColor="text1"/>
          <w:sz w:val="16"/>
        </w:rPr>
        <w:fldChar w:fldCharType="separate"/>
      </w:r>
      <w:r w:rsidR="00915705">
        <w:rPr>
          <w:rFonts w:ascii="Arial" w:hAnsi="Arial" w:cs="Arial"/>
          <w:color w:val="000000" w:themeColor="text1"/>
          <w:sz w:val="16"/>
        </w:rPr>
        <w:t>[20]</w:t>
      </w:r>
      <w:r w:rsidR="00AD302D">
        <w:rPr>
          <w:rFonts w:ascii="Arial" w:hAnsi="Arial" w:cs="Arial"/>
          <w:color w:val="000000" w:themeColor="text1"/>
          <w:sz w:val="16"/>
        </w:rPr>
        <w:fldChar w:fldCharType="end"/>
      </w:r>
      <w:r w:rsidR="00AD302D">
        <w:rPr>
          <w:rFonts w:ascii="Arial" w:hAnsi="Arial" w:cs="Arial"/>
          <w:color w:val="000000" w:themeColor="text1"/>
          <w:sz w:val="16"/>
        </w:rPr>
        <w:t>, UPME</w:t>
      </w:r>
      <w:r w:rsidRPr="000E1D34">
        <w:rPr>
          <w:rFonts w:ascii="Arial" w:hAnsi="Arial" w:cs="Arial"/>
          <w:color w:val="000000" w:themeColor="text1"/>
          <w:sz w:val="16"/>
        </w:rPr>
        <w:t>.</w:t>
      </w:r>
    </w:p>
    <w:p w14:paraId="520FE3B6" w14:textId="77777777" w:rsidR="00914134" w:rsidRPr="003E7BDA" w:rsidRDefault="00914134" w:rsidP="00914134">
      <w:pPr>
        <w:spacing w:before="240" w:after="240" w:line="276" w:lineRule="auto"/>
        <w:jc w:val="both"/>
        <w:rPr>
          <w:rFonts w:ascii="Arial" w:hAnsi="Arial" w:cs="Arial"/>
          <w:sz w:val="22"/>
        </w:rPr>
      </w:pPr>
      <w:r w:rsidRPr="006740B7">
        <w:rPr>
          <w:rFonts w:ascii="Arial" w:hAnsi="Arial" w:cs="Arial"/>
          <w:sz w:val="22"/>
        </w:rPr>
        <w:t>Los resultados del escenario de referencia o base, mostrados en la</w:t>
      </w:r>
      <w:r w:rsidRPr="006740B7">
        <w:rPr>
          <w:rFonts w:ascii="Arial" w:hAnsi="Arial" w:cs="Arial"/>
          <w:sz w:val="22"/>
          <w:highlight w:val="yellow"/>
        </w:rPr>
        <w:t xml:space="preserve"> </w:t>
      </w:r>
      <w:r w:rsidRPr="006740B7">
        <w:rPr>
          <w:rFonts w:ascii="Arial" w:hAnsi="Arial" w:cs="Arial"/>
          <w:sz w:val="22"/>
          <w:highlight w:val="yellow"/>
        </w:rPr>
        <w:fldChar w:fldCharType="begin"/>
      </w:r>
      <w:r w:rsidRPr="006740B7">
        <w:rPr>
          <w:rFonts w:ascii="Arial" w:hAnsi="Arial" w:cs="Arial"/>
          <w:sz w:val="22"/>
          <w:highlight w:val="yellow"/>
        </w:rPr>
        <w:instrText xml:space="preserve"> REF _Ref499806476 \h  \* MERGEFORMAT </w:instrText>
      </w:r>
      <w:r w:rsidRPr="006740B7">
        <w:rPr>
          <w:rFonts w:ascii="Arial" w:hAnsi="Arial" w:cs="Arial"/>
          <w:sz w:val="22"/>
          <w:highlight w:val="yellow"/>
        </w:rPr>
      </w:r>
      <w:r w:rsidRPr="006740B7">
        <w:rPr>
          <w:rFonts w:ascii="Arial" w:hAnsi="Arial" w:cs="Arial"/>
          <w:sz w:val="22"/>
          <w:highlight w:val="yellow"/>
        </w:rPr>
        <w:fldChar w:fldCharType="separate"/>
      </w:r>
      <w:r w:rsidR="00915705" w:rsidRPr="00915705">
        <w:rPr>
          <w:rFonts w:ascii="Arial" w:hAnsi="Arial" w:cs="Arial"/>
          <w:sz w:val="22"/>
          <w:highlight w:val="yellow"/>
        </w:rPr>
        <w:t>Gráfica 7</w:t>
      </w:r>
      <w:r w:rsidR="00915705" w:rsidRPr="00915705">
        <w:rPr>
          <w:rFonts w:ascii="Arial" w:hAnsi="Arial" w:cs="Arial"/>
          <w:sz w:val="22"/>
          <w:highlight w:val="yellow"/>
        </w:rPr>
        <w:noBreakHyphen/>
        <w:t>4</w:t>
      </w:r>
      <w:r w:rsidRPr="006740B7">
        <w:rPr>
          <w:rFonts w:ascii="Arial" w:hAnsi="Arial" w:cs="Arial"/>
          <w:sz w:val="22"/>
          <w:highlight w:val="yellow"/>
        </w:rPr>
        <w:fldChar w:fldCharType="end"/>
      </w:r>
      <w:r w:rsidRPr="006740B7">
        <w:rPr>
          <w:rFonts w:ascii="Arial" w:hAnsi="Arial" w:cs="Arial"/>
          <w:sz w:val="22"/>
          <w:highlight w:val="yellow"/>
        </w:rPr>
        <w:t xml:space="preserve">, </w:t>
      </w:r>
      <w:r w:rsidRPr="006740B7">
        <w:rPr>
          <w:rFonts w:ascii="Arial" w:hAnsi="Arial" w:cs="Arial"/>
          <w:sz w:val="22"/>
        </w:rPr>
        <w:t xml:space="preserve">reflejan una banda de precios que va desde los </w:t>
      </w:r>
      <w:r w:rsidRPr="003E7BDA">
        <w:rPr>
          <w:rFonts w:ascii="Arial" w:hAnsi="Arial" w:cs="Arial"/>
          <w:sz w:val="22"/>
        </w:rPr>
        <w:t xml:space="preserve">$18.9 dólares por </w:t>
      </w:r>
      <w:r w:rsidRPr="006E33EF">
        <w:rPr>
          <w:rFonts w:ascii="Arial" w:hAnsi="Arial" w:cs="Arial"/>
          <w:sz w:val="22"/>
        </w:rPr>
        <w:t xml:space="preserve">MMBTU </w:t>
      </w:r>
      <w:r w:rsidRPr="003E7BDA">
        <w:rPr>
          <w:rFonts w:ascii="Arial" w:hAnsi="Arial" w:cs="Arial"/>
          <w:sz w:val="22"/>
        </w:rPr>
        <w:t>hasta los $24 dólares por MMBTU en dólares constantes de diciembre de 2017, siendo la variable transporte el factor que hace la diferencia en los precios finales.</w:t>
      </w:r>
    </w:p>
    <w:p w14:paraId="469F9934" w14:textId="77777777" w:rsidR="00914134" w:rsidRPr="006740B7" w:rsidRDefault="00914134" w:rsidP="00914134">
      <w:pPr>
        <w:spacing w:before="240" w:after="240" w:line="276" w:lineRule="auto"/>
        <w:jc w:val="both"/>
        <w:rPr>
          <w:rFonts w:ascii="Arial" w:hAnsi="Arial" w:cs="Arial"/>
          <w:sz w:val="22"/>
        </w:rPr>
      </w:pPr>
      <w:r w:rsidRPr="006740B7">
        <w:rPr>
          <w:rFonts w:ascii="Arial" w:hAnsi="Arial" w:cs="Arial"/>
          <w:sz w:val="22"/>
        </w:rPr>
        <w:t>Adicionalmente a la proyección de precios en las plantas de generación, se realizó el ejercicio de estimar el costo del Diésel en estación de servicio, teniendo como punto de referencia Bogotá. Para esto, se tomaron los costos de margen al distribuidor minorista, de acuerdo con lo señalado en el artículo 3 del Decreto 3322 de 2006 y en el Artículo 6° de la Resolución 181088 de 2005 y transporte a planta de abasto, de acuerdo a lo establecido en la Resolución 181047 de 2011, los cuales fueron agregados al valor de precio en planta de abasto Bogotá.</w:t>
      </w:r>
    </w:p>
    <w:p w14:paraId="73C542CB" w14:textId="1421916B" w:rsidR="00914134" w:rsidRPr="006E0603" w:rsidRDefault="00914134" w:rsidP="00914134">
      <w:pPr>
        <w:pStyle w:val="Descripcin"/>
        <w:keepNext/>
        <w:spacing w:after="0"/>
        <w:jc w:val="center"/>
        <w:rPr>
          <w:i w:val="0"/>
          <w:color w:val="auto"/>
          <w:sz w:val="20"/>
        </w:rPr>
      </w:pPr>
      <w:bookmarkStart w:id="349" w:name="_Ref514922888"/>
      <w:bookmarkStart w:id="350" w:name="_Toc530033439"/>
      <w:r w:rsidRPr="006E0603">
        <w:rPr>
          <w:b/>
          <w:i w:val="0"/>
          <w:color w:val="auto"/>
          <w:sz w:val="20"/>
          <w:highlight w:val="yellow"/>
        </w:rPr>
        <w:lastRenderedPageBreak/>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7</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5</w:t>
      </w:r>
      <w:r w:rsidR="00DA50A5">
        <w:rPr>
          <w:b/>
          <w:i w:val="0"/>
          <w:color w:val="auto"/>
          <w:sz w:val="20"/>
          <w:highlight w:val="yellow"/>
        </w:rPr>
        <w:fldChar w:fldCharType="end"/>
      </w:r>
      <w:bookmarkEnd w:id="349"/>
      <w:r w:rsidRPr="006E0603">
        <w:rPr>
          <w:b/>
          <w:i w:val="0"/>
          <w:color w:val="auto"/>
          <w:sz w:val="20"/>
          <w:highlight w:val="yellow"/>
        </w:rPr>
        <w:t xml:space="preserve">. </w:t>
      </w:r>
      <w:r w:rsidRPr="006E0603">
        <w:rPr>
          <w:i w:val="0"/>
          <w:color w:val="auto"/>
          <w:sz w:val="20"/>
        </w:rPr>
        <w:t>Proyección por escenarios del diésel en estación de servicio (Bogotá D.C.)</w:t>
      </w:r>
      <w:bookmarkEnd w:id="350"/>
    </w:p>
    <w:p w14:paraId="71A05CF4" w14:textId="77777777" w:rsidR="00914134" w:rsidRDefault="00914134" w:rsidP="00914134">
      <w:pPr>
        <w:jc w:val="center"/>
        <w:rPr>
          <w:highlight w:val="yellow"/>
        </w:rPr>
      </w:pPr>
      <w:r w:rsidRPr="000E1D34">
        <w:rPr>
          <w:noProof/>
          <w:lang w:val="es-ES" w:eastAsia="es-ES"/>
        </w:rPr>
        <w:drawing>
          <wp:inline distT="0" distB="0" distL="0" distR="0" wp14:anchorId="1E9D8D0E" wp14:editId="1D392230">
            <wp:extent cx="5398770" cy="3235325"/>
            <wp:effectExtent l="0" t="0" r="0" b="3175"/>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98770" cy="3235325"/>
                    </a:xfrm>
                    <a:prstGeom prst="rect">
                      <a:avLst/>
                    </a:prstGeom>
                    <a:noFill/>
                    <a:ln>
                      <a:noFill/>
                    </a:ln>
                  </pic:spPr>
                </pic:pic>
              </a:graphicData>
            </a:graphic>
          </wp:inline>
        </w:drawing>
      </w:r>
    </w:p>
    <w:p w14:paraId="3DBC5E8D" w14:textId="77777777" w:rsidR="00AD302D" w:rsidRPr="000E1D34" w:rsidRDefault="00AD302D" w:rsidP="00AD302D">
      <w:pPr>
        <w:spacing w:line="276" w:lineRule="auto"/>
        <w:jc w:val="center"/>
        <w:rPr>
          <w:rFonts w:ascii="Arial" w:hAnsi="Arial" w:cs="Arial"/>
          <w:color w:val="000000" w:themeColor="text1"/>
          <w:sz w:val="16"/>
        </w:rPr>
      </w:pPr>
      <w:r w:rsidRPr="000E1D34">
        <w:rPr>
          <w:rFonts w:ascii="Arial" w:hAnsi="Arial" w:cs="Arial"/>
          <w:b/>
          <w:color w:val="000000" w:themeColor="text1"/>
          <w:sz w:val="16"/>
        </w:rPr>
        <w:t>Fuente</w:t>
      </w:r>
      <w:r w:rsidRPr="000E1D34">
        <w:rPr>
          <w:rFonts w:ascii="Arial" w:hAnsi="Arial" w:cs="Arial"/>
          <w:color w:val="000000" w:themeColor="text1"/>
          <w:sz w:val="16"/>
        </w:rPr>
        <w:t xml:space="preserve">: </w:t>
      </w:r>
      <w:r>
        <w:rPr>
          <w:rFonts w:ascii="Arial" w:hAnsi="Arial" w:cs="Arial"/>
          <w:color w:val="000000" w:themeColor="text1"/>
          <w:sz w:val="16"/>
        </w:rPr>
        <w:t>WM</w:t>
      </w:r>
      <w:r>
        <w:rPr>
          <w:rFonts w:ascii="Arial" w:hAnsi="Arial" w:cs="Arial"/>
          <w:color w:val="000000" w:themeColor="text1"/>
          <w:sz w:val="16"/>
        </w:rPr>
        <w:fldChar w:fldCharType="begin"/>
      </w:r>
      <w:r>
        <w:rPr>
          <w:rFonts w:ascii="Arial" w:hAnsi="Arial" w:cs="Arial"/>
          <w:color w:val="000000" w:themeColor="text1"/>
          <w:sz w:val="16"/>
        </w:rPr>
        <w:instrText xml:space="preserve"> REF _Ref529881535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[10]</w:t>
      </w:r>
      <w:r>
        <w:rPr>
          <w:rFonts w:ascii="Arial" w:hAnsi="Arial" w:cs="Arial"/>
          <w:color w:val="000000" w:themeColor="text1"/>
          <w:sz w:val="16"/>
        </w:rPr>
        <w:fldChar w:fldCharType="end"/>
      </w:r>
      <w:r>
        <w:rPr>
          <w:rFonts w:ascii="Arial" w:hAnsi="Arial" w:cs="Arial"/>
          <w:color w:val="000000" w:themeColor="text1"/>
          <w:sz w:val="16"/>
        </w:rPr>
        <w:t xml:space="preserve">, </w:t>
      </w:r>
      <w:r w:rsidRPr="000E1D34">
        <w:rPr>
          <w:rFonts w:ascii="Arial" w:hAnsi="Arial" w:cs="Arial"/>
          <w:color w:val="000000" w:themeColor="text1"/>
          <w:sz w:val="16"/>
        </w:rPr>
        <w:t>EIA</w:t>
      </w:r>
      <w:r>
        <w:rPr>
          <w:rFonts w:ascii="Arial" w:hAnsi="Arial" w:cs="Arial"/>
          <w:color w:val="000000" w:themeColor="text1"/>
          <w:sz w:val="16"/>
        </w:rPr>
        <w:fldChar w:fldCharType="begin"/>
      </w:r>
      <w:r>
        <w:rPr>
          <w:rFonts w:ascii="Arial" w:hAnsi="Arial" w:cs="Arial"/>
          <w:color w:val="000000" w:themeColor="text1"/>
          <w:sz w:val="16"/>
        </w:rPr>
        <w:instrText xml:space="preserve"> REF _Ref529881539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[11]</w:t>
      </w:r>
      <w:r>
        <w:rPr>
          <w:rFonts w:ascii="Arial" w:hAnsi="Arial" w:cs="Arial"/>
          <w:color w:val="000000" w:themeColor="text1"/>
          <w:sz w:val="16"/>
        </w:rPr>
        <w:fldChar w:fldCharType="end"/>
      </w:r>
      <w:r>
        <w:rPr>
          <w:rFonts w:ascii="Arial" w:hAnsi="Arial" w:cs="Arial"/>
          <w:color w:val="000000" w:themeColor="text1"/>
          <w:sz w:val="16"/>
        </w:rPr>
        <w:t>, ECP</w:t>
      </w:r>
      <w:r>
        <w:rPr>
          <w:rFonts w:ascii="Arial" w:hAnsi="Arial" w:cs="Arial"/>
          <w:color w:val="000000" w:themeColor="text1"/>
          <w:sz w:val="16"/>
        </w:rPr>
        <w:fldChar w:fldCharType="begin"/>
      </w:r>
      <w:r>
        <w:rPr>
          <w:rFonts w:ascii="Arial" w:hAnsi="Arial" w:cs="Arial"/>
          <w:color w:val="000000" w:themeColor="text1"/>
          <w:sz w:val="16"/>
        </w:rPr>
        <w:instrText xml:space="preserve"> REF _Ref529882807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[20]</w:t>
      </w:r>
      <w:r>
        <w:rPr>
          <w:rFonts w:ascii="Arial" w:hAnsi="Arial" w:cs="Arial"/>
          <w:color w:val="000000" w:themeColor="text1"/>
          <w:sz w:val="16"/>
        </w:rPr>
        <w:fldChar w:fldCharType="end"/>
      </w:r>
      <w:r>
        <w:rPr>
          <w:rFonts w:ascii="Arial" w:hAnsi="Arial" w:cs="Arial"/>
          <w:color w:val="000000" w:themeColor="text1"/>
          <w:sz w:val="16"/>
        </w:rPr>
        <w:t xml:space="preserve">, </w:t>
      </w:r>
      <w:r w:rsidRPr="000E1D34">
        <w:rPr>
          <w:rFonts w:ascii="Arial" w:hAnsi="Arial" w:cs="Arial"/>
          <w:color w:val="000000" w:themeColor="text1"/>
          <w:sz w:val="16"/>
        </w:rPr>
        <w:t>UPME</w:t>
      </w:r>
    </w:p>
    <w:p w14:paraId="16573CBC" w14:textId="56F8EDA4" w:rsidR="00914134" w:rsidRPr="006740B7" w:rsidRDefault="00914134" w:rsidP="00914134">
      <w:pPr>
        <w:spacing w:before="240" w:after="240" w:line="276" w:lineRule="auto"/>
        <w:jc w:val="both"/>
        <w:rPr>
          <w:rFonts w:ascii="Arial" w:hAnsi="Arial" w:cs="Arial"/>
          <w:sz w:val="22"/>
        </w:rPr>
      </w:pPr>
      <w:r w:rsidRPr="006740B7">
        <w:rPr>
          <w:rFonts w:ascii="Arial" w:hAnsi="Arial" w:cs="Arial"/>
          <w:sz w:val="22"/>
        </w:rPr>
        <w:t xml:space="preserve">La </w:t>
      </w:r>
      <w:r w:rsidR="00291A25" w:rsidRPr="00291A25">
        <w:rPr>
          <w:rFonts w:ascii="Arial" w:hAnsi="Arial" w:cs="Arial"/>
          <w:sz w:val="22"/>
          <w:szCs w:val="22"/>
          <w:highlight w:val="yellow"/>
        </w:rPr>
        <w:fldChar w:fldCharType="begin"/>
      </w:r>
      <w:r w:rsidR="00291A25" w:rsidRPr="00291A25">
        <w:rPr>
          <w:rFonts w:ascii="Arial" w:hAnsi="Arial" w:cs="Arial"/>
          <w:sz w:val="22"/>
          <w:szCs w:val="22"/>
        </w:rPr>
        <w:instrText xml:space="preserve"> REF _Ref514922888 \h </w:instrText>
      </w:r>
      <w:r w:rsidR="00291A25" w:rsidRPr="00291A25">
        <w:rPr>
          <w:rFonts w:ascii="Arial" w:hAnsi="Arial" w:cs="Arial"/>
          <w:sz w:val="22"/>
          <w:szCs w:val="22"/>
          <w:highlight w:val="yellow"/>
        </w:rPr>
        <w:instrText xml:space="preserve"> \* MERGEFORMAT </w:instrText>
      </w:r>
      <w:r w:rsidR="00291A25" w:rsidRPr="00291A25">
        <w:rPr>
          <w:rFonts w:ascii="Arial" w:hAnsi="Arial" w:cs="Arial"/>
          <w:sz w:val="22"/>
          <w:szCs w:val="22"/>
          <w:highlight w:val="yellow"/>
        </w:rPr>
      </w:r>
      <w:r w:rsidR="00291A25" w:rsidRPr="00291A25">
        <w:rPr>
          <w:rFonts w:ascii="Arial" w:hAnsi="Arial" w:cs="Arial"/>
          <w:sz w:val="22"/>
          <w:szCs w:val="22"/>
          <w:highlight w:val="yellow"/>
        </w:rPr>
        <w:fldChar w:fldCharType="separate"/>
      </w:r>
      <w:r w:rsidR="00291A25" w:rsidRPr="00291A25">
        <w:rPr>
          <w:rFonts w:ascii="Arial" w:hAnsi="Arial" w:cs="Arial"/>
          <w:sz w:val="22"/>
          <w:szCs w:val="22"/>
          <w:highlight w:val="yellow"/>
        </w:rPr>
        <w:t xml:space="preserve">Gráfica </w:t>
      </w:r>
      <w:r w:rsidR="00291A25" w:rsidRPr="00291A25">
        <w:rPr>
          <w:rFonts w:ascii="Arial" w:hAnsi="Arial" w:cs="Arial"/>
          <w:noProof/>
          <w:sz w:val="22"/>
          <w:szCs w:val="22"/>
          <w:highlight w:val="yellow"/>
        </w:rPr>
        <w:t>7</w:t>
      </w:r>
      <w:r w:rsidR="00291A25" w:rsidRPr="00291A25">
        <w:rPr>
          <w:rFonts w:ascii="Arial" w:hAnsi="Arial" w:cs="Arial"/>
          <w:sz w:val="22"/>
          <w:szCs w:val="22"/>
          <w:highlight w:val="yellow"/>
        </w:rPr>
        <w:noBreakHyphen/>
      </w:r>
      <w:r w:rsidR="00291A25" w:rsidRPr="00291A25">
        <w:rPr>
          <w:rFonts w:ascii="Arial" w:hAnsi="Arial" w:cs="Arial"/>
          <w:noProof/>
          <w:sz w:val="22"/>
          <w:szCs w:val="22"/>
          <w:highlight w:val="yellow"/>
        </w:rPr>
        <w:t>5</w:t>
      </w:r>
      <w:r w:rsidR="00291A25" w:rsidRPr="00291A25">
        <w:rPr>
          <w:rFonts w:ascii="Arial" w:hAnsi="Arial" w:cs="Arial"/>
          <w:sz w:val="22"/>
          <w:szCs w:val="22"/>
          <w:highlight w:val="yellow"/>
        </w:rPr>
        <w:fldChar w:fldCharType="end"/>
      </w:r>
      <w:r w:rsidRPr="006740B7">
        <w:rPr>
          <w:rFonts w:ascii="Arial" w:hAnsi="Arial" w:cs="Arial"/>
          <w:sz w:val="22"/>
        </w:rPr>
        <w:t xml:space="preserve"> presenta una franja de precio de referencia de venta</w:t>
      </w:r>
      <w:r>
        <w:rPr>
          <w:rFonts w:ascii="Arial" w:hAnsi="Arial" w:cs="Arial"/>
          <w:sz w:val="22"/>
        </w:rPr>
        <w:t xml:space="preserve"> del diésel que parte de los $ 7,840</w:t>
      </w:r>
      <w:r w:rsidRPr="006740B7">
        <w:rPr>
          <w:rFonts w:ascii="Arial" w:hAnsi="Arial" w:cs="Arial"/>
          <w:sz w:val="22"/>
        </w:rPr>
        <w:t xml:space="preserve"> pesos por galón a los $ </w:t>
      </w:r>
      <w:r>
        <w:rPr>
          <w:rFonts w:ascii="Arial" w:hAnsi="Arial" w:cs="Arial"/>
          <w:sz w:val="22"/>
        </w:rPr>
        <w:t>7</w:t>
      </w:r>
      <w:r w:rsidRPr="006740B7">
        <w:rPr>
          <w:rFonts w:ascii="Arial" w:hAnsi="Arial" w:cs="Arial"/>
          <w:sz w:val="22"/>
        </w:rPr>
        <w:t>,</w:t>
      </w:r>
      <w:r>
        <w:rPr>
          <w:rFonts w:ascii="Arial" w:hAnsi="Arial" w:cs="Arial"/>
          <w:sz w:val="22"/>
        </w:rPr>
        <w:t>5</w:t>
      </w:r>
      <w:r w:rsidRPr="006740B7">
        <w:rPr>
          <w:rFonts w:ascii="Arial" w:hAnsi="Arial" w:cs="Arial"/>
          <w:sz w:val="22"/>
        </w:rPr>
        <w:t>92 pesos por galó</w:t>
      </w:r>
      <w:r>
        <w:rPr>
          <w:rFonts w:ascii="Arial" w:hAnsi="Arial" w:cs="Arial"/>
          <w:sz w:val="22"/>
        </w:rPr>
        <w:t>n en el corto plazo, y a los $9</w:t>
      </w:r>
      <w:r w:rsidRPr="006740B7">
        <w:rPr>
          <w:rFonts w:ascii="Arial" w:hAnsi="Arial" w:cs="Arial"/>
          <w:sz w:val="22"/>
        </w:rPr>
        <w:t>,</w:t>
      </w:r>
      <w:r>
        <w:rPr>
          <w:rFonts w:ascii="Arial" w:hAnsi="Arial" w:cs="Arial"/>
          <w:sz w:val="22"/>
        </w:rPr>
        <w:t>238</w:t>
      </w:r>
      <w:r w:rsidRPr="006740B7">
        <w:rPr>
          <w:rFonts w:ascii="Arial" w:hAnsi="Arial" w:cs="Arial"/>
          <w:sz w:val="22"/>
        </w:rPr>
        <w:t xml:space="preserve"> pesos por galón al final del horizonte de planeación. Manteniendo las aperturas de los escenarios anteriores, el precio máximo de diésel al largo plazo en las estaciones de servicio sería de $15,</w:t>
      </w:r>
      <w:r>
        <w:rPr>
          <w:rFonts w:ascii="Arial" w:hAnsi="Arial" w:cs="Arial"/>
          <w:sz w:val="22"/>
        </w:rPr>
        <w:t>241</w:t>
      </w:r>
      <w:r w:rsidRPr="006740B7">
        <w:rPr>
          <w:rFonts w:ascii="Arial" w:hAnsi="Arial" w:cs="Arial"/>
          <w:sz w:val="22"/>
        </w:rPr>
        <w:t xml:space="preserve"> pesos por galón e</w:t>
      </w:r>
      <w:r>
        <w:rPr>
          <w:rFonts w:ascii="Arial" w:hAnsi="Arial" w:cs="Arial"/>
          <w:sz w:val="22"/>
        </w:rPr>
        <w:t>n el escenario de alto, y de $ 5</w:t>
      </w:r>
      <w:r w:rsidRPr="006740B7">
        <w:rPr>
          <w:rFonts w:ascii="Arial" w:hAnsi="Arial" w:cs="Arial"/>
          <w:sz w:val="22"/>
        </w:rPr>
        <w:t>,</w:t>
      </w:r>
      <w:r>
        <w:rPr>
          <w:rFonts w:ascii="Arial" w:hAnsi="Arial" w:cs="Arial"/>
          <w:sz w:val="22"/>
        </w:rPr>
        <w:t>756</w:t>
      </w:r>
      <w:r w:rsidRPr="006740B7">
        <w:rPr>
          <w:rFonts w:ascii="Arial" w:hAnsi="Arial" w:cs="Arial"/>
          <w:sz w:val="22"/>
        </w:rPr>
        <w:t xml:space="preserve"> pesos por galón en el escenario bajo.</w:t>
      </w:r>
    </w:p>
    <w:p w14:paraId="2BC1C2C7" w14:textId="77777777" w:rsidR="00914134" w:rsidRPr="006E4403" w:rsidRDefault="00914134" w:rsidP="00914134">
      <w:pPr>
        <w:tabs>
          <w:tab w:val="left" w:pos="1710"/>
        </w:tabs>
        <w:spacing w:before="240" w:after="240" w:line="276" w:lineRule="auto"/>
        <w:rPr>
          <w:szCs w:val="22"/>
        </w:rPr>
      </w:pPr>
    </w:p>
    <w:p w14:paraId="435A14E6" w14:textId="77777777" w:rsidR="00914134" w:rsidRDefault="00914134" w:rsidP="00914134">
      <w:pPr>
        <w:tabs>
          <w:tab w:val="left" w:pos="1710"/>
        </w:tabs>
        <w:spacing w:before="240" w:after="240" w:line="276" w:lineRule="auto"/>
        <w:rPr>
          <w:szCs w:val="22"/>
        </w:rPr>
        <w:sectPr w:rsidR="00914134" w:rsidSect="0024531A">
          <w:pgSz w:w="12240" w:h="15840"/>
          <w:pgMar w:top="1985" w:right="1183" w:bottom="1134" w:left="1418" w:header="426" w:footer="851" w:gutter="0"/>
          <w:pgBorders w:offsetFrom="page">
            <w:bottom w:val="single" w:sz="4" w:space="24" w:color="FFFFFF" w:themeColor="background1"/>
          </w:pgBorders>
          <w:cols w:space="720"/>
          <w:formProt w:val="0"/>
          <w:docGrid w:linePitch="360" w:charSpace="-6145"/>
        </w:sectPr>
      </w:pPr>
    </w:p>
    <w:p w14:paraId="71E095C4" w14:textId="77777777" w:rsidR="00914134" w:rsidRPr="004327CD" w:rsidRDefault="00914134" w:rsidP="00914134">
      <w:pPr>
        <w:pStyle w:val="Ttulo1"/>
      </w:pPr>
      <w:bookmarkStart w:id="351" w:name="_Toc530045852"/>
      <w:r>
        <w:lastRenderedPageBreak/>
        <w:t>CARBON</w:t>
      </w:r>
      <w:bookmarkEnd w:id="351"/>
    </w:p>
    <w:p w14:paraId="4FDE74B7" w14:textId="77777777" w:rsidR="00914134" w:rsidRPr="006740B7" w:rsidRDefault="00914134" w:rsidP="00914134">
      <w:pPr>
        <w:spacing w:before="240" w:after="240" w:line="276" w:lineRule="auto"/>
        <w:jc w:val="both"/>
        <w:rPr>
          <w:rFonts w:ascii="Arial" w:hAnsi="Arial" w:cs="Arial"/>
          <w:sz w:val="22"/>
        </w:rPr>
      </w:pPr>
      <w:r w:rsidRPr="006740B7">
        <w:rPr>
          <w:rFonts w:ascii="Arial" w:hAnsi="Arial" w:cs="Arial"/>
          <w:sz w:val="22"/>
        </w:rPr>
        <w:t>El carbón es el único recurso energético en el país no regulado y coexisten dos mercados claramente diferenciados: El internacional y el nacional. Los precios del carbón de exportación han mostrado una evolución altamente dependiente de los precios de referencia del mercado internacional de petróleo, en tanto que los precios del mercado nacional están asociados en gran medida al precio de sus sustitutos. En el caso del carbón no hay referencias basadas en costos de producción dado que éstos son variables por las condiciones heterogéneas de pro</w:t>
      </w:r>
      <w:r>
        <w:rPr>
          <w:rFonts w:ascii="Arial" w:hAnsi="Arial" w:cs="Arial"/>
          <w:sz w:val="22"/>
        </w:rPr>
        <w:t>ducción que existen en el país.</w:t>
      </w:r>
    </w:p>
    <w:p w14:paraId="24307BB4" w14:textId="77777777" w:rsidR="00914134" w:rsidRPr="006740B7" w:rsidRDefault="00914134" w:rsidP="00914134">
      <w:pPr>
        <w:spacing w:before="240" w:after="240" w:line="276" w:lineRule="auto"/>
        <w:jc w:val="both"/>
        <w:rPr>
          <w:rFonts w:ascii="Arial" w:hAnsi="Arial" w:cs="Arial"/>
          <w:sz w:val="22"/>
        </w:rPr>
      </w:pPr>
      <w:r w:rsidRPr="006740B7">
        <w:rPr>
          <w:rFonts w:ascii="Arial" w:hAnsi="Arial" w:cs="Arial"/>
          <w:sz w:val="22"/>
        </w:rPr>
        <w:t>Para efectuar la proyección de los precios internos de carbón se realizó un análisis preliminar con el fin de encontrar la correlación del precio interno con los precios internacionales. En esta evaluación primero se consideraron los precios de compra reportados a la UPME por parte de los generadores térmicos, comparándolos con la serie de precios presentada por el Banco Mundial cuya referencia es Puerto Bolívar.</w:t>
      </w:r>
    </w:p>
    <w:p w14:paraId="73067F74" w14:textId="0CD57A8A" w:rsidR="00914134" w:rsidRPr="00014160" w:rsidRDefault="00914134" w:rsidP="00914134">
      <w:pPr>
        <w:pStyle w:val="Descripcin"/>
        <w:spacing w:after="0"/>
        <w:jc w:val="center"/>
        <w:rPr>
          <w:i w:val="0"/>
          <w:color w:val="auto"/>
          <w:sz w:val="20"/>
        </w:rPr>
      </w:pPr>
      <w:bookmarkStart w:id="352" w:name="_Ref399764207"/>
      <w:bookmarkStart w:id="353" w:name="_Ref399764201"/>
      <w:bookmarkStart w:id="354" w:name="_Toc401316992"/>
      <w:bookmarkStart w:id="355" w:name="_Toc403641031"/>
      <w:bookmarkStart w:id="356" w:name="_Toc403641270"/>
      <w:bookmarkStart w:id="357" w:name="_Toc403641426"/>
      <w:bookmarkStart w:id="358" w:name="_Toc403641978"/>
      <w:bookmarkStart w:id="359" w:name="_Toc403642028"/>
      <w:bookmarkStart w:id="360" w:name="_Toc447098021"/>
      <w:bookmarkStart w:id="361" w:name="_Toc499799394"/>
      <w:bookmarkStart w:id="362" w:name="_Toc530033440"/>
      <w:r w:rsidRPr="00014160">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8</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bookmarkEnd w:id="352"/>
      <w:r w:rsidRPr="00014160">
        <w:rPr>
          <w:b/>
          <w:i w:val="0"/>
          <w:color w:val="auto"/>
          <w:sz w:val="20"/>
          <w:highlight w:val="yellow"/>
        </w:rPr>
        <w:t xml:space="preserve">. </w:t>
      </w:r>
      <w:r w:rsidRPr="00014160">
        <w:rPr>
          <w:i w:val="0"/>
          <w:color w:val="auto"/>
          <w:sz w:val="20"/>
        </w:rPr>
        <w:t xml:space="preserve">Precios del carbón colombiano </w:t>
      </w:r>
      <w:bookmarkEnd w:id="353"/>
      <w:bookmarkEnd w:id="354"/>
      <w:bookmarkEnd w:id="355"/>
      <w:bookmarkEnd w:id="356"/>
      <w:bookmarkEnd w:id="357"/>
      <w:bookmarkEnd w:id="358"/>
      <w:bookmarkEnd w:id="359"/>
      <w:r w:rsidRPr="00014160">
        <w:rPr>
          <w:i w:val="0"/>
          <w:color w:val="auto"/>
          <w:sz w:val="20"/>
        </w:rPr>
        <w:t>e índice del Banco Mundial</w:t>
      </w:r>
      <w:bookmarkEnd w:id="360"/>
      <w:bookmarkEnd w:id="361"/>
      <w:bookmarkEnd w:id="362"/>
    </w:p>
    <w:p w14:paraId="5B5487E4" w14:textId="77777777" w:rsidR="00914134" w:rsidRPr="00292A7B" w:rsidRDefault="00914134" w:rsidP="00914134">
      <w:pPr>
        <w:jc w:val="center"/>
        <w:rPr>
          <w:highlight w:val="yellow"/>
          <w:lang w:val="es-CO" w:eastAsia="es-ES"/>
        </w:rPr>
      </w:pPr>
      <w:r w:rsidRPr="00292A7B">
        <w:rPr>
          <w:noProof/>
          <w:lang w:val="es-ES" w:eastAsia="es-ES"/>
        </w:rPr>
        <w:drawing>
          <wp:inline distT="0" distB="0" distL="0" distR="0" wp14:anchorId="33E14595" wp14:editId="64373D2B">
            <wp:extent cx="5400000" cy="3240000"/>
            <wp:effectExtent l="0" t="0" r="0" b="0"/>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00000" cy="3240000"/>
                    </a:xfrm>
                    <a:prstGeom prst="rect">
                      <a:avLst/>
                    </a:prstGeom>
                    <a:noFill/>
                    <a:ln>
                      <a:noFill/>
                    </a:ln>
                  </pic:spPr>
                </pic:pic>
              </a:graphicData>
            </a:graphic>
          </wp:inline>
        </w:drawing>
      </w:r>
    </w:p>
    <w:p w14:paraId="54EE0E51" w14:textId="635ECE7B" w:rsidR="00914134" w:rsidRPr="00511E00" w:rsidRDefault="00914134" w:rsidP="00914134">
      <w:pPr>
        <w:jc w:val="center"/>
        <w:rPr>
          <w:rFonts w:ascii="Arial" w:hAnsi="Arial" w:cs="Arial"/>
          <w:color w:val="000000" w:themeColor="text1"/>
          <w:sz w:val="16"/>
        </w:rPr>
      </w:pPr>
      <w:r w:rsidRPr="00AD302D">
        <w:rPr>
          <w:rFonts w:ascii="Arial" w:hAnsi="Arial" w:cs="Arial"/>
          <w:b/>
          <w:color w:val="000000" w:themeColor="text1"/>
          <w:sz w:val="16"/>
        </w:rPr>
        <w:t>Fuente:</w:t>
      </w:r>
      <w:r w:rsidRPr="00AD302D">
        <w:rPr>
          <w:rFonts w:ascii="Arial" w:hAnsi="Arial" w:cs="Arial"/>
          <w:color w:val="000000" w:themeColor="text1"/>
          <w:sz w:val="16"/>
        </w:rPr>
        <w:t xml:space="preserve"> </w:t>
      </w:r>
      <w:r w:rsidR="00AD302D" w:rsidRPr="00511E00">
        <w:rPr>
          <w:rFonts w:ascii="Arial" w:hAnsi="Arial" w:cs="Arial"/>
          <w:color w:val="000000" w:themeColor="text1"/>
          <w:sz w:val="16"/>
        </w:rPr>
        <w:t>Generadores Térmicos</w:t>
      </w:r>
      <w:r w:rsidR="00AD302D" w:rsidRPr="00511E00">
        <w:rPr>
          <w:rFonts w:ascii="Arial" w:hAnsi="Arial" w:cs="Arial"/>
          <w:sz w:val="16"/>
        </w:rPr>
        <w:t>,</w:t>
      </w:r>
      <w:r w:rsidRPr="00511E00">
        <w:rPr>
          <w:rFonts w:ascii="Arial" w:hAnsi="Arial" w:cs="Arial"/>
          <w:sz w:val="16"/>
        </w:rPr>
        <w:t xml:space="preserve"> UPME.</w:t>
      </w:r>
    </w:p>
    <w:p w14:paraId="4BA8271F" w14:textId="77777777" w:rsidR="00914134" w:rsidRPr="00C52290" w:rsidRDefault="00914134" w:rsidP="00914134">
      <w:pPr>
        <w:spacing w:before="240" w:after="240" w:line="276" w:lineRule="auto"/>
        <w:jc w:val="both"/>
        <w:rPr>
          <w:rFonts w:ascii="Arial" w:hAnsi="Arial" w:cs="Arial"/>
          <w:sz w:val="22"/>
        </w:rPr>
      </w:pPr>
      <w:r w:rsidRPr="00511E00">
        <w:rPr>
          <w:rFonts w:ascii="Arial" w:hAnsi="Arial" w:cs="Arial"/>
          <w:sz w:val="22"/>
        </w:rPr>
        <w:t xml:space="preserve">En la </w:t>
      </w:r>
      <w:r w:rsidRPr="00511E00">
        <w:rPr>
          <w:rFonts w:ascii="Arial" w:hAnsi="Arial" w:cs="Arial"/>
          <w:sz w:val="22"/>
        </w:rPr>
        <w:fldChar w:fldCharType="begin"/>
      </w:r>
      <w:r w:rsidRPr="00511E00">
        <w:rPr>
          <w:rFonts w:ascii="Arial" w:hAnsi="Arial" w:cs="Arial"/>
          <w:sz w:val="22"/>
        </w:rPr>
        <w:instrText xml:space="preserve"> REF _Ref399764207 \h  \* MERGEFORMAT </w:instrText>
      </w:r>
      <w:r w:rsidRPr="00511E00">
        <w:rPr>
          <w:rFonts w:ascii="Arial" w:hAnsi="Arial" w:cs="Arial"/>
          <w:sz w:val="22"/>
        </w:rPr>
      </w:r>
      <w:r w:rsidRPr="00511E00">
        <w:rPr>
          <w:rFonts w:ascii="Arial" w:hAnsi="Arial" w:cs="Arial"/>
          <w:sz w:val="22"/>
        </w:rPr>
        <w:fldChar w:fldCharType="separate"/>
      </w:r>
      <w:r w:rsidR="00915705" w:rsidRPr="00511E00">
        <w:rPr>
          <w:rFonts w:ascii="Arial" w:hAnsi="Arial" w:cs="Arial"/>
          <w:sz w:val="22"/>
        </w:rPr>
        <w:t>Gráfica 8</w:t>
      </w:r>
      <w:r w:rsidR="00915705" w:rsidRPr="00511E00">
        <w:rPr>
          <w:rFonts w:ascii="Arial" w:hAnsi="Arial" w:cs="Arial"/>
          <w:sz w:val="22"/>
        </w:rPr>
        <w:noBreakHyphen/>
        <w:t>1</w:t>
      </w:r>
      <w:r w:rsidRPr="00511E00">
        <w:rPr>
          <w:rFonts w:ascii="Arial" w:hAnsi="Arial" w:cs="Arial"/>
          <w:sz w:val="22"/>
        </w:rPr>
        <w:fldChar w:fldCharType="end"/>
      </w:r>
      <w:r w:rsidRPr="00511E00">
        <w:rPr>
          <w:rFonts w:ascii="Arial" w:hAnsi="Arial" w:cs="Arial"/>
          <w:sz w:val="22"/>
        </w:rPr>
        <w:t>, se puede notar que en el año 2008, la relación</w:t>
      </w:r>
      <w:r w:rsidRPr="00C52290">
        <w:rPr>
          <w:rFonts w:ascii="Arial" w:hAnsi="Arial" w:cs="Arial"/>
          <w:sz w:val="22"/>
        </w:rPr>
        <w:t xml:space="preserve"> de los precios de compra por parte de las térmicas, es baja o casi nula con el precio internacional que divulga el Banco Mundial, pero a partir de esta fecha se nota un cambio en el comportamiento de los precios nacionales respecto al precio internacional. Aunque se puede decir que el precio va aumentando, hay una interrupción de esta continuidad en el segundo semestre de 2008, período en que se inicia la crisis financiera mundial, afectando los precios crudos del crudo WTI, BRENT y en general todos los commodities.</w:t>
      </w:r>
    </w:p>
    <w:p w14:paraId="73CAC084" w14:textId="72914E0D" w:rsidR="00BC02D6" w:rsidRDefault="00914134" w:rsidP="00914134">
      <w:pPr>
        <w:spacing w:before="240" w:after="240" w:line="276" w:lineRule="auto"/>
        <w:jc w:val="both"/>
        <w:rPr>
          <w:rFonts w:ascii="Arial" w:hAnsi="Arial" w:cs="Arial"/>
          <w:sz w:val="22"/>
        </w:rPr>
      </w:pPr>
      <w:r w:rsidRPr="00C52290">
        <w:rPr>
          <w:rFonts w:ascii="Arial" w:hAnsi="Arial" w:cs="Arial"/>
          <w:sz w:val="22"/>
        </w:rPr>
        <w:lastRenderedPageBreak/>
        <w:t>Posteriormente, en el primer semestre de 2009, los precios de compra de las térmicas colombianas tienen alta relación con el precio FOB Puerto Bolívar, cuya correlación con el precio internacional, especialmente de Europa, se orienta en el mismo sentido. Vale decir que lo anterior coincide con la normatividad expedida en Colombia para establecer los precios de liquidación de regalías para carbón de exportación (18 1074 de julio de 2007), donde se establece como referencia el precio API2 (ARA</w:t>
      </w:r>
      <w:r w:rsidR="00C52290">
        <w:rPr>
          <w:rFonts w:ascii="Arial" w:hAnsi="Arial" w:cs="Arial"/>
          <w:sz w:val="22"/>
        </w:rPr>
        <w:t xml:space="preserve">- Amsterdam-Roterdam-Amberres). Hacia el año 2016 el precio del Carbón presentó un incremento superior al 100% pasado de </w:t>
      </w:r>
      <w:r w:rsidR="00C52290" w:rsidRPr="007B125A">
        <w:rPr>
          <w:rFonts w:ascii="Arial" w:hAnsi="Arial" w:cs="Arial"/>
          <w:sz w:val="22"/>
        </w:rPr>
        <w:t>USD$ 43 /Ton en enero a USD$ 89.8/Ton en diciembre del</w:t>
      </w:r>
      <w:r w:rsidR="007B125A">
        <w:rPr>
          <w:rFonts w:ascii="Arial" w:hAnsi="Arial" w:cs="Arial"/>
          <w:sz w:val="22"/>
        </w:rPr>
        <w:t xml:space="preserve"> mismo año. </w:t>
      </w:r>
    </w:p>
    <w:p w14:paraId="29A59CEF" w14:textId="77777777" w:rsidR="00BC02D6" w:rsidRDefault="00BC02D6" w:rsidP="00914134">
      <w:pPr>
        <w:spacing w:before="240" w:after="240" w:line="276" w:lineRule="auto"/>
        <w:jc w:val="both"/>
        <w:rPr>
          <w:rFonts w:ascii="Arial" w:hAnsi="Arial" w:cs="Arial"/>
          <w:sz w:val="22"/>
        </w:rPr>
      </w:pPr>
    </w:p>
    <w:p w14:paraId="6B5C768C" w14:textId="68F5C7EA" w:rsidR="00C52290" w:rsidRPr="001975BF" w:rsidRDefault="00C52290" w:rsidP="00914134">
      <w:pPr>
        <w:spacing w:before="240" w:after="240" w:line="276" w:lineRule="auto"/>
        <w:jc w:val="both"/>
        <w:rPr>
          <w:rFonts w:ascii="Arial" w:hAnsi="Arial" w:cs="Arial"/>
          <w:sz w:val="22"/>
        </w:rPr>
      </w:pPr>
      <w:r w:rsidRPr="007B125A">
        <w:rPr>
          <w:rFonts w:ascii="Arial" w:hAnsi="Arial" w:cs="Arial"/>
          <w:sz w:val="22"/>
        </w:rPr>
        <w:t xml:space="preserve">Sin </w:t>
      </w:r>
      <w:r w:rsidR="007B125A" w:rsidRPr="007B125A">
        <w:rPr>
          <w:rFonts w:ascii="Arial" w:hAnsi="Arial" w:cs="Arial"/>
          <w:sz w:val="22"/>
        </w:rPr>
        <w:t>embargo, el precio de las térmicas se mantuvo constante</w:t>
      </w:r>
      <w:r w:rsidR="00BC02D6">
        <w:rPr>
          <w:rFonts w:ascii="Arial" w:hAnsi="Arial" w:cs="Arial"/>
          <w:sz w:val="22"/>
        </w:rPr>
        <w:t>, principalmente por los contratos futuros acordados entre las térmicas y los productores.</w:t>
      </w:r>
    </w:p>
    <w:p w14:paraId="2DA47E4B" w14:textId="197F67C7" w:rsidR="00914134" w:rsidRPr="006740B7" w:rsidRDefault="00914134" w:rsidP="00914134">
      <w:pPr>
        <w:spacing w:before="240" w:after="240" w:line="276" w:lineRule="auto"/>
        <w:jc w:val="both"/>
        <w:rPr>
          <w:rFonts w:ascii="Arial" w:hAnsi="Arial" w:cs="Arial"/>
          <w:sz w:val="22"/>
          <w:highlight w:val="yellow"/>
        </w:rPr>
      </w:pPr>
      <w:r w:rsidRPr="001975BF">
        <w:rPr>
          <w:rFonts w:ascii="Arial" w:hAnsi="Arial" w:cs="Arial"/>
          <w:sz w:val="22"/>
        </w:rPr>
        <w:t xml:space="preserve">Ahora bien, el Departamento de Energía de los Estados Unidos plantea al corto plazo </w:t>
      </w:r>
      <w:r w:rsidR="001975BF" w:rsidRPr="001975BF">
        <w:rPr>
          <w:rFonts w:ascii="Arial" w:hAnsi="Arial" w:cs="Arial"/>
          <w:sz w:val="22"/>
        </w:rPr>
        <w:t xml:space="preserve">en su documento STEO – </w:t>
      </w:r>
      <w:r w:rsidR="00BC02D6">
        <w:rPr>
          <w:rFonts w:ascii="Arial" w:hAnsi="Arial" w:cs="Arial"/>
          <w:sz w:val="22"/>
        </w:rPr>
        <w:t>Febrero</w:t>
      </w:r>
      <w:r w:rsidR="001975BF" w:rsidRPr="001975BF">
        <w:rPr>
          <w:rFonts w:ascii="Arial" w:hAnsi="Arial" w:cs="Arial"/>
          <w:sz w:val="22"/>
        </w:rPr>
        <w:t xml:space="preserve"> </w:t>
      </w:r>
      <w:r w:rsidR="00BC02D6">
        <w:rPr>
          <w:rFonts w:ascii="Arial" w:hAnsi="Arial" w:cs="Arial"/>
          <w:sz w:val="22"/>
        </w:rPr>
        <w:t>de 2018 una</w:t>
      </w:r>
      <w:r w:rsidRPr="00BC02D6">
        <w:rPr>
          <w:rFonts w:ascii="Arial" w:hAnsi="Arial" w:cs="Arial"/>
          <w:sz w:val="22"/>
        </w:rPr>
        <w:t xml:space="preserve"> dinámica del mercado</w:t>
      </w:r>
      <w:r w:rsidR="00BC02D6">
        <w:rPr>
          <w:rFonts w:ascii="Arial" w:hAnsi="Arial" w:cs="Arial"/>
          <w:sz w:val="22"/>
        </w:rPr>
        <w:t xml:space="preserve"> que</w:t>
      </w:r>
      <w:r w:rsidRPr="00BC02D6">
        <w:rPr>
          <w:rFonts w:ascii="Arial" w:hAnsi="Arial" w:cs="Arial"/>
          <w:sz w:val="22"/>
        </w:rPr>
        <w:t xml:space="preserve"> muestra u</w:t>
      </w:r>
      <w:r w:rsidR="00BC02D6">
        <w:rPr>
          <w:rFonts w:ascii="Arial" w:hAnsi="Arial" w:cs="Arial"/>
          <w:sz w:val="22"/>
        </w:rPr>
        <w:t>nos precios, entre enero de 2018 y diciembre de 2019</w:t>
      </w:r>
      <w:r w:rsidRPr="00BC02D6">
        <w:rPr>
          <w:rFonts w:ascii="Arial" w:hAnsi="Arial" w:cs="Arial"/>
          <w:sz w:val="22"/>
        </w:rPr>
        <w:t>, con un crecimiento inicial para luego estabilizars</w:t>
      </w:r>
      <w:r w:rsidR="00BC02D6">
        <w:rPr>
          <w:rFonts w:ascii="Arial" w:hAnsi="Arial" w:cs="Arial"/>
          <w:sz w:val="22"/>
        </w:rPr>
        <w:t>e. Entre febrero de 2018 y enero de 2019</w:t>
      </w:r>
      <w:r w:rsidRPr="00BC02D6">
        <w:rPr>
          <w:rFonts w:ascii="Arial" w:hAnsi="Arial" w:cs="Arial"/>
          <w:sz w:val="22"/>
        </w:rPr>
        <w:t xml:space="preserve"> presen</w:t>
      </w:r>
      <w:r w:rsidR="00BC02D6">
        <w:rPr>
          <w:rFonts w:ascii="Arial" w:hAnsi="Arial" w:cs="Arial"/>
          <w:sz w:val="22"/>
        </w:rPr>
        <w:t>ta un crecimiento promedio de 6.1</w:t>
      </w:r>
      <w:r w:rsidRPr="00BC02D6">
        <w:rPr>
          <w:rFonts w:ascii="Arial" w:hAnsi="Arial" w:cs="Arial"/>
          <w:sz w:val="22"/>
        </w:rPr>
        <w:t xml:space="preserve">% empezando en los USD$ </w:t>
      </w:r>
      <w:r w:rsidR="00BC02D6">
        <w:rPr>
          <w:rFonts w:ascii="Arial" w:hAnsi="Arial" w:cs="Arial"/>
          <w:sz w:val="22"/>
        </w:rPr>
        <w:t>40.5/Ton y llegando a los USD$ 75</w:t>
      </w:r>
      <w:r w:rsidRPr="00BC02D6">
        <w:rPr>
          <w:rFonts w:ascii="Arial" w:hAnsi="Arial" w:cs="Arial"/>
          <w:sz w:val="22"/>
        </w:rPr>
        <w:t>.</w:t>
      </w:r>
      <w:r w:rsidR="00BC02D6">
        <w:rPr>
          <w:rFonts w:ascii="Arial" w:hAnsi="Arial" w:cs="Arial"/>
          <w:sz w:val="22"/>
        </w:rPr>
        <w:t>4</w:t>
      </w:r>
      <w:r w:rsidRPr="00BC02D6">
        <w:rPr>
          <w:rFonts w:ascii="Arial" w:hAnsi="Arial" w:cs="Arial"/>
          <w:sz w:val="22"/>
        </w:rPr>
        <w:t>/Ton, para luego estabilizarse</w:t>
      </w:r>
      <w:r w:rsidR="00AE3E6D">
        <w:rPr>
          <w:rFonts w:ascii="Arial" w:hAnsi="Arial" w:cs="Arial"/>
          <w:sz w:val="22"/>
        </w:rPr>
        <w:t xml:space="preserve"> en promedio</w:t>
      </w:r>
      <w:r w:rsidRPr="00BC02D6">
        <w:rPr>
          <w:rFonts w:ascii="Arial" w:hAnsi="Arial" w:cs="Arial"/>
          <w:sz w:val="22"/>
        </w:rPr>
        <w:t xml:space="preserve"> </w:t>
      </w:r>
      <w:r w:rsidR="00BC02D6">
        <w:rPr>
          <w:rFonts w:ascii="Arial" w:hAnsi="Arial" w:cs="Arial"/>
          <w:sz w:val="22"/>
        </w:rPr>
        <w:t>alrededor de los USD$ 74/Ton entre febrero y diciembre de 2019</w:t>
      </w:r>
      <w:r w:rsidRPr="00BC02D6">
        <w:rPr>
          <w:rFonts w:ascii="Arial" w:hAnsi="Arial" w:cs="Arial"/>
          <w:sz w:val="22"/>
        </w:rPr>
        <w:t xml:space="preserve"> como puede verse en </w:t>
      </w:r>
      <w:r w:rsidRPr="006740B7">
        <w:rPr>
          <w:rFonts w:ascii="Arial" w:hAnsi="Arial" w:cs="Arial"/>
          <w:sz w:val="22"/>
          <w:highlight w:val="yellow"/>
        </w:rPr>
        <w:t xml:space="preserve">la </w:t>
      </w:r>
      <w:r w:rsidRPr="006740B7">
        <w:rPr>
          <w:rFonts w:ascii="Arial" w:hAnsi="Arial" w:cs="Arial"/>
          <w:sz w:val="22"/>
          <w:highlight w:val="yellow"/>
        </w:rPr>
        <w:fldChar w:fldCharType="begin"/>
      </w:r>
      <w:r w:rsidRPr="006740B7">
        <w:rPr>
          <w:rFonts w:ascii="Arial" w:hAnsi="Arial" w:cs="Arial"/>
          <w:sz w:val="22"/>
          <w:highlight w:val="yellow"/>
        </w:rPr>
        <w:instrText xml:space="preserve"> REF _Ref499806554 \h  \* MERGEFORMAT </w:instrText>
      </w:r>
      <w:r w:rsidRPr="006740B7">
        <w:rPr>
          <w:rFonts w:ascii="Arial" w:hAnsi="Arial" w:cs="Arial"/>
          <w:sz w:val="22"/>
          <w:highlight w:val="yellow"/>
        </w:rPr>
      </w:r>
      <w:r w:rsidRPr="006740B7">
        <w:rPr>
          <w:rFonts w:ascii="Arial" w:hAnsi="Arial" w:cs="Arial"/>
          <w:sz w:val="22"/>
          <w:highlight w:val="yellow"/>
        </w:rPr>
        <w:fldChar w:fldCharType="separate"/>
      </w:r>
      <w:r w:rsidR="00915705" w:rsidRPr="00915705">
        <w:rPr>
          <w:rFonts w:ascii="Arial" w:hAnsi="Arial" w:cs="Arial"/>
          <w:sz w:val="22"/>
          <w:highlight w:val="yellow"/>
        </w:rPr>
        <w:t>Gráfica 8</w:t>
      </w:r>
      <w:r w:rsidR="00915705" w:rsidRPr="00915705">
        <w:rPr>
          <w:rFonts w:ascii="Arial" w:hAnsi="Arial" w:cs="Arial"/>
          <w:sz w:val="22"/>
          <w:highlight w:val="yellow"/>
        </w:rPr>
        <w:noBreakHyphen/>
        <w:t>2</w:t>
      </w:r>
      <w:r w:rsidRPr="006740B7">
        <w:rPr>
          <w:rFonts w:ascii="Arial" w:hAnsi="Arial" w:cs="Arial"/>
          <w:sz w:val="22"/>
          <w:highlight w:val="yellow"/>
        </w:rPr>
        <w:fldChar w:fldCharType="end"/>
      </w:r>
      <w:r w:rsidRPr="006740B7">
        <w:rPr>
          <w:rFonts w:ascii="Arial" w:hAnsi="Arial" w:cs="Arial"/>
          <w:sz w:val="22"/>
          <w:highlight w:val="yellow"/>
        </w:rPr>
        <w:t>.</w:t>
      </w:r>
    </w:p>
    <w:p w14:paraId="1A8DC1AA" w14:textId="1CE7AFB7" w:rsidR="00914134" w:rsidRPr="00014160" w:rsidRDefault="00914134" w:rsidP="00914134">
      <w:pPr>
        <w:jc w:val="center"/>
        <w:rPr>
          <w:rFonts w:ascii="Arial" w:eastAsia="Times New Roman" w:hAnsi="Arial" w:cs="Times New Roman"/>
          <w:b/>
          <w:iCs/>
          <w:sz w:val="20"/>
          <w:szCs w:val="18"/>
          <w:highlight w:val="yellow"/>
          <w:lang w:val="es-CO" w:eastAsia="es-ES"/>
        </w:rPr>
      </w:pPr>
      <w:bookmarkStart w:id="363" w:name="_Ref499806554"/>
      <w:bookmarkStart w:id="364" w:name="_Toc447098022"/>
      <w:bookmarkStart w:id="365" w:name="_Toc499799395"/>
      <w:bookmarkStart w:id="366" w:name="_Toc530033441"/>
      <w:r w:rsidRPr="00014160">
        <w:rPr>
          <w:rFonts w:ascii="Arial" w:eastAsia="Times New Roman" w:hAnsi="Arial" w:cs="Times New Roman"/>
          <w:b/>
          <w:iCs/>
          <w:sz w:val="20"/>
          <w:szCs w:val="18"/>
          <w:highlight w:val="yellow"/>
          <w:lang w:val="es-CO" w:eastAsia="es-ES"/>
        </w:rPr>
        <w:t xml:space="preserve">Gráfica </w:t>
      </w:r>
      <w:r w:rsidR="00DA50A5">
        <w:rPr>
          <w:rFonts w:ascii="Arial" w:eastAsia="Times New Roman" w:hAnsi="Arial" w:cs="Times New Roman"/>
          <w:b/>
          <w:iCs/>
          <w:sz w:val="20"/>
          <w:szCs w:val="18"/>
          <w:highlight w:val="yellow"/>
          <w:lang w:val="es-CO" w:eastAsia="es-ES"/>
        </w:rPr>
        <w:fldChar w:fldCharType="begin"/>
      </w:r>
      <w:r w:rsidR="00DA50A5">
        <w:rPr>
          <w:rFonts w:ascii="Arial" w:eastAsia="Times New Roman" w:hAnsi="Arial" w:cs="Times New Roman"/>
          <w:b/>
          <w:iCs/>
          <w:sz w:val="20"/>
          <w:szCs w:val="18"/>
          <w:highlight w:val="yellow"/>
          <w:lang w:val="es-CO" w:eastAsia="es-ES"/>
        </w:rPr>
        <w:instrText xml:space="preserve"> STYLEREF 1 \s </w:instrText>
      </w:r>
      <w:r w:rsidR="00DA50A5">
        <w:rPr>
          <w:rFonts w:ascii="Arial" w:eastAsia="Times New Roman" w:hAnsi="Arial" w:cs="Times New Roman"/>
          <w:b/>
          <w:iCs/>
          <w:sz w:val="20"/>
          <w:szCs w:val="18"/>
          <w:highlight w:val="yellow"/>
          <w:lang w:val="es-CO" w:eastAsia="es-ES"/>
        </w:rPr>
        <w:fldChar w:fldCharType="separate"/>
      </w:r>
      <w:r w:rsidR="00DA50A5">
        <w:rPr>
          <w:rFonts w:ascii="Arial" w:eastAsia="Times New Roman" w:hAnsi="Arial" w:cs="Times New Roman"/>
          <w:b/>
          <w:iCs/>
          <w:noProof/>
          <w:sz w:val="20"/>
          <w:szCs w:val="18"/>
          <w:highlight w:val="yellow"/>
          <w:lang w:val="es-CO" w:eastAsia="es-ES"/>
        </w:rPr>
        <w:t>8</w:t>
      </w:r>
      <w:r w:rsidR="00DA50A5">
        <w:rPr>
          <w:rFonts w:ascii="Arial" w:eastAsia="Times New Roman" w:hAnsi="Arial" w:cs="Times New Roman"/>
          <w:b/>
          <w:iCs/>
          <w:sz w:val="20"/>
          <w:szCs w:val="18"/>
          <w:highlight w:val="yellow"/>
          <w:lang w:val="es-CO" w:eastAsia="es-ES"/>
        </w:rPr>
        <w:fldChar w:fldCharType="end"/>
      </w:r>
      <w:r w:rsidR="00DA50A5">
        <w:rPr>
          <w:rFonts w:ascii="Arial" w:eastAsia="Times New Roman" w:hAnsi="Arial" w:cs="Times New Roman"/>
          <w:b/>
          <w:iCs/>
          <w:sz w:val="20"/>
          <w:szCs w:val="18"/>
          <w:highlight w:val="yellow"/>
          <w:lang w:val="es-CO" w:eastAsia="es-ES"/>
        </w:rPr>
        <w:noBreakHyphen/>
      </w:r>
      <w:r w:rsidR="00DA50A5">
        <w:rPr>
          <w:rFonts w:ascii="Arial" w:eastAsia="Times New Roman" w:hAnsi="Arial" w:cs="Times New Roman"/>
          <w:b/>
          <w:iCs/>
          <w:sz w:val="20"/>
          <w:szCs w:val="18"/>
          <w:highlight w:val="yellow"/>
          <w:lang w:val="es-CO" w:eastAsia="es-ES"/>
        </w:rPr>
        <w:fldChar w:fldCharType="begin"/>
      </w:r>
      <w:r w:rsidR="00DA50A5">
        <w:rPr>
          <w:rFonts w:ascii="Arial" w:eastAsia="Times New Roman" w:hAnsi="Arial" w:cs="Times New Roman"/>
          <w:b/>
          <w:iCs/>
          <w:sz w:val="20"/>
          <w:szCs w:val="18"/>
          <w:highlight w:val="yellow"/>
          <w:lang w:val="es-CO" w:eastAsia="es-ES"/>
        </w:rPr>
        <w:instrText xml:space="preserve"> SEQ Gráfica \* ARABIC \s 1 </w:instrText>
      </w:r>
      <w:r w:rsidR="00DA50A5">
        <w:rPr>
          <w:rFonts w:ascii="Arial" w:eastAsia="Times New Roman" w:hAnsi="Arial" w:cs="Times New Roman"/>
          <w:b/>
          <w:iCs/>
          <w:sz w:val="20"/>
          <w:szCs w:val="18"/>
          <w:highlight w:val="yellow"/>
          <w:lang w:val="es-CO" w:eastAsia="es-ES"/>
        </w:rPr>
        <w:fldChar w:fldCharType="separate"/>
      </w:r>
      <w:r w:rsidR="00DA50A5">
        <w:rPr>
          <w:rFonts w:ascii="Arial" w:eastAsia="Times New Roman" w:hAnsi="Arial" w:cs="Times New Roman"/>
          <w:b/>
          <w:iCs/>
          <w:noProof/>
          <w:sz w:val="20"/>
          <w:szCs w:val="18"/>
          <w:highlight w:val="yellow"/>
          <w:lang w:val="es-CO" w:eastAsia="es-ES"/>
        </w:rPr>
        <w:t>2</w:t>
      </w:r>
      <w:r w:rsidR="00DA50A5">
        <w:rPr>
          <w:rFonts w:ascii="Arial" w:eastAsia="Times New Roman" w:hAnsi="Arial" w:cs="Times New Roman"/>
          <w:b/>
          <w:iCs/>
          <w:sz w:val="20"/>
          <w:szCs w:val="18"/>
          <w:highlight w:val="yellow"/>
          <w:lang w:val="es-CO" w:eastAsia="es-ES"/>
        </w:rPr>
        <w:fldChar w:fldCharType="end"/>
      </w:r>
      <w:bookmarkEnd w:id="363"/>
      <w:r w:rsidRPr="00014160">
        <w:rPr>
          <w:rFonts w:ascii="Arial" w:eastAsia="Times New Roman" w:hAnsi="Arial" w:cs="Times New Roman"/>
          <w:b/>
          <w:iCs/>
          <w:sz w:val="20"/>
          <w:szCs w:val="18"/>
          <w:highlight w:val="yellow"/>
          <w:lang w:val="es-CO" w:eastAsia="es-ES"/>
        </w:rPr>
        <w:t xml:space="preserve">. </w:t>
      </w:r>
      <w:r w:rsidRPr="0053107F">
        <w:rPr>
          <w:rFonts w:ascii="Arial" w:eastAsia="Times New Roman" w:hAnsi="Arial" w:cs="Times New Roman"/>
          <w:iCs/>
          <w:sz w:val="20"/>
          <w:szCs w:val="18"/>
          <w:lang w:val="es-CO" w:eastAsia="es-ES"/>
        </w:rPr>
        <w:t>Perspectiva Corto Plazo IP Carbón</w:t>
      </w:r>
      <w:bookmarkEnd w:id="364"/>
      <w:bookmarkEnd w:id="365"/>
      <w:bookmarkEnd w:id="366"/>
    </w:p>
    <w:p w14:paraId="4B4B55FF" w14:textId="77777777" w:rsidR="00914134" w:rsidRPr="007E23C5" w:rsidRDefault="00914134" w:rsidP="00914134">
      <w:pPr>
        <w:jc w:val="center"/>
        <w:rPr>
          <w:rFonts w:asciiTheme="majorHAnsi" w:hAnsiTheme="majorHAnsi"/>
          <w:b/>
          <w:iCs/>
          <w:color w:val="002060"/>
          <w:highlight w:val="yellow"/>
        </w:rPr>
      </w:pPr>
      <w:r w:rsidRPr="00014160">
        <w:rPr>
          <w:noProof/>
          <w:lang w:val="es-ES" w:eastAsia="es-ES"/>
        </w:rPr>
        <w:drawing>
          <wp:inline distT="0" distB="0" distL="0" distR="0" wp14:anchorId="363284DF" wp14:editId="4B202837">
            <wp:extent cx="5398770" cy="3270885"/>
            <wp:effectExtent l="0" t="0" r="0" b="5715"/>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98770" cy="3270885"/>
                    </a:xfrm>
                    <a:prstGeom prst="rect">
                      <a:avLst/>
                    </a:prstGeom>
                    <a:noFill/>
                    <a:ln>
                      <a:noFill/>
                    </a:ln>
                  </pic:spPr>
                </pic:pic>
              </a:graphicData>
            </a:graphic>
          </wp:inline>
        </w:drawing>
      </w:r>
    </w:p>
    <w:p w14:paraId="242EFD2B" w14:textId="7E642092" w:rsidR="00914134" w:rsidRPr="007E23C5" w:rsidRDefault="00914134" w:rsidP="00914134">
      <w:pPr>
        <w:ind w:right="-62"/>
        <w:jc w:val="center"/>
        <w:rPr>
          <w:rFonts w:cs="Arial"/>
          <w:color w:val="000000" w:themeColor="text1"/>
          <w:sz w:val="16"/>
          <w:highlight w:val="yellow"/>
        </w:rPr>
      </w:pPr>
      <w:r w:rsidRPr="00AD302D">
        <w:rPr>
          <w:rFonts w:ascii="Arial" w:hAnsi="Arial" w:cs="Arial"/>
          <w:b/>
          <w:color w:val="000000" w:themeColor="text1"/>
          <w:sz w:val="16"/>
        </w:rPr>
        <w:t>Fuente:</w:t>
      </w:r>
      <w:r w:rsidRPr="00AD302D">
        <w:rPr>
          <w:rFonts w:ascii="Arial" w:hAnsi="Arial" w:cs="Arial"/>
          <w:color w:val="000000" w:themeColor="text1"/>
          <w:sz w:val="16"/>
        </w:rPr>
        <w:t xml:space="preserve"> </w:t>
      </w:r>
      <w:r w:rsidRPr="00511E00">
        <w:rPr>
          <w:rFonts w:ascii="Arial" w:hAnsi="Arial" w:cs="Arial"/>
          <w:color w:val="000000" w:themeColor="text1"/>
          <w:sz w:val="16"/>
        </w:rPr>
        <w:t>Generadores Térmicos</w:t>
      </w:r>
      <w:r w:rsidRPr="00014160">
        <w:rPr>
          <w:rFonts w:ascii="Arial" w:hAnsi="Arial" w:cs="Arial"/>
          <w:color w:val="000000" w:themeColor="text1"/>
          <w:sz w:val="16"/>
          <w:highlight w:val="yellow"/>
        </w:rPr>
        <w:t>, EIA</w:t>
      </w:r>
      <w:r w:rsidR="00AD302D">
        <w:rPr>
          <w:rFonts w:ascii="Arial" w:hAnsi="Arial" w:cs="Arial"/>
          <w:color w:val="000000" w:themeColor="text1"/>
          <w:sz w:val="16"/>
          <w:highlight w:val="yellow"/>
        </w:rPr>
        <w:t xml:space="preserve"> </w:t>
      </w:r>
      <w:r w:rsidR="00AD302D">
        <w:rPr>
          <w:rFonts w:ascii="Arial" w:hAnsi="Arial" w:cs="Arial"/>
          <w:color w:val="000000" w:themeColor="text1"/>
          <w:sz w:val="16"/>
          <w:highlight w:val="yellow"/>
        </w:rPr>
        <w:fldChar w:fldCharType="begin"/>
      </w:r>
      <w:r w:rsidR="00AD302D">
        <w:rPr>
          <w:rFonts w:ascii="Arial" w:hAnsi="Arial" w:cs="Arial"/>
          <w:color w:val="000000" w:themeColor="text1"/>
          <w:sz w:val="16"/>
          <w:highlight w:val="yellow"/>
        </w:rPr>
        <w:instrText xml:space="preserve"> REF _Ref529881201 \r \h  \* MERGEFORMAT </w:instrText>
      </w:r>
      <w:r w:rsidR="00AD302D">
        <w:rPr>
          <w:rFonts w:ascii="Arial" w:hAnsi="Arial" w:cs="Arial"/>
          <w:color w:val="000000" w:themeColor="text1"/>
          <w:sz w:val="16"/>
          <w:highlight w:val="yellow"/>
        </w:rPr>
      </w:r>
      <w:r w:rsidR="00AD302D">
        <w:rPr>
          <w:rFonts w:ascii="Arial" w:hAnsi="Arial" w:cs="Arial"/>
          <w:color w:val="000000" w:themeColor="text1"/>
          <w:sz w:val="16"/>
          <w:highlight w:val="yellow"/>
        </w:rPr>
        <w:fldChar w:fldCharType="separate"/>
      </w:r>
      <w:r w:rsidR="00915705">
        <w:rPr>
          <w:rFonts w:ascii="Arial" w:hAnsi="Arial" w:cs="Arial"/>
          <w:color w:val="000000" w:themeColor="text1"/>
          <w:sz w:val="16"/>
          <w:highlight w:val="yellow"/>
        </w:rPr>
        <w:t>[6]</w:t>
      </w:r>
      <w:r w:rsidR="00AD302D">
        <w:rPr>
          <w:rFonts w:ascii="Arial" w:hAnsi="Arial" w:cs="Arial"/>
          <w:color w:val="000000" w:themeColor="text1"/>
          <w:sz w:val="16"/>
          <w:highlight w:val="yellow"/>
        </w:rPr>
        <w:fldChar w:fldCharType="end"/>
      </w:r>
      <w:r w:rsidRPr="00014160">
        <w:rPr>
          <w:rFonts w:ascii="Arial" w:hAnsi="Arial" w:cs="Arial"/>
          <w:color w:val="000000" w:themeColor="text1"/>
          <w:sz w:val="16"/>
          <w:highlight w:val="yellow"/>
        </w:rPr>
        <w:t xml:space="preserve"> y UPME</w:t>
      </w:r>
      <w:r w:rsidRPr="007E23C5">
        <w:rPr>
          <w:rFonts w:cs="Arial"/>
          <w:color w:val="000000" w:themeColor="text1"/>
          <w:sz w:val="16"/>
          <w:highlight w:val="yellow"/>
        </w:rPr>
        <w:t>.</w:t>
      </w:r>
    </w:p>
    <w:p w14:paraId="39B312D1" w14:textId="62E0D970" w:rsidR="00914134" w:rsidRPr="006740B7" w:rsidRDefault="00914134" w:rsidP="00914134">
      <w:pPr>
        <w:spacing w:before="240" w:after="240" w:line="276" w:lineRule="auto"/>
        <w:jc w:val="both"/>
        <w:rPr>
          <w:rFonts w:ascii="Arial" w:hAnsi="Arial" w:cs="Arial"/>
          <w:sz w:val="22"/>
          <w:highlight w:val="yellow"/>
        </w:rPr>
      </w:pPr>
      <w:r w:rsidRPr="00753E24">
        <w:rPr>
          <w:rFonts w:ascii="Arial" w:hAnsi="Arial" w:cs="Arial"/>
          <w:sz w:val="22"/>
        </w:rPr>
        <w:t xml:space="preserve">Teniendo en cuenta la trayectoria de los precios internos anteriormente descritos y las estimaciones realizadas por el Departamento de Energía de los Estados Unidos para precios de esta fuente con destino a la generación de energía eléctrica, se decidió tomar como índice el </w:t>
      </w:r>
      <w:r w:rsidRPr="00753E24">
        <w:rPr>
          <w:rFonts w:ascii="Arial" w:hAnsi="Arial" w:cs="Arial"/>
          <w:sz w:val="22"/>
        </w:rPr>
        <w:lastRenderedPageBreak/>
        <w:t xml:space="preserve">“Power Generation Fuel Costs – Coal” del STEO de </w:t>
      </w:r>
      <w:r w:rsidR="00753E24" w:rsidRPr="00753E24">
        <w:rPr>
          <w:rFonts w:ascii="Arial" w:hAnsi="Arial" w:cs="Arial"/>
          <w:sz w:val="22"/>
        </w:rPr>
        <w:t>febrero de 2018</w:t>
      </w:r>
      <w:r w:rsidRPr="00753E24">
        <w:rPr>
          <w:rFonts w:ascii="Arial" w:hAnsi="Arial" w:cs="Arial"/>
          <w:sz w:val="22"/>
        </w:rPr>
        <w:t xml:space="preserve"> del DOE-EIA para el corto pla</w:t>
      </w:r>
      <w:r w:rsidRPr="007024CC">
        <w:rPr>
          <w:rFonts w:ascii="Arial" w:hAnsi="Arial" w:cs="Arial"/>
          <w:sz w:val="22"/>
        </w:rPr>
        <w:t>zo, y como largo plazo el com</w:t>
      </w:r>
      <w:r w:rsidR="007024CC" w:rsidRPr="007024CC">
        <w:rPr>
          <w:rFonts w:ascii="Arial" w:hAnsi="Arial" w:cs="Arial"/>
          <w:sz w:val="22"/>
        </w:rPr>
        <w:t>portamiento del carbón emitido</w:t>
      </w:r>
      <w:r w:rsidRPr="007024CC">
        <w:rPr>
          <w:rFonts w:ascii="Arial" w:hAnsi="Arial" w:cs="Arial"/>
          <w:sz w:val="22"/>
        </w:rPr>
        <w:t xml:space="preserve"> por </w:t>
      </w:r>
      <w:r w:rsidR="007024CC" w:rsidRPr="007024CC">
        <w:rPr>
          <w:rFonts w:ascii="Arial" w:hAnsi="Arial" w:cs="Arial"/>
          <w:sz w:val="22"/>
        </w:rPr>
        <w:t xml:space="preserve">Wood Mackenzie en su servicio de </w:t>
      </w:r>
      <w:r w:rsidR="007024CC">
        <w:rPr>
          <w:rFonts w:ascii="Arial" w:hAnsi="Arial" w:cs="Arial"/>
          <w:sz w:val="22"/>
        </w:rPr>
        <w:t>“</w:t>
      </w:r>
      <w:r w:rsidR="007024CC" w:rsidRPr="007024CC">
        <w:rPr>
          <w:rFonts w:ascii="Arial" w:hAnsi="Arial" w:cs="Arial"/>
          <w:sz w:val="22"/>
        </w:rPr>
        <w:t>Coal Market Service”</w:t>
      </w:r>
      <w:r w:rsidR="007E30BB">
        <w:rPr>
          <w:rFonts w:ascii="Arial" w:hAnsi="Arial" w:cs="Arial"/>
          <w:sz w:val="22"/>
        </w:rPr>
        <w:t>.</w:t>
      </w:r>
      <w:r w:rsidR="007024CC" w:rsidRPr="007024CC">
        <w:rPr>
          <w:rFonts w:ascii="Arial" w:hAnsi="Arial" w:cs="Arial"/>
          <w:sz w:val="22"/>
        </w:rPr>
        <w:t xml:space="preserve"> </w:t>
      </w:r>
      <w:r w:rsidRPr="007024CC">
        <w:rPr>
          <w:rFonts w:ascii="Arial" w:hAnsi="Arial" w:cs="Arial"/>
          <w:sz w:val="22"/>
        </w:rPr>
        <w:t>Lo anterior como referencia para el cálculo de los precios de exportación correspondiente a Puerto Bolívar y para generar los escenarios de carbón de la</w:t>
      </w:r>
      <w:r w:rsidRPr="006740B7">
        <w:rPr>
          <w:rFonts w:ascii="Arial" w:hAnsi="Arial" w:cs="Arial"/>
          <w:sz w:val="22"/>
          <w:highlight w:val="yellow"/>
        </w:rPr>
        <w:t xml:space="preserve"> </w:t>
      </w:r>
      <w:r w:rsidRPr="00014160">
        <w:rPr>
          <w:rFonts w:ascii="Arial" w:hAnsi="Arial" w:cs="Arial"/>
          <w:sz w:val="22"/>
          <w:szCs w:val="22"/>
          <w:highlight w:val="yellow"/>
        </w:rPr>
        <w:fldChar w:fldCharType="begin"/>
      </w:r>
      <w:r w:rsidRPr="00014160">
        <w:rPr>
          <w:rFonts w:ascii="Arial" w:hAnsi="Arial" w:cs="Arial"/>
          <w:sz w:val="22"/>
          <w:szCs w:val="22"/>
          <w:highlight w:val="yellow"/>
        </w:rPr>
        <w:instrText xml:space="preserve"> REF _Ref529264682 \h  \* MERGEFORMAT </w:instrText>
      </w:r>
      <w:r w:rsidRPr="00014160">
        <w:rPr>
          <w:rFonts w:ascii="Arial" w:hAnsi="Arial" w:cs="Arial"/>
          <w:sz w:val="22"/>
          <w:szCs w:val="22"/>
          <w:highlight w:val="yellow"/>
        </w:rPr>
      </w:r>
      <w:r w:rsidRPr="00014160">
        <w:rPr>
          <w:rFonts w:ascii="Arial" w:hAnsi="Arial" w:cs="Arial"/>
          <w:sz w:val="22"/>
          <w:szCs w:val="22"/>
          <w:highlight w:val="yellow"/>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8</w:t>
      </w:r>
      <w:r w:rsidR="00915705" w:rsidRPr="00915705">
        <w:rPr>
          <w:rFonts w:ascii="Arial" w:hAnsi="Arial" w:cs="Arial"/>
          <w:noProof/>
          <w:sz w:val="22"/>
          <w:szCs w:val="22"/>
          <w:highlight w:val="yellow"/>
        </w:rPr>
        <w:noBreakHyphen/>
        <w:t>3</w:t>
      </w:r>
      <w:r w:rsidRPr="00014160">
        <w:rPr>
          <w:rFonts w:ascii="Arial" w:hAnsi="Arial" w:cs="Arial"/>
          <w:sz w:val="22"/>
          <w:szCs w:val="22"/>
          <w:highlight w:val="yellow"/>
        </w:rPr>
        <w:fldChar w:fldCharType="end"/>
      </w:r>
      <w:r w:rsidRPr="006740B7">
        <w:rPr>
          <w:rFonts w:ascii="Arial" w:hAnsi="Arial" w:cs="Arial"/>
          <w:sz w:val="22"/>
          <w:highlight w:val="yellow"/>
        </w:rPr>
        <w:t>.</w:t>
      </w:r>
    </w:p>
    <w:p w14:paraId="25E5BE9C" w14:textId="094EFD5D" w:rsidR="00914134" w:rsidRPr="006E4403" w:rsidRDefault="00914134" w:rsidP="00914134">
      <w:pPr>
        <w:pStyle w:val="Descripcin"/>
        <w:keepNext/>
        <w:spacing w:after="0"/>
        <w:jc w:val="center"/>
        <w:rPr>
          <w:i w:val="0"/>
          <w:color w:val="auto"/>
          <w:sz w:val="20"/>
        </w:rPr>
      </w:pPr>
      <w:bookmarkStart w:id="367" w:name="_Ref529264682"/>
      <w:bookmarkStart w:id="368" w:name="_Toc530033442"/>
      <w:r w:rsidRPr="006E4403">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8</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3</w:t>
      </w:r>
      <w:r w:rsidR="00DA50A5">
        <w:rPr>
          <w:b/>
          <w:i w:val="0"/>
          <w:color w:val="auto"/>
          <w:sz w:val="20"/>
          <w:highlight w:val="yellow"/>
        </w:rPr>
        <w:fldChar w:fldCharType="end"/>
      </w:r>
      <w:bookmarkEnd w:id="367"/>
      <w:r w:rsidRPr="006E4403">
        <w:rPr>
          <w:b/>
          <w:i w:val="0"/>
          <w:color w:val="auto"/>
          <w:sz w:val="20"/>
          <w:highlight w:val="yellow"/>
        </w:rPr>
        <w:t xml:space="preserve">. </w:t>
      </w:r>
      <w:r w:rsidRPr="006E4403">
        <w:rPr>
          <w:i w:val="0"/>
          <w:color w:val="auto"/>
          <w:sz w:val="20"/>
        </w:rPr>
        <w:t>Proyección por escenarios del ingreso al productor de carbón colombiano</w:t>
      </w:r>
      <w:bookmarkEnd w:id="368"/>
    </w:p>
    <w:p w14:paraId="79CE229C" w14:textId="77777777" w:rsidR="00914134" w:rsidRDefault="00914134" w:rsidP="00914134">
      <w:pPr>
        <w:jc w:val="center"/>
        <w:rPr>
          <w:highlight w:val="yellow"/>
        </w:rPr>
      </w:pPr>
      <w:r w:rsidRPr="00014160">
        <w:rPr>
          <w:noProof/>
          <w:lang w:val="es-ES" w:eastAsia="es-ES"/>
        </w:rPr>
        <w:drawing>
          <wp:inline distT="0" distB="0" distL="0" distR="0" wp14:anchorId="2BB3B194" wp14:editId="27B04E50">
            <wp:extent cx="5406571" cy="3240000"/>
            <wp:effectExtent l="0" t="0" r="3810" b="0"/>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06571" cy="3240000"/>
                    </a:xfrm>
                    <a:prstGeom prst="rect">
                      <a:avLst/>
                    </a:prstGeom>
                    <a:noFill/>
                    <a:ln>
                      <a:noFill/>
                    </a:ln>
                  </pic:spPr>
                </pic:pic>
              </a:graphicData>
            </a:graphic>
          </wp:inline>
        </w:drawing>
      </w:r>
    </w:p>
    <w:p w14:paraId="7412C6DC" w14:textId="229FA994" w:rsidR="00914134" w:rsidRPr="003E0661" w:rsidRDefault="00914134" w:rsidP="00914134">
      <w:pPr>
        <w:spacing w:line="276" w:lineRule="auto"/>
        <w:ind w:right="-62"/>
        <w:jc w:val="center"/>
        <w:rPr>
          <w:rFonts w:ascii="Arial" w:hAnsi="Arial" w:cs="Arial"/>
          <w:b/>
          <w:color w:val="000000" w:themeColor="text1"/>
          <w:sz w:val="16"/>
        </w:rPr>
      </w:pPr>
      <w:r w:rsidRPr="003E0661">
        <w:rPr>
          <w:rFonts w:ascii="Arial" w:hAnsi="Arial" w:cs="Arial"/>
          <w:b/>
          <w:color w:val="000000" w:themeColor="text1"/>
          <w:sz w:val="16"/>
        </w:rPr>
        <w:t xml:space="preserve">Fuente: </w:t>
      </w:r>
      <w:r w:rsidRPr="003E0661">
        <w:rPr>
          <w:rFonts w:ascii="Arial" w:hAnsi="Arial" w:cs="Arial"/>
          <w:color w:val="000000" w:themeColor="text1"/>
          <w:sz w:val="16"/>
          <w:highlight w:val="red"/>
        </w:rPr>
        <w:t>Generadores Térmicos</w:t>
      </w:r>
      <w:r w:rsidRPr="003E0661">
        <w:rPr>
          <w:rFonts w:ascii="Arial" w:hAnsi="Arial" w:cs="Arial"/>
          <w:color w:val="000000" w:themeColor="text1"/>
          <w:sz w:val="16"/>
        </w:rPr>
        <w:t>, EIA</w:t>
      </w:r>
      <w:r w:rsidR="003E0661">
        <w:rPr>
          <w:rFonts w:ascii="Arial" w:hAnsi="Arial" w:cs="Arial"/>
          <w:color w:val="000000" w:themeColor="text1"/>
          <w:sz w:val="16"/>
        </w:rPr>
        <w:t xml:space="preserve"> </w:t>
      </w:r>
      <w:r w:rsidR="003E0661">
        <w:rPr>
          <w:rFonts w:ascii="Arial" w:hAnsi="Arial" w:cs="Arial"/>
          <w:color w:val="000000" w:themeColor="text1"/>
          <w:sz w:val="16"/>
        </w:rPr>
        <w:fldChar w:fldCharType="begin"/>
      </w:r>
      <w:r w:rsidR="003E0661">
        <w:rPr>
          <w:rFonts w:ascii="Arial" w:hAnsi="Arial" w:cs="Arial"/>
          <w:color w:val="000000" w:themeColor="text1"/>
          <w:sz w:val="16"/>
        </w:rPr>
        <w:instrText xml:space="preserve"> REF _Ref529881539 \r \h </w:instrText>
      </w:r>
      <w:r w:rsidR="003E0661">
        <w:rPr>
          <w:rFonts w:ascii="Arial" w:hAnsi="Arial" w:cs="Arial"/>
          <w:color w:val="000000" w:themeColor="text1"/>
          <w:sz w:val="16"/>
        </w:rPr>
      </w:r>
      <w:r w:rsidR="003E0661">
        <w:rPr>
          <w:rFonts w:ascii="Arial" w:hAnsi="Arial" w:cs="Arial"/>
          <w:color w:val="000000" w:themeColor="text1"/>
          <w:sz w:val="16"/>
        </w:rPr>
        <w:fldChar w:fldCharType="separate"/>
      </w:r>
      <w:r w:rsidR="00915705">
        <w:rPr>
          <w:rFonts w:ascii="Arial" w:hAnsi="Arial" w:cs="Arial"/>
          <w:color w:val="000000" w:themeColor="text1"/>
          <w:sz w:val="16"/>
        </w:rPr>
        <w:t>[11]</w:t>
      </w:r>
      <w:r w:rsidR="003E0661">
        <w:rPr>
          <w:rFonts w:ascii="Arial" w:hAnsi="Arial" w:cs="Arial"/>
          <w:color w:val="000000" w:themeColor="text1"/>
          <w:sz w:val="16"/>
        </w:rPr>
        <w:fldChar w:fldCharType="end"/>
      </w:r>
      <w:r w:rsidR="003E0661">
        <w:rPr>
          <w:rFonts w:ascii="Arial" w:hAnsi="Arial" w:cs="Arial"/>
          <w:color w:val="000000" w:themeColor="text1"/>
          <w:sz w:val="16"/>
        </w:rPr>
        <w:t>, BM</w:t>
      </w:r>
      <w:r w:rsidR="003E0661">
        <w:rPr>
          <w:rFonts w:ascii="Arial" w:hAnsi="Arial" w:cs="Arial"/>
          <w:color w:val="000000" w:themeColor="text1"/>
          <w:sz w:val="16"/>
        </w:rPr>
        <w:fldChar w:fldCharType="begin"/>
      </w:r>
      <w:r w:rsidR="003E0661">
        <w:rPr>
          <w:rFonts w:ascii="Arial" w:hAnsi="Arial" w:cs="Arial"/>
          <w:color w:val="000000" w:themeColor="text1"/>
          <w:sz w:val="16"/>
        </w:rPr>
        <w:instrText xml:space="preserve"> REF _Ref529884169 \r \h </w:instrText>
      </w:r>
      <w:r w:rsidR="003E0661">
        <w:rPr>
          <w:rFonts w:ascii="Arial" w:hAnsi="Arial" w:cs="Arial"/>
          <w:color w:val="000000" w:themeColor="text1"/>
          <w:sz w:val="16"/>
        </w:rPr>
      </w:r>
      <w:r w:rsidR="003E0661">
        <w:rPr>
          <w:rFonts w:ascii="Arial" w:hAnsi="Arial" w:cs="Arial"/>
          <w:color w:val="000000" w:themeColor="text1"/>
          <w:sz w:val="16"/>
        </w:rPr>
        <w:fldChar w:fldCharType="separate"/>
      </w:r>
      <w:r w:rsidR="00915705">
        <w:rPr>
          <w:rFonts w:ascii="Arial" w:hAnsi="Arial" w:cs="Arial"/>
          <w:color w:val="000000" w:themeColor="text1"/>
          <w:sz w:val="16"/>
        </w:rPr>
        <w:t>[22]</w:t>
      </w:r>
      <w:r w:rsidR="003E0661">
        <w:rPr>
          <w:rFonts w:ascii="Arial" w:hAnsi="Arial" w:cs="Arial"/>
          <w:color w:val="000000" w:themeColor="text1"/>
          <w:sz w:val="16"/>
        </w:rPr>
        <w:fldChar w:fldCharType="end"/>
      </w:r>
      <w:r w:rsidR="003E0661">
        <w:rPr>
          <w:rFonts w:ascii="Arial" w:hAnsi="Arial" w:cs="Arial"/>
          <w:color w:val="000000" w:themeColor="text1"/>
          <w:sz w:val="16"/>
        </w:rPr>
        <w:t xml:space="preserve">, </w:t>
      </w:r>
      <w:r w:rsidRPr="003E0661">
        <w:rPr>
          <w:rFonts w:ascii="Arial" w:hAnsi="Arial" w:cs="Arial"/>
          <w:color w:val="000000" w:themeColor="text1"/>
          <w:sz w:val="16"/>
        </w:rPr>
        <w:t>UPME.</w:t>
      </w:r>
    </w:p>
    <w:p w14:paraId="0F63E06F" w14:textId="0DA364E2" w:rsidR="00914134" w:rsidRPr="00014160" w:rsidRDefault="00914134" w:rsidP="00914134">
      <w:pPr>
        <w:pStyle w:val="Descripcin"/>
        <w:spacing w:after="0"/>
        <w:jc w:val="center"/>
        <w:rPr>
          <w:b/>
          <w:i w:val="0"/>
          <w:color w:val="auto"/>
          <w:sz w:val="20"/>
          <w:highlight w:val="yellow"/>
        </w:rPr>
      </w:pPr>
      <w:bookmarkStart w:id="369" w:name="_Ref445715541"/>
      <w:bookmarkStart w:id="370" w:name="_Ref499806648"/>
      <w:bookmarkStart w:id="371" w:name="_Toc403641033"/>
      <w:bookmarkStart w:id="372" w:name="_Toc403641272"/>
      <w:bookmarkStart w:id="373" w:name="_Toc403641428"/>
      <w:bookmarkStart w:id="374" w:name="_Toc403641980"/>
      <w:bookmarkStart w:id="375" w:name="_Toc403642030"/>
      <w:bookmarkStart w:id="376" w:name="_Toc447098024"/>
      <w:bookmarkStart w:id="377" w:name="_Toc499799397"/>
      <w:bookmarkStart w:id="378" w:name="_Toc530033443"/>
      <w:r w:rsidRPr="00014160">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8</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4</w:t>
      </w:r>
      <w:r w:rsidR="00DA50A5">
        <w:rPr>
          <w:b/>
          <w:i w:val="0"/>
          <w:color w:val="auto"/>
          <w:sz w:val="20"/>
          <w:highlight w:val="yellow"/>
        </w:rPr>
        <w:fldChar w:fldCharType="end"/>
      </w:r>
      <w:bookmarkEnd w:id="369"/>
      <w:bookmarkEnd w:id="370"/>
      <w:r w:rsidRPr="00014160">
        <w:rPr>
          <w:i w:val="0"/>
          <w:color w:val="auto"/>
          <w:sz w:val="20"/>
        </w:rPr>
        <w:t xml:space="preserve">. Proyecciones del precio de referencia del carbón para </w:t>
      </w:r>
      <w:bookmarkEnd w:id="371"/>
      <w:bookmarkEnd w:id="372"/>
      <w:bookmarkEnd w:id="373"/>
      <w:bookmarkEnd w:id="374"/>
      <w:bookmarkEnd w:id="375"/>
      <w:bookmarkEnd w:id="376"/>
      <w:r w:rsidRPr="00014160">
        <w:rPr>
          <w:i w:val="0"/>
          <w:color w:val="auto"/>
          <w:sz w:val="20"/>
        </w:rPr>
        <w:t>térmicas</w:t>
      </w:r>
      <w:bookmarkEnd w:id="377"/>
      <w:bookmarkEnd w:id="378"/>
    </w:p>
    <w:p w14:paraId="05A5B534" w14:textId="77777777" w:rsidR="00914134" w:rsidRPr="007E23C5" w:rsidRDefault="00914134" w:rsidP="00914134">
      <w:pPr>
        <w:jc w:val="center"/>
        <w:rPr>
          <w:highlight w:val="yellow"/>
        </w:rPr>
      </w:pPr>
      <w:r w:rsidRPr="00014160">
        <w:rPr>
          <w:noProof/>
          <w:lang w:val="es-ES" w:eastAsia="es-ES"/>
        </w:rPr>
        <w:drawing>
          <wp:inline distT="0" distB="0" distL="0" distR="0" wp14:anchorId="31B91AD8" wp14:editId="2547AAC2">
            <wp:extent cx="5397057" cy="3240000"/>
            <wp:effectExtent l="0" t="0" r="0" b="0"/>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97057" cy="3240000"/>
                    </a:xfrm>
                    <a:prstGeom prst="rect">
                      <a:avLst/>
                    </a:prstGeom>
                    <a:noFill/>
                    <a:ln>
                      <a:noFill/>
                    </a:ln>
                  </pic:spPr>
                </pic:pic>
              </a:graphicData>
            </a:graphic>
          </wp:inline>
        </w:drawing>
      </w:r>
    </w:p>
    <w:p w14:paraId="2E786497" w14:textId="77777777" w:rsidR="003E0661" w:rsidRPr="003E0661" w:rsidRDefault="003E0661" w:rsidP="003E0661">
      <w:pPr>
        <w:spacing w:line="276" w:lineRule="auto"/>
        <w:ind w:right="-62"/>
        <w:jc w:val="center"/>
        <w:rPr>
          <w:rFonts w:ascii="Arial" w:hAnsi="Arial" w:cs="Arial"/>
          <w:b/>
          <w:color w:val="000000" w:themeColor="text1"/>
          <w:sz w:val="16"/>
        </w:rPr>
      </w:pPr>
      <w:r w:rsidRPr="003E0661">
        <w:rPr>
          <w:rFonts w:ascii="Arial" w:hAnsi="Arial" w:cs="Arial"/>
          <w:b/>
          <w:color w:val="000000" w:themeColor="text1"/>
          <w:sz w:val="16"/>
        </w:rPr>
        <w:lastRenderedPageBreak/>
        <w:t xml:space="preserve">Fuente: </w:t>
      </w:r>
      <w:r w:rsidRPr="003E0661">
        <w:rPr>
          <w:rFonts w:ascii="Arial" w:hAnsi="Arial" w:cs="Arial"/>
          <w:color w:val="000000" w:themeColor="text1"/>
          <w:sz w:val="16"/>
          <w:highlight w:val="red"/>
        </w:rPr>
        <w:t>Generadores Térmicos</w:t>
      </w:r>
      <w:r w:rsidRPr="003E0661">
        <w:rPr>
          <w:rFonts w:ascii="Arial" w:hAnsi="Arial" w:cs="Arial"/>
          <w:color w:val="000000" w:themeColor="text1"/>
          <w:sz w:val="16"/>
        </w:rPr>
        <w:t>, EIA</w:t>
      </w:r>
      <w:r>
        <w:rPr>
          <w:rFonts w:ascii="Arial" w:hAnsi="Arial" w:cs="Arial"/>
          <w:color w:val="000000" w:themeColor="text1"/>
          <w:sz w:val="16"/>
        </w:rPr>
        <w:t xml:space="preserve"> </w:t>
      </w:r>
      <w:r>
        <w:rPr>
          <w:rFonts w:ascii="Arial" w:hAnsi="Arial" w:cs="Arial"/>
          <w:color w:val="000000" w:themeColor="text1"/>
          <w:sz w:val="16"/>
        </w:rPr>
        <w:fldChar w:fldCharType="begin"/>
      </w:r>
      <w:r>
        <w:rPr>
          <w:rFonts w:ascii="Arial" w:hAnsi="Arial" w:cs="Arial"/>
          <w:color w:val="000000" w:themeColor="text1"/>
          <w:sz w:val="16"/>
        </w:rPr>
        <w:instrText xml:space="preserve"> REF _Ref529881539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[11]</w:t>
      </w:r>
      <w:r>
        <w:rPr>
          <w:rFonts w:ascii="Arial" w:hAnsi="Arial" w:cs="Arial"/>
          <w:color w:val="000000" w:themeColor="text1"/>
          <w:sz w:val="16"/>
        </w:rPr>
        <w:fldChar w:fldCharType="end"/>
      </w:r>
      <w:r>
        <w:rPr>
          <w:rFonts w:ascii="Arial" w:hAnsi="Arial" w:cs="Arial"/>
          <w:color w:val="000000" w:themeColor="text1"/>
          <w:sz w:val="16"/>
        </w:rPr>
        <w:t>, BM</w:t>
      </w:r>
      <w:r>
        <w:rPr>
          <w:rFonts w:ascii="Arial" w:hAnsi="Arial" w:cs="Arial"/>
          <w:color w:val="000000" w:themeColor="text1"/>
          <w:sz w:val="16"/>
        </w:rPr>
        <w:fldChar w:fldCharType="begin"/>
      </w:r>
      <w:r>
        <w:rPr>
          <w:rFonts w:ascii="Arial" w:hAnsi="Arial" w:cs="Arial"/>
          <w:color w:val="000000" w:themeColor="text1"/>
          <w:sz w:val="16"/>
        </w:rPr>
        <w:instrText xml:space="preserve"> REF _Ref529884169 \r \h </w:instrText>
      </w:r>
      <w:r>
        <w:rPr>
          <w:rFonts w:ascii="Arial" w:hAnsi="Arial" w:cs="Arial"/>
          <w:color w:val="000000" w:themeColor="text1"/>
          <w:sz w:val="16"/>
        </w:rPr>
      </w:r>
      <w:r>
        <w:rPr>
          <w:rFonts w:ascii="Arial" w:hAnsi="Arial" w:cs="Arial"/>
          <w:color w:val="000000" w:themeColor="text1"/>
          <w:sz w:val="16"/>
        </w:rPr>
        <w:fldChar w:fldCharType="separate"/>
      </w:r>
      <w:r w:rsidR="00915705">
        <w:rPr>
          <w:rFonts w:ascii="Arial" w:hAnsi="Arial" w:cs="Arial"/>
          <w:color w:val="000000" w:themeColor="text1"/>
          <w:sz w:val="16"/>
        </w:rPr>
        <w:t>[22]</w:t>
      </w:r>
      <w:r>
        <w:rPr>
          <w:rFonts w:ascii="Arial" w:hAnsi="Arial" w:cs="Arial"/>
          <w:color w:val="000000" w:themeColor="text1"/>
          <w:sz w:val="16"/>
        </w:rPr>
        <w:fldChar w:fldCharType="end"/>
      </w:r>
      <w:r>
        <w:rPr>
          <w:rFonts w:ascii="Arial" w:hAnsi="Arial" w:cs="Arial"/>
          <w:color w:val="000000" w:themeColor="text1"/>
          <w:sz w:val="16"/>
        </w:rPr>
        <w:t xml:space="preserve">, </w:t>
      </w:r>
      <w:r w:rsidRPr="003E0661">
        <w:rPr>
          <w:rFonts w:ascii="Arial" w:hAnsi="Arial" w:cs="Arial"/>
          <w:color w:val="000000" w:themeColor="text1"/>
          <w:sz w:val="16"/>
        </w:rPr>
        <w:t>UPME.</w:t>
      </w:r>
    </w:p>
    <w:p w14:paraId="4EE854B4" w14:textId="77777777" w:rsidR="00914134" w:rsidRPr="006740B7" w:rsidRDefault="00914134" w:rsidP="00914134">
      <w:pPr>
        <w:spacing w:before="240" w:after="240" w:line="276" w:lineRule="auto"/>
        <w:jc w:val="both"/>
        <w:rPr>
          <w:rFonts w:ascii="Arial" w:hAnsi="Arial" w:cs="Arial"/>
          <w:sz w:val="22"/>
          <w:highlight w:val="yellow"/>
        </w:rPr>
      </w:pPr>
      <w:r w:rsidRPr="007E30BB">
        <w:rPr>
          <w:rFonts w:ascii="Arial" w:hAnsi="Arial" w:cs="Arial"/>
          <w:sz w:val="22"/>
        </w:rPr>
        <w:t xml:space="preserve">Para estimar los precios de compra por parte de los generadores se aplicó a cada planta el precio del escenario de referencia tomado de las estimaciones anteriores, y adicionado con un costo de transporte cuyo resultado está presentado en la </w:t>
      </w:r>
      <w:r w:rsidRPr="006740B7">
        <w:rPr>
          <w:rFonts w:ascii="Arial" w:hAnsi="Arial" w:cs="Arial"/>
          <w:sz w:val="22"/>
          <w:highlight w:val="yellow"/>
        </w:rPr>
        <w:fldChar w:fldCharType="begin"/>
      </w:r>
      <w:r w:rsidRPr="006740B7">
        <w:rPr>
          <w:rFonts w:ascii="Arial" w:hAnsi="Arial" w:cs="Arial"/>
          <w:sz w:val="22"/>
          <w:highlight w:val="yellow"/>
        </w:rPr>
        <w:instrText xml:space="preserve"> REF _Ref499806648 \h  \* MERGEFORMAT </w:instrText>
      </w:r>
      <w:r w:rsidRPr="006740B7">
        <w:rPr>
          <w:rFonts w:ascii="Arial" w:hAnsi="Arial" w:cs="Arial"/>
          <w:sz w:val="22"/>
          <w:highlight w:val="yellow"/>
        </w:rPr>
      </w:r>
      <w:r w:rsidRPr="006740B7">
        <w:rPr>
          <w:rFonts w:ascii="Arial" w:hAnsi="Arial" w:cs="Arial"/>
          <w:sz w:val="22"/>
          <w:highlight w:val="yellow"/>
        </w:rPr>
        <w:fldChar w:fldCharType="separate"/>
      </w:r>
      <w:r w:rsidR="00915705" w:rsidRPr="00915705">
        <w:rPr>
          <w:rFonts w:ascii="Arial" w:hAnsi="Arial" w:cs="Arial"/>
          <w:sz w:val="22"/>
          <w:highlight w:val="yellow"/>
        </w:rPr>
        <w:t>Gráfica 8</w:t>
      </w:r>
      <w:r w:rsidR="00915705" w:rsidRPr="00915705">
        <w:rPr>
          <w:rFonts w:ascii="Arial" w:hAnsi="Arial" w:cs="Arial"/>
          <w:sz w:val="22"/>
          <w:highlight w:val="yellow"/>
        </w:rPr>
        <w:noBreakHyphen/>
        <w:t>4</w:t>
      </w:r>
      <w:r w:rsidRPr="006740B7">
        <w:rPr>
          <w:rFonts w:ascii="Arial" w:hAnsi="Arial" w:cs="Arial"/>
          <w:sz w:val="22"/>
          <w:highlight w:val="yellow"/>
        </w:rPr>
        <w:fldChar w:fldCharType="end"/>
      </w:r>
      <w:r w:rsidRPr="006740B7">
        <w:rPr>
          <w:rFonts w:ascii="Arial" w:hAnsi="Arial" w:cs="Arial"/>
          <w:sz w:val="22"/>
          <w:highlight w:val="yellow"/>
        </w:rPr>
        <w:t>.</w:t>
      </w:r>
    </w:p>
    <w:p w14:paraId="42066EFB" w14:textId="662F70E8" w:rsidR="00914134" w:rsidRPr="00B10F48" w:rsidRDefault="00914134" w:rsidP="00914134">
      <w:pPr>
        <w:spacing w:before="240" w:after="240" w:line="276" w:lineRule="auto"/>
        <w:jc w:val="both"/>
        <w:rPr>
          <w:rFonts w:ascii="Arial" w:hAnsi="Arial" w:cs="Arial"/>
          <w:sz w:val="22"/>
        </w:rPr>
      </w:pPr>
      <w:r w:rsidRPr="00B10F48">
        <w:rPr>
          <w:rFonts w:ascii="Arial" w:hAnsi="Arial" w:cs="Arial"/>
          <w:sz w:val="22"/>
        </w:rPr>
        <w:t xml:space="preserve">Es de anotar que los precios para </w:t>
      </w:r>
      <w:r w:rsidR="007E30BB" w:rsidRPr="00B10F48">
        <w:rPr>
          <w:rFonts w:ascii="Arial" w:hAnsi="Arial" w:cs="Arial"/>
          <w:sz w:val="22"/>
        </w:rPr>
        <w:t>Termo Guajira</w:t>
      </w:r>
      <w:r w:rsidRPr="00B10F48">
        <w:rPr>
          <w:rFonts w:ascii="Arial" w:hAnsi="Arial" w:cs="Arial"/>
          <w:sz w:val="22"/>
        </w:rPr>
        <w:t xml:space="preserve"> son los más altos, mientras que Termo</w:t>
      </w:r>
      <w:r w:rsidR="007E30BB" w:rsidRPr="00B10F48">
        <w:rPr>
          <w:rFonts w:ascii="Arial" w:hAnsi="Arial" w:cs="Arial"/>
          <w:sz w:val="22"/>
        </w:rPr>
        <w:t xml:space="preserve"> Paipa </w:t>
      </w:r>
      <w:r w:rsidRPr="00B10F48">
        <w:rPr>
          <w:rFonts w:ascii="Arial" w:hAnsi="Arial" w:cs="Arial"/>
          <w:sz w:val="22"/>
        </w:rPr>
        <w:t>presentan una estimación de los valores más bajos, sin que ello signifique que sea el carbón colombiano con las mejores o peores características de calidad. Los resultados muestran un rango amplio de precios de carbón para térmicas los cuales van desde los US$ 1.</w:t>
      </w:r>
      <w:r w:rsidR="00B10F48" w:rsidRPr="00B10F48">
        <w:rPr>
          <w:rFonts w:ascii="Arial" w:hAnsi="Arial" w:cs="Arial"/>
          <w:sz w:val="22"/>
        </w:rPr>
        <w:t>34</w:t>
      </w:r>
      <w:r w:rsidRPr="00B10F48">
        <w:rPr>
          <w:rFonts w:ascii="Arial" w:hAnsi="Arial" w:cs="Arial"/>
          <w:sz w:val="22"/>
        </w:rPr>
        <w:t>/M</w:t>
      </w:r>
      <w:r w:rsidR="00835C9C" w:rsidRPr="00B10F48">
        <w:rPr>
          <w:rFonts w:ascii="Arial" w:hAnsi="Arial" w:cs="Arial"/>
          <w:sz w:val="22"/>
        </w:rPr>
        <w:t>M</w:t>
      </w:r>
      <w:r w:rsidRPr="00B10F48">
        <w:rPr>
          <w:rFonts w:ascii="Arial" w:hAnsi="Arial" w:cs="Arial"/>
          <w:sz w:val="22"/>
        </w:rPr>
        <w:t xml:space="preserve">BTU, para el caso de Termopaipa, hasta los US$ </w:t>
      </w:r>
      <w:r w:rsidR="00B10F48" w:rsidRPr="00B10F48">
        <w:rPr>
          <w:rFonts w:ascii="Arial" w:hAnsi="Arial" w:cs="Arial"/>
          <w:sz w:val="22"/>
        </w:rPr>
        <w:t>2</w:t>
      </w:r>
      <w:r w:rsidRPr="00B10F48">
        <w:rPr>
          <w:rFonts w:ascii="Arial" w:hAnsi="Arial" w:cs="Arial"/>
          <w:sz w:val="22"/>
        </w:rPr>
        <w:t>.</w:t>
      </w:r>
      <w:r w:rsidR="00B10F48" w:rsidRPr="00B10F48">
        <w:rPr>
          <w:rFonts w:ascii="Arial" w:hAnsi="Arial" w:cs="Arial"/>
          <w:sz w:val="22"/>
        </w:rPr>
        <w:t>89</w:t>
      </w:r>
      <w:r w:rsidRPr="00B10F48">
        <w:rPr>
          <w:rFonts w:ascii="Arial" w:hAnsi="Arial" w:cs="Arial"/>
          <w:sz w:val="22"/>
        </w:rPr>
        <w:t>/M</w:t>
      </w:r>
      <w:r w:rsidR="00835C9C" w:rsidRPr="00B10F48">
        <w:rPr>
          <w:rFonts w:ascii="Arial" w:hAnsi="Arial" w:cs="Arial"/>
          <w:sz w:val="22"/>
        </w:rPr>
        <w:t>M</w:t>
      </w:r>
      <w:r w:rsidRPr="00B10F48">
        <w:rPr>
          <w:rFonts w:ascii="Arial" w:hAnsi="Arial" w:cs="Arial"/>
          <w:sz w:val="22"/>
        </w:rPr>
        <w:t xml:space="preserve">BTU, para el caso de San </w:t>
      </w:r>
      <w:r w:rsidR="00502898" w:rsidRPr="00B10F48">
        <w:rPr>
          <w:rFonts w:ascii="Arial" w:hAnsi="Arial" w:cs="Arial"/>
          <w:sz w:val="22"/>
        </w:rPr>
        <w:t>Termo Guajira</w:t>
      </w:r>
      <w:r w:rsidRPr="00B10F48">
        <w:rPr>
          <w:rFonts w:ascii="Arial" w:hAnsi="Arial" w:cs="Arial"/>
          <w:sz w:val="22"/>
        </w:rPr>
        <w:t>.</w:t>
      </w:r>
    </w:p>
    <w:p w14:paraId="0BDC7B1D" w14:textId="77777777" w:rsidR="00914134" w:rsidRDefault="00914134" w:rsidP="00914134">
      <w:pPr>
        <w:tabs>
          <w:tab w:val="left" w:pos="1710"/>
        </w:tabs>
        <w:spacing w:before="240" w:after="240" w:line="276" w:lineRule="auto"/>
      </w:pPr>
    </w:p>
    <w:p w14:paraId="246BB88A" w14:textId="77777777" w:rsidR="00914134" w:rsidRPr="004327CD" w:rsidRDefault="00914134" w:rsidP="00914134">
      <w:pPr>
        <w:tabs>
          <w:tab w:val="left" w:pos="1710"/>
        </w:tabs>
        <w:spacing w:before="240" w:after="240" w:line="276" w:lineRule="auto"/>
      </w:pPr>
    </w:p>
    <w:p w14:paraId="53935807" w14:textId="77777777" w:rsidR="00914134" w:rsidRDefault="00914134" w:rsidP="00914134">
      <w:pPr>
        <w:tabs>
          <w:tab w:val="left" w:pos="1710"/>
        </w:tabs>
        <w:spacing w:before="240" w:after="240" w:line="276" w:lineRule="auto"/>
        <w:sectPr w:rsidR="00914134" w:rsidSect="0024531A">
          <w:pgSz w:w="12240" w:h="15840"/>
          <w:pgMar w:top="1985" w:right="1183" w:bottom="1134" w:left="1418" w:header="426" w:footer="851" w:gutter="0"/>
          <w:pgBorders w:offsetFrom="page">
            <w:bottom w:val="single" w:sz="4" w:space="24" w:color="FFFFFF" w:themeColor="background1"/>
          </w:pgBorders>
          <w:cols w:space="720"/>
          <w:formProt w:val="0"/>
          <w:docGrid w:linePitch="360" w:charSpace="-6145"/>
        </w:sectPr>
      </w:pPr>
    </w:p>
    <w:p w14:paraId="56A4F2D6" w14:textId="77777777" w:rsidR="00914134" w:rsidRPr="004327CD" w:rsidRDefault="00914134" w:rsidP="00914134">
      <w:pPr>
        <w:pStyle w:val="Ttulo1"/>
      </w:pPr>
      <w:bookmarkStart w:id="379" w:name="_Toc530045853"/>
      <w:r>
        <w:lastRenderedPageBreak/>
        <w:t>GAS LIQUIADO DEL PETROLEO</w:t>
      </w:r>
      <w:bookmarkEnd w:id="379"/>
    </w:p>
    <w:p w14:paraId="1104E3F8" w14:textId="77777777" w:rsidR="00914134" w:rsidRPr="006740B7" w:rsidRDefault="00914134" w:rsidP="00914134">
      <w:pPr>
        <w:spacing w:before="240" w:after="240" w:line="276" w:lineRule="auto"/>
        <w:jc w:val="both"/>
        <w:rPr>
          <w:rFonts w:ascii="Arial" w:hAnsi="Arial" w:cs="Arial"/>
          <w:sz w:val="22"/>
          <w:szCs w:val="22"/>
        </w:rPr>
      </w:pPr>
      <w:r w:rsidRPr="006740B7">
        <w:rPr>
          <w:rFonts w:ascii="Arial" w:hAnsi="Arial" w:cs="Arial"/>
          <w:sz w:val="22"/>
          <w:szCs w:val="22"/>
        </w:rPr>
        <w:t>Desde el punto de vista regulatorio y con la promulgación de la Ley 142 de 1994, el sector de GLP ha experimentado cambios estructurales delimitados por dos grandes marcos regulatorios. El primero estuvo vigente desde el año 1996 al año 2008, teniendo como base normativa la Resolución CREG 074 de 1996 y en el aspecto tarifario las Resoluciones CREG 083 y 084 de 1997.</w:t>
      </w:r>
    </w:p>
    <w:p w14:paraId="03AA6DF9" w14:textId="77777777" w:rsidR="00914134" w:rsidRPr="006740B7" w:rsidRDefault="00914134" w:rsidP="00914134">
      <w:pPr>
        <w:spacing w:before="240" w:after="240" w:line="276" w:lineRule="auto"/>
        <w:jc w:val="both"/>
        <w:rPr>
          <w:rFonts w:ascii="Arial" w:hAnsi="Arial" w:cs="Arial"/>
          <w:sz w:val="22"/>
          <w:szCs w:val="22"/>
          <w:highlight w:val="yellow"/>
        </w:rPr>
      </w:pPr>
      <w:r w:rsidRPr="006740B7">
        <w:rPr>
          <w:rFonts w:ascii="Arial" w:hAnsi="Arial" w:cs="Arial"/>
          <w:sz w:val="22"/>
          <w:szCs w:val="22"/>
        </w:rPr>
        <w:t>El segundo marco regulatorio vigente desde el año 2008 hasta la fecha, generó un cambio radical con lo cual se presentó una restructuración de la cadena y sus actividades, así como una nueva manera de remunerar el producto y a sus agentes. Entre los cambios más relevantes se encuentran:</w:t>
      </w:r>
    </w:p>
    <w:p w14:paraId="3C49AADF" w14:textId="77777777" w:rsidR="00914134" w:rsidRPr="006740B7" w:rsidRDefault="00914134" w:rsidP="00914134">
      <w:pPr>
        <w:pStyle w:val="Prrafodelista"/>
        <w:numPr>
          <w:ilvl w:val="0"/>
          <w:numId w:val="16"/>
        </w:numPr>
        <w:spacing w:before="240" w:after="240" w:line="276" w:lineRule="auto"/>
        <w:contextualSpacing w:val="0"/>
        <w:rPr>
          <w:rFonts w:cs="Arial"/>
          <w:b w:val="0"/>
          <w:sz w:val="22"/>
          <w:szCs w:val="22"/>
          <w:lang w:val="es-ES"/>
        </w:rPr>
      </w:pPr>
      <w:r w:rsidRPr="006740B7">
        <w:rPr>
          <w:rFonts w:cs="Arial"/>
          <w:b w:val="0"/>
          <w:sz w:val="22"/>
          <w:szCs w:val="22"/>
          <w:lang w:val="es-ES"/>
        </w:rPr>
        <w:t xml:space="preserve">Cambio en la fórmula tarifaria que fija el precio de suministro, G. Se adoptó un precio paridad exportación (precio internacional del mes anterior descontando los costos de embarque y de transporte de la refinería de Barrancabermeja al puerto en Cartagena). </w:t>
      </w:r>
    </w:p>
    <w:p w14:paraId="712CF670" w14:textId="77777777" w:rsidR="00914134" w:rsidRPr="006740B7" w:rsidRDefault="00914134" w:rsidP="00914134">
      <w:pPr>
        <w:pStyle w:val="Prrafodelista"/>
        <w:numPr>
          <w:ilvl w:val="0"/>
          <w:numId w:val="16"/>
        </w:numPr>
        <w:spacing w:before="240" w:after="240" w:line="276" w:lineRule="auto"/>
        <w:contextualSpacing w:val="0"/>
        <w:rPr>
          <w:rFonts w:cs="Arial"/>
          <w:b w:val="0"/>
          <w:sz w:val="22"/>
          <w:szCs w:val="22"/>
          <w:lang w:val="es-ES"/>
        </w:rPr>
      </w:pPr>
      <w:r w:rsidRPr="006740B7">
        <w:rPr>
          <w:rFonts w:cs="Arial"/>
          <w:b w:val="0"/>
          <w:sz w:val="22"/>
          <w:szCs w:val="22"/>
          <w:lang w:val="es-ES"/>
        </w:rPr>
        <w:t>Se cambió la tarifa estampilla de transporte por una tarifa con señal de distancia.</w:t>
      </w:r>
    </w:p>
    <w:p w14:paraId="64F72730" w14:textId="77777777" w:rsidR="00914134" w:rsidRPr="006740B7" w:rsidRDefault="00914134" w:rsidP="00914134">
      <w:pPr>
        <w:pStyle w:val="Prrafodelista"/>
        <w:numPr>
          <w:ilvl w:val="0"/>
          <w:numId w:val="16"/>
        </w:numPr>
        <w:spacing w:before="240" w:after="240" w:line="276" w:lineRule="auto"/>
        <w:contextualSpacing w:val="0"/>
        <w:rPr>
          <w:rFonts w:cs="Arial"/>
          <w:b w:val="0"/>
          <w:sz w:val="22"/>
          <w:szCs w:val="22"/>
          <w:lang w:val="es-ES"/>
        </w:rPr>
      </w:pPr>
      <w:r w:rsidRPr="006740B7">
        <w:rPr>
          <w:rFonts w:cs="Arial"/>
          <w:b w:val="0"/>
          <w:sz w:val="22"/>
          <w:szCs w:val="22"/>
          <w:lang w:val="es-ES"/>
        </w:rPr>
        <w:t>Se eliminó el margen de comercialización mayorista, N, que remuneraba de manera especial la actividad de almacenamiento. El anterior comercializador mayorista (almacenador) debía tener una capacidad de almacenamiento mínima del 25% de sus ventas y en esta medida eran responsables en parte de garantizar la confiabilidad en el suministro. Actualmente, la remuneración por almacenamiento está incluida implícitamente en el precio de suministro (G) y en el cargo por transporte por ductos (T), pero al no haber quedado explícita en la fórmula tarifaria en la práctica no se está reconociendo.</w:t>
      </w:r>
    </w:p>
    <w:p w14:paraId="78A74A0E" w14:textId="77777777" w:rsidR="00914134" w:rsidRPr="006740B7" w:rsidRDefault="00914134" w:rsidP="00914134">
      <w:pPr>
        <w:pStyle w:val="Prrafodelista"/>
        <w:numPr>
          <w:ilvl w:val="0"/>
          <w:numId w:val="16"/>
        </w:numPr>
        <w:spacing w:before="240" w:after="240" w:line="276" w:lineRule="auto"/>
        <w:contextualSpacing w:val="0"/>
        <w:rPr>
          <w:rFonts w:cs="Arial"/>
          <w:b w:val="0"/>
          <w:sz w:val="22"/>
          <w:szCs w:val="22"/>
          <w:lang w:val="es-ES"/>
        </w:rPr>
      </w:pPr>
      <w:r w:rsidRPr="006740B7">
        <w:rPr>
          <w:rFonts w:cs="Arial"/>
          <w:b w:val="0"/>
          <w:sz w:val="22"/>
          <w:szCs w:val="22"/>
          <w:lang w:val="es-ES"/>
        </w:rPr>
        <w:t>Se eliminó también el Margen de Seguridad, pues en la medida que los cilindros ya no son propiedad de los usuarios sino de los distribuidores, los costos de mantenimiento y reposición están a cargo de los distribuidores y comprendidos dentro del Cargo de Distribución (D).</w:t>
      </w:r>
    </w:p>
    <w:p w14:paraId="44D0F153" w14:textId="77777777" w:rsidR="00914134" w:rsidRPr="006740B7" w:rsidRDefault="00914134" w:rsidP="00914134">
      <w:pPr>
        <w:pStyle w:val="Prrafodelista"/>
        <w:numPr>
          <w:ilvl w:val="0"/>
          <w:numId w:val="16"/>
        </w:numPr>
        <w:spacing w:before="240" w:after="240" w:line="276" w:lineRule="auto"/>
        <w:contextualSpacing w:val="0"/>
        <w:rPr>
          <w:rFonts w:cs="Arial"/>
          <w:b w:val="0"/>
          <w:sz w:val="22"/>
          <w:szCs w:val="22"/>
          <w:lang w:val="es-ES"/>
        </w:rPr>
      </w:pPr>
      <w:r w:rsidRPr="006740B7">
        <w:rPr>
          <w:rFonts w:cs="Arial"/>
          <w:b w:val="0"/>
          <w:sz w:val="22"/>
          <w:szCs w:val="22"/>
          <w:lang w:val="es-ES"/>
        </w:rPr>
        <w:t>Se liberaron los Cargos de Distribución y Comercialización Minorista en el territorio nacional, exceptuando el Archipiélago de San Andrés y Providencia.</w:t>
      </w:r>
    </w:p>
    <w:p w14:paraId="1EC6C8E8" w14:textId="77777777" w:rsidR="00914134" w:rsidRPr="006740B7" w:rsidRDefault="00914134" w:rsidP="00914134">
      <w:pPr>
        <w:spacing w:before="240" w:after="240" w:line="276" w:lineRule="auto"/>
        <w:jc w:val="both"/>
        <w:rPr>
          <w:rFonts w:ascii="Arial" w:hAnsi="Arial" w:cs="Arial"/>
          <w:sz w:val="22"/>
          <w:szCs w:val="22"/>
        </w:rPr>
      </w:pPr>
      <w:r w:rsidRPr="006740B7">
        <w:rPr>
          <w:rFonts w:ascii="Arial" w:hAnsi="Arial" w:cs="Arial"/>
          <w:sz w:val="22"/>
          <w:szCs w:val="22"/>
        </w:rPr>
        <w:t xml:space="preserve">Para el cálculo del precio futuro del Gas Licuado de Petróleo de mediano y largo plazo, se consideró la regulación vigente: resoluciones CREG 180 de 2009, 066 de 2007, 059 de 2008, 002 de 2009, 123 de 2010, 095 de 2011, 122 de 2008, 016 de 2010, 099 de 2010 y 001 de 2009. </w:t>
      </w:r>
    </w:p>
    <w:p w14:paraId="4B163842" w14:textId="77777777" w:rsidR="00914134" w:rsidRPr="005634FB" w:rsidRDefault="00D31F30" w:rsidP="00914134">
      <w:pPr>
        <w:rPr>
          <w:rFonts w:asciiTheme="majorHAnsi" w:hAnsiTheme="majorHAnsi"/>
          <w:color w:val="000000" w:themeColor="text1"/>
          <w:sz w:val="28"/>
        </w:rPr>
      </w:pPr>
      <m:oMathPara>
        <m:oMath>
          <m:sSub>
            <m:sSubPr>
              <m:ctrlPr>
                <w:rPr>
                  <w:rFonts w:ascii="Cambria Math" w:hAnsi="Cambria Math"/>
                  <w:i/>
                  <w:color w:val="000000" w:themeColor="text1"/>
                  <w:sz w:val="28"/>
                </w:rPr>
              </m:ctrlPr>
            </m:sSubPr>
            <m:e>
              <m:r>
                <w:rPr>
                  <w:rFonts w:ascii="Cambria Math" w:hAnsi="Cambria Math"/>
                  <w:color w:val="000000" w:themeColor="text1"/>
                  <w:sz w:val="28"/>
                </w:rPr>
                <m:t>P</m:t>
              </m:r>
            </m:e>
            <m:sub>
              <m:r>
                <w:rPr>
                  <w:rFonts w:ascii="Cambria Math" w:hAnsi="Cambria Math"/>
                  <w:color w:val="000000" w:themeColor="text1"/>
                  <w:sz w:val="28"/>
                </w:rPr>
                <m:t>GLP</m:t>
              </m:r>
            </m:sub>
          </m:sSub>
          <m:r>
            <w:rPr>
              <w:rFonts w:ascii="Cambria Math" w:hAnsi="Cambria Math"/>
              <w:color w:val="000000" w:themeColor="text1"/>
              <w:sz w:val="28"/>
            </w:rPr>
            <m:t>= G+T+D+C</m:t>
          </m:r>
        </m:oMath>
      </m:oMathPara>
    </w:p>
    <w:p w14:paraId="2E791CDC" w14:textId="77777777" w:rsidR="00914134" w:rsidRPr="006740B7" w:rsidRDefault="00914134" w:rsidP="00914134">
      <w:pPr>
        <w:rPr>
          <w:rFonts w:ascii="Arial" w:hAnsi="Arial" w:cs="Arial"/>
          <w:sz w:val="22"/>
        </w:rPr>
      </w:pPr>
      <w:r w:rsidRPr="006740B7">
        <w:rPr>
          <w:rFonts w:ascii="Arial" w:hAnsi="Arial" w:cs="Arial"/>
          <w:sz w:val="22"/>
        </w:rPr>
        <w:t>Donde,</w:t>
      </w:r>
    </w:p>
    <w:p w14:paraId="11CBDCB2" w14:textId="77777777" w:rsidR="00914134" w:rsidRPr="006740B7"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G = </m:t>
        </m:r>
      </m:oMath>
      <w:r w:rsidRPr="006740B7">
        <w:rPr>
          <w:rFonts w:ascii="Cambria Math" w:hAnsi="Cambria Math" w:cs="Arial"/>
          <w:color w:val="000000" w:themeColor="text1"/>
          <w:sz w:val="20"/>
          <w:szCs w:val="20"/>
        </w:rPr>
        <w:t>Producción</w:t>
      </w:r>
    </w:p>
    <w:p w14:paraId="54DE63D1" w14:textId="77777777" w:rsidR="00914134" w:rsidRPr="006740B7"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T = </m:t>
        </m:r>
      </m:oMath>
      <w:r w:rsidRPr="006740B7">
        <w:rPr>
          <w:rFonts w:ascii="Cambria Math" w:hAnsi="Cambria Math" w:cs="Arial"/>
          <w:color w:val="000000" w:themeColor="text1"/>
          <w:sz w:val="20"/>
          <w:szCs w:val="20"/>
        </w:rPr>
        <w:t>Transporte</w:t>
      </w:r>
    </w:p>
    <w:p w14:paraId="72A829E1" w14:textId="77777777" w:rsidR="00914134" w:rsidRPr="006740B7" w:rsidRDefault="00914134" w:rsidP="00914134">
      <w:pPr>
        <w:tabs>
          <w:tab w:val="left" w:pos="1843"/>
          <w:tab w:val="left" w:pos="1985"/>
        </w:tabs>
        <w:ind w:left="567" w:right="567"/>
        <w:rPr>
          <w:rFonts w:ascii="Cambria Math" w:hAnsi="Cambria Math"/>
          <w:b/>
          <w:i/>
          <w:color w:val="000000" w:themeColor="text1"/>
        </w:rPr>
      </w:pPr>
      <m:oMath>
        <m:r>
          <m:rPr>
            <m:sty m:val="bi"/>
          </m:rPr>
          <w:rPr>
            <w:rFonts w:ascii="Cambria Math" w:hAnsi="Cambria Math"/>
            <w:color w:val="000000" w:themeColor="text1"/>
          </w:rPr>
          <m:t xml:space="preserve">D = </m:t>
        </m:r>
      </m:oMath>
      <w:r w:rsidRPr="006740B7">
        <w:rPr>
          <w:rFonts w:ascii="Cambria Math" w:hAnsi="Cambria Math" w:cs="Arial"/>
          <w:color w:val="000000" w:themeColor="text1"/>
          <w:sz w:val="20"/>
          <w:szCs w:val="20"/>
        </w:rPr>
        <w:t>Distribución</w:t>
      </w:r>
    </w:p>
    <w:p w14:paraId="385B9E97" w14:textId="77777777" w:rsidR="00914134" w:rsidRPr="006740B7" w:rsidRDefault="00914134" w:rsidP="00914134">
      <w:pPr>
        <w:tabs>
          <w:tab w:val="left" w:pos="1843"/>
          <w:tab w:val="left" w:pos="1985"/>
        </w:tabs>
        <w:ind w:left="567" w:right="567"/>
        <w:rPr>
          <w:rFonts w:ascii="Cambria Math" w:hAnsi="Cambria Math"/>
          <w:color w:val="000000" w:themeColor="text1"/>
          <w:sz w:val="20"/>
          <w:szCs w:val="20"/>
        </w:rPr>
      </w:pPr>
      <m:oMath>
        <m:r>
          <m:rPr>
            <m:sty m:val="bi"/>
          </m:rPr>
          <w:rPr>
            <w:rFonts w:ascii="Cambria Math" w:hAnsi="Cambria Math"/>
            <w:color w:val="000000" w:themeColor="text1"/>
          </w:rPr>
          <m:t xml:space="preserve">C = </m:t>
        </m:r>
      </m:oMath>
      <w:r w:rsidRPr="006740B7">
        <w:rPr>
          <w:rFonts w:ascii="Cambria Math" w:hAnsi="Cambria Math" w:cs="Arial"/>
          <w:color w:val="000000" w:themeColor="text1"/>
          <w:sz w:val="20"/>
          <w:szCs w:val="20"/>
        </w:rPr>
        <w:t>Comercialización</w:t>
      </w:r>
    </w:p>
    <w:p w14:paraId="2DDFD874" w14:textId="77777777" w:rsidR="00914134" w:rsidRPr="007E23C5" w:rsidRDefault="00914134" w:rsidP="00914134">
      <w:pPr>
        <w:jc w:val="right"/>
        <w:rPr>
          <w:rFonts w:asciiTheme="majorHAnsi" w:hAnsiTheme="majorHAnsi" w:cs="Arial"/>
          <w:color w:val="000000" w:themeColor="text1"/>
          <w:highlight w:val="yellow"/>
        </w:rPr>
      </w:pPr>
    </w:p>
    <w:p w14:paraId="7F7FAC8F" w14:textId="0918B0A5" w:rsidR="00914134" w:rsidRDefault="00914134" w:rsidP="00914134">
      <w:pPr>
        <w:pStyle w:val="Descripcin"/>
        <w:keepNext/>
        <w:spacing w:after="0"/>
        <w:jc w:val="center"/>
        <w:rPr>
          <w:i w:val="0"/>
          <w:color w:val="auto"/>
          <w:sz w:val="20"/>
        </w:rPr>
      </w:pPr>
      <w:bookmarkStart w:id="380" w:name="_Ref529264920"/>
      <w:bookmarkStart w:id="381" w:name="_Toc530033444"/>
      <w:r w:rsidRPr="00994116">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9</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1</w:t>
      </w:r>
      <w:r w:rsidR="00DA50A5">
        <w:rPr>
          <w:b/>
          <w:i w:val="0"/>
          <w:color w:val="auto"/>
          <w:sz w:val="20"/>
          <w:highlight w:val="yellow"/>
        </w:rPr>
        <w:fldChar w:fldCharType="end"/>
      </w:r>
      <w:bookmarkEnd w:id="380"/>
      <w:r w:rsidRPr="00994116">
        <w:rPr>
          <w:b/>
          <w:i w:val="0"/>
          <w:color w:val="auto"/>
          <w:sz w:val="20"/>
          <w:highlight w:val="yellow"/>
        </w:rPr>
        <w:t xml:space="preserve">. </w:t>
      </w:r>
      <w:r w:rsidRPr="00994116">
        <w:rPr>
          <w:i w:val="0"/>
          <w:color w:val="auto"/>
          <w:sz w:val="20"/>
        </w:rPr>
        <w:t>Precios del GLP e índice del U.S. Golf Coast</w:t>
      </w:r>
      <w:bookmarkEnd w:id="381"/>
    </w:p>
    <w:p w14:paraId="7399631A" w14:textId="43AE7C6D" w:rsidR="00E142CE" w:rsidRPr="00E142CE" w:rsidRDefault="00E142CE" w:rsidP="00E142CE">
      <w:pPr>
        <w:jc w:val="center"/>
        <w:rPr>
          <w:lang w:val="es-CO" w:eastAsia="es-ES"/>
        </w:rPr>
      </w:pPr>
      <w:r w:rsidRPr="00E142CE">
        <w:rPr>
          <w:noProof/>
          <w:lang w:val="es-ES" w:eastAsia="es-ES"/>
        </w:rPr>
        <w:drawing>
          <wp:inline distT="0" distB="0" distL="0" distR="0" wp14:anchorId="1CCF5B32" wp14:editId="3C9EE86F">
            <wp:extent cx="5337652" cy="3240000"/>
            <wp:effectExtent l="0" t="0" r="0" b="0"/>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37652" cy="3240000"/>
                    </a:xfrm>
                    <a:prstGeom prst="rect">
                      <a:avLst/>
                    </a:prstGeom>
                    <a:noFill/>
                    <a:ln>
                      <a:noFill/>
                    </a:ln>
                  </pic:spPr>
                </pic:pic>
              </a:graphicData>
            </a:graphic>
          </wp:inline>
        </w:drawing>
      </w:r>
    </w:p>
    <w:p w14:paraId="430338D9" w14:textId="32BD78B3" w:rsidR="00914134" w:rsidRPr="003E0661" w:rsidRDefault="00914134" w:rsidP="00914134">
      <w:pPr>
        <w:jc w:val="center"/>
        <w:rPr>
          <w:rFonts w:cs="Arial"/>
          <w:color w:val="000000" w:themeColor="text1"/>
          <w:sz w:val="16"/>
        </w:rPr>
      </w:pPr>
      <w:r w:rsidRPr="003E0661">
        <w:rPr>
          <w:rFonts w:ascii="Arial" w:hAnsi="Arial" w:cs="Arial"/>
          <w:b/>
          <w:color w:val="000000" w:themeColor="text1"/>
          <w:sz w:val="16"/>
        </w:rPr>
        <w:t>Fuente:</w:t>
      </w:r>
      <w:r w:rsidRPr="003E0661">
        <w:rPr>
          <w:rFonts w:ascii="Arial" w:hAnsi="Arial" w:cs="Arial"/>
          <w:color w:val="000000" w:themeColor="text1"/>
          <w:sz w:val="16"/>
        </w:rPr>
        <w:t xml:space="preserve"> EC</w:t>
      </w:r>
      <w:r w:rsidR="003E0661" w:rsidRPr="003E0661">
        <w:rPr>
          <w:rFonts w:ascii="Arial" w:hAnsi="Arial" w:cs="Arial"/>
          <w:color w:val="000000" w:themeColor="text1"/>
          <w:sz w:val="16"/>
        </w:rPr>
        <w:t>P</w:t>
      </w:r>
      <w:r w:rsidR="003E0661" w:rsidRPr="003E0661">
        <w:rPr>
          <w:rFonts w:ascii="Arial" w:hAnsi="Arial" w:cs="Arial"/>
          <w:color w:val="000000" w:themeColor="text1"/>
          <w:sz w:val="16"/>
        </w:rPr>
        <w:fldChar w:fldCharType="begin"/>
      </w:r>
      <w:r w:rsidR="003E0661" w:rsidRPr="003E0661">
        <w:rPr>
          <w:rFonts w:ascii="Arial" w:hAnsi="Arial" w:cs="Arial"/>
          <w:color w:val="000000" w:themeColor="text1"/>
          <w:sz w:val="16"/>
        </w:rPr>
        <w:instrText xml:space="preserve"> REF _Ref529882807 \r \h </w:instrText>
      </w:r>
      <w:r w:rsidR="003E0661">
        <w:rPr>
          <w:rFonts w:ascii="Arial" w:hAnsi="Arial" w:cs="Arial"/>
          <w:color w:val="000000" w:themeColor="text1"/>
          <w:sz w:val="16"/>
        </w:rPr>
        <w:instrText xml:space="preserve"> \* MERGEFORMAT </w:instrText>
      </w:r>
      <w:r w:rsidR="003E0661" w:rsidRPr="003E0661">
        <w:rPr>
          <w:rFonts w:ascii="Arial" w:hAnsi="Arial" w:cs="Arial"/>
          <w:color w:val="000000" w:themeColor="text1"/>
          <w:sz w:val="16"/>
        </w:rPr>
      </w:r>
      <w:r w:rsidR="003E0661" w:rsidRPr="003E0661">
        <w:rPr>
          <w:rFonts w:ascii="Arial" w:hAnsi="Arial" w:cs="Arial"/>
          <w:color w:val="000000" w:themeColor="text1"/>
          <w:sz w:val="16"/>
        </w:rPr>
        <w:fldChar w:fldCharType="separate"/>
      </w:r>
      <w:r w:rsidR="00915705">
        <w:rPr>
          <w:rFonts w:ascii="Arial" w:hAnsi="Arial" w:cs="Arial"/>
          <w:color w:val="000000" w:themeColor="text1"/>
          <w:sz w:val="16"/>
        </w:rPr>
        <w:t>[20]</w:t>
      </w:r>
      <w:r w:rsidR="003E0661" w:rsidRPr="003E0661">
        <w:rPr>
          <w:rFonts w:ascii="Arial" w:hAnsi="Arial" w:cs="Arial"/>
          <w:color w:val="000000" w:themeColor="text1"/>
          <w:sz w:val="16"/>
        </w:rPr>
        <w:fldChar w:fldCharType="end"/>
      </w:r>
      <w:r w:rsidR="003E0661" w:rsidRPr="003E0661">
        <w:rPr>
          <w:rFonts w:ascii="Arial" w:hAnsi="Arial" w:cs="Arial"/>
          <w:color w:val="000000" w:themeColor="text1"/>
          <w:sz w:val="16"/>
        </w:rPr>
        <w:t>,</w:t>
      </w:r>
      <w:r w:rsidRPr="003E0661">
        <w:rPr>
          <w:rFonts w:ascii="Arial" w:hAnsi="Arial" w:cs="Arial"/>
          <w:color w:val="000000" w:themeColor="text1"/>
          <w:sz w:val="16"/>
        </w:rPr>
        <w:t xml:space="preserve"> </w:t>
      </w:r>
      <w:r w:rsidR="003E0661" w:rsidRPr="003E0661">
        <w:rPr>
          <w:rFonts w:ascii="Arial" w:hAnsi="Arial" w:cs="Arial"/>
          <w:color w:val="000000" w:themeColor="text1"/>
          <w:sz w:val="16"/>
        </w:rPr>
        <w:t>PLATTS</w:t>
      </w:r>
      <w:r w:rsidR="003E0661" w:rsidRPr="003E0661">
        <w:rPr>
          <w:rFonts w:ascii="Arial" w:hAnsi="Arial" w:cs="Arial"/>
          <w:color w:val="000000" w:themeColor="text1"/>
          <w:sz w:val="16"/>
        </w:rPr>
        <w:fldChar w:fldCharType="begin"/>
      </w:r>
      <w:r w:rsidR="003E0661" w:rsidRPr="003E0661">
        <w:rPr>
          <w:rFonts w:ascii="Arial" w:hAnsi="Arial" w:cs="Arial"/>
          <w:color w:val="000000" w:themeColor="text1"/>
          <w:sz w:val="16"/>
        </w:rPr>
        <w:instrText xml:space="preserve"> REF _Ref529882813 \r \h </w:instrText>
      </w:r>
      <w:r w:rsidR="003E0661">
        <w:rPr>
          <w:rFonts w:ascii="Arial" w:hAnsi="Arial" w:cs="Arial"/>
          <w:color w:val="000000" w:themeColor="text1"/>
          <w:sz w:val="16"/>
        </w:rPr>
        <w:instrText xml:space="preserve"> \* MERGEFORMAT </w:instrText>
      </w:r>
      <w:r w:rsidR="003E0661" w:rsidRPr="003E0661">
        <w:rPr>
          <w:rFonts w:ascii="Arial" w:hAnsi="Arial" w:cs="Arial"/>
          <w:color w:val="000000" w:themeColor="text1"/>
          <w:sz w:val="16"/>
        </w:rPr>
      </w:r>
      <w:r w:rsidR="003E0661" w:rsidRPr="003E0661">
        <w:rPr>
          <w:rFonts w:ascii="Arial" w:hAnsi="Arial" w:cs="Arial"/>
          <w:color w:val="000000" w:themeColor="text1"/>
          <w:sz w:val="16"/>
        </w:rPr>
        <w:fldChar w:fldCharType="separate"/>
      </w:r>
      <w:r w:rsidR="00915705">
        <w:rPr>
          <w:rFonts w:ascii="Arial" w:hAnsi="Arial" w:cs="Arial"/>
          <w:color w:val="000000" w:themeColor="text1"/>
          <w:sz w:val="16"/>
        </w:rPr>
        <w:t>[21]</w:t>
      </w:r>
      <w:r w:rsidR="003E0661" w:rsidRPr="003E0661">
        <w:rPr>
          <w:rFonts w:ascii="Arial" w:hAnsi="Arial" w:cs="Arial"/>
          <w:color w:val="000000" w:themeColor="text1"/>
          <w:sz w:val="16"/>
        </w:rPr>
        <w:fldChar w:fldCharType="end"/>
      </w:r>
      <w:r w:rsidR="007E087A">
        <w:rPr>
          <w:rFonts w:ascii="Arial" w:hAnsi="Arial" w:cs="Arial"/>
          <w:color w:val="000000" w:themeColor="text1"/>
          <w:sz w:val="16"/>
        </w:rPr>
        <w:t>, UPME</w:t>
      </w:r>
    </w:p>
    <w:p w14:paraId="6DA8B34C" w14:textId="3BB66CC1" w:rsidR="00914134" w:rsidRPr="007E087A" w:rsidRDefault="00914134" w:rsidP="00914134">
      <w:pPr>
        <w:spacing w:before="240" w:after="240" w:line="276" w:lineRule="auto"/>
        <w:jc w:val="both"/>
        <w:rPr>
          <w:rFonts w:ascii="Arial" w:hAnsi="Arial" w:cs="Arial"/>
          <w:sz w:val="22"/>
        </w:rPr>
      </w:pPr>
      <w:bookmarkStart w:id="382" w:name="_Toc401316996"/>
      <w:r w:rsidRPr="007E087A">
        <w:rPr>
          <w:rFonts w:ascii="Arial" w:hAnsi="Arial" w:cs="Arial"/>
          <w:sz w:val="22"/>
        </w:rPr>
        <w:t xml:space="preserve">Como se puede observar en </w:t>
      </w:r>
      <w:r w:rsidRPr="006740B7">
        <w:rPr>
          <w:rFonts w:ascii="Arial" w:hAnsi="Arial" w:cs="Arial"/>
          <w:sz w:val="22"/>
          <w:highlight w:val="yellow"/>
        </w:rPr>
        <w:t xml:space="preserve">la </w:t>
      </w:r>
      <w:r w:rsidRPr="00014160">
        <w:rPr>
          <w:rFonts w:ascii="Arial" w:hAnsi="Arial" w:cs="Arial"/>
          <w:sz w:val="22"/>
          <w:szCs w:val="22"/>
          <w:highlight w:val="yellow"/>
        </w:rPr>
        <w:fldChar w:fldCharType="begin"/>
      </w:r>
      <w:r w:rsidRPr="00014160">
        <w:rPr>
          <w:rFonts w:ascii="Arial" w:hAnsi="Arial" w:cs="Arial"/>
          <w:sz w:val="22"/>
          <w:szCs w:val="22"/>
          <w:highlight w:val="yellow"/>
        </w:rPr>
        <w:instrText xml:space="preserve"> REF _Ref529264920 \h  \* MERGEFORMAT </w:instrText>
      </w:r>
      <w:r w:rsidRPr="00014160">
        <w:rPr>
          <w:rFonts w:ascii="Arial" w:hAnsi="Arial" w:cs="Arial"/>
          <w:sz w:val="22"/>
          <w:szCs w:val="22"/>
          <w:highlight w:val="yellow"/>
        </w:rPr>
      </w:r>
      <w:r w:rsidRPr="00014160">
        <w:rPr>
          <w:rFonts w:ascii="Arial" w:hAnsi="Arial" w:cs="Arial"/>
          <w:sz w:val="22"/>
          <w:szCs w:val="22"/>
          <w:highlight w:val="yellow"/>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9</w:t>
      </w:r>
      <w:r w:rsidR="00915705" w:rsidRPr="00915705">
        <w:rPr>
          <w:rFonts w:ascii="Arial" w:hAnsi="Arial" w:cs="Arial"/>
          <w:noProof/>
          <w:sz w:val="22"/>
          <w:szCs w:val="22"/>
          <w:highlight w:val="yellow"/>
        </w:rPr>
        <w:noBreakHyphen/>
        <w:t>1</w:t>
      </w:r>
      <w:r w:rsidRPr="00014160">
        <w:rPr>
          <w:rFonts w:ascii="Arial" w:hAnsi="Arial" w:cs="Arial"/>
          <w:sz w:val="22"/>
          <w:szCs w:val="22"/>
          <w:highlight w:val="yellow"/>
        </w:rPr>
        <w:fldChar w:fldCharType="end"/>
      </w:r>
      <w:r w:rsidRPr="007E087A">
        <w:rPr>
          <w:rFonts w:ascii="Arial" w:hAnsi="Arial" w:cs="Arial"/>
          <w:sz w:val="22"/>
        </w:rPr>
        <w:t xml:space="preserve">, la correlación del precio del Gas Licuado del Petróleo – GLP, en los diferentes campos, con los precios internacionales de los índices Propano y Butano (Tomados de Platt’s) es alta. De lo anterior se deriva un comportamiento y volatilidad similares teniendo en cuenta que éstos índices son utilizados en la fórmula para calcular el precio máximo regulado de suministro de GLP. Cabe mencionar que, para guardar concordancia con lo realizado en la proyección de los demás combustibles líquidos, se realizó una evaluación de la correlación existente entre el comportamiento del GLP y de los crudos de referencia WTI y BRENT. El resultado observado fue una correlación más alta con el crudo de referencia BRENT, por lo cual, la proyección de </w:t>
      </w:r>
      <w:r w:rsidRPr="00D370E1">
        <w:rPr>
          <w:rFonts w:ascii="Arial" w:hAnsi="Arial" w:cs="Arial"/>
          <w:sz w:val="22"/>
        </w:rPr>
        <w:t>los precios del GLP se realizó utilizando un “driver” correspondiente al BRENT. De la misma manera, se tomaron las aperturas</w:t>
      </w:r>
      <w:r w:rsidR="007E087A" w:rsidRPr="00D370E1">
        <w:rPr>
          <w:rFonts w:ascii="Arial" w:hAnsi="Arial" w:cs="Arial"/>
          <w:sz w:val="22"/>
        </w:rPr>
        <w:t xml:space="preserve"> presentadas por el AEO mientras que para las proyecciones se tomó como referencia la presentada por Wood Mackenzie</w:t>
      </w:r>
      <w:r w:rsidR="00D370E1" w:rsidRPr="00D370E1">
        <w:rPr>
          <w:rFonts w:ascii="Arial" w:hAnsi="Arial" w:cs="Arial"/>
          <w:sz w:val="22"/>
        </w:rPr>
        <w:t xml:space="preserve"> en su documento Global Macro Oils</w:t>
      </w:r>
      <w:r w:rsidRPr="00D370E1">
        <w:rPr>
          <w:rFonts w:ascii="Arial" w:hAnsi="Arial" w:cs="Arial"/>
          <w:sz w:val="22"/>
        </w:rPr>
        <w:t>.</w:t>
      </w:r>
    </w:p>
    <w:p w14:paraId="421C58EA" w14:textId="5B9FF3EF" w:rsidR="00914134" w:rsidRPr="00195F39" w:rsidRDefault="00914134" w:rsidP="00914134">
      <w:pPr>
        <w:spacing w:before="240" w:after="240" w:line="276" w:lineRule="auto"/>
        <w:jc w:val="both"/>
        <w:rPr>
          <w:rFonts w:ascii="Arial" w:hAnsi="Arial" w:cs="Arial"/>
          <w:sz w:val="22"/>
        </w:rPr>
      </w:pPr>
      <w:r w:rsidRPr="00195F39">
        <w:rPr>
          <w:rFonts w:ascii="Arial" w:hAnsi="Arial" w:cs="Arial"/>
          <w:sz w:val="22"/>
        </w:rPr>
        <w:t>Respecto a la producción estadounidense, se proyecta que se recuperará de sus mínimos alcanzados recientemente lo cual es soportado por un aumento en los precios y una disminución en los costos. Por otro lado, unos precios bajos resultan en un incremento en el consumo interno. Simultáneamente, los bajos precios bajan la producción local resultando generalmente en un aumento de las importaciones. Adicionalmente, se espera que Estados Unidos importe un porcentaje de derivados del petróleo debido a una disminuc</w:t>
      </w:r>
      <w:r w:rsidR="00195F39" w:rsidRPr="00195F39">
        <w:rPr>
          <w:rFonts w:ascii="Arial" w:hAnsi="Arial" w:cs="Arial"/>
          <w:sz w:val="22"/>
        </w:rPr>
        <w:t>ión en su oferta para el año 204</w:t>
      </w:r>
      <w:r w:rsidRPr="00195F39">
        <w:rPr>
          <w:rFonts w:ascii="Arial" w:hAnsi="Arial" w:cs="Arial"/>
          <w:sz w:val="22"/>
        </w:rPr>
        <w:t>0.</w:t>
      </w:r>
    </w:p>
    <w:p w14:paraId="18141347" w14:textId="2984D152" w:rsidR="00914134" w:rsidRDefault="00914134" w:rsidP="00914134">
      <w:pPr>
        <w:pStyle w:val="Descripcin"/>
        <w:keepNext/>
        <w:spacing w:before="0" w:after="0"/>
        <w:jc w:val="center"/>
        <w:rPr>
          <w:i w:val="0"/>
          <w:color w:val="auto"/>
          <w:sz w:val="20"/>
        </w:rPr>
      </w:pPr>
      <w:bookmarkStart w:id="383" w:name="_Ref529264997"/>
      <w:bookmarkStart w:id="384" w:name="_Toc530033445"/>
      <w:r w:rsidRPr="001A5EC8">
        <w:rPr>
          <w:b/>
          <w:i w:val="0"/>
          <w:color w:val="auto"/>
          <w:sz w:val="20"/>
          <w:highlight w:val="yellow"/>
        </w:rPr>
        <w:lastRenderedPageBreak/>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9</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2</w:t>
      </w:r>
      <w:r w:rsidR="00DA50A5">
        <w:rPr>
          <w:b/>
          <w:i w:val="0"/>
          <w:color w:val="auto"/>
          <w:sz w:val="20"/>
          <w:highlight w:val="yellow"/>
        </w:rPr>
        <w:fldChar w:fldCharType="end"/>
      </w:r>
      <w:bookmarkEnd w:id="383"/>
      <w:r w:rsidRPr="001A5EC8">
        <w:rPr>
          <w:b/>
          <w:i w:val="0"/>
          <w:color w:val="auto"/>
          <w:sz w:val="20"/>
          <w:highlight w:val="yellow"/>
        </w:rPr>
        <w:t xml:space="preserve">. </w:t>
      </w:r>
      <w:r w:rsidRPr="00355F07">
        <w:rPr>
          <w:i w:val="0"/>
          <w:color w:val="auto"/>
          <w:sz w:val="20"/>
        </w:rPr>
        <w:t xml:space="preserve">Perspectiva </w:t>
      </w:r>
      <w:r>
        <w:rPr>
          <w:i w:val="0"/>
          <w:color w:val="auto"/>
          <w:sz w:val="20"/>
        </w:rPr>
        <w:t>c</w:t>
      </w:r>
      <w:r w:rsidRPr="00355F07">
        <w:rPr>
          <w:i w:val="0"/>
          <w:color w:val="auto"/>
          <w:sz w:val="20"/>
        </w:rPr>
        <w:t xml:space="preserve">orto </w:t>
      </w:r>
      <w:r>
        <w:rPr>
          <w:i w:val="0"/>
          <w:color w:val="auto"/>
          <w:sz w:val="20"/>
        </w:rPr>
        <w:t>p</w:t>
      </w:r>
      <w:r w:rsidRPr="00355F07">
        <w:rPr>
          <w:i w:val="0"/>
          <w:color w:val="auto"/>
          <w:sz w:val="20"/>
        </w:rPr>
        <w:t>lazo IP GLP</w:t>
      </w:r>
      <w:bookmarkEnd w:id="384"/>
    </w:p>
    <w:p w14:paraId="46967909" w14:textId="0F877DEE" w:rsidR="00E142CE" w:rsidRPr="00E142CE" w:rsidRDefault="00E142CE" w:rsidP="00E142CE">
      <w:pPr>
        <w:jc w:val="center"/>
        <w:rPr>
          <w:lang w:val="es-CO" w:eastAsia="es-ES"/>
        </w:rPr>
      </w:pPr>
      <w:r w:rsidRPr="00E142CE">
        <w:rPr>
          <w:noProof/>
          <w:lang w:val="es-ES" w:eastAsia="es-ES"/>
        </w:rPr>
        <w:drawing>
          <wp:inline distT="0" distB="0" distL="0" distR="0" wp14:anchorId="6B154D4F" wp14:editId="3DA039EC">
            <wp:extent cx="5573538" cy="3096000"/>
            <wp:effectExtent l="0" t="0" r="8255" b="9525"/>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73538" cy="3096000"/>
                    </a:xfrm>
                    <a:prstGeom prst="rect">
                      <a:avLst/>
                    </a:prstGeom>
                    <a:noFill/>
                    <a:ln>
                      <a:noFill/>
                    </a:ln>
                  </pic:spPr>
                </pic:pic>
              </a:graphicData>
            </a:graphic>
          </wp:inline>
        </w:drawing>
      </w:r>
    </w:p>
    <w:p w14:paraId="545BFFAA" w14:textId="2449DFE6" w:rsidR="00914134" w:rsidRPr="006E33EF" w:rsidRDefault="00914134" w:rsidP="00914134">
      <w:pPr>
        <w:jc w:val="center"/>
        <w:rPr>
          <w:rFonts w:ascii="Arial" w:hAnsi="Arial" w:cs="Arial"/>
          <w:color w:val="000000" w:themeColor="text1"/>
          <w:sz w:val="16"/>
        </w:rPr>
      </w:pPr>
      <w:r w:rsidRPr="006E33EF">
        <w:rPr>
          <w:rFonts w:ascii="Arial" w:hAnsi="Arial" w:cs="Arial"/>
          <w:b/>
          <w:color w:val="000000" w:themeColor="text1"/>
          <w:sz w:val="16"/>
        </w:rPr>
        <w:t>Fuente:</w:t>
      </w:r>
      <w:r w:rsidRPr="006E33EF">
        <w:rPr>
          <w:rFonts w:ascii="Arial" w:hAnsi="Arial" w:cs="Arial"/>
          <w:color w:val="000000" w:themeColor="text1"/>
          <w:sz w:val="16"/>
        </w:rPr>
        <w:t xml:space="preserve"> </w:t>
      </w:r>
      <w:r w:rsidR="001A285F" w:rsidRPr="006E33EF">
        <w:rPr>
          <w:rFonts w:ascii="Arial" w:hAnsi="Arial" w:cs="Arial"/>
          <w:color w:val="000000" w:themeColor="text1"/>
          <w:sz w:val="16"/>
        </w:rPr>
        <w:t>EIA</w:t>
      </w:r>
      <w:r w:rsidR="001A285F" w:rsidRPr="006E33EF">
        <w:rPr>
          <w:rFonts w:ascii="Arial" w:hAnsi="Arial" w:cs="Arial"/>
          <w:color w:val="000000" w:themeColor="text1"/>
          <w:sz w:val="16"/>
        </w:rPr>
        <w:fldChar w:fldCharType="begin"/>
      </w:r>
      <w:r w:rsidR="001A285F" w:rsidRPr="006E33EF">
        <w:rPr>
          <w:rFonts w:ascii="Arial" w:hAnsi="Arial" w:cs="Arial"/>
          <w:color w:val="000000" w:themeColor="text1"/>
          <w:sz w:val="16"/>
        </w:rPr>
        <w:instrText xml:space="preserve"> REF _Ref529881201 \r \h </w:instrText>
      </w:r>
      <w:r w:rsidR="006E33EF">
        <w:rPr>
          <w:rFonts w:ascii="Arial" w:hAnsi="Arial" w:cs="Arial"/>
          <w:color w:val="000000" w:themeColor="text1"/>
          <w:sz w:val="16"/>
        </w:rPr>
        <w:instrText xml:space="preserve"> \* MERGEFORMAT </w:instrText>
      </w:r>
      <w:r w:rsidR="001A285F" w:rsidRPr="006E33EF">
        <w:rPr>
          <w:rFonts w:ascii="Arial" w:hAnsi="Arial" w:cs="Arial"/>
          <w:color w:val="000000" w:themeColor="text1"/>
          <w:sz w:val="16"/>
        </w:rPr>
      </w:r>
      <w:r w:rsidR="001A285F" w:rsidRPr="006E33EF">
        <w:rPr>
          <w:rFonts w:ascii="Arial" w:hAnsi="Arial" w:cs="Arial"/>
          <w:color w:val="000000" w:themeColor="text1"/>
          <w:sz w:val="16"/>
        </w:rPr>
        <w:fldChar w:fldCharType="separate"/>
      </w:r>
      <w:r w:rsidR="00915705" w:rsidRPr="006E33EF">
        <w:rPr>
          <w:rFonts w:ascii="Arial" w:hAnsi="Arial" w:cs="Arial"/>
          <w:color w:val="000000" w:themeColor="text1"/>
          <w:sz w:val="16"/>
        </w:rPr>
        <w:t>[6]</w:t>
      </w:r>
      <w:r w:rsidR="001A285F" w:rsidRPr="006E33EF">
        <w:rPr>
          <w:rFonts w:ascii="Arial" w:hAnsi="Arial" w:cs="Arial"/>
          <w:color w:val="000000" w:themeColor="text1"/>
          <w:sz w:val="16"/>
        </w:rPr>
        <w:fldChar w:fldCharType="end"/>
      </w:r>
      <w:r w:rsidR="001A285F" w:rsidRPr="006E33EF">
        <w:rPr>
          <w:rFonts w:ascii="Arial" w:hAnsi="Arial" w:cs="Arial"/>
          <w:color w:val="000000" w:themeColor="text1"/>
          <w:sz w:val="16"/>
        </w:rPr>
        <w:t>, ECP</w:t>
      </w:r>
      <w:r w:rsidR="001A285F" w:rsidRPr="006E33EF">
        <w:rPr>
          <w:rFonts w:ascii="Arial" w:hAnsi="Arial" w:cs="Arial"/>
          <w:color w:val="000000" w:themeColor="text1"/>
          <w:sz w:val="16"/>
        </w:rPr>
        <w:fldChar w:fldCharType="begin"/>
      </w:r>
      <w:r w:rsidR="001A285F" w:rsidRPr="006E33EF">
        <w:rPr>
          <w:rFonts w:ascii="Arial" w:hAnsi="Arial" w:cs="Arial"/>
          <w:color w:val="000000" w:themeColor="text1"/>
          <w:sz w:val="16"/>
        </w:rPr>
        <w:instrText xml:space="preserve"> REF _Ref529882807 \r \h </w:instrText>
      </w:r>
      <w:r w:rsidR="006E33EF">
        <w:rPr>
          <w:rFonts w:ascii="Arial" w:hAnsi="Arial" w:cs="Arial"/>
          <w:color w:val="000000" w:themeColor="text1"/>
          <w:sz w:val="16"/>
        </w:rPr>
        <w:instrText xml:space="preserve"> \* MERGEFORMAT </w:instrText>
      </w:r>
      <w:r w:rsidR="001A285F" w:rsidRPr="006E33EF">
        <w:rPr>
          <w:rFonts w:ascii="Arial" w:hAnsi="Arial" w:cs="Arial"/>
          <w:color w:val="000000" w:themeColor="text1"/>
          <w:sz w:val="16"/>
        </w:rPr>
      </w:r>
      <w:r w:rsidR="001A285F" w:rsidRPr="006E33EF">
        <w:rPr>
          <w:rFonts w:ascii="Arial" w:hAnsi="Arial" w:cs="Arial"/>
          <w:color w:val="000000" w:themeColor="text1"/>
          <w:sz w:val="16"/>
        </w:rPr>
        <w:fldChar w:fldCharType="separate"/>
      </w:r>
      <w:r w:rsidR="00915705" w:rsidRPr="006E33EF">
        <w:rPr>
          <w:rFonts w:ascii="Arial" w:hAnsi="Arial" w:cs="Arial"/>
          <w:color w:val="000000" w:themeColor="text1"/>
          <w:sz w:val="16"/>
        </w:rPr>
        <w:t>[20]</w:t>
      </w:r>
      <w:r w:rsidR="001A285F" w:rsidRPr="006E33EF">
        <w:rPr>
          <w:rFonts w:ascii="Arial" w:hAnsi="Arial" w:cs="Arial"/>
          <w:color w:val="000000" w:themeColor="text1"/>
          <w:sz w:val="16"/>
        </w:rPr>
        <w:fldChar w:fldCharType="end"/>
      </w:r>
      <w:r w:rsidR="001A285F" w:rsidRPr="006E33EF">
        <w:rPr>
          <w:rFonts w:ascii="Arial" w:hAnsi="Arial" w:cs="Arial"/>
          <w:color w:val="000000" w:themeColor="text1"/>
          <w:sz w:val="16"/>
        </w:rPr>
        <w:t>, PLATTS</w:t>
      </w:r>
      <w:r w:rsidR="001A285F" w:rsidRPr="006E33EF">
        <w:rPr>
          <w:rFonts w:ascii="Arial" w:hAnsi="Arial" w:cs="Arial"/>
          <w:color w:val="000000" w:themeColor="text1"/>
          <w:sz w:val="16"/>
        </w:rPr>
        <w:fldChar w:fldCharType="begin"/>
      </w:r>
      <w:r w:rsidR="001A285F" w:rsidRPr="006E33EF">
        <w:rPr>
          <w:rFonts w:ascii="Arial" w:hAnsi="Arial" w:cs="Arial"/>
          <w:color w:val="000000" w:themeColor="text1"/>
          <w:sz w:val="16"/>
        </w:rPr>
        <w:instrText xml:space="preserve"> REF _Ref529882813 \r \h </w:instrText>
      </w:r>
      <w:r w:rsidR="006E33EF">
        <w:rPr>
          <w:rFonts w:ascii="Arial" w:hAnsi="Arial" w:cs="Arial"/>
          <w:color w:val="000000" w:themeColor="text1"/>
          <w:sz w:val="16"/>
        </w:rPr>
        <w:instrText xml:space="preserve"> \* MERGEFORMAT </w:instrText>
      </w:r>
      <w:r w:rsidR="001A285F" w:rsidRPr="006E33EF">
        <w:rPr>
          <w:rFonts w:ascii="Arial" w:hAnsi="Arial" w:cs="Arial"/>
          <w:color w:val="000000" w:themeColor="text1"/>
          <w:sz w:val="16"/>
        </w:rPr>
      </w:r>
      <w:r w:rsidR="001A285F" w:rsidRPr="006E33EF">
        <w:rPr>
          <w:rFonts w:ascii="Arial" w:hAnsi="Arial" w:cs="Arial"/>
          <w:color w:val="000000" w:themeColor="text1"/>
          <w:sz w:val="16"/>
        </w:rPr>
        <w:fldChar w:fldCharType="separate"/>
      </w:r>
      <w:r w:rsidR="00915705" w:rsidRPr="006E33EF">
        <w:rPr>
          <w:rFonts w:ascii="Arial" w:hAnsi="Arial" w:cs="Arial"/>
          <w:color w:val="000000" w:themeColor="text1"/>
          <w:sz w:val="16"/>
        </w:rPr>
        <w:t>[21]</w:t>
      </w:r>
      <w:r w:rsidR="001A285F" w:rsidRPr="006E33EF">
        <w:rPr>
          <w:rFonts w:ascii="Arial" w:hAnsi="Arial" w:cs="Arial"/>
          <w:color w:val="000000" w:themeColor="text1"/>
          <w:sz w:val="16"/>
        </w:rPr>
        <w:fldChar w:fldCharType="end"/>
      </w:r>
      <w:r w:rsidR="001A285F" w:rsidRPr="006E33EF">
        <w:rPr>
          <w:rFonts w:ascii="Arial" w:hAnsi="Arial" w:cs="Arial"/>
          <w:color w:val="000000" w:themeColor="text1"/>
          <w:sz w:val="16"/>
        </w:rPr>
        <w:t>, UPME</w:t>
      </w:r>
      <w:r w:rsidRPr="006E33EF">
        <w:rPr>
          <w:rFonts w:ascii="Arial" w:hAnsi="Arial" w:cs="Arial"/>
          <w:color w:val="000000" w:themeColor="text1"/>
          <w:sz w:val="16"/>
        </w:rPr>
        <w:t>.</w:t>
      </w:r>
    </w:p>
    <w:p w14:paraId="686BF240" w14:textId="393DE28B" w:rsidR="00914134" w:rsidRPr="00FB23ED" w:rsidRDefault="00914134" w:rsidP="00914134">
      <w:pPr>
        <w:spacing w:before="240" w:after="240" w:line="276" w:lineRule="auto"/>
        <w:jc w:val="both"/>
        <w:rPr>
          <w:rFonts w:ascii="Arial" w:hAnsi="Arial" w:cs="Arial"/>
          <w:sz w:val="22"/>
        </w:rPr>
      </w:pPr>
      <w:r w:rsidRPr="00FB23ED">
        <w:rPr>
          <w:rFonts w:ascii="Arial" w:hAnsi="Arial" w:cs="Arial"/>
          <w:sz w:val="22"/>
          <w:szCs w:val="22"/>
        </w:rPr>
        <w:t>La</w:t>
      </w:r>
      <w:r w:rsidRPr="00BF1C63">
        <w:rPr>
          <w:rFonts w:ascii="Arial" w:hAnsi="Arial" w:cs="Arial"/>
          <w:sz w:val="22"/>
          <w:szCs w:val="22"/>
          <w:highlight w:val="yellow"/>
        </w:rPr>
        <w:t xml:space="preserve"> </w:t>
      </w:r>
      <w:r w:rsidRPr="00BF1C63">
        <w:rPr>
          <w:rFonts w:ascii="Arial" w:hAnsi="Arial" w:cs="Arial"/>
          <w:sz w:val="22"/>
          <w:szCs w:val="22"/>
          <w:highlight w:val="yellow"/>
        </w:rPr>
        <w:fldChar w:fldCharType="begin"/>
      </w:r>
      <w:r w:rsidRPr="00BF1C63">
        <w:rPr>
          <w:rFonts w:ascii="Arial" w:hAnsi="Arial" w:cs="Arial"/>
          <w:sz w:val="22"/>
          <w:szCs w:val="22"/>
          <w:highlight w:val="yellow"/>
        </w:rPr>
        <w:instrText xml:space="preserve"> REF _Ref529265156 \h  \* MERGEFORMAT </w:instrText>
      </w:r>
      <w:r w:rsidRPr="00BF1C63">
        <w:rPr>
          <w:rFonts w:ascii="Arial" w:hAnsi="Arial" w:cs="Arial"/>
          <w:sz w:val="22"/>
          <w:szCs w:val="22"/>
          <w:highlight w:val="yellow"/>
        </w:rPr>
      </w:r>
      <w:r w:rsidRPr="00BF1C63">
        <w:rPr>
          <w:rFonts w:ascii="Arial" w:hAnsi="Arial" w:cs="Arial"/>
          <w:sz w:val="22"/>
          <w:szCs w:val="22"/>
          <w:highlight w:val="yellow"/>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9</w:t>
      </w:r>
      <w:r w:rsidR="00915705" w:rsidRPr="00915705">
        <w:rPr>
          <w:rFonts w:ascii="Arial" w:hAnsi="Arial" w:cs="Arial"/>
          <w:noProof/>
          <w:sz w:val="22"/>
          <w:szCs w:val="22"/>
          <w:highlight w:val="yellow"/>
        </w:rPr>
        <w:noBreakHyphen/>
        <w:t>3</w:t>
      </w:r>
      <w:r w:rsidRPr="00BF1C63">
        <w:rPr>
          <w:rFonts w:ascii="Arial" w:hAnsi="Arial" w:cs="Arial"/>
          <w:sz w:val="22"/>
          <w:szCs w:val="22"/>
          <w:highlight w:val="yellow"/>
        </w:rPr>
        <w:fldChar w:fldCharType="end"/>
      </w:r>
      <w:r w:rsidRPr="00BF1C63">
        <w:rPr>
          <w:rFonts w:ascii="Arial" w:hAnsi="Arial" w:cs="Arial"/>
          <w:sz w:val="22"/>
          <w:szCs w:val="22"/>
          <w:highlight w:val="yellow"/>
        </w:rPr>
        <w:t>,</w:t>
      </w:r>
      <w:r w:rsidRPr="00BF1C63">
        <w:rPr>
          <w:rFonts w:ascii="Arial" w:hAnsi="Arial" w:cs="Arial"/>
          <w:sz w:val="22"/>
          <w:szCs w:val="22"/>
          <w:highlight w:val="yellow"/>
        </w:rPr>
        <w:fldChar w:fldCharType="begin"/>
      </w:r>
      <w:r w:rsidRPr="00BF1C63">
        <w:rPr>
          <w:rFonts w:ascii="Arial" w:hAnsi="Arial" w:cs="Arial"/>
          <w:sz w:val="22"/>
          <w:szCs w:val="22"/>
          <w:highlight w:val="yellow"/>
        </w:rPr>
        <w:instrText xml:space="preserve"> REF _Ref529265165 \h  \* MERGEFORMAT </w:instrText>
      </w:r>
      <w:r w:rsidRPr="00BF1C63">
        <w:rPr>
          <w:rFonts w:ascii="Arial" w:hAnsi="Arial" w:cs="Arial"/>
          <w:sz w:val="22"/>
          <w:szCs w:val="22"/>
          <w:highlight w:val="yellow"/>
        </w:rPr>
      </w:r>
      <w:r w:rsidRPr="00BF1C63">
        <w:rPr>
          <w:rFonts w:ascii="Arial" w:hAnsi="Arial" w:cs="Arial"/>
          <w:sz w:val="22"/>
          <w:szCs w:val="22"/>
          <w:highlight w:val="yellow"/>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9</w:t>
      </w:r>
      <w:r w:rsidR="00915705" w:rsidRPr="00915705">
        <w:rPr>
          <w:rFonts w:ascii="Arial" w:hAnsi="Arial" w:cs="Arial"/>
          <w:noProof/>
          <w:sz w:val="22"/>
          <w:szCs w:val="22"/>
          <w:highlight w:val="yellow"/>
        </w:rPr>
        <w:noBreakHyphen/>
        <w:t>4</w:t>
      </w:r>
      <w:r w:rsidRPr="00BF1C63">
        <w:rPr>
          <w:rFonts w:ascii="Arial" w:hAnsi="Arial" w:cs="Arial"/>
          <w:sz w:val="22"/>
          <w:szCs w:val="22"/>
          <w:highlight w:val="yellow"/>
        </w:rPr>
        <w:fldChar w:fldCharType="end"/>
      </w:r>
      <w:r w:rsidRPr="00BF1C63">
        <w:rPr>
          <w:rFonts w:ascii="Arial" w:hAnsi="Arial" w:cs="Arial"/>
          <w:sz w:val="22"/>
          <w:szCs w:val="22"/>
          <w:highlight w:val="yellow"/>
        </w:rPr>
        <w:t xml:space="preserve"> </w:t>
      </w:r>
      <w:r w:rsidRPr="00FB23ED">
        <w:rPr>
          <w:rFonts w:ascii="Arial" w:hAnsi="Arial" w:cs="Arial"/>
          <w:sz w:val="22"/>
          <w:szCs w:val="22"/>
        </w:rPr>
        <w:t xml:space="preserve">y </w:t>
      </w:r>
      <w:r w:rsidRPr="00BF1C63">
        <w:rPr>
          <w:rFonts w:ascii="Arial" w:hAnsi="Arial" w:cs="Arial"/>
          <w:sz w:val="22"/>
          <w:szCs w:val="22"/>
          <w:highlight w:val="yellow"/>
        </w:rPr>
        <w:fldChar w:fldCharType="begin"/>
      </w:r>
      <w:r w:rsidRPr="00BF1C63">
        <w:rPr>
          <w:rFonts w:ascii="Arial" w:hAnsi="Arial" w:cs="Arial"/>
          <w:sz w:val="22"/>
          <w:szCs w:val="22"/>
          <w:highlight w:val="yellow"/>
        </w:rPr>
        <w:instrText xml:space="preserve"> REF _Ref529265169 \h  \* MERGEFORMAT </w:instrText>
      </w:r>
      <w:r w:rsidRPr="00BF1C63">
        <w:rPr>
          <w:rFonts w:ascii="Arial" w:hAnsi="Arial" w:cs="Arial"/>
          <w:sz w:val="22"/>
          <w:szCs w:val="22"/>
          <w:highlight w:val="yellow"/>
        </w:rPr>
      </w:r>
      <w:r w:rsidRPr="00BF1C63">
        <w:rPr>
          <w:rFonts w:ascii="Arial" w:hAnsi="Arial" w:cs="Arial"/>
          <w:sz w:val="22"/>
          <w:szCs w:val="22"/>
          <w:highlight w:val="yellow"/>
        </w:rPr>
        <w:fldChar w:fldCharType="separate"/>
      </w:r>
      <w:r w:rsidR="00915705" w:rsidRPr="00915705">
        <w:rPr>
          <w:rFonts w:ascii="Arial" w:hAnsi="Arial" w:cs="Arial"/>
          <w:sz w:val="22"/>
          <w:szCs w:val="22"/>
          <w:highlight w:val="yellow"/>
        </w:rPr>
        <w:t xml:space="preserve">Gráfica </w:t>
      </w:r>
      <w:r w:rsidR="00915705" w:rsidRPr="00915705">
        <w:rPr>
          <w:rFonts w:ascii="Arial" w:hAnsi="Arial" w:cs="Arial"/>
          <w:noProof/>
          <w:sz w:val="22"/>
          <w:szCs w:val="22"/>
          <w:highlight w:val="yellow"/>
        </w:rPr>
        <w:t>9</w:t>
      </w:r>
      <w:r w:rsidR="00915705" w:rsidRPr="00915705">
        <w:rPr>
          <w:rFonts w:ascii="Arial" w:hAnsi="Arial" w:cs="Arial"/>
          <w:noProof/>
          <w:sz w:val="22"/>
          <w:szCs w:val="22"/>
          <w:highlight w:val="yellow"/>
        </w:rPr>
        <w:noBreakHyphen/>
        <w:t>5</w:t>
      </w:r>
      <w:r w:rsidRPr="00BF1C63">
        <w:rPr>
          <w:rFonts w:ascii="Arial" w:hAnsi="Arial" w:cs="Arial"/>
          <w:sz w:val="22"/>
          <w:szCs w:val="22"/>
          <w:highlight w:val="yellow"/>
        </w:rPr>
        <w:fldChar w:fldCharType="end"/>
      </w:r>
      <w:r w:rsidRPr="00BF1C63">
        <w:rPr>
          <w:rFonts w:ascii="Arial" w:hAnsi="Arial" w:cs="Arial"/>
          <w:sz w:val="22"/>
          <w:szCs w:val="22"/>
          <w:highlight w:val="yellow"/>
        </w:rPr>
        <w:t xml:space="preserve"> </w:t>
      </w:r>
      <w:r w:rsidRPr="00FB23ED">
        <w:rPr>
          <w:rFonts w:ascii="Arial" w:hAnsi="Arial" w:cs="Arial"/>
          <w:sz w:val="22"/>
          <w:szCs w:val="22"/>
        </w:rPr>
        <w:t>presentan</w:t>
      </w:r>
      <w:r w:rsidRPr="00FB23ED">
        <w:rPr>
          <w:rFonts w:ascii="Arial" w:hAnsi="Arial" w:cs="Arial"/>
          <w:sz w:val="22"/>
        </w:rPr>
        <w:t xml:space="preserve"> la estimación de la proyección del Ingreso al Productor (IP) colombiano de GLP en sus diferentes fuentes. Estos resultados, que señalan una franja de precios constantes de diciembre de 2017, varían para el escena</w:t>
      </w:r>
      <w:r w:rsidR="00E142CE">
        <w:rPr>
          <w:rFonts w:ascii="Arial" w:hAnsi="Arial" w:cs="Arial"/>
          <w:sz w:val="22"/>
        </w:rPr>
        <w:t>rio de referencia entre USD$0.</w:t>
      </w:r>
      <w:r w:rsidR="00FB23ED" w:rsidRPr="00FB23ED">
        <w:rPr>
          <w:rFonts w:ascii="Arial" w:hAnsi="Arial" w:cs="Arial"/>
          <w:sz w:val="22"/>
        </w:rPr>
        <w:t>77/galón y los USD$1.72</w:t>
      </w:r>
      <w:r w:rsidR="002327CA" w:rsidRPr="00FB23ED">
        <w:rPr>
          <w:rFonts w:ascii="Arial" w:hAnsi="Arial" w:cs="Arial"/>
          <w:sz w:val="22"/>
        </w:rPr>
        <w:t>/galón en Barranca, USD$0.</w:t>
      </w:r>
      <w:r w:rsidR="00FB23ED" w:rsidRPr="00FB23ED">
        <w:rPr>
          <w:rFonts w:ascii="Arial" w:hAnsi="Arial" w:cs="Arial"/>
          <w:sz w:val="22"/>
        </w:rPr>
        <w:t>72</w:t>
      </w:r>
      <w:r w:rsidRPr="00FB23ED">
        <w:rPr>
          <w:rFonts w:ascii="Arial" w:hAnsi="Arial" w:cs="Arial"/>
          <w:sz w:val="22"/>
        </w:rPr>
        <w:t>/galón y los USD$</w:t>
      </w:r>
      <w:r w:rsidR="00FB23ED" w:rsidRPr="00FB23ED">
        <w:rPr>
          <w:rFonts w:ascii="Arial" w:hAnsi="Arial" w:cs="Arial"/>
          <w:sz w:val="22"/>
        </w:rPr>
        <w:t>1</w:t>
      </w:r>
      <w:r w:rsidR="002327CA" w:rsidRPr="00FB23ED">
        <w:rPr>
          <w:rFonts w:ascii="Arial" w:hAnsi="Arial" w:cs="Arial"/>
          <w:sz w:val="22"/>
        </w:rPr>
        <w:t>.6</w:t>
      </w:r>
      <w:r w:rsidR="00FB23ED" w:rsidRPr="00FB23ED">
        <w:rPr>
          <w:rFonts w:ascii="Arial" w:hAnsi="Arial" w:cs="Arial"/>
          <w:sz w:val="22"/>
        </w:rPr>
        <w:t>1/galón en Cusiana y USD$0.86</w:t>
      </w:r>
      <w:r w:rsidR="002327CA" w:rsidRPr="00FB23ED">
        <w:rPr>
          <w:rFonts w:ascii="Arial" w:hAnsi="Arial" w:cs="Arial"/>
          <w:sz w:val="22"/>
        </w:rPr>
        <w:t>/galón y los USD$</w:t>
      </w:r>
      <w:r w:rsidR="00FB23ED" w:rsidRPr="00FB23ED">
        <w:rPr>
          <w:rFonts w:ascii="Arial" w:hAnsi="Arial" w:cs="Arial"/>
          <w:sz w:val="22"/>
        </w:rPr>
        <w:t>1</w:t>
      </w:r>
      <w:r w:rsidR="002327CA" w:rsidRPr="00FB23ED">
        <w:rPr>
          <w:rFonts w:ascii="Arial" w:hAnsi="Arial" w:cs="Arial"/>
          <w:sz w:val="22"/>
        </w:rPr>
        <w:t>.</w:t>
      </w:r>
      <w:r w:rsidRPr="00FB23ED">
        <w:rPr>
          <w:rFonts w:ascii="Arial" w:hAnsi="Arial" w:cs="Arial"/>
          <w:sz w:val="22"/>
        </w:rPr>
        <w:t>9</w:t>
      </w:r>
      <w:r w:rsidR="00FB23ED" w:rsidRPr="00FB23ED">
        <w:rPr>
          <w:rFonts w:ascii="Arial" w:hAnsi="Arial" w:cs="Arial"/>
          <w:sz w:val="22"/>
        </w:rPr>
        <w:t>2</w:t>
      </w:r>
      <w:r w:rsidRPr="00FB23ED">
        <w:rPr>
          <w:rFonts w:ascii="Arial" w:hAnsi="Arial" w:cs="Arial"/>
          <w:sz w:val="22"/>
        </w:rPr>
        <w:t>/galón en Cartagena.</w:t>
      </w:r>
    </w:p>
    <w:p w14:paraId="103964C2" w14:textId="0D261091" w:rsidR="00914134" w:rsidRPr="00355F07" w:rsidRDefault="00914134" w:rsidP="00914134">
      <w:pPr>
        <w:pStyle w:val="Descripcin"/>
        <w:keepNext/>
        <w:spacing w:before="0" w:after="0"/>
        <w:jc w:val="center"/>
        <w:rPr>
          <w:b/>
          <w:i w:val="0"/>
          <w:color w:val="auto"/>
          <w:sz w:val="20"/>
          <w:highlight w:val="yellow"/>
        </w:rPr>
      </w:pPr>
      <w:bookmarkStart w:id="385" w:name="_Ref529265156"/>
      <w:bookmarkStart w:id="386" w:name="_Toc530033446"/>
      <w:bookmarkEnd w:id="382"/>
      <w:r w:rsidRPr="00355F07">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9</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3</w:t>
      </w:r>
      <w:r w:rsidR="00DA50A5">
        <w:rPr>
          <w:b/>
          <w:i w:val="0"/>
          <w:color w:val="auto"/>
          <w:sz w:val="20"/>
          <w:highlight w:val="yellow"/>
        </w:rPr>
        <w:fldChar w:fldCharType="end"/>
      </w:r>
      <w:bookmarkEnd w:id="385"/>
      <w:r w:rsidRPr="00355F07">
        <w:rPr>
          <w:b/>
          <w:i w:val="0"/>
          <w:color w:val="auto"/>
          <w:sz w:val="20"/>
          <w:highlight w:val="yellow"/>
        </w:rPr>
        <w:t xml:space="preserve">. </w:t>
      </w:r>
      <w:r w:rsidRPr="00355F07">
        <w:rPr>
          <w:i w:val="0"/>
          <w:color w:val="auto"/>
          <w:sz w:val="20"/>
        </w:rPr>
        <w:t>Proyección del ingreso al productor del GLP para Barranca</w:t>
      </w:r>
      <w:bookmarkEnd w:id="386"/>
    </w:p>
    <w:p w14:paraId="04DB2259" w14:textId="77777777" w:rsidR="00914134" w:rsidRDefault="00914134" w:rsidP="00914134">
      <w:pPr>
        <w:jc w:val="center"/>
        <w:rPr>
          <w:highlight w:val="yellow"/>
        </w:rPr>
      </w:pPr>
      <w:r w:rsidRPr="00BF1C63">
        <w:rPr>
          <w:noProof/>
          <w:lang w:val="es-ES" w:eastAsia="es-ES"/>
        </w:rPr>
        <w:drawing>
          <wp:inline distT="0" distB="0" distL="0" distR="0" wp14:anchorId="04DE3595" wp14:editId="247607FF">
            <wp:extent cx="5226352" cy="3132000"/>
            <wp:effectExtent l="0" t="0" r="0" b="0"/>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26352" cy="3132000"/>
                    </a:xfrm>
                    <a:prstGeom prst="rect">
                      <a:avLst/>
                    </a:prstGeom>
                    <a:noFill/>
                    <a:ln>
                      <a:noFill/>
                    </a:ln>
                  </pic:spPr>
                </pic:pic>
              </a:graphicData>
            </a:graphic>
          </wp:inline>
        </w:drawing>
      </w:r>
    </w:p>
    <w:p w14:paraId="65C168D3" w14:textId="0253833F" w:rsidR="00914134" w:rsidRPr="001A285F" w:rsidRDefault="00914134" w:rsidP="00914134">
      <w:pPr>
        <w:jc w:val="center"/>
        <w:rPr>
          <w:rFonts w:ascii="Arial" w:hAnsi="Arial" w:cs="Arial"/>
          <w:color w:val="000000" w:themeColor="text1"/>
          <w:sz w:val="16"/>
          <w:lang w:val="es-ES"/>
        </w:rPr>
      </w:pPr>
      <w:r w:rsidRPr="001A285F">
        <w:rPr>
          <w:rFonts w:ascii="Arial" w:hAnsi="Arial" w:cs="Arial"/>
          <w:b/>
          <w:color w:val="000000" w:themeColor="text1"/>
          <w:sz w:val="16"/>
          <w:lang w:val="es-ES"/>
        </w:rPr>
        <w:t>Fuente:</w:t>
      </w:r>
      <w:r w:rsidRPr="001A285F">
        <w:rPr>
          <w:rFonts w:ascii="Arial" w:hAnsi="Arial" w:cs="Arial"/>
          <w:color w:val="000000" w:themeColor="text1"/>
          <w:sz w:val="16"/>
          <w:lang w:val="es-ES"/>
        </w:rPr>
        <w:t xml:space="preserve"> </w:t>
      </w:r>
      <w:r w:rsidR="001A285F" w:rsidRPr="001A285F">
        <w:rPr>
          <w:rFonts w:ascii="Arial" w:hAnsi="Arial" w:cs="Arial"/>
          <w:color w:val="000000" w:themeColor="text1"/>
          <w:sz w:val="16"/>
          <w:lang w:val="es-ES"/>
        </w:rPr>
        <w:t>WM</w:t>
      </w:r>
      <w:r w:rsidR="001A285F" w:rsidRPr="001A285F">
        <w:rPr>
          <w:rFonts w:ascii="Arial" w:hAnsi="Arial" w:cs="Arial"/>
          <w:color w:val="000000" w:themeColor="text1"/>
          <w:sz w:val="16"/>
        </w:rPr>
        <w:fldChar w:fldCharType="begin"/>
      </w:r>
      <w:r w:rsidR="001A285F" w:rsidRPr="001A285F">
        <w:rPr>
          <w:rFonts w:ascii="Arial" w:hAnsi="Arial" w:cs="Arial"/>
          <w:color w:val="000000" w:themeColor="text1"/>
          <w:sz w:val="16"/>
          <w:lang w:val="es-ES"/>
        </w:rPr>
        <w:instrText xml:space="preserve"> REF _Ref529881535 \r \h </w:instrText>
      </w:r>
      <w:r w:rsidR="001A285F">
        <w:rPr>
          <w:rFonts w:ascii="Arial" w:hAnsi="Arial" w:cs="Arial"/>
          <w:color w:val="000000" w:themeColor="text1"/>
          <w:sz w:val="16"/>
        </w:rPr>
        <w:instrText xml:space="preserve"> \* MERGEFORMAT </w:instrText>
      </w:r>
      <w:r w:rsidR="001A285F" w:rsidRPr="001A285F">
        <w:rPr>
          <w:rFonts w:ascii="Arial" w:hAnsi="Arial" w:cs="Arial"/>
          <w:color w:val="000000" w:themeColor="text1"/>
          <w:sz w:val="16"/>
        </w:rPr>
      </w:r>
      <w:r w:rsidR="001A285F" w:rsidRPr="001A285F">
        <w:rPr>
          <w:rFonts w:ascii="Arial" w:hAnsi="Arial" w:cs="Arial"/>
          <w:color w:val="000000" w:themeColor="text1"/>
          <w:sz w:val="16"/>
        </w:rPr>
        <w:fldChar w:fldCharType="separate"/>
      </w:r>
      <w:r w:rsidR="00915705">
        <w:rPr>
          <w:rFonts w:ascii="Arial" w:hAnsi="Arial" w:cs="Arial"/>
          <w:color w:val="000000" w:themeColor="text1"/>
          <w:sz w:val="16"/>
          <w:lang w:val="es-ES"/>
        </w:rPr>
        <w:t>[10]</w:t>
      </w:r>
      <w:r w:rsidR="001A285F" w:rsidRPr="001A285F">
        <w:rPr>
          <w:rFonts w:ascii="Arial" w:hAnsi="Arial" w:cs="Arial"/>
          <w:color w:val="000000" w:themeColor="text1"/>
          <w:sz w:val="16"/>
        </w:rPr>
        <w:fldChar w:fldCharType="end"/>
      </w:r>
      <w:r w:rsidR="001A285F" w:rsidRPr="001A285F">
        <w:rPr>
          <w:rFonts w:ascii="Arial" w:hAnsi="Arial" w:cs="Arial"/>
          <w:color w:val="000000" w:themeColor="text1"/>
          <w:sz w:val="16"/>
          <w:lang w:val="es-ES"/>
        </w:rPr>
        <w:t>, EIA</w:t>
      </w:r>
      <w:r w:rsidR="001A285F" w:rsidRPr="001A285F">
        <w:rPr>
          <w:rFonts w:ascii="Arial" w:hAnsi="Arial" w:cs="Arial"/>
          <w:color w:val="000000" w:themeColor="text1"/>
          <w:sz w:val="16"/>
        </w:rPr>
        <w:fldChar w:fldCharType="begin"/>
      </w:r>
      <w:r w:rsidR="001A285F" w:rsidRPr="001A285F">
        <w:rPr>
          <w:rFonts w:ascii="Arial" w:hAnsi="Arial" w:cs="Arial"/>
          <w:color w:val="000000" w:themeColor="text1"/>
          <w:sz w:val="16"/>
          <w:lang w:val="es-ES"/>
        </w:rPr>
        <w:instrText xml:space="preserve"> REF _Ref529881539 \r \h </w:instrText>
      </w:r>
      <w:r w:rsidR="001A285F">
        <w:rPr>
          <w:rFonts w:ascii="Arial" w:hAnsi="Arial" w:cs="Arial"/>
          <w:color w:val="000000" w:themeColor="text1"/>
          <w:sz w:val="16"/>
        </w:rPr>
        <w:instrText xml:space="preserve"> \* MERGEFORMAT </w:instrText>
      </w:r>
      <w:r w:rsidR="001A285F" w:rsidRPr="001A285F">
        <w:rPr>
          <w:rFonts w:ascii="Arial" w:hAnsi="Arial" w:cs="Arial"/>
          <w:color w:val="000000" w:themeColor="text1"/>
          <w:sz w:val="16"/>
        </w:rPr>
      </w:r>
      <w:r w:rsidR="001A285F" w:rsidRPr="001A285F">
        <w:rPr>
          <w:rFonts w:ascii="Arial" w:hAnsi="Arial" w:cs="Arial"/>
          <w:color w:val="000000" w:themeColor="text1"/>
          <w:sz w:val="16"/>
        </w:rPr>
        <w:fldChar w:fldCharType="separate"/>
      </w:r>
      <w:r w:rsidR="00915705">
        <w:rPr>
          <w:rFonts w:ascii="Arial" w:hAnsi="Arial" w:cs="Arial"/>
          <w:color w:val="000000" w:themeColor="text1"/>
          <w:sz w:val="16"/>
          <w:lang w:val="es-ES"/>
        </w:rPr>
        <w:t>[11]</w:t>
      </w:r>
      <w:r w:rsidR="001A285F" w:rsidRPr="001A285F">
        <w:rPr>
          <w:rFonts w:ascii="Arial" w:hAnsi="Arial" w:cs="Arial"/>
          <w:color w:val="000000" w:themeColor="text1"/>
          <w:sz w:val="16"/>
        </w:rPr>
        <w:fldChar w:fldCharType="end"/>
      </w:r>
      <w:r w:rsidR="001A285F" w:rsidRPr="001A285F">
        <w:rPr>
          <w:rFonts w:ascii="Arial" w:hAnsi="Arial" w:cs="Arial"/>
          <w:color w:val="000000" w:themeColor="text1"/>
          <w:sz w:val="16"/>
          <w:lang w:val="es-ES"/>
        </w:rPr>
        <w:t>, ECP</w:t>
      </w:r>
      <w:r w:rsidR="001A285F" w:rsidRPr="001A285F">
        <w:rPr>
          <w:rFonts w:ascii="Arial" w:hAnsi="Arial" w:cs="Arial"/>
          <w:color w:val="000000" w:themeColor="text1"/>
          <w:sz w:val="16"/>
        </w:rPr>
        <w:fldChar w:fldCharType="begin"/>
      </w:r>
      <w:r w:rsidR="001A285F" w:rsidRPr="001A285F">
        <w:rPr>
          <w:rFonts w:ascii="Arial" w:hAnsi="Arial" w:cs="Arial"/>
          <w:color w:val="000000" w:themeColor="text1"/>
          <w:sz w:val="16"/>
          <w:lang w:val="es-ES"/>
        </w:rPr>
        <w:instrText xml:space="preserve"> REF _Ref529882807 \r \h </w:instrText>
      </w:r>
      <w:r w:rsidR="001A285F">
        <w:rPr>
          <w:rFonts w:ascii="Arial" w:hAnsi="Arial" w:cs="Arial"/>
          <w:color w:val="000000" w:themeColor="text1"/>
          <w:sz w:val="16"/>
        </w:rPr>
        <w:instrText xml:space="preserve"> \* MERGEFORMAT </w:instrText>
      </w:r>
      <w:r w:rsidR="001A285F" w:rsidRPr="001A285F">
        <w:rPr>
          <w:rFonts w:ascii="Arial" w:hAnsi="Arial" w:cs="Arial"/>
          <w:color w:val="000000" w:themeColor="text1"/>
          <w:sz w:val="16"/>
        </w:rPr>
      </w:r>
      <w:r w:rsidR="001A285F" w:rsidRPr="001A285F">
        <w:rPr>
          <w:rFonts w:ascii="Arial" w:hAnsi="Arial" w:cs="Arial"/>
          <w:color w:val="000000" w:themeColor="text1"/>
          <w:sz w:val="16"/>
        </w:rPr>
        <w:fldChar w:fldCharType="separate"/>
      </w:r>
      <w:r w:rsidR="00915705">
        <w:rPr>
          <w:rFonts w:ascii="Arial" w:hAnsi="Arial" w:cs="Arial"/>
          <w:color w:val="000000" w:themeColor="text1"/>
          <w:sz w:val="16"/>
          <w:lang w:val="es-ES"/>
        </w:rPr>
        <w:t>[20]</w:t>
      </w:r>
      <w:r w:rsidR="001A285F" w:rsidRPr="001A285F">
        <w:rPr>
          <w:rFonts w:ascii="Arial" w:hAnsi="Arial" w:cs="Arial"/>
          <w:color w:val="000000" w:themeColor="text1"/>
          <w:sz w:val="16"/>
        </w:rPr>
        <w:fldChar w:fldCharType="end"/>
      </w:r>
      <w:r w:rsidR="001A285F" w:rsidRPr="001A285F">
        <w:rPr>
          <w:rFonts w:ascii="Arial" w:hAnsi="Arial" w:cs="Arial"/>
          <w:color w:val="000000" w:themeColor="text1"/>
          <w:sz w:val="16"/>
          <w:lang w:val="es-ES"/>
        </w:rPr>
        <w:t>,</w:t>
      </w:r>
      <w:r w:rsidR="001A285F">
        <w:rPr>
          <w:rFonts w:ascii="Arial" w:hAnsi="Arial" w:cs="Arial"/>
          <w:color w:val="000000" w:themeColor="text1"/>
          <w:sz w:val="16"/>
          <w:lang w:val="es-ES"/>
        </w:rPr>
        <w:t xml:space="preserve"> </w:t>
      </w:r>
      <w:r w:rsidR="001A285F" w:rsidRPr="001A285F">
        <w:rPr>
          <w:rFonts w:ascii="Arial" w:hAnsi="Arial" w:cs="Arial"/>
          <w:color w:val="000000" w:themeColor="text1"/>
          <w:sz w:val="16"/>
          <w:lang w:val="es-ES"/>
        </w:rPr>
        <w:t>UPME</w:t>
      </w:r>
      <w:r w:rsidRPr="001A285F">
        <w:rPr>
          <w:rFonts w:ascii="Arial" w:hAnsi="Arial" w:cs="Arial"/>
          <w:color w:val="000000" w:themeColor="text1"/>
          <w:sz w:val="16"/>
          <w:lang w:val="es-ES"/>
        </w:rPr>
        <w:t>.</w:t>
      </w:r>
    </w:p>
    <w:p w14:paraId="603A7413" w14:textId="43F2E32D" w:rsidR="00914134" w:rsidRPr="00355F07" w:rsidRDefault="00914134" w:rsidP="00914134">
      <w:pPr>
        <w:pStyle w:val="Descripcin"/>
        <w:keepNext/>
        <w:spacing w:before="0" w:after="0"/>
        <w:jc w:val="center"/>
        <w:rPr>
          <w:i w:val="0"/>
          <w:color w:val="auto"/>
          <w:sz w:val="20"/>
        </w:rPr>
      </w:pPr>
      <w:bookmarkStart w:id="387" w:name="_Ref529265165"/>
      <w:bookmarkStart w:id="388" w:name="_Toc530033447"/>
      <w:r w:rsidRPr="00355F07">
        <w:rPr>
          <w:b/>
          <w:i w:val="0"/>
          <w:color w:val="auto"/>
          <w:sz w:val="20"/>
          <w:highlight w:val="yellow"/>
        </w:rPr>
        <w:lastRenderedPageBreak/>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9</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4</w:t>
      </w:r>
      <w:r w:rsidR="00DA50A5">
        <w:rPr>
          <w:b/>
          <w:i w:val="0"/>
          <w:color w:val="auto"/>
          <w:sz w:val="20"/>
          <w:highlight w:val="yellow"/>
        </w:rPr>
        <w:fldChar w:fldCharType="end"/>
      </w:r>
      <w:bookmarkEnd w:id="387"/>
      <w:r w:rsidRPr="00355F07">
        <w:rPr>
          <w:b/>
          <w:i w:val="0"/>
          <w:color w:val="auto"/>
          <w:sz w:val="20"/>
          <w:highlight w:val="yellow"/>
        </w:rPr>
        <w:t xml:space="preserve">. </w:t>
      </w:r>
      <w:r w:rsidRPr="00355F07">
        <w:rPr>
          <w:i w:val="0"/>
          <w:color w:val="auto"/>
          <w:sz w:val="20"/>
        </w:rPr>
        <w:t>Proyección del ingreso al productor del GLP para Cusiana</w:t>
      </w:r>
      <w:bookmarkEnd w:id="388"/>
    </w:p>
    <w:p w14:paraId="3D83E43B" w14:textId="77777777" w:rsidR="00914134" w:rsidRDefault="00914134" w:rsidP="00914134">
      <w:pPr>
        <w:jc w:val="center"/>
        <w:rPr>
          <w:highlight w:val="yellow"/>
        </w:rPr>
      </w:pPr>
      <w:r w:rsidRPr="00BF1C63">
        <w:rPr>
          <w:noProof/>
          <w:lang w:val="es-ES" w:eastAsia="es-ES"/>
        </w:rPr>
        <w:drawing>
          <wp:inline distT="0" distB="0" distL="0" distR="0" wp14:anchorId="173D946E" wp14:editId="7D56E7AF">
            <wp:extent cx="5406571" cy="3240000"/>
            <wp:effectExtent l="0" t="0" r="3810" b="0"/>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06571" cy="3240000"/>
                    </a:xfrm>
                    <a:prstGeom prst="rect">
                      <a:avLst/>
                    </a:prstGeom>
                    <a:noFill/>
                    <a:ln>
                      <a:noFill/>
                    </a:ln>
                  </pic:spPr>
                </pic:pic>
              </a:graphicData>
            </a:graphic>
          </wp:inline>
        </w:drawing>
      </w:r>
    </w:p>
    <w:p w14:paraId="0E1D5DB1" w14:textId="647547E2" w:rsidR="001A285F" w:rsidRPr="001A285F" w:rsidRDefault="001A285F" w:rsidP="00E142CE">
      <w:pPr>
        <w:spacing w:after="240"/>
        <w:jc w:val="center"/>
        <w:rPr>
          <w:rFonts w:ascii="Arial" w:hAnsi="Arial" w:cs="Arial"/>
          <w:color w:val="000000" w:themeColor="text1"/>
          <w:sz w:val="16"/>
          <w:lang w:val="es-ES"/>
        </w:rPr>
      </w:pPr>
      <w:r w:rsidRPr="001A285F">
        <w:rPr>
          <w:rFonts w:ascii="Arial" w:hAnsi="Arial" w:cs="Arial"/>
          <w:b/>
          <w:color w:val="000000" w:themeColor="text1"/>
          <w:sz w:val="16"/>
          <w:lang w:val="es-ES"/>
        </w:rPr>
        <w:t>Fuente:</w:t>
      </w:r>
      <w:r w:rsidRPr="001A285F">
        <w:rPr>
          <w:rFonts w:ascii="Arial" w:hAnsi="Arial" w:cs="Arial"/>
          <w:color w:val="000000" w:themeColor="text1"/>
          <w:sz w:val="16"/>
          <w:lang w:val="es-ES"/>
        </w:rPr>
        <w:t xml:space="preserve"> WM</w:t>
      </w:r>
      <w:r w:rsidRPr="001A285F">
        <w:rPr>
          <w:rFonts w:ascii="Arial" w:hAnsi="Arial" w:cs="Arial"/>
          <w:color w:val="000000" w:themeColor="text1"/>
          <w:sz w:val="16"/>
        </w:rPr>
        <w:fldChar w:fldCharType="begin"/>
      </w:r>
      <w:r w:rsidRPr="001A285F">
        <w:rPr>
          <w:rFonts w:ascii="Arial" w:hAnsi="Arial" w:cs="Arial"/>
          <w:color w:val="000000" w:themeColor="text1"/>
          <w:sz w:val="16"/>
          <w:lang w:val="es-ES"/>
        </w:rPr>
        <w:instrText xml:space="preserve"> REF _Ref529881535 \r \h </w:instrText>
      </w:r>
      <w:r>
        <w:rPr>
          <w:rFonts w:ascii="Arial" w:hAnsi="Arial" w:cs="Arial"/>
          <w:color w:val="000000" w:themeColor="text1"/>
          <w:sz w:val="16"/>
        </w:rPr>
        <w:instrText xml:space="preserve"> \* MERGEFORMAT </w:instrText>
      </w:r>
      <w:r w:rsidRPr="001A285F">
        <w:rPr>
          <w:rFonts w:ascii="Arial" w:hAnsi="Arial" w:cs="Arial"/>
          <w:color w:val="000000" w:themeColor="text1"/>
          <w:sz w:val="16"/>
        </w:rPr>
      </w:r>
      <w:r w:rsidRPr="001A285F">
        <w:rPr>
          <w:rFonts w:ascii="Arial" w:hAnsi="Arial" w:cs="Arial"/>
          <w:color w:val="000000" w:themeColor="text1"/>
          <w:sz w:val="16"/>
        </w:rPr>
        <w:fldChar w:fldCharType="separate"/>
      </w:r>
      <w:r w:rsidR="00915705">
        <w:rPr>
          <w:rFonts w:ascii="Arial" w:hAnsi="Arial" w:cs="Arial"/>
          <w:color w:val="000000" w:themeColor="text1"/>
          <w:sz w:val="16"/>
          <w:lang w:val="es-ES"/>
        </w:rPr>
        <w:t>[10]</w:t>
      </w:r>
      <w:r w:rsidRPr="001A285F">
        <w:rPr>
          <w:rFonts w:ascii="Arial" w:hAnsi="Arial" w:cs="Arial"/>
          <w:color w:val="000000" w:themeColor="text1"/>
          <w:sz w:val="16"/>
        </w:rPr>
        <w:fldChar w:fldCharType="end"/>
      </w:r>
      <w:r w:rsidRPr="001A285F">
        <w:rPr>
          <w:rFonts w:ascii="Arial" w:hAnsi="Arial" w:cs="Arial"/>
          <w:color w:val="000000" w:themeColor="text1"/>
          <w:sz w:val="16"/>
          <w:lang w:val="es-ES"/>
        </w:rPr>
        <w:t>, EIA</w:t>
      </w:r>
      <w:r w:rsidRPr="001A285F">
        <w:rPr>
          <w:rFonts w:ascii="Arial" w:hAnsi="Arial" w:cs="Arial"/>
          <w:color w:val="000000" w:themeColor="text1"/>
          <w:sz w:val="16"/>
        </w:rPr>
        <w:fldChar w:fldCharType="begin"/>
      </w:r>
      <w:r w:rsidRPr="001A285F">
        <w:rPr>
          <w:rFonts w:ascii="Arial" w:hAnsi="Arial" w:cs="Arial"/>
          <w:color w:val="000000" w:themeColor="text1"/>
          <w:sz w:val="16"/>
          <w:lang w:val="es-ES"/>
        </w:rPr>
        <w:instrText xml:space="preserve"> REF _Ref529881539 \r \h </w:instrText>
      </w:r>
      <w:r>
        <w:rPr>
          <w:rFonts w:ascii="Arial" w:hAnsi="Arial" w:cs="Arial"/>
          <w:color w:val="000000" w:themeColor="text1"/>
          <w:sz w:val="16"/>
        </w:rPr>
        <w:instrText xml:space="preserve"> \* MERGEFORMAT </w:instrText>
      </w:r>
      <w:r w:rsidRPr="001A285F">
        <w:rPr>
          <w:rFonts w:ascii="Arial" w:hAnsi="Arial" w:cs="Arial"/>
          <w:color w:val="000000" w:themeColor="text1"/>
          <w:sz w:val="16"/>
        </w:rPr>
      </w:r>
      <w:r w:rsidRPr="001A285F">
        <w:rPr>
          <w:rFonts w:ascii="Arial" w:hAnsi="Arial" w:cs="Arial"/>
          <w:color w:val="000000" w:themeColor="text1"/>
          <w:sz w:val="16"/>
        </w:rPr>
        <w:fldChar w:fldCharType="separate"/>
      </w:r>
      <w:r w:rsidR="00915705">
        <w:rPr>
          <w:rFonts w:ascii="Arial" w:hAnsi="Arial" w:cs="Arial"/>
          <w:color w:val="000000" w:themeColor="text1"/>
          <w:sz w:val="16"/>
          <w:lang w:val="es-ES"/>
        </w:rPr>
        <w:t>[11]</w:t>
      </w:r>
      <w:r w:rsidRPr="001A285F">
        <w:rPr>
          <w:rFonts w:ascii="Arial" w:hAnsi="Arial" w:cs="Arial"/>
          <w:color w:val="000000" w:themeColor="text1"/>
          <w:sz w:val="16"/>
        </w:rPr>
        <w:fldChar w:fldCharType="end"/>
      </w:r>
      <w:r w:rsidRPr="001A285F">
        <w:rPr>
          <w:rFonts w:ascii="Arial" w:hAnsi="Arial" w:cs="Arial"/>
          <w:color w:val="000000" w:themeColor="text1"/>
          <w:sz w:val="16"/>
          <w:lang w:val="es-ES"/>
        </w:rPr>
        <w:t>, ECP</w:t>
      </w:r>
      <w:r w:rsidRPr="001A285F">
        <w:rPr>
          <w:rFonts w:ascii="Arial" w:hAnsi="Arial" w:cs="Arial"/>
          <w:color w:val="000000" w:themeColor="text1"/>
          <w:sz w:val="16"/>
        </w:rPr>
        <w:fldChar w:fldCharType="begin"/>
      </w:r>
      <w:r w:rsidRPr="001A285F">
        <w:rPr>
          <w:rFonts w:ascii="Arial" w:hAnsi="Arial" w:cs="Arial"/>
          <w:color w:val="000000" w:themeColor="text1"/>
          <w:sz w:val="16"/>
          <w:lang w:val="es-ES"/>
        </w:rPr>
        <w:instrText xml:space="preserve"> REF _Ref529882807 \r \h </w:instrText>
      </w:r>
      <w:r>
        <w:rPr>
          <w:rFonts w:ascii="Arial" w:hAnsi="Arial" w:cs="Arial"/>
          <w:color w:val="000000" w:themeColor="text1"/>
          <w:sz w:val="16"/>
        </w:rPr>
        <w:instrText xml:space="preserve"> \* MERGEFORMAT </w:instrText>
      </w:r>
      <w:r w:rsidRPr="001A285F">
        <w:rPr>
          <w:rFonts w:ascii="Arial" w:hAnsi="Arial" w:cs="Arial"/>
          <w:color w:val="000000" w:themeColor="text1"/>
          <w:sz w:val="16"/>
        </w:rPr>
      </w:r>
      <w:r w:rsidRPr="001A285F">
        <w:rPr>
          <w:rFonts w:ascii="Arial" w:hAnsi="Arial" w:cs="Arial"/>
          <w:color w:val="000000" w:themeColor="text1"/>
          <w:sz w:val="16"/>
        </w:rPr>
        <w:fldChar w:fldCharType="separate"/>
      </w:r>
      <w:r w:rsidR="00915705">
        <w:rPr>
          <w:rFonts w:ascii="Arial" w:hAnsi="Arial" w:cs="Arial"/>
          <w:color w:val="000000" w:themeColor="text1"/>
          <w:sz w:val="16"/>
          <w:lang w:val="es-ES"/>
        </w:rPr>
        <w:t>[20]</w:t>
      </w:r>
      <w:r w:rsidRPr="001A285F">
        <w:rPr>
          <w:rFonts w:ascii="Arial" w:hAnsi="Arial" w:cs="Arial"/>
          <w:color w:val="000000" w:themeColor="text1"/>
          <w:sz w:val="16"/>
        </w:rPr>
        <w:fldChar w:fldCharType="end"/>
      </w:r>
      <w:r w:rsidRPr="001A285F">
        <w:rPr>
          <w:rFonts w:ascii="Arial" w:hAnsi="Arial" w:cs="Arial"/>
          <w:color w:val="000000" w:themeColor="text1"/>
          <w:sz w:val="16"/>
          <w:lang w:val="es-ES"/>
        </w:rPr>
        <w:t>,</w:t>
      </w:r>
      <w:r>
        <w:rPr>
          <w:rFonts w:ascii="Arial" w:hAnsi="Arial" w:cs="Arial"/>
          <w:color w:val="000000" w:themeColor="text1"/>
          <w:sz w:val="16"/>
          <w:lang w:val="es-ES"/>
        </w:rPr>
        <w:t xml:space="preserve"> </w:t>
      </w:r>
      <w:r w:rsidRPr="001A285F">
        <w:rPr>
          <w:rFonts w:ascii="Arial" w:hAnsi="Arial" w:cs="Arial"/>
          <w:color w:val="000000" w:themeColor="text1"/>
          <w:sz w:val="16"/>
          <w:lang w:val="es-ES"/>
        </w:rPr>
        <w:t>UPME.</w:t>
      </w:r>
    </w:p>
    <w:p w14:paraId="41C741CF" w14:textId="2CB1BD87" w:rsidR="00914134" w:rsidRDefault="00914134" w:rsidP="00914134">
      <w:pPr>
        <w:pStyle w:val="Descripcin"/>
        <w:keepNext/>
        <w:spacing w:before="0" w:after="0"/>
        <w:jc w:val="center"/>
        <w:rPr>
          <w:i w:val="0"/>
          <w:color w:val="auto"/>
          <w:sz w:val="20"/>
        </w:rPr>
      </w:pPr>
      <w:bookmarkStart w:id="389" w:name="_Ref529265169"/>
      <w:bookmarkStart w:id="390" w:name="_Toc530033448"/>
      <w:r w:rsidRPr="00143A6E">
        <w:rPr>
          <w:b/>
          <w:i w:val="0"/>
          <w:color w:val="auto"/>
          <w:sz w:val="20"/>
          <w:highlight w:val="yellow"/>
        </w:rPr>
        <w:t xml:space="preserve">Gráfica </w:t>
      </w:r>
      <w:r w:rsidR="00DA50A5">
        <w:rPr>
          <w:b/>
          <w:i w:val="0"/>
          <w:color w:val="auto"/>
          <w:sz w:val="20"/>
          <w:highlight w:val="yellow"/>
        </w:rPr>
        <w:fldChar w:fldCharType="begin"/>
      </w:r>
      <w:r w:rsidR="00DA50A5">
        <w:rPr>
          <w:b/>
          <w:i w:val="0"/>
          <w:color w:val="auto"/>
          <w:sz w:val="20"/>
          <w:highlight w:val="yellow"/>
        </w:rPr>
        <w:instrText xml:space="preserve"> STYLEREF 1 \s </w:instrText>
      </w:r>
      <w:r w:rsidR="00DA50A5">
        <w:rPr>
          <w:b/>
          <w:i w:val="0"/>
          <w:color w:val="auto"/>
          <w:sz w:val="20"/>
          <w:highlight w:val="yellow"/>
        </w:rPr>
        <w:fldChar w:fldCharType="separate"/>
      </w:r>
      <w:r w:rsidR="00DA50A5">
        <w:rPr>
          <w:b/>
          <w:i w:val="0"/>
          <w:noProof/>
          <w:color w:val="auto"/>
          <w:sz w:val="20"/>
          <w:highlight w:val="yellow"/>
        </w:rPr>
        <w:t>9</w:t>
      </w:r>
      <w:r w:rsidR="00DA50A5">
        <w:rPr>
          <w:b/>
          <w:i w:val="0"/>
          <w:color w:val="auto"/>
          <w:sz w:val="20"/>
          <w:highlight w:val="yellow"/>
        </w:rPr>
        <w:fldChar w:fldCharType="end"/>
      </w:r>
      <w:r w:rsidR="00DA50A5">
        <w:rPr>
          <w:b/>
          <w:i w:val="0"/>
          <w:color w:val="auto"/>
          <w:sz w:val="20"/>
          <w:highlight w:val="yellow"/>
        </w:rPr>
        <w:noBreakHyphen/>
      </w:r>
      <w:r w:rsidR="00DA50A5">
        <w:rPr>
          <w:b/>
          <w:i w:val="0"/>
          <w:color w:val="auto"/>
          <w:sz w:val="20"/>
          <w:highlight w:val="yellow"/>
        </w:rPr>
        <w:fldChar w:fldCharType="begin"/>
      </w:r>
      <w:r w:rsidR="00DA50A5">
        <w:rPr>
          <w:b/>
          <w:i w:val="0"/>
          <w:color w:val="auto"/>
          <w:sz w:val="20"/>
          <w:highlight w:val="yellow"/>
        </w:rPr>
        <w:instrText xml:space="preserve"> SEQ Gráfica \* ARABIC \s 1 </w:instrText>
      </w:r>
      <w:r w:rsidR="00DA50A5">
        <w:rPr>
          <w:b/>
          <w:i w:val="0"/>
          <w:color w:val="auto"/>
          <w:sz w:val="20"/>
          <w:highlight w:val="yellow"/>
        </w:rPr>
        <w:fldChar w:fldCharType="separate"/>
      </w:r>
      <w:r w:rsidR="00DA50A5">
        <w:rPr>
          <w:b/>
          <w:i w:val="0"/>
          <w:noProof/>
          <w:color w:val="auto"/>
          <w:sz w:val="20"/>
          <w:highlight w:val="yellow"/>
        </w:rPr>
        <w:t>5</w:t>
      </w:r>
      <w:r w:rsidR="00DA50A5">
        <w:rPr>
          <w:b/>
          <w:i w:val="0"/>
          <w:color w:val="auto"/>
          <w:sz w:val="20"/>
          <w:highlight w:val="yellow"/>
        </w:rPr>
        <w:fldChar w:fldCharType="end"/>
      </w:r>
      <w:bookmarkEnd w:id="389"/>
      <w:r w:rsidRPr="00143A6E">
        <w:rPr>
          <w:b/>
          <w:i w:val="0"/>
          <w:color w:val="auto"/>
          <w:sz w:val="20"/>
          <w:highlight w:val="yellow"/>
        </w:rPr>
        <w:t xml:space="preserve">. </w:t>
      </w:r>
      <w:r w:rsidRPr="00143A6E">
        <w:rPr>
          <w:i w:val="0"/>
          <w:color w:val="auto"/>
          <w:sz w:val="20"/>
        </w:rPr>
        <w:t>Proyección del ingreso al productor del GLP para Cartagena</w:t>
      </w:r>
      <w:bookmarkEnd w:id="390"/>
    </w:p>
    <w:p w14:paraId="1434803D" w14:textId="77777777" w:rsidR="00914134" w:rsidRPr="00BF1C63" w:rsidRDefault="00914134" w:rsidP="00914134">
      <w:pPr>
        <w:jc w:val="center"/>
        <w:rPr>
          <w:lang w:val="es-CO" w:eastAsia="es-ES"/>
        </w:rPr>
      </w:pPr>
      <w:r w:rsidRPr="00BF1C63">
        <w:rPr>
          <w:noProof/>
          <w:lang w:val="es-ES" w:eastAsia="es-ES"/>
        </w:rPr>
        <w:drawing>
          <wp:inline distT="0" distB="0" distL="0" distR="0" wp14:anchorId="6A07301A" wp14:editId="602AA110">
            <wp:extent cx="5406571" cy="3240000"/>
            <wp:effectExtent l="0" t="0" r="381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06571" cy="3240000"/>
                    </a:xfrm>
                    <a:prstGeom prst="rect">
                      <a:avLst/>
                    </a:prstGeom>
                    <a:noFill/>
                    <a:ln>
                      <a:noFill/>
                    </a:ln>
                  </pic:spPr>
                </pic:pic>
              </a:graphicData>
            </a:graphic>
          </wp:inline>
        </w:drawing>
      </w:r>
    </w:p>
    <w:p w14:paraId="179FFD76" w14:textId="6FCB4725" w:rsidR="001A285F" w:rsidRPr="001A285F" w:rsidRDefault="001A285F" w:rsidP="001A285F">
      <w:pPr>
        <w:jc w:val="center"/>
        <w:rPr>
          <w:rFonts w:ascii="Arial" w:hAnsi="Arial" w:cs="Arial"/>
          <w:color w:val="000000" w:themeColor="text1"/>
          <w:sz w:val="16"/>
          <w:lang w:val="es-ES"/>
        </w:rPr>
      </w:pPr>
      <w:r w:rsidRPr="001A285F">
        <w:rPr>
          <w:rFonts w:ascii="Arial" w:hAnsi="Arial" w:cs="Arial"/>
          <w:b/>
          <w:color w:val="000000" w:themeColor="text1"/>
          <w:sz w:val="16"/>
          <w:lang w:val="es-ES"/>
        </w:rPr>
        <w:t>Fuente:</w:t>
      </w:r>
      <w:r w:rsidRPr="001A285F">
        <w:rPr>
          <w:rFonts w:ascii="Arial" w:hAnsi="Arial" w:cs="Arial"/>
          <w:color w:val="000000" w:themeColor="text1"/>
          <w:sz w:val="16"/>
          <w:lang w:val="es-ES"/>
        </w:rPr>
        <w:t xml:space="preserve"> WM</w:t>
      </w:r>
      <w:r w:rsidRPr="001A285F">
        <w:rPr>
          <w:rFonts w:ascii="Arial" w:hAnsi="Arial" w:cs="Arial"/>
          <w:color w:val="000000" w:themeColor="text1"/>
          <w:sz w:val="16"/>
        </w:rPr>
        <w:fldChar w:fldCharType="begin"/>
      </w:r>
      <w:r w:rsidRPr="001A285F">
        <w:rPr>
          <w:rFonts w:ascii="Arial" w:hAnsi="Arial" w:cs="Arial"/>
          <w:color w:val="000000" w:themeColor="text1"/>
          <w:sz w:val="16"/>
          <w:lang w:val="es-ES"/>
        </w:rPr>
        <w:instrText xml:space="preserve"> REF _Ref529881535 \r \h </w:instrText>
      </w:r>
      <w:r>
        <w:rPr>
          <w:rFonts w:ascii="Arial" w:hAnsi="Arial" w:cs="Arial"/>
          <w:color w:val="000000" w:themeColor="text1"/>
          <w:sz w:val="16"/>
        </w:rPr>
        <w:instrText xml:space="preserve"> \* MERGEFORMAT </w:instrText>
      </w:r>
      <w:r w:rsidRPr="001A285F">
        <w:rPr>
          <w:rFonts w:ascii="Arial" w:hAnsi="Arial" w:cs="Arial"/>
          <w:color w:val="000000" w:themeColor="text1"/>
          <w:sz w:val="16"/>
        </w:rPr>
      </w:r>
      <w:r w:rsidRPr="001A285F">
        <w:rPr>
          <w:rFonts w:ascii="Arial" w:hAnsi="Arial" w:cs="Arial"/>
          <w:color w:val="000000" w:themeColor="text1"/>
          <w:sz w:val="16"/>
        </w:rPr>
        <w:fldChar w:fldCharType="separate"/>
      </w:r>
      <w:r w:rsidR="00915705">
        <w:rPr>
          <w:rFonts w:ascii="Arial" w:hAnsi="Arial" w:cs="Arial"/>
          <w:color w:val="000000" w:themeColor="text1"/>
          <w:sz w:val="16"/>
          <w:lang w:val="es-ES"/>
        </w:rPr>
        <w:t>[10]</w:t>
      </w:r>
      <w:r w:rsidRPr="001A285F">
        <w:rPr>
          <w:rFonts w:ascii="Arial" w:hAnsi="Arial" w:cs="Arial"/>
          <w:color w:val="000000" w:themeColor="text1"/>
          <w:sz w:val="16"/>
        </w:rPr>
        <w:fldChar w:fldCharType="end"/>
      </w:r>
      <w:r w:rsidRPr="001A285F">
        <w:rPr>
          <w:rFonts w:ascii="Arial" w:hAnsi="Arial" w:cs="Arial"/>
          <w:color w:val="000000" w:themeColor="text1"/>
          <w:sz w:val="16"/>
          <w:lang w:val="es-ES"/>
        </w:rPr>
        <w:t>, EIA</w:t>
      </w:r>
      <w:r w:rsidRPr="001A285F">
        <w:rPr>
          <w:rFonts w:ascii="Arial" w:hAnsi="Arial" w:cs="Arial"/>
          <w:color w:val="000000" w:themeColor="text1"/>
          <w:sz w:val="16"/>
        </w:rPr>
        <w:fldChar w:fldCharType="begin"/>
      </w:r>
      <w:r w:rsidRPr="001A285F">
        <w:rPr>
          <w:rFonts w:ascii="Arial" w:hAnsi="Arial" w:cs="Arial"/>
          <w:color w:val="000000" w:themeColor="text1"/>
          <w:sz w:val="16"/>
          <w:lang w:val="es-ES"/>
        </w:rPr>
        <w:instrText xml:space="preserve"> REF _Ref529881539 \r \h </w:instrText>
      </w:r>
      <w:r>
        <w:rPr>
          <w:rFonts w:ascii="Arial" w:hAnsi="Arial" w:cs="Arial"/>
          <w:color w:val="000000" w:themeColor="text1"/>
          <w:sz w:val="16"/>
        </w:rPr>
        <w:instrText xml:space="preserve"> \* MERGEFORMAT </w:instrText>
      </w:r>
      <w:r w:rsidRPr="001A285F">
        <w:rPr>
          <w:rFonts w:ascii="Arial" w:hAnsi="Arial" w:cs="Arial"/>
          <w:color w:val="000000" w:themeColor="text1"/>
          <w:sz w:val="16"/>
        </w:rPr>
      </w:r>
      <w:r w:rsidRPr="001A285F">
        <w:rPr>
          <w:rFonts w:ascii="Arial" w:hAnsi="Arial" w:cs="Arial"/>
          <w:color w:val="000000" w:themeColor="text1"/>
          <w:sz w:val="16"/>
        </w:rPr>
        <w:fldChar w:fldCharType="separate"/>
      </w:r>
      <w:r w:rsidR="00915705">
        <w:rPr>
          <w:rFonts w:ascii="Arial" w:hAnsi="Arial" w:cs="Arial"/>
          <w:color w:val="000000" w:themeColor="text1"/>
          <w:sz w:val="16"/>
          <w:lang w:val="es-ES"/>
        </w:rPr>
        <w:t>[11]</w:t>
      </w:r>
      <w:r w:rsidRPr="001A285F">
        <w:rPr>
          <w:rFonts w:ascii="Arial" w:hAnsi="Arial" w:cs="Arial"/>
          <w:color w:val="000000" w:themeColor="text1"/>
          <w:sz w:val="16"/>
        </w:rPr>
        <w:fldChar w:fldCharType="end"/>
      </w:r>
      <w:r w:rsidRPr="001A285F">
        <w:rPr>
          <w:rFonts w:ascii="Arial" w:hAnsi="Arial" w:cs="Arial"/>
          <w:color w:val="000000" w:themeColor="text1"/>
          <w:sz w:val="16"/>
          <w:lang w:val="es-ES"/>
        </w:rPr>
        <w:t>, ECP</w:t>
      </w:r>
      <w:r w:rsidRPr="001A285F">
        <w:rPr>
          <w:rFonts w:ascii="Arial" w:hAnsi="Arial" w:cs="Arial"/>
          <w:color w:val="000000" w:themeColor="text1"/>
          <w:sz w:val="16"/>
        </w:rPr>
        <w:fldChar w:fldCharType="begin"/>
      </w:r>
      <w:r w:rsidRPr="001A285F">
        <w:rPr>
          <w:rFonts w:ascii="Arial" w:hAnsi="Arial" w:cs="Arial"/>
          <w:color w:val="000000" w:themeColor="text1"/>
          <w:sz w:val="16"/>
          <w:lang w:val="es-ES"/>
        </w:rPr>
        <w:instrText xml:space="preserve"> REF _Ref529882807 \r \h </w:instrText>
      </w:r>
      <w:r>
        <w:rPr>
          <w:rFonts w:ascii="Arial" w:hAnsi="Arial" w:cs="Arial"/>
          <w:color w:val="000000" w:themeColor="text1"/>
          <w:sz w:val="16"/>
        </w:rPr>
        <w:instrText xml:space="preserve"> \* MERGEFORMAT </w:instrText>
      </w:r>
      <w:r w:rsidRPr="001A285F">
        <w:rPr>
          <w:rFonts w:ascii="Arial" w:hAnsi="Arial" w:cs="Arial"/>
          <w:color w:val="000000" w:themeColor="text1"/>
          <w:sz w:val="16"/>
        </w:rPr>
      </w:r>
      <w:r w:rsidRPr="001A285F">
        <w:rPr>
          <w:rFonts w:ascii="Arial" w:hAnsi="Arial" w:cs="Arial"/>
          <w:color w:val="000000" w:themeColor="text1"/>
          <w:sz w:val="16"/>
        </w:rPr>
        <w:fldChar w:fldCharType="separate"/>
      </w:r>
      <w:r w:rsidR="00915705">
        <w:rPr>
          <w:rFonts w:ascii="Arial" w:hAnsi="Arial" w:cs="Arial"/>
          <w:color w:val="000000" w:themeColor="text1"/>
          <w:sz w:val="16"/>
          <w:lang w:val="es-ES"/>
        </w:rPr>
        <w:t>[20]</w:t>
      </w:r>
      <w:r w:rsidRPr="001A285F">
        <w:rPr>
          <w:rFonts w:ascii="Arial" w:hAnsi="Arial" w:cs="Arial"/>
          <w:color w:val="000000" w:themeColor="text1"/>
          <w:sz w:val="16"/>
        </w:rPr>
        <w:fldChar w:fldCharType="end"/>
      </w:r>
      <w:r w:rsidRPr="001A285F">
        <w:rPr>
          <w:rFonts w:ascii="Arial" w:hAnsi="Arial" w:cs="Arial"/>
          <w:color w:val="000000" w:themeColor="text1"/>
          <w:sz w:val="16"/>
          <w:lang w:val="es-ES"/>
        </w:rPr>
        <w:t>,</w:t>
      </w:r>
      <w:r>
        <w:rPr>
          <w:rFonts w:ascii="Arial" w:hAnsi="Arial" w:cs="Arial"/>
          <w:color w:val="000000" w:themeColor="text1"/>
          <w:sz w:val="16"/>
          <w:lang w:val="es-ES"/>
        </w:rPr>
        <w:t xml:space="preserve"> </w:t>
      </w:r>
      <w:r w:rsidRPr="001A285F">
        <w:rPr>
          <w:rFonts w:ascii="Arial" w:hAnsi="Arial" w:cs="Arial"/>
          <w:color w:val="000000" w:themeColor="text1"/>
          <w:sz w:val="16"/>
          <w:lang w:val="es-ES"/>
        </w:rPr>
        <w:t>UPME.</w:t>
      </w:r>
    </w:p>
    <w:p w14:paraId="0A03295A" w14:textId="77777777" w:rsidR="00052C05" w:rsidRDefault="00052C05" w:rsidP="00914134">
      <w:pPr>
        <w:spacing w:before="240" w:after="240" w:line="276" w:lineRule="auto"/>
        <w:jc w:val="both"/>
        <w:rPr>
          <w:rFonts w:ascii="Arial" w:hAnsi="Arial" w:cs="Arial"/>
          <w:sz w:val="22"/>
        </w:rPr>
      </w:pPr>
    </w:p>
    <w:p w14:paraId="36561014" w14:textId="77777777" w:rsidR="00052C05" w:rsidRDefault="00052C05" w:rsidP="00914134">
      <w:pPr>
        <w:spacing w:before="240" w:after="240" w:line="276" w:lineRule="auto"/>
        <w:jc w:val="both"/>
        <w:rPr>
          <w:rFonts w:ascii="Arial" w:hAnsi="Arial" w:cs="Arial"/>
          <w:sz w:val="22"/>
        </w:rPr>
      </w:pPr>
    </w:p>
    <w:p w14:paraId="4F7A7C9A" w14:textId="77777777" w:rsidR="00914134" w:rsidRPr="00FB23ED" w:rsidRDefault="00914134" w:rsidP="00914134">
      <w:pPr>
        <w:spacing w:before="240" w:after="240" w:line="276" w:lineRule="auto"/>
        <w:jc w:val="both"/>
        <w:rPr>
          <w:rFonts w:ascii="Arial" w:hAnsi="Arial" w:cs="Arial"/>
          <w:sz w:val="22"/>
        </w:rPr>
      </w:pPr>
      <w:r w:rsidRPr="00FB23ED">
        <w:rPr>
          <w:rFonts w:ascii="Arial" w:hAnsi="Arial" w:cs="Arial"/>
          <w:sz w:val="22"/>
        </w:rPr>
        <w:lastRenderedPageBreak/>
        <w:t>Es importante señalar que los precios del GLP presentan un aumento leve y constante, durante el periodo de análisis, como consecuencia del comportamiento del precio del crudo de referencia BRENT. A pesar de lo anterior, en el último año la CREG en conjunto con ECOPETROL expidieron la resolución CREG 079 de 2015</w:t>
      </w:r>
      <w:r w:rsidRPr="00FB23ED">
        <w:rPr>
          <w:rFonts w:ascii="Arial" w:hAnsi="Arial" w:cs="Arial"/>
          <w:sz w:val="22"/>
          <w:vertAlign w:val="superscript"/>
        </w:rPr>
        <w:footnoteReference w:id="7"/>
      </w:r>
      <w:r w:rsidRPr="00FB23ED">
        <w:rPr>
          <w:rFonts w:ascii="Arial" w:hAnsi="Arial" w:cs="Arial"/>
          <w:sz w:val="22"/>
        </w:rPr>
        <w:t>, la cual estableció un precio máximo para el GLP.</w:t>
      </w:r>
    </w:p>
    <w:p w14:paraId="290B0327" w14:textId="77777777" w:rsidR="00914134" w:rsidRDefault="00914134" w:rsidP="00914134">
      <w:pPr>
        <w:tabs>
          <w:tab w:val="left" w:pos="1710"/>
        </w:tabs>
        <w:spacing w:before="240" w:after="240" w:line="276" w:lineRule="auto"/>
      </w:pPr>
    </w:p>
    <w:p w14:paraId="2684B587" w14:textId="77777777" w:rsidR="00914134" w:rsidRDefault="00914134" w:rsidP="00914134">
      <w:pPr>
        <w:tabs>
          <w:tab w:val="left" w:pos="1710"/>
        </w:tabs>
        <w:spacing w:before="240" w:after="240" w:line="276" w:lineRule="auto"/>
        <w:sectPr w:rsidR="00914134" w:rsidSect="0024531A">
          <w:pgSz w:w="12240" w:h="15840"/>
          <w:pgMar w:top="1843" w:right="1183" w:bottom="1134" w:left="1418" w:header="284" w:footer="851" w:gutter="0"/>
          <w:pgBorders w:offsetFrom="page">
            <w:bottom w:val="single" w:sz="4" w:space="24" w:color="FFFFFF" w:themeColor="background1"/>
          </w:pgBorders>
          <w:cols w:space="720"/>
          <w:formProt w:val="0"/>
          <w:docGrid w:linePitch="360" w:charSpace="-6145"/>
        </w:sectPr>
      </w:pPr>
    </w:p>
    <w:p w14:paraId="4C34C506" w14:textId="4AE2363B" w:rsidR="00914134" w:rsidRPr="00D831C4" w:rsidRDefault="00914134" w:rsidP="00914134">
      <w:pPr>
        <w:pStyle w:val="Ttulo5"/>
        <w:spacing w:after="240"/>
      </w:pPr>
      <w:bookmarkStart w:id="391" w:name="_Toc452716515"/>
      <w:r>
        <w:lastRenderedPageBreak/>
        <w:t xml:space="preserve"> </w:t>
      </w:r>
      <w:r>
        <w:tab/>
      </w:r>
      <w:bookmarkStart w:id="392" w:name="_Toc530045854"/>
      <w:r w:rsidRPr="00D831C4">
        <w:t xml:space="preserve">Precio en </w:t>
      </w:r>
      <w:bookmarkEnd w:id="392"/>
      <w:r w:rsidR="00D831C4" w:rsidRPr="00D831C4">
        <w:t>Térmicas</w:t>
      </w:r>
    </w:p>
    <w:p w14:paraId="6347496D" w14:textId="752F9210" w:rsidR="00D831C4" w:rsidRDefault="00D831C4" w:rsidP="00914134">
      <w:r>
        <w:t xml:space="preserve">Este anexo se encuentra disponible en archivo adjunto en formato excel </w:t>
      </w:r>
    </w:p>
    <w:p w14:paraId="3EF343EC" w14:textId="77777777" w:rsidR="00914134" w:rsidRDefault="00914134" w:rsidP="00914134"/>
    <w:p w14:paraId="15817B65" w14:textId="77777777" w:rsidR="00914134" w:rsidRDefault="00914134" w:rsidP="00914134"/>
    <w:p w14:paraId="2367902F" w14:textId="77777777" w:rsidR="00914134" w:rsidRDefault="00914134" w:rsidP="00914134"/>
    <w:p w14:paraId="57132148" w14:textId="77777777" w:rsidR="00914134" w:rsidRDefault="00914134" w:rsidP="00914134"/>
    <w:p w14:paraId="13F0A891" w14:textId="77777777" w:rsidR="00914134" w:rsidRDefault="00914134" w:rsidP="00914134"/>
    <w:p w14:paraId="127F7B40" w14:textId="77777777" w:rsidR="00914134" w:rsidRDefault="00914134" w:rsidP="00914134">
      <w:pPr>
        <w:jc w:val="center"/>
      </w:pPr>
      <w:r>
        <w:br w:type="page"/>
      </w:r>
    </w:p>
    <w:p w14:paraId="3FA7FF0C" w14:textId="77777777" w:rsidR="00914134" w:rsidRPr="00787FC1" w:rsidRDefault="00914134" w:rsidP="00914134">
      <w:pPr>
        <w:pStyle w:val="Ttulo5"/>
        <w:spacing w:after="240"/>
      </w:pPr>
      <w:bookmarkStart w:id="393" w:name="_Toc530045855"/>
      <w:bookmarkEnd w:id="391"/>
      <w:r w:rsidRPr="00787FC1">
        <w:lastRenderedPageBreak/>
        <w:t>XXX</w:t>
      </w:r>
      <w:bookmarkEnd w:id="393"/>
    </w:p>
    <w:p w14:paraId="2AF03D10" w14:textId="77777777" w:rsidR="00914134" w:rsidRPr="004327CD" w:rsidRDefault="00914134" w:rsidP="00914134"/>
    <w:p w14:paraId="5D635026" w14:textId="77777777" w:rsidR="00914134" w:rsidRPr="004327CD" w:rsidRDefault="00914134" w:rsidP="00914134"/>
    <w:p w14:paraId="4606AAA1" w14:textId="77777777" w:rsidR="00914134" w:rsidRPr="004327CD" w:rsidRDefault="00914134" w:rsidP="00914134"/>
    <w:p w14:paraId="08CCC0C0" w14:textId="77777777" w:rsidR="00914134" w:rsidRPr="004327CD" w:rsidRDefault="00914134" w:rsidP="00914134">
      <w:pPr>
        <w:tabs>
          <w:tab w:val="left" w:pos="1770"/>
        </w:tabs>
      </w:pPr>
      <w:r>
        <w:tab/>
      </w:r>
    </w:p>
    <w:p w14:paraId="320B4C8F" w14:textId="77777777" w:rsidR="00914134" w:rsidRPr="004327CD" w:rsidRDefault="00914134" w:rsidP="00914134">
      <w:pPr>
        <w:spacing w:before="240" w:after="240" w:line="276" w:lineRule="auto"/>
      </w:pPr>
    </w:p>
    <w:p w14:paraId="7684D660" w14:textId="77777777" w:rsidR="00914134" w:rsidRDefault="00914134" w:rsidP="00914134">
      <w:pPr>
        <w:pStyle w:val="Ttulo4"/>
        <w:rPr>
          <w:rFonts w:eastAsiaTheme="minorHAnsi"/>
          <w:lang w:eastAsia="en-US"/>
        </w:rPr>
      </w:pPr>
      <w:r w:rsidRPr="004327CD">
        <w:rPr>
          <w:rFonts w:eastAsiaTheme="minorHAnsi"/>
          <w:lang w:eastAsia="en-US"/>
        </w:rPr>
        <w:br w:type="page"/>
      </w:r>
      <w:bookmarkStart w:id="394" w:name="_Toc467595524"/>
    </w:p>
    <w:p w14:paraId="61210534" w14:textId="77777777" w:rsidR="00914134" w:rsidRPr="00014F77" w:rsidRDefault="00914134" w:rsidP="00914134">
      <w:pPr>
        <w:pStyle w:val="Ttulo4"/>
      </w:pPr>
      <w:bookmarkStart w:id="395" w:name="_Toc530045856"/>
      <w:r w:rsidRPr="00014F77">
        <w:lastRenderedPageBreak/>
        <w:t>Referencias</w:t>
      </w:r>
      <w:bookmarkEnd w:id="394"/>
      <w:bookmarkEnd w:id="395"/>
    </w:p>
    <w:p w14:paraId="4AD17E1F" w14:textId="77777777" w:rsidR="00914134" w:rsidRPr="00DD0003" w:rsidRDefault="00914134" w:rsidP="00914134">
      <w:pPr>
        <w:pStyle w:val="Prrafodelista"/>
        <w:numPr>
          <w:ilvl w:val="0"/>
          <w:numId w:val="2"/>
        </w:numPr>
        <w:suppressAutoHyphens w:val="0"/>
        <w:spacing w:line="259" w:lineRule="auto"/>
        <w:contextualSpacing w:val="0"/>
        <w:jc w:val="left"/>
        <w:rPr>
          <w:rFonts w:cs="Arial"/>
          <w:sz w:val="20"/>
          <w:szCs w:val="20"/>
        </w:rPr>
      </w:pPr>
      <w:bookmarkStart w:id="396" w:name="_Ref529881082"/>
      <w:bookmarkStart w:id="397" w:name="_Ref458435847"/>
      <w:bookmarkStart w:id="398" w:name="_Ref458433578"/>
      <w:r w:rsidRPr="00DD0003">
        <w:rPr>
          <w:rFonts w:cs="Arial"/>
          <w:sz w:val="20"/>
          <w:szCs w:val="20"/>
        </w:rPr>
        <w:t xml:space="preserve">Agencia Internacional de Energía. </w:t>
      </w:r>
      <w:r w:rsidRPr="00DD0003">
        <w:rPr>
          <w:rFonts w:cs="Arial"/>
          <w:b w:val="0"/>
          <w:sz w:val="20"/>
          <w:szCs w:val="20"/>
          <w:lang w:val="es-ES"/>
        </w:rPr>
        <w:t>Oil Market Report 2011</w:t>
      </w:r>
      <w:r w:rsidRPr="00DD0003">
        <w:rPr>
          <w:rFonts w:cs="Arial"/>
          <w:sz w:val="20"/>
          <w:szCs w:val="20"/>
          <w:lang w:val="es-ES"/>
        </w:rPr>
        <w:t xml:space="preserve">. </w:t>
      </w:r>
      <w:r w:rsidRPr="00DD0003">
        <w:rPr>
          <w:rFonts w:cs="Arial"/>
          <w:sz w:val="20"/>
          <w:szCs w:val="20"/>
        </w:rPr>
        <w:t xml:space="preserve">Disponible en: </w:t>
      </w:r>
      <w:r w:rsidRPr="00FB6962">
        <w:rPr>
          <w:rStyle w:val="Hipervnculo"/>
          <w:sz w:val="20"/>
          <w:szCs w:val="20"/>
        </w:rPr>
        <w:t>&lt;</w:t>
      </w:r>
      <w:r w:rsidRPr="00FB6962">
        <w:rPr>
          <w:sz w:val="20"/>
          <w:szCs w:val="20"/>
        </w:rPr>
        <w:t xml:space="preserve"> </w:t>
      </w:r>
      <w:hyperlink r:id="rId76" w:history="1">
        <w:r w:rsidRPr="009C6459">
          <w:rPr>
            <w:rStyle w:val="Hipervnculo"/>
            <w:rFonts w:cs="Arial"/>
            <w:sz w:val="20"/>
            <w:szCs w:val="20"/>
          </w:rPr>
          <w:t>https://www.iea.org/media/omrreports/fullissues/2011-03-15.pdf</w:t>
        </w:r>
      </w:hyperlink>
      <w:r>
        <w:rPr>
          <w:rStyle w:val="Hipervnculo"/>
          <w:rFonts w:cs="Arial"/>
          <w:sz w:val="20"/>
          <w:szCs w:val="20"/>
        </w:rPr>
        <w:t xml:space="preserve"> </w:t>
      </w:r>
      <w:r w:rsidRPr="00FB6962">
        <w:rPr>
          <w:rStyle w:val="Hipervnculo"/>
          <w:rFonts w:cs="Arial"/>
          <w:sz w:val="20"/>
          <w:szCs w:val="20"/>
        </w:rPr>
        <w:t>&gt;</w:t>
      </w:r>
      <w:r w:rsidRPr="00DD0003">
        <w:rPr>
          <w:rFonts w:cs="Arial"/>
          <w:sz w:val="20"/>
          <w:szCs w:val="20"/>
        </w:rPr>
        <w:t>Consultado: Marzo de 201</w:t>
      </w:r>
      <w:r>
        <w:rPr>
          <w:rFonts w:cs="Arial"/>
          <w:sz w:val="20"/>
          <w:szCs w:val="20"/>
        </w:rPr>
        <w:t>8</w:t>
      </w:r>
      <w:r w:rsidRPr="00DD0003">
        <w:rPr>
          <w:rFonts w:cs="Arial"/>
          <w:sz w:val="20"/>
          <w:szCs w:val="20"/>
        </w:rPr>
        <w:t>.</w:t>
      </w:r>
      <w:bookmarkEnd w:id="396"/>
    </w:p>
    <w:p w14:paraId="61E04A1F" w14:textId="77777777" w:rsidR="00914134" w:rsidRPr="00DD0003" w:rsidRDefault="00914134" w:rsidP="00914134">
      <w:pPr>
        <w:pStyle w:val="Prrafodelista"/>
        <w:numPr>
          <w:ilvl w:val="0"/>
          <w:numId w:val="2"/>
        </w:numPr>
        <w:suppressAutoHyphens w:val="0"/>
        <w:spacing w:line="259" w:lineRule="auto"/>
        <w:contextualSpacing w:val="0"/>
        <w:jc w:val="left"/>
        <w:rPr>
          <w:rFonts w:cs="Arial"/>
          <w:sz w:val="20"/>
          <w:szCs w:val="20"/>
        </w:rPr>
      </w:pPr>
      <w:bookmarkStart w:id="399" w:name="_Ref529881093"/>
      <w:r w:rsidRPr="00DD0003">
        <w:rPr>
          <w:rFonts w:cs="Arial"/>
          <w:sz w:val="20"/>
          <w:szCs w:val="20"/>
        </w:rPr>
        <w:t xml:space="preserve">Agencia Internacional de Energía. </w:t>
      </w:r>
      <w:r w:rsidRPr="00DD0003">
        <w:rPr>
          <w:rFonts w:cs="Arial"/>
          <w:b w:val="0"/>
          <w:sz w:val="20"/>
          <w:szCs w:val="20"/>
          <w:lang w:val="es-ES"/>
        </w:rPr>
        <w:t>Oil Medium – Term Market Report 2012</w:t>
      </w:r>
      <w:r w:rsidRPr="00DD0003">
        <w:rPr>
          <w:rFonts w:cs="Arial"/>
          <w:sz w:val="20"/>
          <w:szCs w:val="20"/>
          <w:lang w:val="es-ES"/>
        </w:rPr>
        <w:t xml:space="preserve">. </w:t>
      </w:r>
      <w:r w:rsidRPr="00DD0003">
        <w:rPr>
          <w:rFonts w:cs="Arial"/>
          <w:sz w:val="20"/>
          <w:szCs w:val="20"/>
        </w:rPr>
        <w:t xml:space="preserve">Disponible en: </w:t>
      </w:r>
      <w:r w:rsidRPr="00DD0003">
        <w:rPr>
          <w:rStyle w:val="Hipervnculo"/>
          <w:sz w:val="20"/>
          <w:szCs w:val="20"/>
        </w:rPr>
        <w:t>&lt;</w:t>
      </w:r>
      <w:r w:rsidRPr="00DD0003">
        <w:rPr>
          <w:rStyle w:val="Hipervnculo"/>
          <w:rFonts w:cs="Arial"/>
          <w:sz w:val="20"/>
          <w:szCs w:val="20"/>
        </w:rPr>
        <w:t>https://www.iea.org/publications/freepublications/publication/MTOMR2012WEB.pdf</w:t>
      </w:r>
      <w:r w:rsidRPr="00FB6962">
        <w:rPr>
          <w:rStyle w:val="Hipervnculo"/>
          <w:rFonts w:cs="Arial"/>
          <w:sz w:val="20"/>
          <w:szCs w:val="20"/>
        </w:rPr>
        <w:t>&gt;</w:t>
      </w:r>
      <w:r w:rsidRPr="00DD0003">
        <w:rPr>
          <w:rFonts w:cs="Arial"/>
          <w:sz w:val="20"/>
          <w:szCs w:val="20"/>
        </w:rPr>
        <w:t>Consultado: Marzo</w:t>
      </w:r>
      <w:r>
        <w:rPr>
          <w:rFonts w:cs="Arial"/>
          <w:sz w:val="20"/>
          <w:szCs w:val="20"/>
        </w:rPr>
        <w:t xml:space="preserve"> de 2018</w:t>
      </w:r>
      <w:bookmarkEnd w:id="399"/>
    </w:p>
    <w:p w14:paraId="74885F73" w14:textId="77777777" w:rsidR="00914134" w:rsidRPr="00DD0003" w:rsidRDefault="00914134" w:rsidP="00914134">
      <w:pPr>
        <w:pStyle w:val="Prrafodelista"/>
        <w:numPr>
          <w:ilvl w:val="0"/>
          <w:numId w:val="2"/>
        </w:numPr>
        <w:suppressAutoHyphens w:val="0"/>
        <w:spacing w:line="259" w:lineRule="auto"/>
        <w:contextualSpacing w:val="0"/>
        <w:jc w:val="left"/>
        <w:rPr>
          <w:rFonts w:cs="Arial"/>
          <w:sz w:val="20"/>
          <w:szCs w:val="20"/>
        </w:rPr>
      </w:pPr>
      <w:bookmarkStart w:id="400" w:name="_Ref529881100"/>
      <w:r w:rsidRPr="00F60430">
        <w:rPr>
          <w:rFonts w:cs="Arial"/>
          <w:sz w:val="20"/>
          <w:szCs w:val="20"/>
          <w:lang w:val="en-US"/>
        </w:rPr>
        <w:t xml:space="preserve">Agencia Internacional de Energía. </w:t>
      </w:r>
      <w:r w:rsidRPr="00DD0003">
        <w:rPr>
          <w:rFonts w:cs="Arial"/>
          <w:b w:val="0"/>
          <w:sz w:val="20"/>
          <w:szCs w:val="20"/>
          <w:lang w:val="en-US"/>
        </w:rPr>
        <w:t>Market Report Series - Oil 2017- Analysis and forecasts to 2022</w:t>
      </w:r>
      <w:r w:rsidRPr="00DD0003">
        <w:rPr>
          <w:rFonts w:cs="Arial"/>
          <w:sz w:val="20"/>
          <w:szCs w:val="20"/>
          <w:lang w:val="en-US"/>
        </w:rPr>
        <w:t xml:space="preserve">. </w:t>
      </w:r>
      <w:r w:rsidRPr="00DD0003">
        <w:rPr>
          <w:rFonts w:cs="Arial"/>
          <w:sz w:val="20"/>
          <w:szCs w:val="20"/>
        </w:rPr>
        <w:t xml:space="preserve">Disponible en: </w:t>
      </w:r>
      <w:r w:rsidRPr="00DD0003">
        <w:rPr>
          <w:rStyle w:val="Hipervnculo"/>
          <w:sz w:val="20"/>
          <w:szCs w:val="20"/>
        </w:rPr>
        <w:t>&lt;</w:t>
      </w:r>
      <w:r w:rsidRPr="00DD0003">
        <w:rPr>
          <w:sz w:val="20"/>
          <w:szCs w:val="20"/>
        </w:rPr>
        <w:t xml:space="preserve"> </w:t>
      </w:r>
      <w:hyperlink r:id="rId77" w:history="1">
        <w:r w:rsidRPr="00DD0003">
          <w:rPr>
            <w:rStyle w:val="Hipervnculo"/>
            <w:rFonts w:cs="Arial"/>
            <w:sz w:val="20"/>
            <w:szCs w:val="20"/>
          </w:rPr>
          <w:t>https://www.iea.org/publications/freepublications/publication/Market_Report_Series_Oil2017.pdf</w:t>
        </w:r>
      </w:hyperlink>
      <w:r w:rsidRPr="00DD0003">
        <w:rPr>
          <w:rStyle w:val="Hipervnculo"/>
          <w:rFonts w:cs="Arial"/>
          <w:sz w:val="20"/>
          <w:szCs w:val="20"/>
        </w:rPr>
        <w:t xml:space="preserve"> &gt;  </w:t>
      </w:r>
      <w:r w:rsidRPr="00DD0003">
        <w:rPr>
          <w:rFonts w:cs="Arial"/>
          <w:sz w:val="20"/>
          <w:szCs w:val="20"/>
        </w:rPr>
        <w:t>Consultado: Marzo</w:t>
      </w:r>
      <w:r>
        <w:rPr>
          <w:rFonts w:cs="Arial"/>
          <w:sz w:val="20"/>
          <w:szCs w:val="20"/>
        </w:rPr>
        <w:t xml:space="preserve"> de 2018</w:t>
      </w:r>
      <w:bookmarkEnd w:id="400"/>
    </w:p>
    <w:p w14:paraId="2EC2B6F7" w14:textId="77777777" w:rsidR="00914134" w:rsidRPr="00DD0003" w:rsidRDefault="00914134" w:rsidP="00914134">
      <w:pPr>
        <w:pStyle w:val="Prrafodelista"/>
        <w:numPr>
          <w:ilvl w:val="0"/>
          <w:numId w:val="2"/>
        </w:numPr>
        <w:suppressAutoHyphens w:val="0"/>
        <w:spacing w:line="259" w:lineRule="auto"/>
        <w:contextualSpacing w:val="0"/>
        <w:jc w:val="left"/>
        <w:rPr>
          <w:rFonts w:cs="Arial"/>
          <w:sz w:val="20"/>
          <w:szCs w:val="20"/>
        </w:rPr>
      </w:pPr>
      <w:bookmarkStart w:id="401" w:name="_Ref529881139"/>
      <w:r w:rsidRPr="00DD0003">
        <w:rPr>
          <w:rFonts w:cs="Arial"/>
          <w:sz w:val="20"/>
          <w:szCs w:val="20"/>
        </w:rPr>
        <w:t xml:space="preserve">Administración de Información Energética de los Estados Unidos. </w:t>
      </w:r>
      <w:r w:rsidRPr="00DD0003">
        <w:rPr>
          <w:rFonts w:cs="Arial"/>
          <w:b w:val="0"/>
          <w:sz w:val="20"/>
          <w:szCs w:val="20"/>
          <w:lang w:val="en-US"/>
        </w:rPr>
        <w:t>Petroleum &amp; Other Liquids - Tight oil production estimates by play</w:t>
      </w:r>
      <w:r w:rsidRPr="00DD0003">
        <w:rPr>
          <w:rFonts w:cs="Arial"/>
          <w:sz w:val="20"/>
          <w:szCs w:val="20"/>
          <w:lang w:val="en-US"/>
        </w:rPr>
        <w:t xml:space="preserve">. </w:t>
      </w:r>
      <w:r w:rsidRPr="00DD0003">
        <w:rPr>
          <w:rFonts w:cs="Arial"/>
          <w:sz w:val="20"/>
          <w:szCs w:val="20"/>
        </w:rPr>
        <w:t>Disponible: &lt;</w:t>
      </w:r>
      <w:r w:rsidRPr="00DD0003">
        <w:rPr>
          <w:sz w:val="20"/>
          <w:szCs w:val="20"/>
        </w:rPr>
        <w:t xml:space="preserve"> </w:t>
      </w:r>
      <w:hyperlink r:id="rId78" w:anchor="crude" w:history="1">
        <w:r w:rsidRPr="00DD0003">
          <w:rPr>
            <w:rStyle w:val="Hipervnculo"/>
            <w:rFonts w:cs="Arial"/>
            <w:sz w:val="20"/>
            <w:szCs w:val="20"/>
          </w:rPr>
          <w:t>https://www.eia.gov/petroleum/data.php#crude</w:t>
        </w:r>
      </w:hyperlink>
      <w:r w:rsidRPr="00DD0003">
        <w:rPr>
          <w:rStyle w:val="Hipervnculo"/>
          <w:rFonts w:cs="Arial"/>
          <w:sz w:val="20"/>
          <w:szCs w:val="20"/>
        </w:rPr>
        <w:t xml:space="preserve"> </w:t>
      </w:r>
      <w:r w:rsidRPr="00DD0003">
        <w:rPr>
          <w:rFonts w:cs="Arial"/>
          <w:sz w:val="20"/>
          <w:szCs w:val="20"/>
        </w:rPr>
        <w:t>&gt;. Consultado: Abril</w:t>
      </w:r>
      <w:r>
        <w:rPr>
          <w:rFonts w:cs="Arial"/>
          <w:sz w:val="20"/>
          <w:szCs w:val="20"/>
        </w:rPr>
        <w:t xml:space="preserve"> de 2018</w:t>
      </w:r>
      <w:r w:rsidRPr="00DD0003">
        <w:rPr>
          <w:rFonts w:cs="Arial"/>
          <w:sz w:val="20"/>
          <w:szCs w:val="20"/>
        </w:rPr>
        <w:t>.</w:t>
      </w:r>
      <w:bookmarkEnd w:id="401"/>
    </w:p>
    <w:p w14:paraId="7EF1E2B1" w14:textId="77777777" w:rsidR="00914134" w:rsidRPr="00DD0003" w:rsidRDefault="00914134" w:rsidP="00914134">
      <w:pPr>
        <w:pStyle w:val="Prrafodelista"/>
        <w:numPr>
          <w:ilvl w:val="0"/>
          <w:numId w:val="2"/>
        </w:numPr>
        <w:suppressAutoHyphens w:val="0"/>
        <w:spacing w:line="259" w:lineRule="auto"/>
        <w:contextualSpacing w:val="0"/>
        <w:jc w:val="left"/>
        <w:rPr>
          <w:rFonts w:cs="Arial"/>
          <w:sz w:val="20"/>
          <w:szCs w:val="20"/>
        </w:rPr>
      </w:pPr>
      <w:bookmarkStart w:id="402" w:name="_Ref529881183"/>
      <w:r w:rsidRPr="00F60430">
        <w:rPr>
          <w:rFonts w:cs="Arial"/>
          <w:sz w:val="20"/>
          <w:szCs w:val="20"/>
          <w:lang w:val="en-US"/>
        </w:rPr>
        <w:t xml:space="preserve">British Petroleum. </w:t>
      </w:r>
      <w:r w:rsidRPr="00DD0003">
        <w:rPr>
          <w:rFonts w:cs="Arial"/>
          <w:b w:val="0"/>
          <w:sz w:val="20"/>
          <w:szCs w:val="20"/>
          <w:lang w:val="en-US"/>
        </w:rPr>
        <w:t>BP Statistical Review of World Energy June 201</w:t>
      </w:r>
      <w:r>
        <w:rPr>
          <w:rFonts w:cs="Arial"/>
          <w:b w:val="0"/>
          <w:sz w:val="20"/>
          <w:szCs w:val="20"/>
          <w:lang w:val="en-US"/>
        </w:rPr>
        <w:t>8</w:t>
      </w:r>
      <w:r w:rsidRPr="00DD0003">
        <w:rPr>
          <w:rFonts w:cs="Arial"/>
          <w:sz w:val="20"/>
          <w:szCs w:val="20"/>
          <w:lang w:val="en-US"/>
        </w:rPr>
        <w:t xml:space="preserve">. </w:t>
      </w:r>
      <w:r w:rsidRPr="00DD0003">
        <w:rPr>
          <w:rFonts w:cs="Arial"/>
          <w:sz w:val="20"/>
          <w:szCs w:val="20"/>
        </w:rPr>
        <w:t>Disponible: &lt;</w:t>
      </w:r>
      <w:r w:rsidRPr="00DD0003">
        <w:rPr>
          <w:sz w:val="20"/>
          <w:szCs w:val="20"/>
        </w:rPr>
        <w:t xml:space="preserve"> </w:t>
      </w:r>
      <w:r w:rsidRPr="00DD0003">
        <w:rPr>
          <w:rStyle w:val="Hipervnculo"/>
          <w:rFonts w:cs="Arial"/>
          <w:sz w:val="20"/>
          <w:szCs w:val="20"/>
        </w:rPr>
        <w:t>https://www.bp.com/en/global/corporate/energy-economics/statistical-review-of-world-energy/downloads.html</w:t>
      </w:r>
      <w:r w:rsidRPr="00DD0003">
        <w:rPr>
          <w:rFonts w:cs="Arial"/>
          <w:sz w:val="20"/>
          <w:szCs w:val="20"/>
        </w:rPr>
        <w:t>&gt;. Consultado: Junio de 201</w:t>
      </w:r>
      <w:r>
        <w:rPr>
          <w:rFonts w:cs="Arial"/>
          <w:sz w:val="20"/>
          <w:szCs w:val="20"/>
        </w:rPr>
        <w:t>8</w:t>
      </w:r>
      <w:r w:rsidRPr="00DD0003">
        <w:rPr>
          <w:rFonts w:cs="Arial"/>
          <w:sz w:val="20"/>
          <w:szCs w:val="20"/>
        </w:rPr>
        <w:t>.</w:t>
      </w:r>
      <w:bookmarkEnd w:id="402"/>
    </w:p>
    <w:p w14:paraId="20928CA6" w14:textId="77777777" w:rsidR="00914134" w:rsidRPr="00DD0003" w:rsidRDefault="00914134" w:rsidP="00914134">
      <w:pPr>
        <w:pStyle w:val="Prrafodelista"/>
        <w:numPr>
          <w:ilvl w:val="0"/>
          <w:numId w:val="2"/>
        </w:numPr>
        <w:suppressAutoHyphens w:val="0"/>
        <w:spacing w:line="259" w:lineRule="auto"/>
        <w:contextualSpacing w:val="0"/>
        <w:jc w:val="left"/>
        <w:rPr>
          <w:rFonts w:cs="Arial"/>
          <w:sz w:val="20"/>
          <w:szCs w:val="20"/>
        </w:rPr>
      </w:pPr>
      <w:bookmarkStart w:id="403" w:name="_Ref529881201"/>
      <w:r w:rsidRPr="00DD0003">
        <w:rPr>
          <w:rFonts w:cs="Arial"/>
          <w:sz w:val="20"/>
          <w:szCs w:val="20"/>
        </w:rPr>
        <w:t xml:space="preserve">Administración de Información Energética de los Estados Unidos. </w:t>
      </w:r>
      <w:r w:rsidRPr="00DD0003">
        <w:rPr>
          <w:rFonts w:cs="Arial"/>
          <w:b w:val="0"/>
          <w:sz w:val="20"/>
          <w:szCs w:val="20"/>
          <w:lang w:val="es-ES"/>
        </w:rPr>
        <w:t>STEO - Marzo 2017</w:t>
      </w:r>
      <w:r w:rsidRPr="00DD0003">
        <w:rPr>
          <w:rFonts w:cs="Arial"/>
          <w:sz w:val="20"/>
          <w:szCs w:val="20"/>
          <w:lang w:val="es-ES"/>
        </w:rPr>
        <w:t xml:space="preserve">. </w:t>
      </w:r>
      <w:r w:rsidRPr="00DD0003">
        <w:rPr>
          <w:rFonts w:cs="Arial"/>
          <w:sz w:val="20"/>
          <w:szCs w:val="20"/>
        </w:rPr>
        <w:t>Disponible: &lt;</w:t>
      </w:r>
      <w:r w:rsidRPr="00DD0003">
        <w:rPr>
          <w:sz w:val="20"/>
          <w:szCs w:val="20"/>
        </w:rPr>
        <w:t xml:space="preserve"> </w:t>
      </w:r>
      <w:hyperlink r:id="rId79" w:anchor="issues2018" w:history="1">
        <w:r w:rsidRPr="00DD0003">
          <w:rPr>
            <w:rStyle w:val="Hipervnculo"/>
            <w:rFonts w:cs="Arial"/>
            <w:sz w:val="20"/>
            <w:szCs w:val="20"/>
          </w:rPr>
          <w:t>https://www.eia.gov/outlooks/steo/outlook.php#issues2018</w:t>
        </w:r>
      </w:hyperlink>
      <w:r w:rsidRPr="00DD0003">
        <w:rPr>
          <w:rStyle w:val="Hipervnculo"/>
          <w:rFonts w:cs="Arial"/>
          <w:sz w:val="20"/>
          <w:szCs w:val="20"/>
        </w:rPr>
        <w:t xml:space="preserve"> </w:t>
      </w:r>
      <w:r w:rsidRPr="00DD0003">
        <w:rPr>
          <w:rFonts w:cs="Arial"/>
          <w:sz w:val="20"/>
          <w:szCs w:val="20"/>
        </w:rPr>
        <w:t>&gt;. Consultado: Abril de 201</w:t>
      </w:r>
      <w:r>
        <w:rPr>
          <w:rFonts w:cs="Arial"/>
          <w:sz w:val="20"/>
          <w:szCs w:val="20"/>
        </w:rPr>
        <w:t>8</w:t>
      </w:r>
      <w:r w:rsidRPr="00DD0003">
        <w:rPr>
          <w:rFonts w:cs="Arial"/>
          <w:sz w:val="20"/>
          <w:szCs w:val="20"/>
        </w:rPr>
        <w:t>.</w:t>
      </w:r>
      <w:bookmarkEnd w:id="403"/>
    </w:p>
    <w:p w14:paraId="312A88F5" w14:textId="6DE0C4B8" w:rsidR="00914134" w:rsidRPr="00DD0003" w:rsidRDefault="00914134" w:rsidP="00914134">
      <w:pPr>
        <w:pStyle w:val="Prrafodelista"/>
        <w:numPr>
          <w:ilvl w:val="0"/>
          <w:numId w:val="2"/>
        </w:numPr>
        <w:suppressAutoHyphens w:val="0"/>
        <w:spacing w:line="259" w:lineRule="auto"/>
        <w:contextualSpacing w:val="0"/>
        <w:jc w:val="left"/>
        <w:rPr>
          <w:rFonts w:cs="Arial"/>
          <w:sz w:val="20"/>
          <w:szCs w:val="20"/>
        </w:rPr>
      </w:pPr>
      <w:bookmarkStart w:id="404" w:name="_Ref529881374"/>
      <w:r w:rsidRPr="00DD0003">
        <w:rPr>
          <w:rFonts w:cs="Arial"/>
          <w:sz w:val="20"/>
          <w:szCs w:val="20"/>
        </w:rPr>
        <w:t>Organización de País</w:t>
      </w:r>
      <w:r w:rsidR="001B6C48">
        <w:rPr>
          <w:rFonts w:cs="Arial"/>
          <w:sz w:val="20"/>
          <w:szCs w:val="20"/>
        </w:rPr>
        <w:t>es Exportadores de Petróleo OPEP</w:t>
      </w:r>
      <w:r>
        <w:rPr>
          <w:rFonts w:cs="Arial"/>
          <w:sz w:val="20"/>
          <w:szCs w:val="20"/>
        </w:rPr>
        <w:t xml:space="preserve">. </w:t>
      </w:r>
      <w:r w:rsidRPr="00DD0003">
        <w:rPr>
          <w:rFonts w:cs="Arial"/>
          <w:b w:val="0"/>
          <w:sz w:val="20"/>
          <w:szCs w:val="20"/>
          <w:lang w:val="en-US"/>
        </w:rPr>
        <w:t>Annual Statistical Bulletin – Oil Trade</w:t>
      </w:r>
      <w:r w:rsidRPr="00DD0003">
        <w:rPr>
          <w:rFonts w:cs="Arial"/>
          <w:sz w:val="20"/>
          <w:szCs w:val="20"/>
          <w:lang w:val="en-US"/>
        </w:rPr>
        <w:t xml:space="preserve"> Disponible: &lt;</w:t>
      </w:r>
      <w:r w:rsidRPr="00DD0003">
        <w:rPr>
          <w:sz w:val="20"/>
          <w:szCs w:val="20"/>
          <w:lang w:val="en-US"/>
        </w:rPr>
        <w:t xml:space="preserve"> </w:t>
      </w:r>
      <w:hyperlink r:id="rId80" w:history="1">
        <w:r w:rsidRPr="009C6459">
          <w:rPr>
            <w:rStyle w:val="Hipervnculo"/>
            <w:rFonts w:cs="Arial"/>
            <w:sz w:val="20"/>
            <w:szCs w:val="20"/>
            <w:lang w:val="en-US"/>
          </w:rPr>
          <w:t>https://asb.opec.org/index.php/data-download</w:t>
        </w:r>
      </w:hyperlink>
      <w:r>
        <w:rPr>
          <w:rStyle w:val="Hipervnculo"/>
          <w:rFonts w:cs="Arial"/>
          <w:sz w:val="20"/>
          <w:szCs w:val="20"/>
          <w:lang w:val="en-US"/>
        </w:rPr>
        <w:t xml:space="preserve">  </w:t>
      </w:r>
      <w:r w:rsidRPr="00DD0003">
        <w:rPr>
          <w:rFonts w:cs="Arial"/>
          <w:sz w:val="20"/>
          <w:szCs w:val="20"/>
          <w:lang w:val="en-US"/>
        </w:rPr>
        <w:t xml:space="preserve">&gt;. </w:t>
      </w:r>
      <w:r w:rsidRPr="00DD0003">
        <w:rPr>
          <w:rFonts w:cs="Arial"/>
          <w:sz w:val="20"/>
          <w:szCs w:val="20"/>
        </w:rPr>
        <w:t>Consultado: Marzo de 201</w:t>
      </w:r>
      <w:r>
        <w:rPr>
          <w:rFonts w:cs="Arial"/>
          <w:sz w:val="20"/>
          <w:szCs w:val="20"/>
        </w:rPr>
        <w:t>8</w:t>
      </w:r>
      <w:r w:rsidRPr="00DD0003">
        <w:rPr>
          <w:rFonts w:cs="Arial"/>
          <w:sz w:val="20"/>
          <w:szCs w:val="20"/>
        </w:rPr>
        <w:t>.</w:t>
      </w:r>
      <w:bookmarkEnd w:id="404"/>
    </w:p>
    <w:p w14:paraId="47D4F1E0" w14:textId="77777777" w:rsidR="00914134" w:rsidRPr="00DD0003" w:rsidRDefault="00914134" w:rsidP="00914134">
      <w:pPr>
        <w:pStyle w:val="Prrafodelista"/>
        <w:numPr>
          <w:ilvl w:val="0"/>
          <w:numId w:val="2"/>
        </w:numPr>
        <w:suppressAutoHyphens w:val="0"/>
        <w:spacing w:line="259" w:lineRule="auto"/>
        <w:contextualSpacing w:val="0"/>
        <w:jc w:val="left"/>
        <w:rPr>
          <w:rFonts w:cs="Arial"/>
          <w:sz w:val="20"/>
          <w:szCs w:val="20"/>
        </w:rPr>
      </w:pPr>
      <w:bookmarkStart w:id="405" w:name="_Ref529881443"/>
      <w:r w:rsidRPr="00FB6962">
        <w:rPr>
          <w:rFonts w:cs="Arial"/>
          <w:sz w:val="20"/>
          <w:szCs w:val="20"/>
          <w:lang w:val="en-US"/>
        </w:rPr>
        <w:t xml:space="preserve">Agencia Internacional de Energía. </w:t>
      </w:r>
      <w:r w:rsidRPr="00DD0003">
        <w:rPr>
          <w:rFonts w:cs="Arial"/>
          <w:b w:val="0"/>
          <w:sz w:val="20"/>
          <w:szCs w:val="20"/>
          <w:lang w:val="en-US"/>
        </w:rPr>
        <w:t>Market Report Series - Oil 2017- Analysis and forecasts to 2022</w:t>
      </w:r>
      <w:r w:rsidRPr="00DD0003">
        <w:rPr>
          <w:rFonts w:cs="Arial"/>
          <w:sz w:val="20"/>
          <w:szCs w:val="20"/>
          <w:lang w:val="en-US"/>
        </w:rPr>
        <w:t xml:space="preserve">. </w:t>
      </w:r>
      <w:r w:rsidRPr="00DD0003">
        <w:rPr>
          <w:rFonts w:cs="Arial"/>
          <w:sz w:val="20"/>
          <w:szCs w:val="20"/>
        </w:rPr>
        <w:t xml:space="preserve">Disponible en: </w:t>
      </w:r>
      <w:r w:rsidRPr="00DD0003">
        <w:rPr>
          <w:rStyle w:val="Hipervnculo"/>
          <w:sz w:val="20"/>
          <w:szCs w:val="20"/>
        </w:rPr>
        <w:t>&lt;</w:t>
      </w:r>
      <w:r w:rsidRPr="00DD0003">
        <w:rPr>
          <w:sz w:val="20"/>
          <w:szCs w:val="20"/>
        </w:rPr>
        <w:t xml:space="preserve"> </w:t>
      </w:r>
      <w:hyperlink r:id="rId81" w:history="1">
        <w:r w:rsidRPr="00DD0003">
          <w:rPr>
            <w:rStyle w:val="Hipervnculo"/>
            <w:rFonts w:cs="Arial"/>
            <w:sz w:val="20"/>
            <w:szCs w:val="20"/>
          </w:rPr>
          <w:t>https://www.iea.org/publications/freepublications/publication/Market_Report_Series_Oil2017.pdf</w:t>
        </w:r>
      </w:hyperlink>
      <w:r w:rsidRPr="00DD0003">
        <w:rPr>
          <w:rStyle w:val="Hipervnculo"/>
          <w:rFonts w:cs="Arial"/>
          <w:sz w:val="20"/>
          <w:szCs w:val="20"/>
        </w:rPr>
        <w:t xml:space="preserve"> &gt;  </w:t>
      </w:r>
      <w:r w:rsidRPr="00DD0003">
        <w:rPr>
          <w:rFonts w:cs="Arial"/>
          <w:sz w:val="20"/>
          <w:szCs w:val="20"/>
        </w:rPr>
        <w:t>Consultado: Marzo de 201</w:t>
      </w:r>
      <w:r>
        <w:rPr>
          <w:rFonts w:cs="Arial"/>
          <w:sz w:val="20"/>
          <w:szCs w:val="20"/>
        </w:rPr>
        <w:t>8</w:t>
      </w:r>
      <w:bookmarkEnd w:id="405"/>
    </w:p>
    <w:p w14:paraId="4F4FF42B" w14:textId="77777777" w:rsidR="00914134" w:rsidRPr="00C46D0C" w:rsidRDefault="00914134" w:rsidP="00914134">
      <w:pPr>
        <w:pStyle w:val="Prrafodelista"/>
        <w:numPr>
          <w:ilvl w:val="0"/>
          <w:numId w:val="2"/>
        </w:numPr>
        <w:suppressAutoHyphens w:val="0"/>
        <w:spacing w:line="259" w:lineRule="auto"/>
        <w:contextualSpacing w:val="0"/>
        <w:jc w:val="left"/>
        <w:rPr>
          <w:rFonts w:cs="Arial"/>
          <w:sz w:val="20"/>
          <w:szCs w:val="20"/>
        </w:rPr>
      </w:pPr>
      <w:bookmarkStart w:id="406" w:name="_Ref529881476"/>
      <w:r w:rsidRPr="00DD0003">
        <w:rPr>
          <w:rFonts w:cs="Arial"/>
          <w:sz w:val="20"/>
          <w:szCs w:val="20"/>
        </w:rPr>
        <w:t xml:space="preserve">Administración de Información Energética de los Estados Unidos. </w:t>
      </w:r>
      <w:r w:rsidRPr="00DD0003">
        <w:rPr>
          <w:rFonts w:cs="Arial"/>
          <w:b w:val="0"/>
          <w:sz w:val="20"/>
          <w:szCs w:val="20"/>
          <w:lang w:val="en-US"/>
        </w:rPr>
        <w:t xml:space="preserve">Petroleum &amp; Other Liquids </w:t>
      </w:r>
      <w:r w:rsidRPr="004F6A22">
        <w:rPr>
          <w:rFonts w:cs="Arial"/>
          <w:b w:val="0"/>
          <w:sz w:val="20"/>
          <w:szCs w:val="20"/>
          <w:lang w:val="en-US"/>
        </w:rPr>
        <w:t xml:space="preserve">– </w:t>
      </w:r>
      <w:r>
        <w:rPr>
          <w:rFonts w:cs="Arial"/>
          <w:b w:val="0"/>
          <w:sz w:val="20"/>
          <w:szCs w:val="20"/>
          <w:lang w:val="en-US"/>
        </w:rPr>
        <w:t>Spot Prices</w:t>
      </w:r>
      <w:r w:rsidRPr="00DD0003">
        <w:rPr>
          <w:rFonts w:cs="Arial"/>
          <w:sz w:val="20"/>
          <w:szCs w:val="20"/>
          <w:lang w:val="en-US"/>
        </w:rPr>
        <w:t xml:space="preserve">. </w:t>
      </w:r>
      <w:r w:rsidRPr="00DD0003">
        <w:rPr>
          <w:rFonts w:cs="Arial"/>
          <w:sz w:val="20"/>
          <w:szCs w:val="20"/>
        </w:rPr>
        <w:t>Disponible: &lt;</w:t>
      </w:r>
      <w:r w:rsidRPr="00DD0003">
        <w:rPr>
          <w:sz w:val="20"/>
          <w:szCs w:val="20"/>
        </w:rPr>
        <w:t xml:space="preserve"> </w:t>
      </w:r>
      <w:r w:rsidRPr="00C46D0C">
        <w:rPr>
          <w:rStyle w:val="Hipervnculo"/>
          <w:rFonts w:cs="Arial"/>
          <w:sz w:val="20"/>
          <w:szCs w:val="20"/>
        </w:rPr>
        <w:t xml:space="preserve">https://www.eia.gov/dnav/pet/pet_pri_spt_s1_d.htm </w:t>
      </w:r>
      <w:r w:rsidRPr="00C46D0C">
        <w:rPr>
          <w:rFonts w:cs="Arial"/>
          <w:sz w:val="20"/>
          <w:szCs w:val="20"/>
        </w:rPr>
        <w:t>&gt;. Consultado: Abril de 2018.</w:t>
      </w:r>
      <w:bookmarkEnd w:id="406"/>
    </w:p>
    <w:p w14:paraId="4956EEA3" w14:textId="77777777" w:rsidR="00914134" w:rsidRPr="00C46D0C" w:rsidRDefault="00914134" w:rsidP="00914134">
      <w:pPr>
        <w:pStyle w:val="Prrafodelista"/>
        <w:numPr>
          <w:ilvl w:val="0"/>
          <w:numId w:val="2"/>
        </w:numPr>
        <w:suppressAutoHyphens w:val="0"/>
        <w:spacing w:line="259" w:lineRule="auto"/>
        <w:contextualSpacing w:val="0"/>
        <w:jc w:val="left"/>
        <w:rPr>
          <w:rFonts w:cs="Arial"/>
          <w:sz w:val="20"/>
          <w:szCs w:val="20"/>
        </w:rPr>
      </w:pPr>
      <w:r w:rsidRPr="00F60430">
        <w:rPr>
          <w:rFonts w:cs="Arial"/>
          <w:sz w:val="20"/>
          <w:szCs w:val="20"/>
          <w:lang w:val="en-US"/>
        </w:rPr>
        <w:t xml:space="preserve"> </w:t>
      </w:r>
      <w:bookmarkStart w:id="407" w:name="_Ref529881535"/>
      <w:r w:rsidRPr="00F60430">
        <w:rPr>
          <w:rFonts w:cs="Arial"/>
          <w:sz w:val="20"/>
          <w:szCs w:val="20"/>
          <w:lang w:val="en-US"/>
        </w:rPr>
        <w:t xml:space="preserve">Wood Mackenzie. </w:t>
      </w:r>
      <w:r w:rsidRPr="00F60430">
        <w:rPr>
          <w:rFonts w:cs="Arial"/>
          <w:b w:val="0"/>
          <w:sz w:val="20"/>
          <w:szCs w:val="20"/>
          <w:lang w:val="en-US"/>
        </w:rPr>
        <w:t>Global</w:t>
      </w:r>
      <w:r w:rsidRPr="00F60430">
        <w:rPr>
          <w:rFonts w:cs="Arial"/>
          <w:sz w:val="20"/>
          <w:szCs w:val="20"/>
          <w:lang w:val="en-US"/>
        </w:rPr>
        <w:t xml:space="preserve"> </w:t>
      </w:r>
      <w:r w:rsidRPr="00F60430">
        <w:rPr>
          <w:rFonts w:cs="Arial"/>
          <w:b w:val="0"/>
          <w:sz w:val="20"/>
          <w:szCs w:val="20"/>
          <w:lang w:val="en-US"/>
        </w:rPr>
        <w:t>Macro Oils Service</w:t>
      </w:r>
      <w:r w:rsidRPr="00F60430">
        <w:rPr>
          <w:rFonts w:cs="Arial"/>
          <w:sz w:val="20"/>
          <w:szCs w:val="20"/>
          <w:lang w:val="en-US"/>
        </w:rPr>
        <w:t xml:space="preserve">. </w:t>
      </w:r>
      <w:r w:rsidRPr="00C46D0C">
        <w:rPr>
          <w:rFonts w:cs="Arial"/>
          <w:sz w:val="20"/>
          <w:szCs w:val="20"/>
        </w:rPr>
        <w:t>Consultado: Junio de 2018.</w:t>
      </w:r>
      <w:bookmarkEnd w:id="407"/>
    </w:p>
    <w:p w14:paraId="270DB4F7" w14:textId="77777777" w:rsidR="00914134" w:rsidRPr="00C46D0C" w:rsidRDefault="00914134" w:rsidP="00914134">
      <w:pPr>
        <w:pStyle w:val="Prrafodelista"/>
        <w:numPr>
          <w:ilvl w:val="0"/>
          <w:numId w:val="2"/>
        </w:numPr>
        <w:suppressAutoHyphens w:val="0"/>
        <w:spacing w:line="259" w:lineRule="auto"/>
        <w:contextualSpacing w:val="0"/>
        <w:jc w:val="left"/>
        <w:rPr>
          <w:rFonts w:cs="Arial"/>
          <w:sz w:val="20"/>
          <w:szCs w:val="20"/>
        </w:rPr>
      </w:pPr>
      <w:r>
        <w:rPr>
          <w:rFonts w:cs="Arial"/>
          <w:sz w:val="20"/>
          <w:szCs w:val="20"/>
        </w:rPr>
        <w:t xml:space="preserve"> </w:t>
      </w:r>
      <w:bookmarkStart w:id="408" w:name="_Ref529881539"/>
      <w:r w:rsidRPr="00DD0003">
        <w:rPr>
          <w:rFonts w:cs="Arial"/>
          <w:sz w:val="20"/>
          <w:szCs w:val="20"/>
        </w:rPr>
        <w:t xml:space="preserve">Administración de Información Energética de los Estados Unidos. </w:t>
      </w:r>
      <w:r w:rsidRPr="00F60430">
        <w:rPr>
          <w:rFonts w:cs="Arial"/>
          <w:b w:val="0"/>
          <w:sz w:val="20"/>
          <w:szCs w:val="20"/>
          <w:lang w:val="en-US"/>
        </w:rPr>
        <w:t>Annual Energy Outlook 2018</w:t>
      </w:r>
      <w:r w:rsidRPr="00F60430">
        <w:rPr>
          <w:rFonts w:cs="Arial"/>
          <w:sz w:val="20"/>
          <w:szCs w:val="20"/>
          <w:lang w:val="en-US"/>
        </w:rPr>
        <w:t>. Disponible: &lt;</w:t>
      </w:r>
      <w:r w:rsidRPr="00F60430">
        <w:rPr>
          <w:sz w:val="20"/>
          <w:szCs w:val="20"/>
          <w:lang w:val="en-US"/>
        </w:rPr>
        <w:t xml:space="preserve"> </w:t>
      </w:r>
      <w:r w:rsidRPr="00F60430">
        <w:rPr>
          <w:rStyle w:val="Hipervnculo"/>
          <w:rFonts w:cs="Arial"/>
          <w:sz w:val="20"/>
          <w:szCs w:val="20"/>
          <w:lang w:val="en-US"/>
        </w:rPr>
        <w:t>https://www.eia.gov/outlooks/aeo/</w:t>
      </w:r>
      <w:r w:rsidRPr="00F60430">
        <w:rPr>
          <w:rFonts w:cs="Arial"/>
          <w:sz w:val="20"/>
          <w:szCs w:val="20"/>
          <w:lang w:val="en-US"/>
        </w:rPr>
        <w:t xml:space="preserve">&gt;. </w:t>
      </w:r>
      <w:r w:rsidRPr="00C46D0C">
        <w:rPr>
          <w:rFonts w:cs="Arial"/>
          <w:sz w:val="20"/>
          <w:szCs w:val="20"/>
        </w:rPr>
        <w:t xml:space="preserve">Consultado: </w:t>
      </w:r>
      <w:r>
        <w:rPr>
          <w:rFonts w:cs="Arial"/>
          <w:sz w:val="20"/>
          <w:szCs w:val="20"/>
        </w:rPr>
        <w:t>Febrero</w:t>
      </w:r>
      <w:r w:rsidRPr="00C46D0C">
        <w:rPr>
          <w:rFonts w:cs="Arial"/>
          <w:sz w:val="20"/>
          <w:szCs w:val="20"/>
        </w:rPr>
        <w:t xml:space="preserve"> de 2018.</w:t>
      </w:r>
      <w:bookmarkEnd w:id="408"/>
    </w:p>
    <w:p w14:paraId="53E421B9" w14:textId="77777777" w:rsidR="00914134" w:rsidRDefault="00914134" w:rsidP="00914134">
      <w:pPr>
        <w:pStyle w:val="Prrafodelista"/>
        <w:numPr>
          <w:ilvl w:val="0"/>
          <w:numId w:val="2"/>
        </w:numPr>
        <w:suppressAutoHyphens w:val="0"/>
        <w:spacing w:line="259" w:lineRule="auto"/>
        <w:contextualSpacing w:val="0"/>
        <w:jc w:val="left"/>
        <w:rPr>
          <w:rFonts w:cs="Arial"/>
          <w:sz w:val="20"/>
          <w:szCs w:val="20"/>
        </w:rPr>
      </w:pPr>
      <w:r>
        <w:rPr>
          <w:rFonts w:cs="Arial"/>
          <w:sz w:val="20"/>
          <w:szCs w:val="20"/>
        </w:rPr>
        <w:t xml:space="preserve"> </w:t>
      </w:r>
      <w:bookmarkStart w:id="409" w:name="_Ref529881575"/>
      <w:r w:rsidRPr="00C46D0C">
        <w:rPr>
          <w:rFonts w:cs="Arial"/>
          <w:sz w:val="20"/>
          <w:szCs w:val="20"/>
        </w:rPr>
        <w:t xml:space="preserve">XM. </w:t>
      </w:r>
      <w:r w:rsidRPr="00C46D0C">
        <w:rPr>
          <w:rFonts w:cs="Arial"/>
          <w:b w:val="0"/>
          <w:sz w:val="20"/>
          <w:szCs w:val="20"/>
        </w:rPr>
        <w:t>Parámetros Técnicos del SIM –</w:t>
      </w:r>
      <w:r>
        <w:rPr>
          <w:rFonts w:cs="Arial"/>
          <w:b w:val="0"/>
          <w:sz w:val="20"/>
          <w:szCs w:val="20"/>
        </w:rPr>
        <w:t xml:space="preserve"> </w:t>
      </w:r>
      <w:r w:rsidRPr="00C46D0C">
        <w:rPr>
          <w:rFonts w:cs="Arial"/>
          <w:b w:val="0"/>
          <w:sz w:val="20"/>
          <w:szCs w:val="20"/>
        </w:rPr>
        <w:t>PARATEC.</w:t>
      </w:r>
      <w:r w:rsidRPr="00C46D0C">
        <w:rPr>
          <w:rFonts w:cs="Arial"/>
          <w:sz w:val="20"/>
          <w:szCs w:val="20"/>
        </w:rPr>
        <w:t xml:space="preserve"> Disponible en: &lt;</w:t>
      </w:r>
      <w:r w:rsidRPr="00C46D0C">
        <w:t xml:space="preserve"> </w:t>
      </w:r>
      <w:r w:rsidRPr="00C46D0C">
        <w:rPr>
          <w:rStyle w:val="Hipervnculo"/>
          <w:rFonts w:cs="Arial"/>
          <w:sz w:val="20"/>
          <w:szCs w:val="20"/>
        </w:rPr>
        <w:t>http://paratec.xm.com.co/paratec/SitePages/generacion.aspx?q=capacidad</w:t>
      </w:r>
      <w:r w:rsidRPr="00C46D0C">
        <w:rPr>
          <w:rFonts w:cs="Arial"/>
          <w:sz w:val="20"/>
          <w:szCs w:val="20"/>
        </w:rPr>
        <w:t>&gt;. Consultado: Septiembre de 2018.</w:t>
      </w:r>
      <w:bookmarkEnd w:id="409"/>
    </w:p>
    <w:p w14:paraId="71EEA6AC" w14:textId="77777777" w:rsidR="00914134" w:rsidRDefault="00914134" w:rsidP="00914134">
      <w:pPr>
        <w:pStyle w:val="Prrafodelista"/>
        <w:numPr>
          <w:ilvl w:val="0"/>
          <w:numId w:val="2"/>
        </w:numPr>
        <w:suppressAutoHyphens w:val="0"/>
        <w:spacing w:line="259" w:lineRule="auto"/>
        <w:contextualSpacing w:val="0"/>
        <w:jc w:val="left"/>
        <w:rPr>
          <w:rFonts w:cs="Arial"/>
          <w:sz w:val="20"/>
          <w:szCs w:val="20"/>
        </w:rPr>
      </w:pPr>
      <w:bookmarkStart w:id="410" w:name="_Ref529881598"/>
      <w:r w:rsidRPr="00F03A85">
        <w:rPr>
          <w:rFonts w:cs="Arial"/>
          <w:sz w:val="20"/>
          <w:szCs w:val="20"/>
        </w:rPr>
        <w:t xml:space="preserve">XM. </w:t>
      </w:r>
      <w:r w:rsidRPr="00F03A85">
        <w:rPr>
          <w:rFonts w:cs="Arial"/>
          <w:b w:val="0"/>
          <w:sz w:val="20"/>
          <w:szCs w:val="20"/>
        </w:rPr>
        <w:t>Sistema BI.</w:t>
      </w:r>
      <w:r w:rsidRPr="00F03A85">
        <w:rPr>
          <w:rFonts w:cs="Arial"/>
          <w:sz w:val="20"/>
          <w:szCs w:val="20"/>
        </w:rPr>
        <w:t xml:space="preserve"> Consultado: Septiembre de 2018.</w:t>
      </w:r>
      <w:bookmarkEnd w:id="410"/>
    </w:p>
    <w:p w14:paraId="6A7F6EBD" w14:textId="77777777" w:rsidR="005D45DF" w:rsidRDefault="005D45DF" w:rsidP="005D45DF">
      <w:pPr>
        <w:pStyle w:val="Prrafodelista"/>
        <w:numPr>
          <w:ilvl w:val="0"/>
          <w:numId w:val="2"/>
        </w:numPr>
        <w:suppressAutoHyphens w:val="0"/>
        <w:spacing w:line="259" w:lineRule="auto"/>
        <w:contextualSpacing w:val="0"/>
        <w:jc w:val="left"/>
        <w:rPr>
          <w:rFonts w:cs="Arial"/>
          <w:sz w:val="20"/>
          <w:szCs w:val="20"/>
        </w:rPr>
      </w:pPr>
      <w:bookmarkStart w:id="411" w:name="_Ref529881942"/>
      <w:r w:rsidRPr="002B64D7">
        <w:rPr>
          <w:rFonts w:cs="Arial"/>
          <w:sz w:val="20"/>
          <w:szCs w:val="20"/>
          <w:lang w:val="es-ES"/>
        </w:rPr>
        <w:t xml:space="preserve">Grupo Internacional de Importadores de Gas Natural Licuado. </w:t>
      </w:r>
      <w:r>
        <w:rPr>
          <w:rFonts w:cs="Arial"/>
          <w:b w:val="0"/>
          <w:sz w:val="20"/>
          <w:szCs w:val="20"/>
          <w:lang w:val="es-ES"/>
        </w:rPr>
        <w:t>GIIGNL 2018 Annual Report</w:t>
      </w:r>
      <w:r w:rsidRPr="002B64D7">
        <w:rPr>
          <w:rFonts w:cs="Arial"/>
          <w:sz w:val="20"/>
          <w:szCs w:val="20"/>
          <w:lang w:val="es-ES"/>
        </w:rPr>
        <w:t>.</w:t>
      </w:r>
      <w:r w:rsidRPr="002B64D7">
        <w:rPr>
          <w:rFonts w:cs="Arial"/>
          <w:sz w:val="20"/>
          <w:szCs w:val="20"/>
        </w:rPr>
        <w:t xml:space="preserve"> Disponible en: &lt;</w:t>
      </w:r>
      <w:r w:rsidRPr="002B64D7">
        <w:t xml:space="preserve"> </w:t>
      </w:r>
      <w:hyperlink r:id="rId82" w:history="1">
        <w:r w:rsidRPr="009C6459">
          <w:rPr>
            <w:rStyle w:val="Hipervnculo"/>
            <w:rFonts w:cs="Arial"/>
            <w:sz w:val="20"/>
            <w:szCs w:val="20"/>
          </w:rPr>
          <w:t>https://giignl.org/sites/default/files/PUBLIC_AREA/Publications/rapportannuel-2018pdf.pdf</w:t>
        </w:r>
      </w:hyperlink>
      <w:r w:rsidRPr="00FE3AE9">
        <w:rPr>
          <w:rStyle w:val="Hipervnculo"/>
          <w:rFonts w:cs="Arial"/>
          <w:sz w:val="20"/>
          <w:szCs w:val="20"/>
          <w:u w:val="none"/>
        </w:rPr>
        <w:t xml:space="preserve"> </w:t>
      </w:r>
      <w:r w:rsidRPr="002B64D7">
        <w:rPr>
          <w:rFonts w:cs="Arial"/>
          <w:sz w:val="20"/>
          <w:szCs w:val="20"/>
        </w:rPr>
        <w:t>&gt;. Consultado: Junio de 2018.</w:t>
      </w:r>
      <w:bookmarkEnd w:id="411"/>
    </w:p>
    <w:p w14:paraId="62D2DE3E" w14:textId="77777777" w:rsidR="005D45DF" w:rsidRDefault="005D45DF" w:rsidP="005D45DF">
      <w:pPr>
        <w:pStyle w:val="Prrafodelista"/>
        <w:numPr>
          <w:ilvl w:val="0"/>
          <w:numId w:val="2"/>
        </w:numPr>
        <w:suppressAutoHyphens w:val="0"/>
        <w:spacing w:line="259" w:lineRule="auto"/>
        <w:contextualSpacing w:val="0"/>
        <w:jc w:val="left"/>
        <w:rPr>
          <w:rFonts w:cs="Arial"/>
          <w:sz w:val="20"/>
          <w:szCs w:val="20"/>
        </w:rPr>
      </w:pPr>
      <w:bookmarkStart w:id="412" w:name="_Ref529882024"/>
      <w:r w:rsidRPr="002B64D7">
        <w:rPr>
          <w:rFonts w:cs="Arial"/>
          <w:sz w:val="20"/>
          <w:szCs w:val="20"/>
          <w:lang w:val="es-ES"/>
        </w:rPr>
        <w:t xml:space="preserve">Grupo Internacional de Importadores de Gas Natural Licuado. </w:t>
      </w:r>
      <w:r w:rsidRPr="002B64D7">
        <w:rPr>
          <w:rFonts w:cs="Arial"/>
          <w:b w:val="0"/>
          <w:sz w:val="20"/>
          <w:szCs w:val="20"/>
          <w:lang w:val="es-ES"/>
        </w:rPr>
        <w:t xml:space="preserve">GIIGNL </w:t>
      </w:r>
      <w:r>
        <w:rPr>
          <w:rFonts w:cs="Arial"/>
          <w:b w:val="0"/>
          <w:sz w:val="20"/>
          <w:szCs w:val="20"/>
          <w:lang w:val="es-ES"/>
        </w:rPr>
        <w:t>2017 Annual Report</w:t>
      </w:r>
      <w:r w:rsidRPr="002B64D7">
        <w:rPr>
          <w:rFonts w:cs="Arial"/>
          <w:sz w:val="20"/>
          <w:szCs w:val="20"/>
          <w:lang w:val="es-ES"/>
        </w:rPr>
        <w:t>.</w:t>
      </w:r>
      <w:r w:rsidRPr="002B64D7">
        <w:rPr>
          <w:rFonts w:cs="Arial"/>
          <w:sz w:val="20"/>
          <w:szCs w:val="20"/>
        </w:rPr>
        <w:t xml:space="preserve"> Disponible en: &lt;</w:t>
      </w:r>
      <w:r w:rsidRPr="002B64D7">
        <w:t xml:space="preserve"> </w:t>
      </w:r>
      <w:r w:rsidRPr="00FE3AE9">
        <w:rPr>
          <w:rStyle w:val="Hipervnculo"/>
          <w:rFonts w:cs="Arial"/>
          <w:sz w:val="20"/>
          <w:szCs w:val="20"/>
        </w:rPr>
        <w:t>https://giignl.org/sites/default/files/PUBLIC_AREA/Publications/giignl_2017_report_0.pdf</w:t>
      </w:r>
      <w:r w:rsidRPr="002B64D7">
        <w:rPr>
          <w:rFonts w:cs="Arial"/>
          <w:sz w:val="20"/>
          <w:szCs w:val="20"/>
        </w:rPr>
        <w:t>&gt;. Consultado: Junio de 2018.</w:t>
      </w:r>
      <w:bookmarkEnd w:id="412"/>
    </w:p>
    <w:p w14:paraId="28853EEA" w14:textId="77777777" w:rsidR="00F46246" w:rsidRDefault="00F46246" w:rsidP="00F46246">
      <w:pPr>
        <w:pStyle w:val="Prrafodelista"/>
        <w:numPr>
          <w:ilvl w:val="0"/>
          <w:numId w:val="2"/>
        </w:numPr>
        <w:suppressAutoHyphens w:val="0"/>
        <w:spacing w:line="259" w:lineRule="auto"/>
        <w:contextualSpacing w:val="0"/>
        <w:jc w:val="left"/>
        <w:rPr>
          <w:rFonts w:cs="Arial"/>
          <w:sz w:val="20"/>
          <w:szCs w:val="20"/>
        </w:rPr>
      </w:pPr>
      <w:bookmarkStart w:id="413" w:name="_Ref529882230"/>
      <w:r>
        <w:rPr>
          <w:rFonts w:cs="Arial"/>
          <w:sz w:val="20"/>
          <w:szCs w:val="20"/>
          <w:lang w:val="es-ES"/>
        </w:rPr>
        <w:t>HÖEGH LNG</w:t>
      </w:r>
      <w:r w:rsidRPr="002B64D7">
        <w:rPr>
          <w:rFonts w:cs="Arial"/>
          <w:sz w:val="20"/>
          <w:szCs w:val="20"/>
          <w:lang w:val="es-ES"/>
        </w:rPr>
        <w:t xml:space="preserve">. </w:t>
      </w:r>
      <w:r>
        <w:rPr>
          <w:rFonts w:cs="Arial"/>
          <w:b w:val="0"/>
          <w:sz w:val="20"/>
          <w:szCs w:val="20"/>
          <w:lang w:val="es-ES"/>
        </w:rPr>
        <w:t>FSRU Flett</w:t>
      </w:r>
      <w:r w:rsidRPr="002B64D7">
        <w:rPr>
          <w:rFonts w:cs="Arial"/>
          <w:sz w:val="20"/>
          <w:szCs w:val="20"/>
          <w:lang w:val="es-ES"/>
        </w:rPr>
        <w:t>.</w:t>
      </w:r>
      <w:r w:rsidRPr="002B64D7">
        <w:rPr>
          <w:rFonts w:cs="Arial"/>
          <w:sz w:val="20"/>
          <w:szCs w:val="20"/>
        </w:rPr>
        <w:t xml:space="preserve"> Disponible en: &lt;</w:t>
      </w:r>
      <w:r>
        <w:t xml:space="preserve"> </w:t>
      </w:r>
      <w:r w:rsidRPr="000D3B15">
        <w:rPr>
          <w:rStyle w:val="Hipervnculo"/>
          <w:rFonts w:cs="Arial"/>
          <w:sz w:val="20"/>
          <w:szCs w:val="20"/>
        </w:rPr>
        <w:t>https://www.hoeghlng.com/fleet/default.aspx#section=fsru</w:t>
      </w:r>
      <w:r w:rsidRPr="00FE3AE9">
        <w:rPr>
          <w:rStyle w:val="Hipervnculo"/>
          <w:rFonts w:cs="Arial"/>
          <w:sz w:val="20"/>
          <w:szCs w:val="20"/>
          <w:u w:val="none"/>
        </w:rPr>
        <w:t xml:space="preserve"> </w:t>
      </w:r>
      <w:r w:rsidRPr="002B64D7">
        <w:rPr>
          <w:rFonts w:cs="Arial"/>
          <w:sz w:val="20"/>
          <w:szCs w:val="20"/>
        </w:rPr>
        <w:t>&gt;. Consultado: Junio de 2018.</w:t>
      </w:r>
      <w:bookmarkEnd w:id="413"/>
    </w:p>
    <w:p w14:paraId="7C030743" w14:textId="77777777" w:rsidR="00F46246" w:rsidRDefault="00F46246" w:rsidP="00F46246">
      <w:pPr>
        <w:pStyle w:val="Prrafodelista"/>
        <w:numPr>
          <w:ilvl w:val="0"/>
          <w:numId w:val="2"/>
        </w:numPr>
        <w:suppressAutoHyphens w:val="0"/>
        <w:spacing w:line="259" w:lineRule="auto"/>
        <w:contextualSpacing w:val="0"/>
        <w:jc w:val="left"/>
        <w:rPr>
          <w:rFonts w:cs="Arial"/>
          <w:sz w:val="20"/>
          <w:szCs w:val="20"/>
        </w:rPr>
      </w:pPr>
      <w:bookmarkStart w:id="414" w:name="_Ref529882345"/>
      <w:r w:rsidRPr="00AD080A">
        <w:rPr>
          <w:rFonts w:cs="Arial"/>
          <w:sz w:val="20"/>
          <w:szCs w:val="20"/>
          <w:lang w:val="en-US"/>
        </w:rPr>
        <w:t>S&amp;P Global Platts</w:t>
      </w:r>
      <w:r w:rsidRPr="008C349E">
        <w:rPr>
          <w:rFonts w:cs="Arial"/>
          <w:sz w:val="20"/>
          <w:szCs w:val="20"/>
          <w:lang w:val="en-US"/>
        </w:rPr>
        <w:t xml:space="preserve">. </w:t>
      </w:r>
      <w:r w:rsidRPr="008C349E">
        <w:rPr>
          <w:rFonts w:cs="Arial"/>
          <w:b w:val="0"/>
          <w:sz w:val="20"/>
          <w:szCs w:val="20"/>
          <w:lang w:val="en-US"/>
        </w:rPr>
        <w:t>Portworld</w:t>
      </w:r>
      <w:r w:rsidRPr="008C349E">
        <w:rPr>
          <w:rFonts w:cs="Arial"/>
          <w:sz w:val="20"/>
          <w:szCs w:val="20"/>
          <w:lang w:val="en-US"/>
        </w:rPr>
        <w:t xml:space="preserve">. </w:t>
      </w:r>
      <w:r w:rsidRPr="002B64D7">
        <w:rPr>
          <w:rFonts w:cs="Arial"/>
          <w:sz w:val="20"/>
          <w:szCs w:val="20"/>
        </w:rPr>
        <w:t>Disponible en: &lt;</w:t>
      </w:r>
      <w:r>
        <w:t xml:space="preserve"> </w:t>
      </w:r>
      <w:r w:rsidRPr="008C349E">
        <w:rPr>
          <w:rStyle w:val="Hipervnculo"/>
          <w:rFonts w:cs="Arial"/>
          <w:sz w:val="20"/>
          <w:szCs w:val="20"/>
        </w:rPr>
        <w:t xml:space="preserve">http://www.portworld.com/map </w:t>
      </w:r>
      <w:r w:rsidRPr="002B64D7">
        <w:rPr>
          <w:rFonts w:cs="Arial"/>
          <w:sz w:val="20"/>
          <w:szCs w:val="20"/>
        </w:rPr>
        <w:t>&gt;. Consultado: Junio de 2018.</w:t>
      </w:r>
      <w:bookmarkEnd w:id="414"/>
    </w:p>
    <w:p w14:paraId="374B650A" w14:textId="34E560F1" w:rsidR="00F46246" w:rsidRPr="00291A25" w:rsidRDefault="00F46246" w:rsidP="00291A25">
      <w:pPr>
        <w:pStyle w:val="Prrafodelista"/>
        <w:numPr>
          <w:ilvl w:val="0"/>
          <w:numId w:val="2"/>
        </w:numPr>
        <w:suppressAutoHyphens w:val="0"/>
        <w:spacing w:line="259" w:lineRule="auto"/>
        <w:contextualSpacing w:val="0"/>
        <w:jc w:val="left"/>
        <w:rPr>
          <w:rFonts w:cs="Arial"/>
          <w:sz w:val="20"/>
          <w:szCs w:val="20"/>
          <w:lang w:val="en-US"/>
        </w:rPr>
      </w:pPr>
      <w:bookmarkStart w:id="415" w:name="_Ref529882427"/>
      <w:r w:rsidRPr="00291A25">
        <w:rPr>
          <w:rFonts w:cs="Arial"/>
          <w:sz w:val="20"/>
          <w:szCs w:val="20"/>
          <w:lang w:val="en-US"/>
        </w:rPr>
        <w:t>Argus</w:t>
      </w:r>
      <w:bookmarkEnd w:id="415"/>
      <w:r w:rsidR="00291A25" w:rsidRPr="00291A25">
        <w:rPr>
          <w:rFonts w:cs="Arial"/>
          <w:sz w:val="20"/>
          <w:szCs w:val="20"/>
          <w:lang w:val="en-US"/>
        </w:rPr>
        <w:t xml:space="preserve">. </w:t>
      </w:r>
      <w:r w:rsidR="00291A25" w:rsidRPr="00291A25">
        <w:rPr>
          <w:rFonts w:cs="Arial"/>
          <w:b w:val="0"/>
          <w:sz w:val="20"/>
          <w:szCs w:val="20"/>
          <w:lang w:val="en-US"/>
        </w:rPr>
        <w:t>LNG prices, news and analysis</w:t>
      </w:r>
      <w:r w:rsidR="00291A25">
        <w:rPr>
          <w:rFonts w:cs="Arial"/>
          <w:b w:val="0"/>
          <w:sz w:val="20"/>
          <w:szCs w:val="20"/>
          <w:lang w:val="en-US"/>
        </w:rPr>
        <w:t xml:space="preserve">. </w:t>
      </w:r>
      <w:r w:rsidR="00291A25" w:rsidRPr="00AD080A">
        <w:rPr>
          <w:rFonts w:cs="Arial"/>
          <w:sz w:val="20"/>
          <w:szCs w:val="20"/>
        </w:rPr>
        <w:t xml:space="preserve">Consultado: </w:t>
      </w:r>
      <w:r w:rsidR="00291A25">
        <w:rPr>
          <w:rFonts w:cs="Arial"/>
          <w:sz w:val="20"/>
          <w:szCs w:val="20"/>
        </w:rPr>
        <w:t>Juni</w:t>
      </w:r>
      <w:r w:rsidR="00291A25" w:rsidRPr="00AD080A">
        <w:rPr>
          <w:rFonts w:cs="Arial"/>
          <w:sz w:val="20"/>
          <w:szCs w:val="20"/>
        </w:rPr>
        <w:t>o de 2018</w:t>
      </w:r>
    </w:p>
    <w:p w14:paraId="0BA9368A" w14:textId="77777777" w:rsidR="00F46246" w:rsidRPr="00657AED" w:rsidRDefault="00F46246" w:rsidP="00F46246">
      <w:pPr>
        <w:pStyle w:val="Prrafodelista"/>
        <w:numPr>
          <w:ilvl w:val="0"/>
          <w:numId w:val="2"/>
        </w:numPr>
        <w:suppressAutoHyphens w:val="0"/>
        <w:spacing w:line="259" w:lineRule="auto"/>
        <w:contextualSpacing w:val="0"/>
        <w:jc w:val="left"/>
        <w:rPr>
          <w:rFonts w:cs="Arial"/>
          <w:sz w:val="20"/>
          <w:szCs w:val="20"/>
        </w:rPr>
      </w:pPr>
      <w:bookmarkStart w:id="416" w:name="_Ref529882705"/>
      <w:r w:rsidRPr="00657AED">
        <w:rPr>
          <w:rFonts w:cs="Arial"/>
          <w:sz w:val="20"/>
          <w:szCs w:val="20"/>
          <w:lang w:val="es-ES"/>
        </w:rPr>
        <w:t>Gestor del Mercado de Gas de Colombia de la Bolsa Mercantil de Colombia S.A.</w:t>
      </w:r>
      <w:r w:rsidRPr="00657AED">
        <w:rPr>
          <w:rFonts w:cs="Arial"/>
          <w:sz w:val="20"/>
          <w:szCs w:val="20"/>
        </w:rPr>
        <w:t>Consultado: Enero de 2018.</w:t>
      </w:r>
      <w:bookmarkEnd w:id="416"/>
    </w:p>
    <w:p w14:paraId="44F23773" w14:textId="77777777" w:rsidR="005D0524" w:rsidRDefault="005D0524" w:rsidP="005D0524">
      <w:pPr>
        <w:pStyle w:val="Prrafodelista"/>
        <w:numPr>
          <w:ilvl w:val="0"/>
          <w:numId w:val="2"/>
        </w:numPr>
        <w:suppressAutoHyphens w:val="0"/>
        <w:spacing w:line="259" w:lineRule="auto"/>
        <w:contextualSpacing w:val="0"/>
        <w:jc w:val="left"/>
        <w:rPr>
          <w:rFonts w:cs="Arial"/>
          <w:sz w:val="20"/>
          <w:szCs w:val="20"/>
        </w:rPr>
      </w:pPr>
      <w:bookmarkStart w:id="417" w:name="_Ref529882807"/>
      <w:r w:rsidRPr="00B8604C">
        <w:rPr>
          <w:rFonts w:cs="Arial"/>
          <w:sz w:val="20"/>
          <w:szCs w:val="20"/>
        </w:rPr>
        <w:t>Ecopetrol. Precios Vigentes – Combustibles y Zonas de Frontera. Disponible en: &lt;</w:t>
      </w:r>
      <w:r w:rsidRPr="00B8604C">
        <w:t xml:space="preserve"> </w:t>
      </w:r>
      <w:hyperlink r:id="rId83" w:history="1">
        <w:r w:rsidRPr="00B8604C">
          <w:rPr>
            <w:rStyle w:val="Hipervnculo"/>
            <w:rFonts w:cs="Arial"/>
            <w:sz w:val="20"/>
            <w:szCs w:val="20"/>
          </w:rPr>
          <w:t>https://www.ecopetrol.com.co/wps/portal/es/ecopetrol-web/productos-y-servicios/precios/precios-vigentes/combustibles-y-zonas-de-frontera</w:t>
        </w:r>
      </w:hyperlink>
      <w:r w:rsidRPr="00B8604C">
        <w:rPr>
          <w:rStyle w:val="Hipervnculo"/>
          <w:rFonts w:cs="Arial"/>
          <w:sz w:val="20"/>
          <w:szCs w:val="20"/>
        </w:rPr>
        <w:t xml:space="preserve"> </w:t>
      </w:r>
      <w:r w:rsidRPr="00B8604C">
        <w:rPr>
          <w:rFonts w:cs="Arial"/>
          <w:sz w:val="20"/>
          <w:szCs w:val="20"/>
        </w:rPr>
        <w:t>&gt;. Consultado: Julio de 2018</w:t>
      </w:r>
      <w:r>
        <w:rPr>
          <w:rFonts w:cs="Arial"/>
          <w:sz w:val="20"/>
          <w:szCs w:val="20"/>
        </w:rPr>
        <w:t>.</w:t>
      </w:r>
      <w:bookmarkEnd w:id="417"/>
    </w:p>
    <w:p w14:paraId="6B7D06F9" w14:textId="19963277" w:rsidR="00914134" w:rsidRPr="00AD080A" w:rsidRDefault="00914134" w:rsidP="00914134">
      <w:pPr>
        <w:pStyle w:val="Prrafodelista"/>
        <w:numPr>
          <w:ilvl w:val="0"/>
          <w:numId w:val="2"/>
        </w:numPr>
        <w:suppressAutoHyphens w:val="0"/>
        <w:spacing w:line="259" w:lineRule="auto"/>
        <w:contextualSpacing w:val="0"/>
        <w:jc w:val="left"/>
        <w:rPr>
          <w:rFonts w:cs="Arial"/>
          <w:sz w:val="20"/>
          <w:szCs w:val="20"/>
        </w:rPr>
      </w:pPr>
      <w:bookmarkStart w:id="418" w:name="_Ref529882813"/>
      <w:r w:rsidRPr="00AD080A">
        <w:rPr>
          <w:rFonts w:cs="Arial"/>
          <w:sz w:val="20"/>
          <w:szCs w:val="20"/>
          <w:lang w:val="en-US"/>
        </w:rPr>
        <w:t xml:space="preserve">S&amp;P Global Platts. </w:t>
      </w:r>
      <w:r w:rsidRPr="00AD080A">
        <w:rPr>
          <w:rFonts w:cs="Arial"/>
          <w:b w:val="0"/>
          <w:sz w:val="20"/>
          <w:szCs w:val="20"/>
          <w:lang w:val="en-US"/>
        </w:rPr>
        <w:t xml:space="preserve">Market Scan. </w:t>
      </w:r>
      <w:r w:rsidRPr="00AD080A">
        <w:rPr>
          <w:rFonts w:cs="Arial"/>
          <w:sz w:val="20"/>
          <w:szCs w:val="20"/>
        </w:rPr>
        <w:t>Consultado: Febrero de 2018.</w:t>
      </w:r>
      <w:bookmarkEnd w:id="418"/>
    </w:p>
    <w:p w14:paraId="1E4A0926" w14:textId="77777777" w:rsidR="00914134" w:rsidRDefault="00914134" w:rsidP="00914134">
      <w:pPr>
        <w:pStyle w:val="Prrafodelista"/>
        <w:numPr>
          <w:ilvl w:val="0"/>
          <w:numId w:val="2"/>
        </w:numPr>
        <w:suppressAutoHyphens w:val="0"/>
        <w:spacing w:line="259" w:lineRule="auto"/>
        <w:contextualSpacing w:val="0"/>
        <w:jc w:val="left"/>
        <w:rPr>
          <w:rFonts w:cs="Arial"/>
          <w:sz w:val="20"/>
          <w:szCs w:val="20"/>
        </w:rPr>
      </w:pPr>
      <w:bookmarkStart w:id="419" w:name="_Ref529884169"/>
      <w:r w:rsidRPr="00AD080A">
        <w:rPr>
          <w:rFonts w:cs="Arial"/>
          <w:sz w:val="20"/>
          <w:szCs w:val="20"/>
          <w:lang w:val="en-US"/>
        </w:rPr>
        <w:t xml:space="preserve">Banco Mundial. </w:t>
      </w:r>
      <w:r w:rsidRPr="00AD080A">
        <w:rPr>
          <w:rFonts w:cs="Arial"/>
          <w:b w:val="0"/>
          <w:sz w:val="20"/>
          <w:szCs w:val="20"/>
          <w:lang w:val="en-US"/>
        </w:rPr>
        <w:t xml:space="preserve">Commodity Markets - </w:t>
      </w:r>
      <w:r>
        <w:rPr>
          <w:rFonts w:cs="Arial"/>
          <w:b w:val="0"/>
          <w:sz w:val="20"/>
          <w:szCs w:val="20"/>
          <w:lang w:val="en-US"/>
        </w:rPr>
        <w:t>Annual prices</w:t>
      </w:r>
      <w:r w:rsidRPr="00AD080A">
        <w:rPr>
          <w:rFonts w:cs="Arial"/>
          <w:sz w:val="20"/>
          <w:szCs w:val="20"/>
          <w:lang w:val="en-US"/>
        </w:rPr>
        <w:t xml:space="preserve">. </w:t>
      </w:r>
      <w:r w:rsidRPr="00B8604C">
        <w:rPr>
          <w:rFonts w:cs="Arial"/>
          <w:sz w:val="20"/>
          <w:szCs w:val="20"/>
        </w:rPr>
        <w:t>Disponible en: &lt;</w:t>
      </w:r>
      <w:r w:rsidRPr="00B8604C">
        <w:t xml:space="preserve"> </w:t>
      </w:r>
      <w:r w:rsidRPr="00135881">
        <w:rPr>
          <w:rStyle w:val="Hipervnculo"/>
          <w:rFonts w:cs="Arial"/>
          <w:sz w:val="20"/>
          <w:szCs w:val="20"/>
        </w:rPr>
        <w:t>http://www.worldbank.org/en/research/commodity-markets#1</w:t>
      </w:r>
      <w:r w:rsidRPr="00B8604C">
        <w:rPr>
          <w:rFonts w:cs="Arial"/>
          <w:sz w:val="20"/>
          <w:szCs w:val="20"/>
        </w:rPr>
        <w:t>&gt;. Consultado: Julio de 2018</w:t>
      </w:r>
      <w:r>
        <w:rPr>
          <w:rFonts w:cs="Arial"/>
          <w:sz w:val="20"/>
          <w:szCs w:val="20"/>
        </w:rPr>
        <w:t>.</w:t>
      </w:r>
      <w:bookmarkEnd w:id="419"/>
    </w:p>
    <w:bookmarkEnd w:id="397"/>
    <w:bookmarkEnd w:id="398"/>
    <w:p w14:paraId="122A60EB" w14:textId="63F96039" w:rsidR="00657AED" w:rsidRDefault="00657AED" w:rsidP="00657AED">
      <w:pPr>
        <w:pStyle w:val="Prrafodelista"/>
        <w:numPr>
          <w:ilvl w:val="0"/>
          <w:numId w:val="2"/>
        </w:numPr>
        <w:suppressAutoHyphens w:val="0"/>
        <w:spacing w:line="259" w:lineRule="auto"/>
        <w:contextualSpacing w:val="0"/>
        <w:jc w:val="left"/>
        <w:rPr>
          <w:rFonts w:cs="Arial"/>
          <w:sz w:val="20"/>
          <w:szCs w:val="20"/>
        </w:rPr>
      </w:pPr>
      <w:r>
        <w:rPr>
          <w:rFonts w:cs="Arial"/>
          <w:sz w:val="20"/>
          <w:szCs w:val="20"/>
          <w:lang w:val="es-ES"/>
        </w:rPr>
        <w:t xml:space="preserve">UPME. </w:t>
      </w:r>
      <w:r w:rsidR="00291A25" w:rsidRPr="00291A25">
        <w:rPr>
          <w:rFonts w:cs="Arial"/>
          <w:b w:val="0"/>
          <w:sz w:val="20"/>
          <w:szCs w:val="20"/>
          <w:lang w:val="es-ES"/>
        </w:rPr>
        <w:t>El Gas Natural en Colombia</w:t>
      </w:r>
      <w:r w:rsidR="00291A25">
        <w:rPr>
          <w:rFonts w:cs="Arial"/>
          <w:b w:val="0"/>
          <w:sz w:val="20"/>
          <w:szCs w:val="20"/>
          <w:lang w:val="es-ES"/>
        </w:rPr>
        <w:t xml:space="preserve"> – Precios Nacionales, Precios Internacionales y Demandas</w:t>
      </w:r>
      <w:r w:rsidR="00291A25" w:rsidRPr="00291A25">
        <w:rPr>
          <w:rFonts w:cs="Arial"/>
          <w:b w:val="0"/>
          <w:sz w:val="20"/>
          <w:szCs w:val="20"/>
          <w:lang w:val="es-ES"/>
        </w:rPr>
        <w:t>- 2017</w:t>
      </w:r>
      <w:r w:rsidR="00291A25">
        <w:rPr>
          <w:rFonts w:cs="Arial"/>
          <w:sz w:val="20"/>
          <w:szCs w:val="20"/>
          <w:lang w:val="es-ES"/>
        </w:rPr>
        <w:t xml:space="preserve">. </w:t>
      </w:r>
      <w:r w:rsidR="0043368E">
        <w:rPr>
          <w:rFonts w:cs="Arial"/>
          <w:sz w:val="20"/>
          <w:szCs w:val="20"/>
        </w:rPr>
        <w:t xml:space="preserve">Consultado Septiembre </w:t>
      </w:r>
      <w:r w:rsidRPr="0043368E">
        <w:rPr>
          <w:rFonts w:cs="Arial"/>
          <w:sz w:val="20"/>
          <w:szCs w:val="20"/>
        </w:rPr>
        <w:t>de 201</w:t>
      </w:r>
      <w:r w:rsidR="00AE71B8" w:rsidRPr="0043368E">
        <w:rPr>
          <w:rFonts w:cs="Arial"/>
          <w:sz w:val="20"/>
          <w:szCs w:val="20"/>
        </w:rPr>
        <w:t>7</w:t>
      </w:r>
      <w:r w:rsidRPr="0043368E">
        <w:rPr>
          <w:rFonts w:cs="Arial"/>
          <w:sz w:val="20"/>
          <w:szCs w:val="20"/>
        </w:rPr>
        <w:t>.</w:t>
      </w:r>
    </w:p>
    <w:p w14:paraId="286E8FD9" w14:textId="77777777" w:rsidR="00BF7D15" w:rsidRPr="00BF7D15" w:rsidRDefault="00BF7D15">
      <w:pPr>
        <w:rPr>
          <w:lang w:val="es-ES"/>
        </w:rPr>
      </w:pPr>
    </w:p>
    <w:sectPr w:rsidR="00BF7D15" w:rsidRPr="00BF7D15" w:rsidSect="00BF7D15">
      <w:headerReference w:type="default" r:id="rId84"/>
      <w:pgSz w:w="12240" w:h="15840" w:code="1"/>
      <w:pgMar w:top="2607" w:right="1701" w:bottom="14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6488A5" w14:textId="77777777" w:rsidR="00D31F30" w:rsidRDefault="00D31F30" w:rsidP="00BF7D15">
      <w:r>
        <w:separator/>
      </w:r>
    </w:p>
  </w:endnote>
  <w:endnote w:type="continuationSeparator" w:id="0">
    <w:p w14:paraId="00652E19" w14:textId="77777777" w:rsidR="00D31F30" w:rsidRDefault="00D31F30" w:rsidP="00BF7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de3of9">
    <w:charset w:val="00"/>
    <w:family w:val="auto"/>
    <w:pitch w:val="variable"/>
    <w:sig w:usb0="00000003" w:usb1="00000000" w:usb2="00000000" w:usb3="00000000" w:csb0="00000001" w:csb1="00000000"/>
  </w:font>
  <w:font w:name="Free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oberana Sans Light">
    <w:altName w:val="Soberana Sans Ligh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22B45" w14:textId="1F009A52" w:rsidR="00C36778" w:rsidRDefault="00C36778">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406197273"/>
      <w:docPartObj>
        <w:docPartGallery w:val="Page Numbers (Bottom of Page)"/>
        <w:docPartUnique/>
      </w:docPartObj>
    </w:sdtPr>
    <w:sdtEndPr/>
    <w:sdtContent>
      <w:p w14:paraId="247E5023" w14:textId="77777777" w:rsidR="00C36778" w:rsidRPr="00005DBB" w:rsidRDefault="00C36778">
        <w:pPr>
          <w:pStyle w:val="Piedepgina"/>
          <w:jc w:val="center"/>
          <w:rPr>
            <w:rFonts w:ascii="Arial" w:hAnsi="Arial" w:cs="Arial"/>
          </w:rPr>
        </w:pPr>
        <w:r w:rsidRPr="00005DBB">
          <w:rPr>
            <w:rFonts w:ascii="Arial" w:hAnsi="Arial" w:cs="Arial"/>
          </w:rPr>
          <w:fldChar w:fldCharType="begin"/>
        </w:r>
        <w:r w:rsidRPr="00005DBB">
          <w:rPr>
            <w:rFonts w:ascii="Arial" w:hAnsi="Arial" w:cs="Arial"/>
          </w:rPr>
          <w:instrText>PAGE   \* MERGEFORMAT</w:instrText>
        </w:r>
        <w:r w:rsidRPr="00005DBB">
          <w:rPr>
            <w:rFonts w:ascii="Arial" w:hAnsi="Arial" w:cs="Arial"/>
          </w:rPr>
          <w:fldChar w:fldCharType="separate"/>
        </w:r>
        <w:r w:rsidR="00305A60" w:rsidRPr="00305A60">
          <w:rPr>
            <w:rFonts w:ascii="Arial" w:hAnsi="Arial" w:cs="Arial"/>
            <w:noProof/>
            <w:lang w:val="es-ES"/>
          </w:rPr>
          <w:t>6</w:t>
        </w:r>
        <w:r w:rsidRPr="00005DBB">
          <w:rPr>
            <w:rFonts w:ascii="Arial" w:hAnsi="Arial" w:cs="Arial"/>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55B775" w14:textId="77777777" w:rsidR="00D31F30" w:rsidRDefault="00D31F30" w:rsidP="00BF7D15">
      <w:r>
        <w:separator/>
      </w:r>
    </w:p>
  </w:footnote>
  <w:footnote w:type="continuationSeparator" w:id="0">
    <w:p w14:paraId="4EC6CE43" w14:textId="77777777" w:rsidR="00D31F30" w:rsidRDefault="00D31F30" w:rsidP="00BF7D15">
      <w:r>
        <w:continuationSeparator/>
      </w:r>
    </w:p>
  </w:footnote>
  <w:footnote w:id="1">
    <w:p w14:paraId="3135A42B" w14:textId="77777777" w:rsidR="00C36778" w:rsidRDefault="00C36778" w:rsidP="00914134">
      <w:pPr>
        <w:pStyle w:val="Textonotapie"/>
      </w:pPr>
      <w:r>
        <w:rPr>
          <w:rStyle w:val="Refdenotaalpie"/>
        </w:rPr>
        <w:footnoteRef/>
      </w:r>
      <w:r>
        <w:t xml:space="preserve"> </w:t>
      </w:r>
      <w:r w:rsidRPr="00AD49A8">
        <w:rPr>
          <w:sz w:val="16"/>
        </w:rPr>
        <w:t>Crudo no convencional hace referencia a Light Tight Oil (LTO), Shale Gas, Arenas Bituminosas,</w:t>
      </w:r>
      <w:r>
        <w:rPr>
          <w:sz w:val="16"/>
        </w:rPr>
        <w:t xml:space="preserve"> </w:t>
      </w:r>
      <w:r w:rsidRPr="00AD49A8">
        <w:rPr>
          <w:sz w:val="16"/>
        </w:rPr>
        <w:t>Shale Oil</w:t>
      </w:r>
    </w:p>
  </w:footnote>
  <w:footnote w:id="2">
    <w:p w14:paraId="71E7D112" w14:textId="77777777" w:rsidR="00C36778" w:rsidRPr="00BE4EAE" w:rsidRDefault="00C36778" w:rsidP="00914134">
      <w:pPr>
        <w:pStyle w:val="Textonotapie"/>
      </w:pPr>
      <w:r w:rsidRPr="00127C85">
        <w:rPr>
          <w:rStyle w:val="Refdenotaalpie"/>
          <w:sz w:val="16"/>
        </w:rPr>
        <w:footnoteRef/>
      </w:r>
      <w:r w:rsidRPr="00127C85">
        <w:rPr>
          <w:sz w:val="16"/>
        </w:rPr>
        <w:t xml:space="preserve"> Demanda mundial de crudo promedio 2014: 92.4 Millones de barriles/día, PIB Mundial 2014: USD $ 77.6 Billones</w:t>
      </w:r>
    </w:p>
  </w:footnote>
  <w:footnote w:id="3">
    <w:p w14:paraId="654C9C5E" w14:textId="77777777" w:rsidR="00C36778" w:rsidRPr="00855FA4" w:rsidRDefault="00C36778" w:rsidP="00914134">
      <w:pPr>
        <w:pStyle w:val="Textocomentario"/>
        <w:rPr>
          <w:rFonts w:cs="Arial"/>
          <w:sz w:val="18"/>
        </w:rPr>
      </w:pPr>
      <w:r w:rsidRPr="00855FA4">
        <w:rPr>
          <w:rStyle w:val="Refdenotaalpie"/>
          <w:rFonts w:cs="Arial"/>
          <w:sz w:val="16"/>
        </w:rPr>
        <w:footnoteRef/>
      </w:r>
      <w:r w:rsidRPr="00855FA4">
        <w:rPr>
          <w:rFonts w:cs="Arial"/>
          <w:sz w:val="16"/>
        </w:rPr>
        <w:t xml:space="preserve"> </w:t>
      </w:r>
      <w:r w:rsidRPr="00855FA4">
        <w:rPr>
          <w:rStyle w:val="textogen"/>
          <w:rFonts w:cs="Arial"/>
          <w:sz w:val="16"/>
        </w:rPr>
        <w:t>Contrato bilateral, escrito y a término, en el cual el comprador se compromete a pagar un porcentaje  del gas contratado, independientemente de que éste sea consumido. El vendedor se compromete a tener a disposición del comprador el 100% de la cantidad contratada.</w:t>
      </w:r>
    </w:p>
  </w:footnote>
  <w:footnote w:id="4">
    <w:p w14:paraId="073584F9" w14:textId="77777777" w:rsidR="00C36778" w:rsidRPr="00AD39C7" w:rsidRDefault="00C36778" w:rsidP="00914134">
      <w:pPr>
        <w:pStyle w:val="Textonotapie"/>
        <w:rPr>
          <w:sz w:val="16"/>
          <w:szCs w:val="16"/>
        </w:rPr>
      </w:pPr>
      <w:r w:rsidRPr="00AD39C7">
        <w:rPr>
          <w:rStyle w:val="Refdenotaalpie"/>
          <w:sz w:val="16"/>
          <w:szCs w:val="16"/>
        </w:rPr>
        <w:footnoteRef/>
      </w:r>
      <w:r w:rsidRPr="00AD39C7">
        <w:rPr>
          <w:sz w:val="16"/>
          <w:szCs w:val="16"/>
        </w:rPr>
        <w:t xml:space="preserve"> Ver http://www1.upme.gov.co/PromocionSector/Paginas/Convocatorias-gas-natural.aspx</w:t>
      </w:r>
    </w:p>
  </w:footnote>
  <w:footnote w:id="5">
    <w:p w14:paraId="2B3AEFB1" w14:textId="77777777" w:rsidR="00C36778" w:rsidRDefault="00C36778" w:rsidP="00914134">
      <w:pPr>
        <w:pStyle w:val="Textonotapie"/>
      </w:pPr>
      <w:r w:rsidRPr="003F539E">
        <w:rPr>
          <w:rStyle w:val="Refdenotaalpie"/>
          <w:sz w:val="16"/>
        </w:rPr>
        <w:footnoteRef/>
      </w:r>
      <w:r w:rsidRPr="003F539E">
        <w:rPr>
          <w:sz w:val="16"/>
        </w:rPr>
        <w:t xml:space="preserve"> Ver http://www1.upme.gov.co/Hidrocarburos/publicaciones/Convocatorias_Doc_General_MME_VF.pdf</w:t>
      </w:r>
    </w:p>
  </w:footnote>
  <w:footnote w:id="6">
    <w:p w14:paraId="143C2A8E" w14:textId="77777777" w:rsidR="00C36778" w:rsidRPr="00D54FB6" w:rsidRDefault="00C36778" w:rsidP="00914134">
      <w:pPr>
        <w:pStyle w:val="Textonotapie"/>
        <w:rPr>
          <w:sz w:val="16"/>
          <w:szCs w:val="16"/>
        </w:rPr>
      </w:pPr>
      <w:r w:rsidRPr="00D54FB6">
        <w:rPr>
          <w:rStyle w:val="Refdenotaalpie"/>
          <w:sz w:val="16"/>
          <w:szCs w:val="16"/>
        </w:rPr>
        <w:footnoteRef/>
      </w:r>
      <w:r w:rsidRPr="00D54FB6">
        <w:rPr>
          <w:sz w:val="16"/>
          <w:szCs w:val="16"/>
        </w:rPr>
        <w:t xml:space="preserve"> </w:t>
      </w:r>
      <w:r>
        <w:rPr>
          <w:sz w:val="16"/>
          <w:szCs w:val="16"/>
        </w:rPr>
        <w:t>Central t</w:t>
      </w:r>
      <w:r w:rsidRPr="00D54FB6">
        <w:rPr>
          <w:sz w:val="16"/>
          <w:szCs w:val="16"/>
        </w:rPr>
        <w:t>érmica que opera con mezcla de gas y jet</w:t>
      </w:r>
      <w:r>
        <w:rPr>
          <w:sz w:val="16"/>
          <w:szCs w:val="16"/>
        </w:rPr>
        <w:t xml:space="preserve"> A1</w:t>
      </w:r>
      <w:r w:rsidRPr="00D54FB6">
        <w:rPr>
          <w:sz w:val="16"/>
          <w:szCs w:val="16"/>
        </w:rPr>
        <w:t>.</w:t>
      </w:r>
    </w:p>
  </w:footnote>
  <w:footnote w:id="7">
    <w:p w14:paraId="633954F6" w14:textId="77777777" w:rsidR="00C36778" w:rsidRDefault="00C36778" w:rsidP="00914134">
      <w:pPr>
        <w:pStyle w:val="Textonotapie"/>
      </w:pPr>
      <w:r w:rsidRPr="009947FD">
        <w:rPr>
          <w:rStyle w:val="Refdenotaalpie"/>
          <w:sz w:val="16"/>
        </w:rPr>
        <w:footnoteRef/>
      </w:r>
      <w:r w:rsidRPr="009947FD">
        <w:rPr>
          <w:sz w:val="16"/>
        </w:rPr>
        <w:t xml:space="preserve"> CREG 079 de 2015: Por la cual se adoptan medidas regulatorias como parte de la actualización del balance oferta demanda del gas licuado de petróleo para las fuentes con precio regulado.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8418F" w14:textId="27A45545" w:rsidR="00C36778" w:rsidRPr="00296CD7" w:rsidRDefault="00C36778" w:rsidP="0024531A">
    <w:pPr>
      <w:pStyle w:val="Encabezado"/>
      <w:jc w:val="center"/>
    </w:pPr>
    <w:r>
      <w:rPr>
        <w:noProof/>
        <w:lang w:val="es-ES" w:eastAsia="es-ES"/>
      </w:rPr>
      <w:drawing>
        <wp:anchor distT="0" distB="0" distL="114300" distR="114300" simplePos="0" relativeHeight="251659264" behindDoc="1" locked="0" layoutInCell="1" allowOverlap="1" wp14:anchorId="6493E3D3" wp14:editId="7E6AAABF">
          <wp:simplePos x="0" y="0"/>
          <wp:positionH relativeFrom="column">
            <wp:posOffset>-904875</wp:posOffset>
          </wp:positionH>
          <wp:positionV relativeFrom="paragraph">
            <wp:posOffset>-200803</wp:posOffset>
          </wp:positionV>
          <wp:extent cx="7869398" cy="10201366"/>
          <wp:effectExtent l="0" t="0" r="5080" b="9525"/>
          <wp:wrapNone/>
          <wp:docPr id="4" name="Imagen 4" descr="/Users/Ronn/Documents/4x/[UPME]_Membr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Ronn/Documents/4x/[UPME]_Membret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9398" cy="102013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56192" behindDoc="1" locked="0" layoutInCell="0" allowOverlap="1" wp14:anchorId="36327015" wp14:editId="48029A30">
              <wp:simplePos x="0" y="0"/>
              <wp:positionH relativeFrom="margin">
                <wp:align>center</wp:align>
              </wp:positionH>
              <wp:positionV relativeFrom="margin">
                <wp:align>center</wp:align>
              </wp:positionV>
              <wp:extent cx="7301230" cy="1327150"/>
              <wp:effectExtent l="0" t="2171700" r="0" b="2130425"/>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01230" cy="13271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7D573B" w14:textId="77777777" w:rsidR="00C36778" w:rsidRDefault="00C36778" w:rsidP="0024531A">
                          <w:pPr>
                            <w:pStyle w:val="NormalWeb"/>
                            <w:spacing w:before="0" w:beforeAutospacing="0" w:after="0" w:afterAutospacing="0"/>
                            <w:jc w:val="center"/>
                            <w:rPr>
                              <w:sz w:val="24"/>
                            </w:rPr>
                          </w:pPr>
                          <w:r>
                            <w:rPr>
                              <w:rFonts w:cs="Arial"/>
                              <w:color w:val="C0C0C0"/>
                              <w:sz w:val="2"/>
                              <w:szCs w:val="2"/>
                              <w14:textFill>
                                <w14:solidFill>
                                  <w14:srgbClr w14:val="C0C0C0">
                                    <w14:alpha w14:val="50000"/>
                                  </w14:srgbClr>
                                </w14:solidFill>
                              </w14:textFill>
                            </w:rPr>
                            <w:t>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327015" id="_x0000_t202" coordsize="21600,21600" o:spt="202" path="m,l,21600r21600,l21600,xe">
              <v:stroke joinstyle="miter"/>
              <v:path gradientshapeok="t" o:connecttype="rect"/>
            </v:shapetype>
            <v:shape id="Cuadro de texto 33" o:spid="_x0000_s1026" type="#_x0000_t202" style="position:absolute;left:0;text-align:left;margin-left:0;margin-top:0;width:574.9pt;height:10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2XkAIAAAYFAAAOAAAAZHJzL2Uyb0RvYy54bWysVMtu2zAQvBfoPxC8O5JsObaEyEHixL2k&#10;bYC4yJkWKYutxGVJ2pJR9N+7pJRXeymK+kBTy9VwdmdWF5d925CjMFaCKmhyFlMiVAlcqn1Bv2w3&#10;kyUl1jHFWQNKFPQkLL1cvX930elcTKGGhgtDEETZvNMFrZ3TeRTZshYts2eghcLDCkzLHD6afcQN&#10;6xC9baJpHJ9HHRiuDZTCWozeDId0FfCrSpTuc1VZ4UhTUOTmwmrCuvNrtLpg+d4wXctypMH+gUXL&#10;pMJLn6FumGPkYOQfUK0sDVio3FkJbQRVJUsRasBqkvi3ah5qpkWoBZtj9XOb7P+DLT8d7w2RvKCz&#10;GSWKtajR+sC4AcIFcaJ3QPAE29Rpm2P2g8Z8119Dj3KHkq2+g/KbJQrWNVN7cWUMdLVgHGkmiDmG&#10;QzHbk8YLQnSL2LdcoiKJh49e4Q+XWX/TrvsIHF9hBwfhtr4yLTHgX1tmsf+FMHaSICOU+PQsK15A&#10;SgwuZnEyneFRiWfJbLpI5kH4iOUezcumjXUfBLTEbwpq0DcBlh3vrPPsXlJ8OiJjfNwNOv/Ikmka&#10;X0+zyeZ8uZikm3Q+yRbxchIn2XV2HqdZerP56UGTNK8l50LdSSWePJekf6fp6P7BLcF1pCtoNp/O&#10;A18LjeQb2TSemzX73box5Mi8+YdeDbW8STNwUBzjLPei3Y57x2Qz7KO3jEMzsAFP/6ERQT0v2CCd&#10;63c9InpJd8BPqGOHI1ZQ+/3AjEBPHNo1ICk0QmWgfcQZvjJe0lCE12DbPzKjRzm8De+bpxELmni6&#10;ez4alvGvCNQ2OLlYK5kHVwyVjsmjfgNq6I2+QkdtZBD3hefoQxy2UN74YfDT/Po5ZL18vla/AAAA&#10;//8DAFBLAwQUAAYACAAAACEAX2urMdsAAAAGAQAADwAAAGRycy9kb3ducmV2LnhtbEyPzU7DMBCE&#10;70i8g7VI3KjdghAN2VSIiEOP/RFnN94mAXsdYqdJeXpcLnAZaTWrmW/y1eSsOFEfWs8I85kCQVx5&#10;03KNsN+93T2BCFGz0dYzIZwpwKq4vsp1ZvzIGzptYy1SCIdMIzQxdpmUoWrI6TDzHXHyjr53Oqaz&#10;r6Xp9ZjCnZULpR6l0y2nhkZ39NpQ9bkdHIL5Pp67+3HcrdebcviybVnS+wfi7c308gwi0hT/nuGC&#10;n9ChSEwHP7AJwiKkIfFXL978YZl2HBAWaqlAFrn8j1/8AAAA//8DAFBLAQItABQABgAIAAAAIQC2&#10;gziS/gAAAOEBAAATAAAAAAAAAAAAAAAAAAAAAABbQ29udGVudF9UeXBlc10ueG1sUEsBAi0AFAAG&#10;AAgAAAAhADj9If/WAAAAlAEAAAsAAAAAAAAAAAAAAAAALwEAAF9yZWxzLy5yZWxzUEsBAi0AFAAG&#10;AAgAAAAhAKggLZeQAgAABgUAAA4AAAAAAAAAAAAAAAAALgIAAGRycy9lMm9Eb2MueG1sUEsBAi0A&#10;FAAGAAgAAAAhAF9rqzHbAAAABgEAAA8AAAAAAAAAAAAAAAAA6gQAAGRycy9kb3ducmV2LnhtbFBL&#10;BQYAAAAABAAEAPMAAADyBQAAAAA=&#10;" o:allowincell="f" filled="f" stroked="f">
              <v:stroke joinstyle="round"/>
              <o:lock v:ext="edit" shapetype="t"/>
              <v:textbox style="mso-fit-shape-to-text:t">
                <w:txbxContent>
                  <w:p w14:paraId="297D573B" w14:textId="77777777" w:rsidR="00C36778" w:rsidRDefault="00C36778" w:rsidP="0024531A">
                    <w:pPr>
                      <w:pStyle w:val="NormalWeb"/>
                      <w:spacing w:before="0" w:beforeAutospacing="0" w:after="0" w:afterAutospacing="0"/>
                      <w:jc w:val="center"/>
                      <w:rPr>
                        <w:sz w:val="24"/>
                      </w:rPr>
                    </w:pPr>
                    <w:r>
                      <w:rPr>
                        <w:rFonts w:cs="Arial"/>
                        <w:color w:val="C0C0C0"/>
                        <w:sz w:val="2"/>
                        <w:szCs w:val="2"/>
                        <w14:textFill>
                          <w14:solidFill>
                            <w14:srgbClr w14:val="C0C0C0">
                              <w14:alpha w14:val="50000"/>
                            </w14:srgbClr>
                          </w14:solidFill>
                        </w14:textFill>
                      </w:rPr>
                      <w:t>PRELIMINAR</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CE303" w14:textId="77777777" w:rsidR="00C36778" w:rsidRDefault="00C36778">
    <w:pPr>
      <w:pStyle w:val="Encabezado"/>
    </w:pPr>
    <w:r>
      <w:rPr>
        <w:noProof/>
        <w:lang w:val="es-ES" w:eastAsia="es-ES"/>
      </w:rPr>
      <w:drawing>
        <wp:anchor distT="0" distB="0" distL="114300" distR="114300" simplePos="0" relativeHeight="251658240" behindDoc="1" locked="0" layoutInCell="1" allowOverlap="1" wp14:anchorId="23B7A9C4" wp14:editId="347EC8A4">
          <wp:simplePos x="0" y="0"/>
          <wp:positionH relativeFrom="column">
            <wp:posOffset>-1125220</wp:posOffset>
          </wp:positionH>
          <wp:positionV relativeFrom="paragraph">
            <wp:posOffset>-483067</wp:posOffset>
          </wp:positionV>
          <wp:extent cx="7869398" cy="10201366"/>
          <wp:effectExtent l="0" t="0" r="5080" b="9525"/>
          <wp:wrapNone/>
          <wp:docPr id="3" name="Imagen 3" descr="/Users/Ronn/Documents/4x/[UPME]_Membr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Ronn/Documents/4x/[UPME]_Membret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9398" cy="1020136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C9A0228"/>
    <w:lvl w:ilvl="0">
      <w:start w:val="1"/>
      <w:numFmt w:val="bullet"/>
      <w:pStyle w:val="Listaconvietas"/>
      <w:lvlText w:val=""/>
      <w:lvlJc w:val="left"/>
      <w:pPr>
        <w:ind w:left="644" w:hanging="360"/>
      </w:pPr>
      <w:rPr>
        <w:rFonts w:ascii="Wingdings" w:hAnsi="Wingdings" w:hint="default"/>
      </w:rPr>
    </w:lvl>
  </w:abstractNum>
  <w:abstractNum w:abstractNumId="1" w15:restartNumberingAfterBreak="0">
    <w:nsid w:val="00306BE4"/>
    <w:multiLevelType w:val="hybridMultilevel"/>
    <w:tmpl w:val="D0805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E87F8A"/>
    <w:multiLevelType w:val="multilevel"/>
    <w:tmpl w:val="813C4C6C"/>
    <w:styleLink w:val="Anexos"/>
    <w:lvl w:ilvl="0">
      <w:start w:val="1"/>
      <w:numFmt w:val="upperRoman"/>
      <w:lvlText w:val="Anexo %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upperRoman"/>
      <w:lvlText w:val="(%4)"/>
      <w:lvlJc w:val="left"/>
      <w:pPr>
        <w:ind w:left="2520" w:hanging="360"/>
      </w:pPr>
      <w:rPr>
        <w:rFonts w:ascii="Arial" w:hAnsi="Arial" w:hint="default"/>
        <w:b/>
        <w:sz w:val="28"/>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3" w15:restartNumberingAfterBreak="0">
    <w:nsid w:val="10A427C8"/>
    <w:multiLevelType w:val="multilevel"/>
    <w:tmpl w:val="1E8C536A"/>
    <w:lvl w:ilvl="0">
      <w:start w:val="4"/>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7A7DBF"/>
    <w:multiLevelType w:val="hybridMultilevel"/>
    <w:tmpl w:val="D3447402"/>
    <w:lvl w:ilvl="0" w:tplc="1DA8167E">
      <w:start w:val="1"/>
      <w:numFmt w:val="upperRoman"/>
      <w:pStyle w:val="Prrafodelista"/>
      <w:lvlText w:val="Anexo %1."/>
      <w:lvlJc w:val="left"/>
      <w:pPr>
        <w:ind w:left="2487"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15:restartNumberingAfterBreak="0">
    <w:nsid w:val="19FA47F5"/>
    <w:multiLevelType w:val="hybridMultilevel"/>
    <w:tmpl w:val="A2566D28"/>
    <w:lvl w:ilvl="0" w:tplc="0C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D332776"/>
    <w:multiLevelType w:val="multilevel"/>
    <w:tmpl w:val="8C180D32"/>
    <w:lvl w:ilvl="0">
      <w:start w:val="1"/>
      <w:numFmt w:val="decimal"/>
      <w:pStyle w:val="Ttulo1"/>
      <w:lvlText w:val="%1"/>
      <w:lvlJc w:val="left"/>
      <w:pPr>
        <w:ind w:left="432" w:hanging="432"/>
      </w:pPr>
      <w:rPr>
        <w:rFonts w:hint="default"/>
      </w:rPr>
    </w:lvl>
    <w:lvl w:ilvl="1">
      <w:start w:val="1"/>
      <w:numFmt w:val="decimal"/>
      <w:pStyle w:val="Ttulo2"/>
      <w:lvlText w:val="%1.%2"/>
      <w:lvlJc w:val="left"/>
      <w:pPr>
        <w:ind w:left="1286" w:hanging="576"/>
      </w:pPr>
      <w:rPr>
        <w:rFonts w:hint="default"/>
      </w:rPr>
    </w:lvl>
    <w:lvl w:ilvl="2">
      <w:start w:val="1"/>
      <w:numFmt w:val="decimal"/>
      <w:pStyle w:val="Ttulo3"/>
      <w:lvlText w:val="%1.%2.%3"/>
      <w:lvlJc w:val="left"/>
      <w:pPr>
        <w:ind w:left="256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7" w15:restartNumberingAfterBreak="0">
    <w:nsid w:val="32022DC6"/>
    <w:multiLevelType w:val="multilevel"/>
    <w:tmpl w:val="240A001D"/>
    <w:styleLink w:val="Estilo1"/>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94068A8"/>
    <w:multiLevelType w:val="hybridMultilevel"/>
    <w:tmpl w:val="810652C6"/>
    <w:lvl w:ilvl="0" w:tplc="E39EC54C">
      <w:start w:val="1"/>
      <w:numFmt w:val="upperRoman"/>
      <w:pStyle w:val="Ttulo5"/>
      <w:lvlText w:val="Anexo %1."/>
      <w:lvlJc w:val="left"/>
      <w:pPr>
        <w:ind w:left="928"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2820644"/>
    <w:multiLevelType w:val="hybridMultilevel"/>
    <w:tmpl w:val="CA10873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4132FC8"/>
    <w:multiLevelType w:val="hybridMultilevel"/>
    <w:tmpl w:val="91088C46"/>
    <w:lvl w:ilvl="0" w:tplc="240A0001">
      <w:start w:val="1"/>
      <w:numFmt w:val="bullet"/>
      <w:pStyle w:val="EstiloTitulos"/>
      <w:lvlText w:val=""/>
      <w:lvlJc w:val="left"/>
      <w:pPr>
        <w:ind w:left="2844" w:hanging="360"/>
      </w:pPr>
      <w:rPr>
        <w:rFonts w:ascii="Symbol" w:hAnsi="Symbol" w:hint="default"/>
      </w:rPr>
    </w:lvl>
    <w:lvl w:ilvl="1" w:tplc="240A0003" w:tentative="1">
      <w:start w:val="1"/>
      <w:numFmt w:val="bullet"/>
      <w:lvlText w:val="o"/>
      <w:lvlJc w:val="left"/>
      <w:pPr>
        <w:ind w:left="3564" w:hanging="360"/>
      </w:pPr>
      <w:rPr>
        <w:rFonts w:ascii="Courier New" w:hAnsi="Courier New" w:cs="Courier New" w:hint="default"/>
      </w:rPr>
    </w:lvl>
    <w:lvl w:ilvl="2" w:tplc="240A0005" w:tentative="1">
      <w:start w:val="1"/>
      <w:numFmt w:val="bullet"/>
      <w:lvlText w:val=""/>
      <w:lvlJc w:val="left"/>
      <w:pPr>
        <w:ind w:left="4284" w:hanging="360"/>
      </w:pPr>
      <w:rPr>
        <w:rFonts w:ascii="Wingdings" w:hAnsi="Wingdings" w:hint="default"/>
      </w:rPr>
    </w:lvl>
    <w:lvl w:ilvl="3" w:tplc="240A0001" w:tentative="1">
      <w:start w:val="1"/>
      <w:numFmt w:val="bullet"/>
      <w:lvlText w:val=""/>
      <w:lvlJc w:val="left"/>
      <w:pPr>
        <w:ind w:left="5004" w:hanging="360"/>
      </w:pPr>
      <w:rPr>
        <w:rFonts w:ascii="Symbol" w:hAnsi="Symbol" w:hint="default"/>
      </w:rPr>
    </w:lvl>
    <w:lvl w:ilvl="4" w:tplc="240A0003" w:tentative="1">
      <w:start w:val="1"/>
      <w:numFmt w:val="bullet"/>
      <w:lvlText w:val="o"/>
      <w:lvlJc w:val="left"/>
      <w:pPr>
        <w:ind w:left="5724" w:hanging="360"/>
      </w:pPr>
      <w:rPr>
        <w:rFonts w:ascii="Courier New" w:hAnsi="Courier New" w:cs="Courier New" w:hint="default"/>
      </w:rPr>
    </w:lvl>
    <w:lvl w:ilvl="5" w:tplc="240A0005" w:tentative="1">
      <w:start w:val="1"/>
      <w:numFmt w:val="bullet"/>
      <w:lvlText w:val=""/>
      <w:lvlJc w:val="left"/>
      <w:pPr>
        <w:ind w:left="6444" w:hanging="360"/>
      </w:pPr>
      <w:rPr>
        <w:rFonts w:ascii="Wingdings" w:hAnsi="Wingdings" w:hint="default"/>
      </w:rPr>
    </w:lvl>
    <w:lvl w:ilvl="6" w:tplc="240A0001" w:tentative="1">
      <w:start w:val="1"/>
      <w:numFmt w:val="bullet"/>
      <w:lvlText w:val=""/>
      <w:lvlJc w:val="left"/>
      <w:pPr>
        <w:ind w:left="7164" w:hanging="360"/>
      </w:pPr>
      <w:rPr>
        <w:rFonts w:ascii="Symbol" w:hAnsi="Symbol" w:hint="default"/>
      </w:rPr>
    </w:lvl>
    <w:lvl w:ilvl="7" w:tplc="240A0003" w:tentative="1">
      <w:start w:val="1"/>
      <w:numFmt w:val="bullet"/>
      <w:lvlText w:val="o"/>
      <w:lvlJc w:val="left"/>
      <w:pPr>
        <w:ind w:left="7884" w:hanging="360"/>
      </w:pPr>
      <w:rPr>
        <w:rFonts w:ascii="Courier New" w:hAnsi="Courier New" w:cs="Courier New" w:hint="default"/>
      </w:rPr>
    </w:lvl>
    <w:lvl w:ilvl="8" w:tplc="240A0005" w:tentative="1">
      <w:start w:val="1"/>
      <w:numFmt w:val="bullet"/>
      <w:lvlText w:val=""/>
      <w:lvlJc w:val="left"/>
      <w:pPr>
        <w:ind w:left="8604" w:hanging="360"/>
      </w:pPr>
      <w:rPr>
        <w:rFonts w:ascii="Wingdings" w:hAnsi="Wingdings" w:hint="default"/>
      </w:rPr>
    </w:lvl>
  </w:abstractNum>
  <w:abstractNum w:abstractNumId="11" w15:restartNumberingAfterBreak="0">
    <w:nsid w:val="577A245F"/>
    <w:multiLevelType w:val="multilevel"/>
    <w:tmpl w:val="3E42D87C"/>
    <w:lvl w:ilvl="0">
      <w:start w:val="1"/>
      <w:numFmt w:val="upperLetter"/>
      <w:pStyle w:val="Numer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15:restartNumberingAfterBreak="0">
    <w:nsid w:val="63DF2CA0"/>
    <w:multiLevelType w:val="hybridMultilevel"/>
    <w:tmpl w:val="B4D6E74A"/>
    <w:lvl w:ilvl="0" w:tplc="A45E32D2">
      <w:start w:val="1"/>
      <w:numFmt w:val="decimal"/>
      <w:lvlText w:val="[%1]"/>
      <w:lvlJc w:val="left"/>
      <w:pPr>
        <w:ind w:left="360" w:hanging="360"/>
      </w:pPr>
      <w:rPr>
        <w:rFonts w:hint="default"/>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69BD53C6"/>
    <w:multiLevelType w:val="multilevel"/>
    <w:tmpl w:val="3FA60CC6"/>
    <w:lvl w:ilvl="0">
      <w:start w:val="1"/>
      <w:numFmt w:val="decimal"/>
      <w:pStyle w:val="Grfica"/>
      <w:lvlText w:val="%1."/>
      <w:lvlJc w:val="left"/>
      <w:pPr>
        <w:ind w:left="360" w:hanging="360"/>
      </w:pPr>
      <w:rPr>
        <w:rFonts w:hint="default"/>
        <w:b/>
        <w:i w:val="0"/>
        <w:color w:val="1F3864" w:themeColor="accent5" w:themeShade="8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36374A0"/>
    <w:multiLevelType w:val="multilevel"/>
    <w:tmpl w:val="EB70D04E"/>
    <w:styleLink w:val="Anexo"/>
    <w:lvl w:ilvl="0">
      <w:start w:val="1"/>
      <w:numFmt w:val="upperRoman"/>
      <w:lvlText w:val="Anexo %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ascii="Arial" w:hAnsi="Arial" w:hint="default"/>
        <w:b/>
        <w:sz w:val="28"/>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5" w15:restartNumberingAfterBreak="0">
    <w:nsid w:val="76E9083F"/>
    <w:multiLevelType w:val="hybridMultilevel"/>
    <w:tmpl w:val="24263502"/>
    <w:lvl w:ilvl="0" w:tplc="240A0001">
      <w:start w:val="1"/>
      <w:numFmt w:val="bullet"/>
      <w:lvlText w:val=""/>
      <w:lvlJc w:val="left"/>
      <w:pPr>
        <w:tabs>
          <w:tab w:val="num" w:pos="720"/>
        </w:tabs>
        <w:ind w:left="720" w:hanging="360"/>
      </w:pPr>
      <w:rPr>
        <w:rFonts w:ascii="Symbol" w:hAnsi="Symbol" w:hint="default"/>
      </w:rPr>
    </w:lvl>
    <w:lvl w:ilvl="1" w:tplc="BF94242E">
      <w:start w:val="1"/>
      <w:numFmt w:val="bullet"/>
      <w:lvlText w:val="–"/>
      <w:lvlJc w:val="left"/>
      <w:pPr>
        <w:tabs>
          <w:tab w:val="num" w:pos="1440"/>
        </w:tabs>
        <w:ind w:left="1440" w:hanging="360"/>
      </w:pPr>
      <w:rPr>
        <w:rFonts w:ascii="Arial" w:hAnsi="Arial" w:hint="default"/>
      </w:rPr>
    </w:lvl>
    <w:lvl w:ilvl="2" w:tplc="817E5212" w:tentative="1">
      <w:start w:val="1"/>
      <w:numFmt w:val="bullet"/>
      <w:lvlText w:val="–"/>
      <w:lvlJc w:val="left"/>
      <w:pPr>
        <w:tabs>
          <w:tab w:val="num" w:pos="2160"/>
        </w:tabs>
        <w:ind w:left="2160" w:hanging="360"/>
      </w:pPr>
      <w:rPr>
        <w:rFonts w:ascii="Arial" w:hAnsi="Arial" w:hint="default"/>
      </w:rPr>
    </w:lvl>
    <w:lvl w:ilvl="3" w:tplc="E7067D22" w:tentative="1">
      <w:start w:val="1"/>
      <w:numFmt w:val="bullet"/>
      <w:lvlText w:val="–"/>
      <w:lvlJc w:val="left"/>
      <w:pPr>
        <w:tabs>
          <w:tab w:val="num" w:pos="2880"/>
        </w:tabs>
        <w:ind w:left="2880" w:hanging="360"/>
      </w:pPr>
      <w:rPr>
        <w:rFonts w:ascii="Arial" w:hAnsi="Arial" w:hint="default"/>
      </w:rPr>
    </w:lvl>
    <w:lvl w:ilvl="4" w:tplc="1A442598" w:tentative="1">
      <w:start w:val="1"/>
      <w:numFmt w:val="bullet"/>
      <w:lvlText w:val="–"/>
      <w:lvlJc w:val="left"/>
      <w:pPr>
        <w:tabs>
          <w:tab w:val="num" w:pos="3600"/>
        </w:tabs>
        <w:ind w:left="3600" w:hanging="360"/>
      </w:pPr>
      <w:rPr>
        <w:rFonts w:ascii="Arial" w:hAnsi="Arial" w:hint="default"/>
      </w:rPr>
    </w:lvl>
    <w:lvl w:ilvl="5" w:tplc="813E977A" w:tentative="1">
      <w:start w:val="1"/>
      <w:numFmt w:val="bullet"/>
      <w:lvlText w:val="–"/>
      <w:lvlJc w:val="left"/>
      <w:pPr>
        <w:tabs>
          <w:tab w:val="num" w:pos="4320"/>
        </w:tabs>
        <w:ind w:left="4320" w:hanging="360"/>
      </w:pPr>
      <w:rPr>
        <w:rFonts w:ascii="Arial" w:hAnsi="Arial" w:hint="default"/>
      </w:rPr>
    </w:lvl>
    <w:lvl w:ilvl="6" w:tplc="C8B68344" w:tentative="1">
      <w:start w:val="1"/>
      <w:numFmt w:val="bullet"/>
      <w:lvlText w:val="–"/>
      <w:lvlJc w:val="left"/>
      <w:pPr>
        <w:tabs>
          <w:tab w:val="num" w:pos="5040"/>
        </w:tabs>
        <w:ind w:left="5040" w:hanging="360"/>
      </w:pPr>
      <w:rPr>
        <w:rFonts w:ascii="Arial" w:hAnsi="Arial" w:hint="default"/>
      </w:rPr>
    </w:lvl>
    <w:lvl w:ilvl="7" w:tplc="447EED86" w:tentative="1">
      <w:start w:val="1"/>
      <w:numFmt w:val="bullet"/>
      <w:lvlText w:val="–"/>
      <w:lvlJc w:val="left"/>
      <w:pPr>
        <w:tabs>
          <w:tab w:val="num" w:pos="5760"/>
        </w:tabs>
        <w:ind w:left="5760" w:hanging="360"/>
      </w:pPr>
      <w:rPr>
        <w:rFonts w:ascii="Arial" w:hAnsi="Arial" w:hint="default"/>
      </w:rPr>
    </w:lvl>
    <w:lvl w:ilvl="8" w:tplc="B4584206"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2"/>
  </w:num>
  <w:num w:numId="3">
    <w:abstractNumId w:val="2"/>
  </w:num>
  <w:num w:numId="4">
    <w:abstractNumId w:val="14"/>
  </w:num>
  <w:num w:numId="5">
    <w:abstractNumId w:val="4"/>
  </w:num>
  <w:num w:numId="6">
    <w:abstractNumId w:val="8"/>
  </w:num>
  <w:num w:numId="7">
    <w:abstractNumId w:val="9"/>
  </w:num>
  <w:num w:numId="8">
    <w:abstractNumId w:val="10"/>
  </w:num>
  <w:num w:numId="9">
    <w:abstractNumId w:val="15"/>
  </w:num>
  <w:num w:numId="10">
    <w:abstractNumId w:val="0"/>
  </w:num>
  <w:num w:numId="11">
    <w:abstractNumId w:val="7"/>
  </w:num>
  <w:num w:numId="12">
    <w:abstractNumId w:val="11"/>
  </w:num>
  <w:num w:numId="13">
    <w:abstractNumId w:val="13"/>
  </w:num>
  <w:num w:numId="14">
    <w:abstractNumId w:val="1"/>
  </w:num>
  <w:num w:numId="15">
    <w:abstractNumId w:val="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D15"/>
    <w:rsid w:val="00005DBB"/>
    <w:rsid w:val="00006B6F"/>
    <w:rsid w:val="000149C8"/>
    <w:rsid w:val="00015597"/>
    <w:rsid w:val="00015B1A"/>
    <w:rsid w:val="00030ED0"/>
    <w:rsid w:val="0003625E"/>
    <w:rsid w:val="000376F2"/>
    <w:rsid w:val="00052C05"/>
    <w:rsid w:val="000624CA"/>
    <w:rsid w:val="00067E50"/>
    <w:rsid w:val="000713F5"/>
    <w:rsid w:val="00080006"/>
    <w:rsid w:val="000D2510"/>
    <w:rsid w:val="0010232B"/>
    <w:rsid w:val="00110A4D"/>
    <w:rsid w:val="00166696"/>
    <w:rsid w:val="00195F39"/>
    <w:rsid w:val="001975BF"/>
    <w:rsid w:val="001A285F"/>
    <w:rsid w:val="001B027C"/>
    <w:rsid w:val="001B61D4"/>
    <w:rsid w:val="001B6C48"/>
    <w:rsid w:val="001C04F7"/>
    <w:rsid w:val="001D7E55"/>
    <w:rsid w:val="00201DDD"/>
    <w:rsid w:val="002077CA"/>
    <w:rsid w:val="002327CA"/>
    <w:rsid w:val="00242825"/>
    <w:rsid w:val="0024531A"/>
    <w:rsid w:val="00252AAD"/>
    <w:rsid w:val="00260073"/>
    <w:rsid w:val="0026050A"/>
    <w:rsid w:val="00291A25"/>
    <w:rsid w:val="002A5016"/>
    <w:rsid w:val="002C769D"/>
    <w:rsid w:val="002D0DF7"/>
    <w:rsid w:val="002E12DB"/>
    <w:rsid w:val="002F24D2"/>
    <w:rsid w:val="00302EE8"/>
    <w:rsid w:val="00305A60"/>
    <w:rsid w:val="0030769E"/>
    <w:rsid w:val="003232D8"/>
    <w:rsid w:val="00332FD7"/>
    <w:rsid w:val="003376DB"/>
    <w:rsid w:val="003529F4"/>
    <w:rsid w:val="003749A3"/>
    <w:rsid w:val="0037689C"/>
    <w:rsid w:val="00397C9C"/>
    <w:rsid w:val="003A40CC"/>
    <w:rsid w:val="003B2A02"/>
    <w:rsid w:val="003B7FEC"/>
    <w:rsid w:val="003C5802"/>
    <w:rsid w:val="003D3951"/>
    <w:rsid w:val="003D6E95"/>
    <w:rsid w:val="003E0614"/>
    <w:rsid w:val="003E0661"/>
    <w:rsid w:val="003E3D46"/>
    <w:rsid w:val="003E788A"/>
    <w:rsid w:val="004203C6"/>
    <w:rsid w:val="004321B5"/>
    <w:rsid w:val="0043368E"/>
    <w:rsid w:val="00450BA1"/>
    <w:rsid w:val="00475018"/>
    <w:rsid w:val="00482FFD"/>
    <w:rsid w:val="0048661E"/>
    <w:rsid w:val="004A2F38"/>
    <w:rsid w:val="004C69A9"/>
    <w:rsid w:val="004C7656"/>
    <w:rsid w:val="00501CDE"/>
    <w:rsid w:val="00502898"/>
    <w:rsid w:val="00503DBC"/>
    <w:rsid w:val="00511E00"/>
    <w:rsid w:val="0053107F"/>
    <w:rsid w:val="00544BDD"/>
    <w:rsid w:val="00544DA1"/>
    <w:rsid w:val="00573DB7"/>
    <w:rsid w:val="00593930"/>
    <w:rsid w:val="005A1649"/>
    <w:rsid w:val="005A7135"/>
    <w:rsid w:val="005C54EA"/>
    <w:rsid w:val="005D0524"/>
    <w:rsid w:val="005D45DF"/>
    <w:rsid w:val="005D5DCC"/>
    <w:rsid w:val="005D6C19"/>
    <w:rsid w:val="005E73A9"/>
    <w:rsid w:val="00600B95"/>
    <w:rsid w:val="00601035"/>
    <w:rsid w:val="00612BAF"/>
    <w:rsid w:val="00613F68"/>
    <w:rsid w:val="00626A37"/>
    <w:rsid w:val="00657AED"/>
    <w:rsid w:val="0068595E"/>
    <w:rsid w:val="006921B8"/>
    <w:rsid w:val="006959FC"/>
    <w:rsid w:val="006973F9"/>
    <w:rsid w:val="006A3839"/>
    <w:rsid w:val="006B3F2E"/>
    <w:rsid w:val="006C37AA"/>
    <w:rsid w:val="006C3AA1"/>
    <w:rsid w:val="006E33EF"/>
    <w:rsid w:val="007024CC"/>
    <w:rsid w:val="00715662"/>
    <w:rsid w:val="007168B7"/>
    <w:rsid w:val="00732D38"/>
    <w:rsid w:val="00753E24"/>
    <w:rsid w:val="00766958"/>
    <w:rsid w:val="007813E2"/>
    <w:rsid w:val="00787FC1"/>
    <w:rsid w:val="00790B24"/>
    <w:rsid w:val="00790F9B"/>
    <w:rsid w:val="007A5605"/>
    <w:rsid w:val="007B125A"/>
    <w:rsid w:val="007D07D2"/>
    <w:rsid w:val="007E087A"/>
    <w:rsid w:val="007E30BB"/>
    <w:rsid w:val="007F2276"/>
    <w:rsid w:val="007F3579"/>
    <w:rsid w:val="008129D8"/>
    <w:rsid w:val="008202F5"/>
    <w:rsid w:val="00835C9C"/>
    <w:rsid w:val="00857188"/>
    <w:rsid w:val="0087735A"/>
    <w:rsid w:val="0088028E"/>
    <w:rsid w:val="00885848"/>
    <w:rsid w:val="008B4816"/>
    <w:rsid w:val="008C5770"/>
    <w:rsid w:val="008C7848"/>
    <w:rsid w:val="008D00DE"/>
    <w:rsid w:val="008D5184"/>
    <w:rsid w:val="008F00C2"/>
    <w:rsid w:val="008F2B3A"/>
    <w:rsid w:val="008F39CF"/>
    <w:rsid w:val="0090492B"/>
    <w:rsid w:val="00905B7E"/>
    <w:rsid w:val="0090753A"/>
    <w:rsid w:val="00910A23"/>
    <w:rsid w:val="00914134"/>
    <w:rsid w:val="00915705"/>
    <w:rsid w:val="00936852"/>
    <w:rsid w:val="0094748F"/>
    <w:rsid w:val="00950C9F"/>
    <w:rsid w:val="00976C53"/>
    <w:rsid w:val="00987FF9"/>
    <w:rsid w:val="00995A42"/>
    <w:rsid w:val="009B4F36"/>
    <w:rsid w:val="009D1B94"/>
    <w:rsid w:val="009E433E"/>
    <w:rsid w:val="00A27405"/>
    <w:rsid w:val="00A323A7"/>
    <w:rsid w:val="00A343A6"/>
    <w:rsid w:val="00A46CC2"/>
    <w:rsid w:val="00A54DE1"/>
    <w:rsid w:val="00A60933"/>
    <w:rsid w:val="00A61687"/>
    <w:rsid w:val="00A6575F"/>
    <w:rsid w:val="00A74F29"/>
    <w:rsid w:val="00A74F90"/>
    <w:rsid w:val="00A80BCB"/>
    <w:rsid w:val="00AA2310"/>
    <w:rsid w:val="00AA392D"/>
    <w:rsid w:val="00AB5D1E"/>
    <w:rsid w:val="00AC7F63"/>
    <w:rsid w:val="00AD302D"/>
    <w:rsid w:val="00AE3E6D"/>
    <w:rsid w:val="00AE71B8"/>
    <w:rsid w:val="00AF0674"/>
    <w:rsid w:val="00AF131D"/>
    <w:rsid w:val="00AF3BFC"/>
    <w:rsid w:val="00B10F48"/>
    <w:rsid w:val="00B32DC7"/>
    <w:rsid w:val="00B7304F"/>
    <w:rsid w:val="00B75F25"/>
    <w:rsid w:val="00B842AC"/>
    <w:rsid w:val="00BA360C"/>
    <w:rsid w:val="00BB5F1A"/>
    <w:rsid w:val="00BC02D6"/>
    <w:rsid w:val="00BF7D15"/>
    <w:rsid w:val="00C05CEB"/>
    <w:rsid w:val="00C17C8E"/>
    <w:rsid w:val="00C235FC"/>
    <w:rsid w:val="00C2534B"/>
    <w:rsid w:val="00C268E8"/>
    <w:rsid w:val="00C36778"/>
    <w:rsid w:val="00C52290"/>
    <w:rsid w:val="00C7612A"/>
    <w:rsid w:val="00C76D80"/>
    <w:rsid w:val="00C87CD1"/>
    <w:rsid w:val="00CC399E"/>
    <w:rsid w:val="00CC699C"/>
    <w:rsid w:val="00CC7FAE"/>
    <w:rsid w:val="00CD75F4"/>
    <w:rsid w:val="00CE43D6"/>
    <w:rsid w:val="00CF2C5E"/>
    <w:rsid w:val="00CF4964"/>
    <w:rsid w:val="00D1369C"/>
    <w:rsid w:val="00D31F30"/>
    <w:rsid w:val="00D370E1"/>
    <w:rsid w:val="00D814D9"/>
    <w:rsid w:val="00D831C4"/>
    <w:rsid w:val="00DA50A5"/>
    <w:rsid w:val="00E01F47"/>
    <w:rsid w:val="00E142CE"/>
    <w:rsid w:val="00E2702E"/>
    <w:rsid w:val="00E618CA"/>
    <w:rsid w:val="00E67D05"/>
    <w:rsid w:val="00E93169"/>
    <w:rsid w:val="00EF2303"/>
    <w:rsid w:val="00F074ED"/>
    <w:rsid w:val="00F1540B"/>
    <w:rsid w:val="00F31F4B"/>
    <w:rsid w:val="00F44002"/>
    <w:rsid w:val="00F46246"/>
    <w:rsid w:val="00F603B3"/>
    <w:rsid w:val="00F62297"/>
    <w:rsid w:val="00F97965"/>
    <w:rsid w:val="00FB1FFD"/>
    <w:rsid w:val="00FB23ED"/>
    <w:rsid w:val="00FF585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DC2A7"/>
  <w14:defaultImageDpi w14:val="32767"/>
  <w15:docId w15:val="{8BF7FC6C-6EEC-467E-8B89-4F48B673F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32D38"/>
    <w:pPr>
      <w:keepNext/>
      <w:keepLines/>
      <w:numPr>
        <w:numId w:val="1"/>
      </w:numPr>
      <w:spacing w:before="240" w:after="240"/>
      <w:jc w:val="both"/>
      <w:outlineLvl w:val="0"/>
    </w:pPr>
    <w:rPr>
      <w:rFonts w:ascii="Arial" w:eastAsiaTheme="majorEastAsia" w:hAnsi="Arial" w:cstheme="majorBidi"/>
      <w:b/>
      <w:caps/>
      <w:sz w:val="28"/>
      <w:szCs w:val="32"/>
      <w:lang w:val="es-CO"/>
    </w:rPr>
  </w:style>
  <w:style w:type="paragraph" w:styleId="Ttulo2">
    <w:name w:val="heading 2"/>
    <w:basedOn w:val="Normal"/>
    <w:next w:val="Normal"/>
    <w:link w:val="Ttulo2Car"/>
    <w:autoRedefine/>
    <w:uiPriority w:val="9"/>
    <w:unhideWhenUsed/>
    <w:qFormat/>
    <w:rsid w:val="00732D38"/>
    <w:pPr>
      <w:keepNext/>
      <w:keepLines/>
      <w:numPr>
        <w:ilvl w:val="1"/>
        <w:numId w:val="1"/>
      </w:numPr>
      <w:outlineLvl w:val="1"/>
    </w:pPr>
    <w:rPr>
      <w:rFonts w:ascii="Arial" w:eastAsiaTheme="majorEastAsia" w:hAnsi="Arial" w:cs="Arial"/>
      <w:b/>
      <w:szCs w:val="26"/>
      <w:lang w:val="es-CO"/>
    </w:rPr>
  </w:style>
  <w:style w:type="paragraph" w:styleId="Ttulo3">
    <w:name w:val="heading 3"/>
    <w:basedOn w:val="Normal"/>
    <w:next w:val="Normal"/>
    <w:link w:val="Ttulo3Car"/>
    <w:autoRedefine/>
    <w:uiPriority w:val="9"/>
    <w:unhideWhenUsed/>
    <w:qFormat/>
    <w:rsid w:val="00006B6F"/>
    <w:pPr>
      <w:keepNext/>
      <w:keepLines/>
      <w:numPr>
        <w:ilvl w:val="2"/>
        <w:numId w:val="1"/>
      </w:numPr>
      <w:ind w:left="1418"/>
      <w:outlineLvl w:val="2"/>
    </w:pPr>
    <w:rPr>
      <w:rFonts w:ascii="Arial" w:eastAsiaTheme="majorEastAsia" w:hAnsi="Arial" w:cstheme="majorBidi"/>
      <w:b/>
      <w:sz w:val="22"/>
      <w:lang w:val="es-CO"/>
    </w:rPr>
  </w:style>
  <w:style w:type="paragraph" w:styleId="Ttulo4">
    <w:name w:val="heading 4"/>
    <w:basedOn w:val="Normal"/>
    <w:next w:val="Normal"/>
    <w:link w:val="Ttulo4Car"/>
    <w:uiPriority w:val="9"/>
    <w:unhideWhenUsed/>
    <w:qFormat/>
    <w:rsid w:val="00732D38"/>
    <w:pPr>
      <w:keepNext/>
      <w:keepLines/>
      <w:spacing w:before="40" w:after="120"/>
      <w:jc w:val="both"/>
      <w:outlineLvl w:val="3"/>
    </w:pPr>
    <w:rPr>
      <w:rFonts w:ascii="Arial" w:eastAsiaTheme="majorEastAsia" w:hAnsi="Arial" w:cstheme="majorBidi"/>
      <w:b/>
      <w:iCs/>
      <w:caps/>
      <w:noProof/>
      <w:sz w:val="28"/>
      <w:lang w:val="es-CO" w:eastAsia="es-ES"/>
    </w:rPr>
  </w:style>
  <w:style w:type="paragraph" w:styleId="Ttulo5">
    <w:name w:val="heading 5"/>
    <w:basedOn w:val="Normal"/>
    <w:next w:val="Normal"/>
    <w:link w:val="Ttulo5Car"/>
    <w:autoRedefine/>
    <w:unhideWhenUsed/>
    <w:qFormat/>
    <w:rsid w:val="00732D38"/>
    <w:pPr>
      <w:keepNext/>
      <w:keepLines/>
      <w:numPr>
        <w:numId w:val="6"/>
      </w:numPr>
      <w:suppressAutoHyphens/>
      <w:spacing w:before="40"/>
      <w:jc w:val="both"/>
      <w:outlineLvl w:val="4"/>
    </w:pPr>
    <w:rPr>
      <w:rFonts w:ascii="Arial" w:eastAsiaTheme="majorEastAsia" w:hAnsi="Arial" w:cstheme="majorBidi"/>
      <w:b/>
      <w:sz w:val="28"/>
      <w:lang w:val="es-CO" w:eastAsia="es-ES"/>
    </w:rPr>
  </w:style>
  <w:style w:type="paragraph" w:styleId="Ttulo6">
    <w:name w:val="heading 6"/>
    <w:basedOn w:val="Normal"/>
    <w:next w:val="Normal"/>
    <w:link w:val="Ttulo6Car"/>
    <w:unhideWhenUsed/>
    <w:qFormat/>
    <w:rsid w:val="00732D38"/>
    <w:pPr>
      <w:keepNext/>
      <w:keepLines/>
      <w:numPr>
        <w:ilvl w:val="5"/>
        <w:numId w:val="1"/>
      </w:numPr>
      <w:suppressAutoHyphens/>
      <w:spacing w:before="40"/>
      <w:jc w:val="both"/>
      <w:outlineLvl w:val="5"/>
    </w:pPr>
    <w:rPr>
      <w:rFonts w:asciiTheme="majorHAnsi" w:eastAsiaTheme="majorEastAsia" w:hAnsiTheme="majorHAnsi" w:cstheme="majorBidi"/>
      <w:color w:val="1F4D78" w:themeColor="accent1" w:themeShade="7F"/>
      <w:sz w:val="22"/>
      <w:lang w:val="es-CO" w:eastAsia="es-ES"/>
    </w:rPr>
  </w:style>
  <w:style w:type="paragraph" w:styleId="Ttulo7">
    <w:name w:val="heading 7"/>
    <w:basedOn w:val="Normal"/>
    <w:next w:val="Normal"/>
    <w:link w:val="Ttulo7Car"/>
    <w:unhideWhenUsed/>
    <w:qFormat/>
    <w:rsid w:val="00732D38"/>
    <w:pPr>
      <w:keepNext/>
      <w:keepLines/>
      <w:numPr>
        <w:ilvl w:val="6"/>
        <w:numId w:val="1"/>
      </w:numPr>
      <w:suppressAutoHyphens/>
      <w:spacing w:before="40"/>
      <w:jc w:val="both"/>
      <w:outlineLvl w:val="6"/>
    </w:pPr>
    <w:rPr>
      <w:rFonts w:asciiTheme="majorHAnsi" w:eastAsiaTheme="majorEastAsia" w:hAnsiTheme="majorHAnsi" w:cstheme="majorBidi"/>
      <w:i/>
      <w:iCs/>
      <w:color w:val="1F4D78" w:themeColor="accent1" w:themeShade="7F"/>
      <w:sz w:val="22"/>
      <w:lang w:val="es-CO" w:eastAsia="es-ES"/>
    </w:rPr>
  </w:style>
  <w:style w:type="paragraph" w:styleId="Ttulo8">
    <w:name w:val="heading 8"/>
    <w:basedOn w:val="Normal"/>
    <w:next w:val="Normal"/>
    <w:link w:val="Ttulo8Car"/>
    <w:unhideWhenUsed/>
    <w:qFormat/>
    <w:rsid w:val="00732D38"/>
    <w:pPr>
      <w:keepNext/>
      <w:keepLines/>
      <w:numPr>
        <w:ilvl w:val="7"/>
        <w:numId w:val="1"/>
      </w:numPr>
      <w:suppressAutoHyphens/>
      <w:spacing w:before="40"/>
      <w:jc w:val="both"/>
      <w:outlineLvl w:val="7"/>
    </w:pPr>
    <w:rPr>
      <w:rFonts w:asciiTheme="majorHAnsi" w:eastAsiaTheme="majorEastAsia" w:hAnsiTheme="majorHAnsi" w:cstheme="majorBidi"/>
      <w:color w:val="272727" w:themeColor="text1" w:themeTint="D8"/>
      <w:sz w:val="21"/>
      <w:szCs w:val="21"/>
      <w:lang w:val="es-CO" w:eastAsia="es-ES"/>
    </w:rPr>
  </w:style>
  <w:style w:type="paragraph" w:styleId="Ttulo9">
    <w:name w:val="heading 9"/>
    <w:basedOn w:val="Normal"/>
    <w:next w:val="Normal"/>
    <w:link w:val="Ttulo9Car"/>
    <w:unhideWhenUsed/>
    <w:qFormat/>
    <w:rsid w:val="00732D38"/>
    <w:pPr>
      <w:keepNext/>
      <w:keepLines/>
      <w:numPr>
        <w:ilvl w:val="8"/>
        <w:numId w:val="1"/>
      </w:numPr>
      <w:suppressAutoHyphens/>
      <w:spacing w:before="40"/>
      <w:jc w:val="both"/>
      <w:outlineLvl w:val="8"/>
    </w:pPr>
    <w:rPr>
      <w:rFonts w:asciiTheme="majorHAnsi" w:eastAsiaTheme="majorEastAsia" w:hAnsiTheme="majorHAnsi" w:cstheme="majorBidi"/>
      <w:i/>
      <w:iCs/>
      <w:color w:val="272727" w:themeColor="text1" w:themeTint="D8"/>
      <w:sz w:val="21"/>
      <w:szCs w:val="21"/>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BF7D15"/>
    <w:pPr>
      <w:tabs>
        <w:tab w:val="center" w:pos="4252"/>
        <w:tab w:val="right" w:pos="8504"/>
      </w:tabs>
    </w:pPr>
  </w:style>
  <w:style w:type="character" w:customStyle="1" w:styleId="EncabezadoCar">
    <w:name w:val="Encabezado Car"/>
    <w:basedOn w:val="Fuentedeprrafopredeter"/>
    <w:link w:val="Encabezado"/>
    <w:uiPriority w:val="99"/>
    <w:qFormat/>
    <w:rsid w:val="00BF7D15"/>
  </w:style>
  <w:style w:type="paragraph" w:styleId="Piedepgina">
    <w:name w:val="footer"/>
    <w:basedOn w:val="Normal"/>
    <w:link w:val="PiedepginaCar"/>
    <w:uiPriority w:val="99"/>
    <w:unhideWhenUsed/>
    <w:rsid w:val="00BF7D15"/>
    <w:pPr>
      <w:tabs>
        <w:tab w:val="center" w:pos="4252"/>
        <w:tab w:val="right" w:pos="8504"/>
      </w:tabs>
    </w:pPr>
  </w:style>
  <w:style w:type="character" w:customStyle="1" w:styleId="PiedepginaCar">
    <w:name w:val="Pie de página Car"/>
    <w:basedOn w:val="Fuentedeprrafopredeter"/>
    <w:link w:val="Piedepgina"/>
    <w:uiPriority w:val="99"/>
    <w:qFormat/>
    <w:rsid w:val="00BF7D15"/>
  </w:style>
  <w:style w:type="character" w:customStyle="1" w:styleId="Ttulo1Car">
    <w:name w:val="Título 1 Car"/>
    <w:basedOn w:val="Fuentedeprrafopredeter"/>
    <w:link w:val="Ttulo1"/>
    <w:uiPriority w:val="9"/>
    <w:rsid w:val="00732D38"/>
    <w:rPr>
      <w:rFonts w:ascii="Arial" w:eastAsiaTheme="majorEastAsia" w:hAnsi="Arial" w:cstheme="majorBidi"/>
      <w:b/>
      <w:caps/>
      <w:sz w:val="28"/>
      <w:szCs w:val="32"/>
      <w:lang w:val="es-CO"/>
    </w:rPr>
  </w:style>
  <w:style w:type="character" w:customStyle="1" w:styleId="Ttulo2Car">
    <w:name w:val="Título 2 Car"/>
    <w:basedOn w:val="Fuentedeprrafopredeter"/>
    <w:link w:val="Ttulo2"/>
    <w:uiPriority w:val="9"/>
    <w:qFormat/>
    <w:rsid w:val="00732D38"/>
    <w:rPr>
      <w:rFonts w:ascii="Arial" w:eastAsiaTheme="majorEastAsia" w:hAnsi="Arial" w:cs="Arial"/>
      <w:b/>
      <w:szCs w:val="26"/>
      <w:lang w:val="es-CO"/>
    </w:rPr>
  </w:style>
  <w:style w:type="character" w:customStyle="1" w:styleId="Ttulo3Car">
    <w:name w:val="Título 3 Car"/>
    <w:basedOn w:val="Fuentedeprrafopredeter"/>
    <w:link w:val="Ttulo3"/>
    <w:uiPriority w:val="9"/>
    <w:rsid w:val="00006B6F"/>
    <w:rPr>
      <w:rFonts w:ascii="Arial" w:eastAsiaTheme="majorEastAsia" w:hAnsi="Arial" w:cstheme="majorBidi"/>
      <w:b/>
      <w:sz w:val="22"/>
      <w:lang w:val="es-CO"/>
    </w:rPr>
  </w:style>
  <w:style w:type="character" w:customStyle="1" w:styleId="Ttulo4Car">
    <w:name w:val="Título 4 Car"/>
    <w:basedOn w:val="Fuentedeprrafopredeter"/>
    <w:link w:val="Ttulo4"/>
    <w:rsid w:val="00732D38"/>
    <w:rPr>
      <w:rFonts w:ascii="Arial" w:eastAsiaTheme="majorEastAsia" w:hAnsi="Arial" w:cstheme="majorBidi"/>
      <w:b/>
      <w:iCs/>
      <w:caps/>
      <w:noProof/>
      <w:sz w:val="28"/>
      <w:lang w:val="es-CO" w:eastAsia="es-ES"/>
    </w:rPr>
  </w:style>
  <w:style w:type="character" w:customStyle="1" w:styleId="Ttulo5Car">
    <w:name w:val="Título 5 Car"/>
    <w:basedOn w:val="Fuentedeprrafopredeter"/>
    <w:link w:val="Ttulo5"/>
    <w:rsid w:val="00732D38"/>
    <w:rPr>
      <w:rFonts w:ascii="Arial" w:eastAsiaTheme="majorEastAsia" w:hAnsi="Arial" w:cstheme="majorBidi"/>
      <w:b/>
      <w:sz w:val="28"/>
      <w:lang w:val="es-CO" w:eastAsia="es-ES"/>
    </w:rPr>
  </w:style>
  <w:style w:type="character" w:customStyle="1" w:styleId="Ttulo6Car">
    <w:name w:val="Título 6 Car"/>
    <w:basedOn w:val="Fuentedeprrafopredeter"/>
    <w:link w:val="Ttulo6"/>
    <w:rsid w:val="00732D38"/>
    <w:rPr>
      <w:rFonts w:asciiTheme="majorHAnsi" w:eastAsiaTheme="majorEastAsia" w:hAnsiTheme="majorHAnsi" w:cstheme="majorBidi"/>
      <w:color w:val="1F4D78" w:themeColor="accent1" w:themeShade="7F"/>
      <w:sz w:val="22"/>
      <w:lang w:val="es-CO" w:eastAsia="es-ES"/>
    </w:rPr>
  </w:style>
  <w:style w:type="character" w:customStyle="1" w:styleId="Ttulo7Car">
    <w:name w:val="Título 7 Car"/>
    <w:basedOn w:val="Fuentedeprrafopredeter"/>
    <w:link w:val="Ttulo7"/>
    <w:rsid w:val="00732D38"/>
    <w:rPr>
      <w:rFonts w:asciiTheme="majorHAnsi" w:eastAsiaTheme="majorEastAsia" w:hAnsiTheme="majorHAnsi" w:cstheme="majorBidi"/>
      <w:i/>
      <w:iCs/>
      <w:color w:val="1F4D78" w:themeColor="accent1" w:themeShade="7F"/>
      <w:sz w:val="22"/>
      <w:lang w:val="es-CO" w:eastAsia="es-ES"/>
    </w:rPr>
  </w:style>
  <w:style w:type="character" w:customStyle="1" w:styleId="Ttulo8Car">
    <w:name w:val="Título 8 Car"/>
    <w:basedOn w:val="Fuentedeprrafopredeter"/>
    <w:link w:val="Ttulo8"/>
    <w:rsid w:val="00732D38"/>
    <w:rPr>
      <w:rFonts w:asciiTheme="majorHAnsi" w:eastAsiaTheme="majorEastAsia" w:hAnsiTheme="majorHAnsi" w:cstheme="majorBidi"/>
      <w:color w:val="272727" w:themeColor="text1" w:themeTint="D8"/>
      <w:sz w:val="21"/>
      <w:szCs w:val="21"/>
      <w:lang w:val="es-CO" w:eastAsia="es-ES"/>
    </w:rPr>
  </w:style>
  <w:style w:type="character" w:customStyle="1" w:styleId="Ttulo9Car">
    <w:name w:val="Título 9 Car"/>
    <w:basedOn w:val="Fuentedeprrafopredeter"/>
    <w:link w:val="Ttulo9"/>
    <w:rsid w:val="00732D38"/>
    <w:rPr>
      <w:rFonts w:asciiTheme="majorHAnsi" w:eastAsiaTheme="majorEastAsia" w:hAnsiTheme="majorHAnsi" w:cstheme="majorBidi"/>
      <w:i/>
      <w:iCs/>
      <w:color w:val="272727" w:themeColor="text1" w:themeTint="D8"/>
      <w:sz w:val="21"/>
      <w:szCs w:val="21"/>
      <w:lang w:val="es-CO" w:eastAsia="es-ES"/>
    </w:rPr>
  </w:style>
  <w:style w:type="paragraph" w:customStyle="1" w:styleId="Encabezado2">
    <w:name w:val="Encabezado 2"/>
    <w:basedOn w:val="Normal"/>
    <w:next w:val="Normal"/>
    <w:uiPriority w:val="9"/>
    <w:unhideWhenUsed/>
    <w:qFormat/>
    <w:rsid w:val="00732D38"/>
    <w:pPr>
      <w:keepNext/>
      <w:keepLines/>
      <w:suppressAutoHyphens/>
      <w:spacing w:before="200" w:after="120" w:line="276" w:lineRule="auto"/>
      <w:jc w:val="both"/>
      <w:outlineLvl w:val="1"/>
    </w:pPr>
    <w:rPr>
      <w:rFonts w:ascii="Cambria" w:eastAsia="Times New Roman" w:hAnsi="Cambria" w:cs="Times New Roman"/>
      <w:b/>
      <w:bCs/>
      <w:color w:val="4F81BD"/>
      <w:sz w:val="26"/>
      <w:szCs w:val="26"/>
      <w:lang w:val="es-CO"/>
    </w:rPr>
  </w:style>
  <w:style w:type="character" w:customStyle="1" w:styleId="TextodegloboCar">
    <w:name w:val="Texto de globo Car"/>
    <w:link w:val="Textodeglobo"/>
    <w:uiPriority w:val="99"/>
    <w:qFormat/>
    <w:rsid w:val="00732D38"/>
    <w:rPr>
      <w:rFonts w:ascii="Tahoma" w:hAnsi="Tahoma" w:cs="Tahoma"/>
      <w:sz w:val="16"/>
      <w:szCs w:val="16"/>
    </w:rPr>
  </w:style>
  <w:style w:type="character" w:styleId="Textodelmarcadordeposicin">
    <w:name w:val="Placeholder Text"/>
    <w:uiPriority w:val="99"/>
    <w:semiHidden/>
    <w:qFormat/>
    <w:rsid w:val="00732D38"/>
    <w:rPr>
      <w:color w:val="808080"/>
    </w:rPr>
  </w:style>
  <w:style w:type="character" w:customStyle="1" w:styleId="codigobarras">
    <w:name w:val="codigo barras"/>
    <w:qFormat/>
    <w:rsid w:val="00732D38"/>
    <w:rPr>
      <w:rFonts w:ascii="Code3of9" w:hAnsi="Code3of9"/>
      <w:b w:val="0"/>
    </w:rPr>
  </w:style>
  <w:style w:type="character" w:styleId="Textoennegrita">
    <w:name w:val="Strong"/>
    <w:uiPriority w:val="22"/>
    <w:qFormat/>
    <w:rsid w:val="00732D38"/>
    <w:rPr>
      <w:b/>
      <w:bCs/>
    </w:rPr>
  </w:style>
  <w:style w:type="character" w:customStyle="1" w:styleId="EnlacedeInternet">
    <w:name w:val="Enlace de Internet"/>
    <w:uiPriority w:val="99"/>
    <w:unhideWhenUsed/>
    <w:rsid w:val="00732D38"/>
    <w:rPr>
      <w:color w:val="0000FF"/>
      <w:u w:val="single"/>
    </w:rPr>
  </w:style>
  <w:style w:type="paragraph" w:customStyle="1" w:styleId="Cuerpodetexto">
    <w:name w:val="Cuerpo de texto"/>
    <w:basedOn w:val="Normal"/>
    <w:rsid w:val="00732D38"/>
    <w:pPr>
      <w:suppressAutoHyphens/>
      <w:spacing w:before="120" w:after="140" w:line="288" w:lineRule="auto"/>
      <w:jc w:val="both"/>
    </w:pPr>
    <w:rPr>
      <w:rFonts w:ascii="Arial" w:eastAsia="Times New Roman" w:hAnsi="Arial" w:cs="Times New Roman"/>
      <w:sz w:val="22"/>
      <w:lang w:val="es-CO" w:eastAsia="es-ES"/>
    </w:rPr>
  </w:style>
  <w:style w:type="paragraph" w:styleId="Lista">
    <w:name w:val="List"/>
    <w:basedOn w:val="Cuerpodetexto"/>
    <w:rsid w:val="00732D38"/>
    <w:rPr>
      <w:rFonts w:cs="FreeSans"/>
    </w:rPr>
  </w:style>
  <w:style w:type="paragraph" w:customStyle="1" w:styleId="Pie">
    <w:name w:val="Pie"/>
    <w:basedOn w:val="Normal"/>
    <w:rsid w:val="00732D38"/>
    <w:pPr>
      <w:suppressLineNumbers/>
      <w:suppressAutoHyphens/>
      <w:spacing w:before="120" w:after="120"/>
      <w:jc w:val="both"/>
    </w:pPr>
    <w:rPr>
      <w:rFonts w:ascii="Arial" w:eastAsia="Times New Roman" w:hAnsi="Arial" w:cs="FreeSans"/>
      <w:i/>
      <w:iCs/>
      <w:sz w:val="22"/>
      <w:lang w:val="es-CO" w:eastAsia="es-ES"/>
    </w:rPr>
  </w:style>
  <w:style w:type="paragraph" w:customStyle="1" w:styleId="ndice">
    <w:name w:val="Índice"/>
    <w:basedOn w:val="Normal"/>
    <w:qFormat/>
    <w:rsid w:val="00732D38"/>
    <w:pPr>
      <w:suppressLineNumbers/>
      <w:suppressAutoHyphens/>
      <w:spacing w:before="120" w:after="120"/>
      <w:jc w:val="both"/>
    </w:pPr>
    <w:rPr>
      <w:rFonts w:ascii="Arial" w:eastAsia="Times New Roman" w:hAnsi="Arial" w:cs="FreeSans"/>
      <w:sz w:val="22"/>
      <w:lang w:val="es-CO" w:eastAsia="es-ES"/>
    </w:rPr>
  </w:style>
  <w:style w:type="paragraph" w:customStyle="1" w:styleId="Encabezamiento">
    <w:name w:val="Encabezamiento"/>
    <w:basedOn w:val="Normal"/>
    <w:uiPriority w:val="99"/>
    <w:unhideWhenUsed/>
    <w:rsid w:val="00732D38"/>
    <w:pPr>
      <w:tabs>
        <w:tab w:val="center" w:pos="4419"/>
        <w:tab w:val="right" w:pos="8838"/>
      </w:tabs>
      <w:suppressAutoHyphens/>
      <w:spacing w:before="120" w:after="120"/>
      <w:jc w:val="both"/>
    </w:pPr>
    <w:rPr>
      <w:rFonts w:ascii="Calibri" w:eastAsia="Calibri" w:hAnsi="Calibri" w:cs="Times New Roman"/>
      <w:sz w:val="22"/>
      <w:szCs w:val="22"/>
      <w:lang w:val="es-CO"/>
    </w:rPr>
  </w:style>
  <w:style w:type="paragraph" w:styleId="Textodeglobo">
    <w:name w:val="Balloon Text"/>
    <w:basedOn w:val="Normal"/>
    <w:link w:val="TextodegloboCar"/>
    <w:uiPriority w:val="99"/>
    <w:unhideWhenUsed/>
    <w:qFormat/>
    <w:rsid w:val="00732D38"/>
    <w:pPr>
      <w:suppressAutoHyphens/>
      <w:spacing w:before="120" w:after="120"/>
      <w:jc w:val="both"/>
    </w:pPr>
    <w:rPr>
      <w:rFonts w:ascii="Tahoma" w:hAnsi="Tahoma" w:cs="Tahoma"/>
      <w:sz w:val="16"/>
      <w:szCs w:val="16"/>
    </w:rPr>
  </w:style>
  <w:style w:type="character" w:customStyle="1" w:styleId="TextodegloboCar1">
    <w:name w:val="Texto de globo Car1"/>
    <w:basedOn w:val="Fuentedeprrafopredeter"/>
    <w:uiPriority w:val="99"/>
    <w:semiHidden/>
    <w:rsid w:val="00732D38"/>
    <w:rPr>
      <w:rFonts w:ascii="Segoe UI" w:hAnsi="Segoe UI" w:cs="Segoe UI"/>
      <w:sz w:val="18"/>
      <w:szCs w:val="18"/>
    </w:rPr>
  </w:style>
  <w:style w:type="paragraph" w:styleId="NormalWeb">
    <w:name w:val="Normal (Web)"/>
    <w:basedOn w:val="Normal"/>
    <w:uiPriority w:val="99"/>
    <w:semiHidden/>
    <w:unhideWhenUsed/>
    <w:qFormat/>
    <w:rsid w:val="00732D38"/>
    <w:pPr>
      <w:suppressAutoHyphens/>
      <w:spacing w:before="120" w:beforeAutospacing="1" w:after="120" w:afterAutospacing="1"/>
      <w:jc w:val="both"/>
    </w:pPr>
    <w:rPr>
      <w:rFonts w:ascii="Arial" w:eastAsia="Times New Roman" w:hAnsi="Arial" w:cs="Times New Roman"/>
      <w:sz w:val="22"/>
      <w:lang w:val="es-CO" w:eastAsia="es-CO"/>
    </w:rPr>
  </w:style>
  <w:style w:type="paragraph" w:styleId="Prrafodelista">
    <w:name w:val="List Paragraph"/>
    <w:aliases w:val="AnexoI,TITULO 2"/>
    <w:basedOn w:val="Normal"/>
    <w:next w:val="Normal"/>
    <w:link w:val="PrrafodelistaCar"/>
    <w:uiPriority w:val="34"/>
    <w:qFormat/>
    <w:rsid w:val="00732D38"/>
    <w:pPr>
      <w:numPr>
        <w:numId w:val="5"/>
      </w:numPr>
      <w:suppressAutoHyphens/>
      <w:spacing w:before="120" w:after="120"/>
      <w:contextualSpacing/>
      <w:jc w:val="both"/>
    </w:pPr>
    <w:rPr>
      <w:rFonts w:ascii="Arial" w:eastAsia="Times New Roman" w:hAnsi="Arial" w:cs="Times New Roman"/>
      <w:b/>
      <w:sz w:val="28"/>
      <w:lang w:val="es-CO" w:eastAsia="es-ES"/>
    </w:rPr>
  </w:style>
  <w:style w:type="paragraph" w:customStyle="1" w:styleId="Sinespaciado1">
    <w:name w:val="Sin espaciado1"/>
    <w:qFormat/>
    <w:rsid w:val="00732D38"/>
    <w:pPr>
      <w:keepNext/>
      <w:suppressAutoHyphens/>
      <w:spacing w:after="200" w:line="100" w:lineRule="atLeast"/>
      <w:jc w:val="both"/>
    </w:pPr>
    <w:rPr>
      <w:rFonts w:ascii="Calibri" w:eastAsia="Calibri" w:hAnsi="Calibri" w:cs="Times New Roman"/>
      <w:color w:val="00000A"/>
      <w:szCs w:val="20"/>
      <w:lang w:val="es-CO"/>
    </w:rPr>
  </w:style>
  <w:style w:type="table" w:styleId="Tablaconcuadrcula">
    <w:name w:val="Table Grid"/>
    <w:basedOn w:val="Tablanormal"/>
    <w:uiPriority w:val="59"/>
    <w:rsid w:val="00732D38"/>
    <w:rPr>
      <w:rFonts w:ascii="Calibri" w:eastAsia="Calibri" w:hAnsi="Calibri"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1">
    <w:name w:val="Título 2 Car1"/>
    <w:basedOn w:val="Fuentedeprrafopredeter"/>
    <w:uiPriority w:val="9"/>
    <w:semiHidden/>
    <w:rsid w:val="00732D38"/>
    <w:rPr>
      <w:rFonts w:asciiTheme="majorHAnsi" w:eastAsiaTheme="majorEastAsia" w:hAnsiTheme="majorHAnsi" w:cstheme="majorBidi"/>
      <w:color w:val="2E74B5" w:themeColor="accent1" w:themeShade="BF"/>
      <w:sz w:val="26"/>
      <w:szCs w:val="26"/>
      <w:lang w:val="es-ES" w:eastAsia="es-ES"/>
    </w:rPr>
  </w:style>
  <w:style w:type="paragraph" w:styleId="TtulodeTDC">
    <w:name w:val="TOC Heading"/>
    <w:basedOn w:val="Ttulo1"/>
    <w:next w:val="Normal"/>
    <w:uiPriority w:val="39"/>
    <w:unhideWhenUsed/>
    <w:qFormat/>
    <w:rsid w:val="00732D38"/>
    <w:pPr>
      <w:spacing w:after="0" w:line="259" w:lineRule="auto"/>
      <w:jc w:val="left"/>
      <w:outlineLvl w:val="9"/>
    </w:pPr>
    <w:rPr>
      <w:rFonts w:asciiTheme="majorHAnsi" w:hAnsiTheme="majorHAnsi"/>
      <w:b w:val="0"/>
      <w:caps w:val="0"/>
      <w:color w:val="2E74B5" w:themeColor="accent1" w:themeShade="BF"/>
      <w:sz w:val="32"/>
      <w:lang w:eastAsia="es-CO"/>
    </w:rPr>
  </w:style>
  <w:style w:type="paragraph" w:styleId="TDC1">
    <w:name w:val="toc 1"/>
    <w:basedOn w:val="Normal"/>
    <w:next w:val="Normal"/>
    <w:autoRedefine/>
    <w:uiPriority w:val="39"/>
    <w:unhideWhenUsed/>
    <w:rsid w:val="00732D38"/>
    <w:pPr>
      <w:suppressAutoHyphens/>
      <w:spacing w:before="360"/>
    </w:pPr>
    <w:rPr>
      <w:rFonts w:asciiTheme="majorHAnsi" w:eastAsia="Times New Roman" w:hAnsiTheme="majorHAnsi" w:cs="Times New Roman"/>
      <w:b/>
      <w:bCs/>
      <w:caps/>
      <w:lang w:val="es-CO" w:eastAsia="es-ES"/>
    </w:rPr>
  </w:style>
  <w:style w:type="paragraph" w:styleId="TDC2">
    <w:name w:val="toc 2"/>
    <w:basedOn w:val="Normal"/>
    <w:next w:val="Normal"/>
    <w:autoRedefine/>
    <w:uiPriority w:val="39"/>
    <w:unhideWhenUsed/>
    <w:rsid w:val="00503DBC"/>
    <w:pPr>
      <w:tabs>
        <w:tab w:val="left" w:pos="880"/>
        <w:tab w:val="right" w:leader="dot" w:pos="9678"/>
      </w:tabs>
      <w:suppressAutoHyphens/>
      <w:spacing w:before="120" w:after="120" w:line="360" w:lineRule="auto"/>
      <w:jc w:val="both"/>
    </w:pPr>
    <w:rPr>
      <w:rFonts w:eastAsia="Times New Roman" w:cs="Times New Roman"/>
      <w:b/>
      <w:bCs/>
      <w:sz w:val="20"/>
      <w:szCs w:val="20"/>
      <w:lang w:val="es-CO" w:eastAsia="es-ES"/>
    </w:rPr>
  </w:style>
  <w:style w:type="paragraph" w:styleId="TDC3">
    <w:name w:val="toc 3"/>
    <w:basedOn w:val="Normal"/>
    <w:next w:val="Normal"/>
    <w:autoRedefine/>
    <w:uiPriority w:val="39"/>
    <w:unhideWhenUsed/>
    <w:rsid w:val="00732D38"/>
    <w:pPr>
      <w:suppressAutoHyphens/>
      <w:ind w:left="220"/>
    </w:pPr>
    <w:rPr>
      <w:rFonts w:eastAsia="Times New Roman" w:cs="Times New Roman"/>
      <w:sz w:val="20"/>
      <w:szCs w:val="20"/>
      <w:lang w:val="es-CO" w:eastAsia="es-ES"/>
    </w:rPr>
  </w:style>
  <w:style w:type="character" w:styleId="Hipervnculo">
    <w:name w:val="Hyperlink"/>
    <w:basedOn w:val="Fuentedeprrafopredeter"/>
    <w:uiPriority w:val="99"/>
    <w:unhideWhenUsed/>
    <w:rsid w:val="00732D38"/>
    <w:rPr>
      <w:color w:val="0563C1" w:themeColor="hyperlink"/>
      <w:u w:val="single"/>
    </w:rPr>
  </w:style>
  <w:style w:type="paragraph" w:styleId="Descripcin">
    <w:name w:val="caption"/>
    <w:basedOn w:val="Normal"/>
    <w:next w:val="Normal"/>
    <w:uiPriority w:val="35"/>
    <w:unhideWhenUsed/>
    <w:qFormat/>
    <w:rsid w:val="00732D38"/>
    <w:pPr>
      <w:suppressAutoHyphens/>
      <w:spacing w:before="120" w:after="200"/>
      <w:jc w:val="both"/>
    </w:pPr>
    <w:rPr>
      <w:rFonts w:ascii="Arial" w:eastAsia="Times New Roman" w:hAnsi="Arial" w:cs="Times New Roman"/>
      <w:i/>
      <w:iCs/>
      <w:color w:val="44546A" w:themeColor="text2"/>
      <w:sz w:val="18"/>
      <w:szCs w:val="18"/>
      <w:lang w:val="es-CO" w:eastAsia="es-ES"/>
    </w:rPr>
  </w:style>
  <w:style w:type="paragraph" w:styleId="Textonotapie">
    <w:name w:val="footnote text"/>
    <w:basedOn w:val="Normal"/>
    <w:link w:val="TextonotapieCar"/>
    <w:uiPriority w:val="99"/>
    <w:unhideWhenUsed/>
    <w:rsid w:val="00732D38"/>
    <w:pPr>
      <w:suppressAutoHyphens/>
      <w:spacing w:before="120" w:after="120"/>
      <w:jc w:val="both"/>
    </w:pPr>
    <w:rPr>
      <w:rFonts w:ascii="Arial" w:eastAsia="Times New Roman" w:hAnsi="Arial" w:cs="Times New Roman"/>
      <w:sz w:val="20"/>
      <w:szCs w:val="20"/>
      <w:lang w:val="es-CO" w:eastAsia="es-ES"/>
    </w:rPr>
  </w:style>
  <w:style w:type="character" w:customStyle="1" w:styleId="TextonotapieCar">
    <w:name w:val="Texto nota pie Car"/>
    <w:basedOn w:val="Fuentedeprrafopredeter"/>
    <w:link w:val="Textonotapie"/>
    <w:uiPriority w:val="99"/>
    <w:rsid w:val="00732D38"/>
    <w:rPr>
      <w:rFonts w:ascii="Arial" w:eastAsia="Times New Roman" w:hAnsi="Arial" w:cs="Times New Roman"/>
      <w:sz w:val="20"/>
      <w:szCs w:val="20"/>
      <w:lang w:val="es-CO" w:eastAsia="es-ES"/>
    </w:rPr>
  </w:style>
  <w:style w:type="character" w:styleId="Refdenotaalpie">
    <w:name w:val="footnote reference"/>
    <w:aliases w:val="Nota de pie,Ref,de nota al pie"/>
    <w:basedOn w:val="Fuentedeprrafopredeter"/>
    <w:uiPriority w:val="99"/>
    <w:semiHidden/>
    <w:unhideWhenUsed/>
    <w:rsid w:val="00732D38"/>
    <w:rPr>
      <w:vertAlign w:val="superscript"/>
    </w:rPr>
  </w:style>
  <w:style w:type="character" w:styleId="Refdecomentario">
    <w:name w:val="annotation reference"/>
    <w:basedOn w:val="Fuentedeprrafopredeter"/>
    <w:unhideWhenUsed/>
    <w:rsid w:val="00732D38"/>
    <w:rPr>
      <w:sz w:val="16"/>
      <w:szCs w:val="16"/>
    </w:rPr>
  </w:style>
  <w:style w:type="paragraph" w:styleId="Textocomentario">
    <w:name w:val="annotation text"/>
    <w:basedOn w:val="Normal"/>
    <w:link w:val="TextocomentarioCar"/>
    <w:unhideWhenUsed/>
    <w:rsid w:val="00732D38"/>
    <w:pPr>
      <w:suppressAutoHyphens/>
      <w:spacing w:before="120" w:after="120"/>
      <w:jc w:val="both"/>
    </w:pPr>
    <w:rPr>
      <w:rFonts w:ascii="Arial" w:eastAsia="Times New Roman" w:hAnsi="Arial" w:cs="Times New Roman"/>
      <w:sz w:val="20"/>
      <w:szCs w:val="20"/>
      <w:lang w:val="es-CO" w:eastAsia="es-ES"/>
    </w:rPr>
  </w:style>
  <w:style w:type="character" w:customStyle="1" w:styleId="TextocomentarioCar">
    <w:name w:val="Texto comentario Car"/>
    <w:basedOn w:val="Fuentedeprrafopredeter"/>
    <w:link w:val="Textocomentario"/>
    <w:rsid w:val="00732D38"/>
    <w:rPr>
      <w:rFonts w:ascii="Arial" w:eastAsia="Times New Roman" w:hAnsi="Arial" w:cs="Times New Roman"/>
      <w:sz w:val="20"/>
      <w:szCs w:val="20"/>
      <w:lang w:val="es-CO" w:eastAsia="es-ES"/>
    </w:rPr>
  </w:style>
  <w:style w:type="paragraph" w:styleId="Asuntodelcomentario">
    <w:name w:val="annotation subject"/>
    <w:basedOn w:val="Textocomentario"/>
    <w:next w:val="Textocomentario"/>
    <w:link w:val="AsuntodelcomentarioCar"/>
    <w:unhideWhenUsed/>
    <w:rsid w:val="00732D38"/>
    <w:rPr>
      <w:b/>
      <w:bCs/>
    </w:rPr>
  </w:style>
  <w:style w:type="character" w:customStyle="1" w:styleId="AsuntodelcomentarioCar">
    <w:name w:val="Asunto del comentario Car"/>
    <w:basedOn w:val="TextocomentarioCar"/>
    <w:link w:val="Asuntodelcomentario"/>
    <w:rsid w:val="00732D38"/>
    <w:rPr>
      <w:rFonts w:ascii="Arial" w:eastAsia="Times New Roman" w:hAnsi="Arial" w:cs="Times New Roman"/>
      <w:b/>
      <w:bCs/>
      <w:sz w:val="20"/>
      <w:szCs w:val="20"/>
      <w:lang w:val="es-CO" w:eastAsia="es-ES"/>
    </w:rPr>
  </w:style>
  <w:style w:type="paragraph" w:styleId="Tabladeilustraciones">
    <w:name w:val="table of figures"/>
    <w:basedOn w:val="Normal"/>
    <w:next w:val="Normal"/>
    <w:uiPriority w:val="99"/>
    <w:unhideWhenUsed/>
    <w:rsid w:val="00732D38"/>
    <w:pPr>
      <w:suppressAutoHyphens/>
      <w:spacing w:before="120"/>
      <w:jc w:val="both"/>
    </w:pPr>
    <w:rPr>
      <w:rFonts w:ascii="Arial" w:eastAsia="Times New Roman" w:hAnsi="Arial" w:cs="Times New Roman"/>
      <w:sz w:val="22"/>
      <w:lang w:val="es-CO" w:eastAsia="es-ES"/>
    </w:rPr>
  </w:style>
  <w:style w:type="paragraph" w:styleId="TDC4">
    <w:name w:val="toc 4"/>
    <w:basedOn w:val="Normal"/>
    <w:next w:val="Normal"/>
    <w:autoRedefine/>
    <w:uiPriority w:val="39"/>
    <w:unhideWhenUsed/>
    <w:rsid w:val="005E73A9"/>
    <w:pPr>
      <w:tabs>
        <w:tab w:val="right" w:leader="dot" w:pos="9678"/>
      </w:tabs>
      <w:suppressAutoHyphens/>
      <w:spacing w:line="360" w:lineRule="auto"/>
      <w:jc w:val="both"/>
    </w:pPr>
    <w:rPr>
      <w:rFonts w:ascii="Arial" w:eastAsiaTheme="majorEastAsia" w:hAnsi="Arial" w:cs="Arial"/>
      <w:b/>
      <w:noProof/>
      <w:sz w:val="22"/>
      <w:szCs w:val="22"/>
      <w:lang w:val="es-CO" w:eastAsia="es-ES"/>
    </w:rPr>
  </w:style>
  <w:style w:type="paragraph" w:styleId="TDC5">
    <w:name w:val="toc 5"/>
    <w:basedOn w:val="Normal"/>
    <w:next w:val="Normal"/>
    <w:autoRedefine/>
    <w:uiPriority w:val="39"/>
    <w:unhideWhenUsed/>
    <w:rsid w:val="005E73A9"/>
    <w:pPr>
      <w:tabs>
        <w:tab w:val="left" w:pos="1276"/>
        <w:tab w:val="right" w:leader="dot" w:pos="9678"/>
      </w:tabs>
      <w:suppressAutoHyphens/>
      <w:spacing w:line="360" w:lineRule="auto"/>
    </w:pPr>
    <w:rPr>
      <w:rFonts w:ascii="Arial" w:eastAsiaTheme="majorEastAsia" w:hAnsi="Arial" w:cs="Arial"/>
      <w:b/>
      <w:noProof/>
      <w:sz w:val="22"/>
      <w:szCs w:val="22"/>
      <w:lang w:val="es-CO" w:eastAsia="es-ES"/>
    </w:rPr>
  </w:style>
  <w:style w:type="paragraph" w:styleId="TDC6">
    <w:name w:val="toc 6"/>
    <w:basedOn w:val="Normal"/>
    <w:next w:val="Normal"/>
    <w:autoRedefine/>
    <w:uiPriority w:val="39"/>
    <w:unhideWhenUsed/>
    <w:rsid w:val="00732D38"/>
    <w:pPr>
      <w:suppressAutoHyphens/>
      <w:ind w:left="880"/>
    </w:pPr>
    <w:rPr>
      <w:rFonts w:eastAsia="Times New Roman" w:cs="Times New Roman"/>
      <w:sz w:val="20"/>
      <w:szCs w:val="20"/>
      <w:lang w:val="es-CO" w:eastAsia="es-ES"/>
    </w:rPr>
  </w:style>
  <w:style w:type="paragraph" w:styleId="TDC7">
    <w:name w:val="toc 7"/>
    <w:basedOn w:val="Normal"/>
    <w:next w:val="Normal"/>
    <w:autoRedefine/>
    <w:uiPriority w:val="39"/>
    <w:unhideWhenUsed/>
    <w:rsid w:val="00732D38"/>
    <w:pPr>
      <w:suppressAutoHyphens/>
      <w:ind w:left="1100"/>
    </w:pPr>
    <w:rPr>
      <w:rFonts w:eastAsia="Times New Roman" w:cs="Times New Roman"/>
      <w:sz w:val="20"/>
      <w:szCs w:val="20"/>
      <w:lang w:val="es-CO" w:eastAsia="es-ES"/>
    </w:rPr>
  </w:style>
  <w:style w:type="paragraph" w:styleId="TDC8">
    <w:name w:val="toc 8"/>
    <w:basedOn w:val="Normal"/>
    <w:next w:val="Normal"/>
    <w:autoRedefine/>
    <w:uiPriority w:val="39"/>
    <w:unhideWhenUsed/>
    <w:rsid w:val="00732D38"/>
    <w:pPr>
      <w:suppressAutoHyphens/>
      <w:ind w:left="1320"/>
    </w:pPr>
    <w:rPr>
      <w:rFonts w:eastAsia="Times New Roman" w:cs="Times New Roman"/>
      <w:sz w:val="20"/>
      <w:szCs w:val="20"/>
      <w:lang w:val="es-CO" w:eastAsia="es-ES"/>
    </w:rPr>
  </w:style>
  <w:style w:type="paragraph" w:styleId="TDC9">
    <w:name w:val="toc 9"/>
    <w:basedOn w:val="Normal"/>
    <w:next w:val="Normal"/>
    <w:autoRedefine/>
    <w:uiPriority w:val="39"/>
    <w:unhideWhenUsed/>
    <w:rsid w:val="00732D38"/>
    <w:pPr>
      <w:suppressAutoHyphens/>
      <w:ind w:left="1540"/>
    </w:pPr>
    <w:rPr>
      <w:rFonts w:eastAsia="Times New Roman" w:cs="Times New Roman"/>
      <w:sz w:val="20"/>
      <w:szCs w:val="20"/>
      <w:lang w:val="es-CO" w:eastAsia="es-ES"/>
    </w:rPr>
  </w:style>
  <w:style w:type="table" w:customStyle="1" w:styleId="Tabladecuadrcula4-nfasis52">
    <w:name w:val="Tabla de cuadrícula 4 - Énfasis 52"/>
    <w:basedOn w:val="Tablanormal"/>
    <w:uiPriority w:val="49"/>
    <w:rsid w:val="00732D38"/>
    <w:rPr>
      <w:sz w:val="22"/>
      <w:szCs w:val="22"/>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PrrafodelistaCar">
    <w:name w:val="Párrafo de lista Car"/>
    <w:aliases w:val="AnexoI Car,TITULO 2 Car"/>
    <w:basedOn w:val="Fuentedeprrafopredeter"/>
    <w:link w:val="Prrafodelista"/>
    <w:uiPriority w:val="34"/>
    <w:rsid w:val="00732D38"/>
    <w:rPr>
      <w:rFonts w:ascii="Arial" w:eastAsia="Times New Roman" w:hAnsi="Arial" w:cs="Times New Roman"/>
      <w:b/>
      <w:sz w:val="28"/>
      <w:lang w:val="es-CO" w:eastAsia="es-ES"/>
    </w:rPr>
  </w:style>
  <w:style w:type="character" w:styleId="nfasis">
    <w:name w:val="Emphasis"/>
    <w:qFormat/>
    <w:rsid w:val="00732D38"/>
    <w:rPr>
      <w:i/>
      <w:iCs/>
    </w:rPr>
  </w:style>
  <w:style w:type="paragraph" w:customStyle="1" w:styleId="Default">
    <w:name w:val="Default"/>
    <w:rsid w:val="00732D38"/>
    <w:pPr>
      <w:autoSpaceDE w:val="0"/>
      <w:autoSpaceDN w:val="0"/>
      <w:adjustRightInd w:val="0"/>
    </w:pPr>
    <w:rPr>
      <w:rFonts w:ascii="Soberana Sans Light" w:eastAsia="Calibri" w:hAnsi="Soberana Sans Light" w:cs="Soberana Sans Light"/>
      <w:color w:val="000000"/>
      <w:lang w:val="es-CO" w:eastAsia="es-CO"/>
    </w:rPr>
  </w:style>
  <w:style w:type="character" w:customStyle="1" w:styleId="street-address">
    <w:name w:val="street-address"/>
    <w:basedOn w:val="Fuentedeprrafopredeter"/>
    <w:rsid w:val="00732D38"/>
  </w:style>
  <w:style w:type="character" w:customStyle="1" w:styleId="apple-converted-space">
    <w:name w:val="apple-converted-space"/>
    <w:basedOn w:val="Fuentedeprrafopredeter"/>
    <w:rsid w:val="00732D38"/>
  </w:style>
  <w:style w:type="character" w:customStyle="1" w:styleId="city">
    <w:name w:val="city"/>
    <w:basedOn w:val="Fuentedeprrafopredeter"/>
    <w:rsid w:val="00732D38"/>
  </w:style>
  <w:style w:type="paragraph" w:styleId="Firma">
    <w:name w:val="Signature"/>
    <w:basedOn w:val="Normal"/>
    <w:link w:val="FirmaCar"/>
    <w:rsid w:val="00732D38"/>
    <w:pPr>
      <w:spacing w:before="720"/>
    </w:pPr>
    <w:rPr>
      <w:rFonts w:eastAsiaTheme="minorEastAsia"/>
      <w:color w:val="404040" w:themeColor="text1" w:themeTint="BF"/>
      <w:sz w:val="20"/>
      <w:szCs w:val="22"/>
      <w:lang w:val="es-CO"/>
    </w:rPr>
  </w:style>
  <w:style w:type="character" w:customStyle="1" w:styleId="FirmaCar">
    <w:name w:val="Firma Car"/>
    <w:basedOn w:val="Fuentedeprrafopredeter"/>
    <w:link w:val="Firma"/>
    <w:rsid w:val="00732D38"/>
    <w:rPr>
      <w:rFonts w:eastAsiaTheme="minorEastAsia"/>
      <w:color w:val="404040" w:themeColor="text1" w:themeTint="BF"/>
      <w:sz w:val="20"/>
      <w:szCs w:val="22"/>
      <w:lang w:val="es-CO"/>
    </w:rPr>
  </w:style>
  <w:style w:type="paragraph" w:styleId="Sinespaciado">
    <w:name w:val="No Spacing"/>
    <w:link w:val="SinespaciadoCar"/>
    <w:uiPriority w:val="1"/>
    <w:qFormat/>
    <w:rsid w:val="00732D38"/>
    <w:rPr>
      <w:rFonts w:eastAsiaTheme="minorEastAsia"/>
      <w:sz w:val="22"/>
      <w:szCs w:val="22"/>
      <w:lang w:val="es-ES" w:eastAsia="es-ES"/>
    </w:rPr>
  </w:style>
  <w:style w:type="character" w:customStyle="1" w:styleId="SinespaciadoCar">
    <w:name w:val="Sin espaciado Car"/>
    <w:basedOn w:val="Fuentedeprrafopredeter"/>
    <w:link w:val="Sinespaciado"/>
    <w:uiPriority w:val="1"/>
    <w:rsid w:val="00732D38"/>
    <w:rPr>
      <w:rFonts w:eastAsiaTheme="minorEastAsia"/>
      <w:sz w:val="22"/>
      <w:szCs w:val="22"/>
      <w:lang w:val="es-ES" w:eastAsia="es-ES"/>
    </w:rPr>
  </w:style>
  <w:style w:type="character" w:styleId="Hipervnculovisitado">
    <w:name w:val="FollowedHyperlink"/>
    <w:basedOn w:val="Fuentedeprrafopredeter"/>
    <w:uiPriority w:val="99"/>
    <w:unhideWhenUsed/>
    <w:rsid w:val="00732D38"/>
    <w:rPr>
      <w:color w:val="954F72" w:themeColor="followedHyperlink"/>
      <w:u w:val="single"/>
    </w:rPr>
  </w:style>
  <w:style w:type="numbering" w:customStyle="1" w:styleId="Anexos">
    <w:name w:val="Anexos"/>
    <w:uiPriority w:val="99"/>
    <w:rsid w:val="00732D38"/>
    <w:pPr>
      <w:numPr>
        <w:numId w:val="3"/>
      </w:numPr>
    </w:pPr>
  </w:style>
  <w:style w:type="numbering" w:customStyle="1" w:styleId="Anexo">
    <w:name w:val="Anexo"/>
    <w:basedOn w:val="Sinlista"/>
    <w:uiPriority w:val="99"/>
    <w:rsid w:val="00732D38"/>
    <w:pPr>
      <w:numPr>
        <w:numId w:val="4"/>
      </w:numPr>
    </w:pPr>
  </w:style>
  <w:style w:type="paragraph" w:styleId="Bibliografa">
    <w:name w:val="Bibliography"/>
    <w:basedOn w:val="Normal"/>
    <w:next w:val="Normal"/>
    <w:uiPriority w:val="37"/>
    <w:unhideWhenUsed/>
    <w:rsid w:val="00732D38"/>
    <w:pPr>
      <w:suppressAutoHyphens/>
      <w:spacing w:before="120" w:after="120"/>
      <w:jc w:val="both"/>
    </w:pPr>
    <w:rPr>
      <w:rFonts w:ascii="Arial" w:eastAsia="Times New Roman" w:hAnsi="Arial" w:cs="Times New Roman"/>
      <w:sz w:val="22"/>
      <w:lang w:val="es-CO" w:eastAsia="es-ES"/>
    </w:rPr>
  </w:style>
  <w:style w:type="paragraph" w:customStyle="1" w:styleId="EstiloTitulos">
    <w:name w:val="Estilo Titulos"/>
    <w:basedOn w:val="Ttulo1"/>
    <w:link w:val="EstiloTitulosCar"/>
    <w:qFormat/>
    <w:rsid w:val="00732D38"/>
    <w:pPr>
      <w:numPr>
        <w:numId w:val="8"/>
      </w:numPr>
      <w:spacing w:line="276" w:lineRule="auto"/>
      <w:jc w:val="left"/>
    </w:pPr>
    <w:rPr>
      <w:rFonts w:ascii="Arial Narrow" w:eastAsia="Arial Unicode MS" w:hAnsi="Arial Narrow" w:cs="Times New Roman"/>
      <w:caps w:val="0"/>
      <w:color w:val="002060"/>
      <w:sz w:val="44"/>
      <w:szCs w:val="28"/>
      <w14:textOutline w14:w="9525" w14:cap="rnd" w14:cmpd="sng" w14:algn="ctr">
        <w14:noFill/>
        <w14:prstDash w14:val="solid"/>
        <w14:bevel/>
      </w14:textOutline>
    </w:rPr>
  </w:style>
  <w:style w:type="paragraph" w:customStyle="1" w:styleId="1">
    <w:name w:val="1"/>
    <w:basedOn w:val="Normal"/>
    <w:next w:val="Normal"/>
    <w:qFormat/>
    <w:rsid w:val="00732D38"/>
    <w:pPr>
      <w:spacing w:after="120"/>
      <w:jc w:val="center"/>
    </w:pPr>
    <w:rPr>
      <w:rFonts w:ascii="Arial Narrow" w:eastAsia="Calibri" w:hAnsi="Arial Narrow" w:cs="Times New Roman"/>
      <w:b/>
      <w:bCs/>
      <w:sz w:val="20"/>
      <w:szCs w:val="20"/>
      <w:lang w:val="es-CO"/>
    </w:rPr>
  </w:style>
  <w:style w:type="paragraph" w:styleId="Textoindependiente">
    <w:name w:val="Body Text"/>
    <w:basedOn w:val="Normal"/>
    <w:link w:val="TextoindependienteCar"/>
    <w:rsid w:val="00732D38"/>
    <w:pPr>
      <w:spacing w:after="120"/>
      <w:jc w:val="both"/>
    </w:pPr>
    <w:rPr>
      <w:rFonts w:ascii="Times New Roman" w:eastAsia="Calibri" w:hAnsi="Times New Roman" w:cs="Times New Roman"/>
      <w:szCs w:val="22"/>
      <w:lang w:val="x-none"/>
    </w:rPr>
  </w:style>
  <w:style w:type="character" w:customStyle="1" w:styleId="TextoindependienteCar">
    <w:name w:val="Texto independiente Car"/>
    <w:basedOn w:val="Fuentedeprrafopredeter"/>
    <w:link w:val="Textoindependiente"/>
    <w:rsid w:val="00732D38"/>
    <w:rPr>
      <w:rFonts w:ascii="Times New Roman" w:eastAsia="Calibri" w:hAnsi="Times New Roman" w:cs="Times New Roman"/>
      <w:szCs w:val="22"/>
      <w:lang w:val="x-none"/>
    </w:rPr>
  </w:style>
  <w:style w:type="paragraph" w:styleId="Textoindependiente2">
    <w:name w:val="Body Text 2"/>
    <w:basedOn w:val="Normal"/>
    <w:link w:val="Textoindependiente2Car"/>
    <w:rsid w:val="00732D38"/>
    <w:pPr>
      <w:spacing w:after="120"/>
      <w:jc w:val="both"/>
    </w:pPr>
    <w:rPr>
      <w:rFonts w:ascii="Arial" w:eastAsia="Calibri" w:hAnsi="Arial" w:cs="Arial"/>
      <w:i/>
      <w:iCs/>
      <w:szCs w:val="28"/>
    </w:rPr>
  </w:style>
  <w:style w:type="character" w:customStyle="1" w:styleId="Textoindependiente2Car">
    <w:name w:val="Texto independiente 2 Car"/>
    <w:basedOn w:val="Fuentedeprrafopredeter"/>
    <w:link w:val="Textoindependiente2"/>
    <w:rsid w:val="00732D38"/>
    <w:rPr>
      <w:rFonts w:ascii="Arial" w:eastAsia="Calibri" w:hAnsi="Arial" w:cs="Arial"/>
      <w:i/>
      <w:iCs/>
      <w:szCs w:val="28"/>
    </w:rPr>
  </w:style>
  <w:style w:type="paragraph" w:styleId="Textoindependiente3">
    <w:name w:val="Body Text 3"/>
    <w:basedOn w:val="Normal"/>
    <w:link w:val="Textoindependiente3Car"/>
    <w:rsid w:val="00732D38"/>
    <w:pPr>
      <w:spacing w:after="120"/>
      <w:jc w:val="both"/>
    </w:pPr>
    <w:rPr>
      <w:rFonts w:ascii="Arial" w:eastAsia="Calibri" w:hAnsi="Arial" w:cs="Arial"/>
      <w:color w:val="008000"/>
      <w:szCs w:val="22"/>
      <w:lang w:val="es-CO"/>
    </w:rPr>
  </w:style>
  <w:style w:type="character" w:customStyle="1" w:styleId="Textoindependiente3Car">
    <w:name w:val="Texto independiente 3 Car"/>
    <w:basedOn w:val="Fuentedeprrafopredeter"/>
    <w:link w:val="Textoindependiente3"/>
    <w:rsid w:val="00732D38"/>
    <w:rPr>
      <w:rFonts w:ascii="Arial" w:eastAsia="Calibri" w:hAnsi="Arial" w:cs="Arial"/>
      <w:color w:val="008000"/>
      <w:szCs w:val="22"/>
      <w:lang w:val="es-CO"/>
    </w:rPr>
  </w:style>
  <w:style w:type="paragraph" w:styleId="Puesto">
    <w:name w:val="Title"/>
    <w:basedOn w:val="Normal"/>
    <w:next w:val="Normal"/>
    <w:link w:val="PuestoCar"/>
    <w:qFormat/>
    <w:rsid w:val="00732D38"/>
    <w:pPr>
      <w:spacing w:before="840" w:after="840"/>
      <w:jc w:val="center"/>
      <w:outlineLvl w:val="0"/>
    </w:pPr>
    <w:rPr>
      <w:rFonts w:ascii="Arial Narrow" w:eastAsia="Times New Roman" w:hAnsi="Arial Narrow" w:cs="Times New Roman"/>
      <w:b/>
      <w:bCs/>
      <w:caps/>
      <w:kern w:val="28"/>
      <w:sz w:val="22"/>
      <w:szCs w:val="32"/>
      <w:lang w:val="es-ES" w:eastAsia="es-ES"/>
    </w:rPr>
  </w:style>
  <w:style w:type="character" w:customStyle="1" w:styleId="PuestoCar">
    <w:name w:val="Puesto Car"/>
    <w:basedOn w:val="Fuentedeprrafopredeter"/>
    <w:link w:val="Puesto"/>
    <w:rsid w:val="00732D38"/>
    <w:rPr>
      <w:rFonts w:ascii="Arial Narrow" w:eastAsia="Times New Roman" w:hAnsi="Arial Narrow" w:cs="Times New Roman"/>
      <w:b/>
      <w:bCs/>
      <w:caps/>
      <w:kern w:val="28"/>
      <w:sz w:val="22"/>
      <w:szCs w:val="32"/>
      <w:lang w:val="es-ES" w:eastAsia="es-ES"/>
    </w:rPr>
  </w:style>
  <w:style w:type="paragraph" w:styleId="Listaconvietas">
    <w:name w:val="List Bullet"/>
    <w:basedOn w:val="Normal"/>
    <w:rsid w:val="00732D38"/>
    <w:pPr>
      <w:numPr>
        <w:numId w:val="10"/>
      </w:numPr>
      <w:spacing w:after="120" w:line="360" w:lineRule="auto"/>
      <w:ind w:left="568" w:hanging="284"/>
      <w:contextualSpacing/>
      <w:jc w:val="both"/>
    </w:pPr>
    <w:rPr>
      <w:rFonts w:ascii="Arial Narrow" w:eastAsia="Calibri" w:hAnsi="Arial Narrow" w:cs="Times New Roman"/>
      <w:szCs w:val="22"/>
      <w:lang w:val="es-CO"/>
    </w:rPr>
  </w:style>
  <w:style w:type="character" w:styleId="Nmerodepgina">
    <w:name w:val="page number"/>
    <w:uiPriority w:val="99"/>
    <w:unhideWhenUsed/>
    <w:rsid w:val="00732D38"/>
    <w:rPr>
      <w:rFonts w:eastAsia="Times New Roman" w:cs="Times New Roman"/>
      <w:bCs w:val="0"/>
      <w:iCs w:val="0"/>
      <w:szCs w:val="22"/>
      <w:lang w:val="es-ES"/>
    </w:rPr>
  </w:style>
  <w:style w:type="paragraph" w:styleId="Revisin">
    <w:name w:val="Revision"/>
    <w:hidden/>
    <w:uiPriority w:val="99"/>
    <w:semiHidden/>
    <w:rsid w:val="00732D38"/>
    <w:rPr>
      <w:rFonts w:ascii="Arial Narrow" w:eastAsia="Calibri" w:hAnsi="Arial Narrow" w:cs="Times New Roman"/>
      <w:szCs w:val="22"/>
      <w:lang w:val="es-CO"/>
    </w:rPr>
  </w:style>
  <w:style w:type="paragraph" w:customStyle="1" w:styleId="Pa4">
    <w:name w:val="Pa4"/>
    <w:basedOn w:val="Default"/>
    <w:next w:val="Default"/>
    <w:uiPriority w:val="99"/>
    <w:rsid w:val="00732D38"/>
    <w:pPr>
      <w:spacing w:line="201" w:lineRule="atLeast"/>
    </w:pPr>
    <w:rPr>
      <w:rFonts w:ascii="Times New Roman" w:eastAsia="Times New Roman" w:hAnsi="Times New Roman" w:cs="Times New Roman"/>
      <w:color w:val="auto"/>
      <w:lang w:val="es-ES"/>
    </w:rPr>
  </w:style>
  <w:style w:type="table" w:customStyle="1" w:styleId="Tabladecuadrcula6concolores-nfasis51">
    <w:name w:val="Tabla de cuadrícula 6 con colores - Énfasis 51"/>
    <w:basedOn w:val="Tablanormal"/>
    <w:uiPriority w:val="51"/>
    <w:rsid w:val="00732D38"/>
    <w:rPr>
      <w:color w:val="2F5496" w:themeColor="accent5" w:themeShade="BF"/>
      <w:sz w:val="22"/>
      <w:szCs w:val="22"/>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51">
    <w:name w:val="Tabla de cuadrícula 4 - Énfasis 51"/>
    <w:basedOn w:val="Tablanormal"/>
    <w:uiPriority w:val="49"/>
    <w:rsid w:val="00732D38"/>
    <w:rPr>
      <w:sz w:val="22"/>
      <w:szCs w:val="22"/>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EstiloTitulosCar">
    <w:name w:val="Estilo Titulos Car"/>
    <w:basedOn w:val="Ttulo1Car"/>
    <w:link w:val="EstiloTitulos"/>
    <w:rsid w:val="00732D38"/>
    <w:rPr>
      <w:rFonts w:ascii="Arial Narrow" w:eastAsia="Arial Unicode MS" w:hAnsi="Arial Narrow" w:cs="Times New Roman"/>
      <w:b/>
      <w:caps w:val="0"/>
      <w:color w:val="002060"/>
      <w:sz w:val="44"/>
      <w:szCs w:val="28"/>
      <w:lang w:val="es-CO"/>
      <w14:textOutline w14:w="9525" w14:cap="rnd" w14:cmpd="sng" w14:algn="ctr">
        <w14:noFill/>
        <w14:prstDash w14:val="solid"/>
        <w14:bevel/>
      </w14:textOutline>
    </w:rPr>
  </w:style>
  <w:style w:type="table" w:customStyle="1" w:styleId="Tabladecuadrcula6concolores-nfasis52">
    <w:name w:val="Tabla de cuadrícula 6 con colores - Énfasis 52"/>
    <w:basedOn w:val="Tablanormal"/>
    <w:uiPriority w:val="51"/>
    <w:rsid w:val="00732D38"/>
    <w:rPr>
      <w:color w:val="2F5496" w:themeColor="accent5" w:themeShade="BF"/>
      <w:sz w:val="22"/>
      <w:szCs w:val="22"/>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textogen">
    <w:name w:val="textogen"/>
    <w:basedOn w:val="Fuentedeprrafopredeter"/>
    <w:rsid w:val="00732D38"/>
  </w:style>
  <w:style w:type="paragraph" w:customStyle="1" w:styleId="Numeral">
    <w:name w:val="Numeral"/>
    <w:basedOn w:val="Prrafodelista"/>
    <w:link w:val="NumeralCar"/>
    <w:qFormat/>
    <w:rsid w:val="00732D38"/>
    <w:pPr>
      <w:numPr>
        <w:numId w:val="12"/>
      </w:numPr>
      <w:suppressAutoHyphens w:val="0"/>
      <w:spacing w:before="0" w:after="0"/>
    </w:pPr>
    <w:rPr>
      <w:rFonts w:ascii="Arial Narrow" w:eastAsiaTheme="majorEastAsia" w:hAnsi="Arial Narrow" w:cs="Arial"/>
      <w:color w:val="2E74B5" w:themeColor="accent1" w:themeShade="BF"/>
      <w:szCs w:val="28"/>
      <w:lang w:eastAsia="en-US"/>
    </w:rPr>
  </w:style>
  <w:style w:type="numbering" w:customStyle="1" w:styleId="Estilo1">
    <w:name w:val="Estilo1"/>
    <w:uiPriority w:val="99"/>
    <w:rsid w:val="00732D38"/>
    <w:pPr>
      <w:numPr>
        <w:numId w:val="11"/>
      </w:numPr>
    </w:pPr>
  </w:style>
  <w:style w:type="character" w:customStyle="1" w:styleId="NumeralCar">
    <w:name w:val="Numeral Car"/>
    <w:basedOn w:val="Ttulo3Car"/>
    <w:link w:val="Numeral"/>
    <w:rsid w:val="00732D38"/>
    <w:rPr>
      <w:rFonts w:ascii="Arial Narrow" w:eastAsiaTheme="majorEastAsia" w:hAnsi="Arial Narrow" w:cs="Arial"/>
      <w:b/>
      <w:color w:val="2E74B5" w:themeColor="accent1" w:themeShade="BF"/>
      <w:sz w:val="28"/>
      <w:szCs w:val="28"/>
      <w:lang w:val="es-CO"/>
    </w:rPr>
  </w:style>
  <w:style w:type="paragraph" w:customStyle="1" w:styleId="Grfica">
    <w:name w:val="Gráfica"/>
    <w:basedOn w:val="Prrafodelista"/>
    <w:link w:val="GrficaCar"/>
    <w:qFormat/>
    <w:rsid w:val="00732D38"/>
    <w:pPr>
      <w:numPr>
        <w:numId w:val="13"/>
      </w:numPr>
      <w:suppressAutoHyphens w:val="0"/>
      <w:spacing w:before="0" w:after="0"/>
    </w:pPr>
    <w:rPr>
      <w:rFonts w:ascii="Arial Narrow" w:hAnsi="Arial Narrow"/>
      <w:color w:val="1F3864" w:themeColor="accent5" w:themeShade="80"/>
      <w:szCs w:val="22"/>
    </w:rPr>
  </w:style>
  <w:style w:type="character" w:customStyle="1" w:styleId="GrficaCar">
    <w:name w:val="Gráfica Car"/>
    <w:basedOn w:val="PrrafodelistaCar"/>
    <w:link w:val="Grfica"/>
    <w:rsid w:val="00732D38"/>
    <w:rPr>
      <w:rFonts w:ascii="Arial Narrow" w:eastAsia="Times New Roman" w:hAnsi="Arial Narrow" w:cs="Times New Roman"/>
      <w:b/>
      <w:color w:val="1F3864" w:themeColor="accent5" w:themeShade="80"/>
      <w:sz w:val="28"/>
      <w:szCs w:val="22"/>
      <w:lang w:val="es-CO" w:eastAsia="es-ES"/>
    </w:rPr>
  </w:style>
  <w:style w:type="paragraph" w:styleId="Textonotaalfinal">
    <w:name w:val="endnote text"/>
    <w:basedOn w:val="Normal"/>
    <w:link w:val="TextonotaalfinalCar"/>
    <w:uiPriority w:val="99"/>
    <w:semiHidden/>
    <w:unhideWhenUsed/>
    <w:rsid w:val="00732D38"/>
    <w:pPr>
      <w:jc w:val="both"/>
    </w:pPr>
    <w:rPr>
      <w:rFonts w:ascii="Arial Narrow" w:eastAsia="Calibri" w:hAnsi="Arial Narrow" w:cs="Times New Roman"/>
      <w:sz w:val="20"/>
      <w:szCs w:val="20"/>
      <w:lang w:val="es-CO"/>
    </w:rPr>
  </w:style>
  <w:style w:type="character" w:customStyle="1" w:styleId="TextonotaalfinalCar">
    <w:name w:val="Texto nota al final Car"/>
    <w:basedOn w:val="Fuentedeprrafopredeter"/>
    <w:link w:val="Textonotaalfinal"/>
    <w:uiPriority w:val="99"/>
    <w:semiHidden/>
    <w:rsid w:val="00732D38"/>
    <w:rPr>
      <w:rFonts w:ascii="Arial Narrow" w:eastAsia="Calibri" w:hAnsi="Arial Narrow" w:cs="Times New Roman"/>
      <w:sz w:val="20"/>
      <w:szCs w:val="20"/>
      <w:lang w:val="es-CO"/>
    </w:rPr>
  </w:style>
  <w:style w:type="character" w:styleId="Refdenotaalfinal">
    <w:name w:val="endnote reference"/>
    <w:basedOn w:val="Fuentedeprrafopredeter"/>
    <w:uiPriority w:val="99"/>
    <w:semiHidden/>
    <w:unhideWhenUsed/>
    <w:rsid w:val="00732D38"/>
    <w:rPr>
      <w:vertAlign w:val="superscript"/>
    </w:rPr>
  </w:style>
  <w:style w:type="table" w:customStyle="1" w:styleId="Tablanormal21">
    <w:name w:val="Tabla normal 21"/>
    <w:basedOn w:val="Tablanormal"/>
    <w:uiPriority w:val="42"/>
    <w:rsid w:val="00732D38"/>
    <w:rPr>
      <w:sz w:val="22"/>
      <w:szCs w:val="22"/>
      <w:lang w:val="es-C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xl65">
    <w:name w:val="xl65"/>
    <w:basedOn w:val="Normal"/>
    <w:rsid w:val="00732D3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eastAsia="Times New Roman" w:hAnsi="Arial Narrow" w:cs="Times New Roman"/>
      <w:b/>
      <w:bCs/>
      <w:sz w:val="20"/>
      <w:szCs w:val="20"/>
      <w:lang w:val="es-CO" w:eastAsia="es-CO"/>
    </w:rPr>
  </w:style>
  <w:style w:type="paragraph" w:customStyle="1" w:styleId="xl66">
    <w:name w:val="xl66"/>
    <w:basedOn w:val="Normal"/>
    <w:rsid w:val="00732D38"/>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rFonts w:ascii="Arial Narrow" w:eastAsia="Times New Roman" w:hAnsi="Arial Narrow" w:cs="Times New Roman"/>
      <w:sz w:val="20"/>
      <w:szCs w:val="20"/>
      <w:lang w:val="es-CO" w:eastAsia="es-CO"/>
    </w:rPr>
  </w:style>
  <w:style w:type="paragraph" w:customStyle="1" w:styleId="xl67">
    <w:name w:val="xl67"/>
    <w:basedOn w:val="Normal"/>
    <w:rsid w:val="00732D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20"/>
      <w:szCs w:val="20"/>
      <w:lang w:val="es-CO" w:eastAsia="es-CO"/>
    </w:rPr>
  </w:style>
  <w:style w:type="paragraph" w:customStyle="1" w:styleId="xl68">
    <w:name w:val="xl68"/>
    <w:basedOn w:val="Normal"/>
    <w:rsid w:val="00732D38"/>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jc w:val="center"/>
      <w:textAlignment w:val="center"/>
    </w:pPr>
    <w:rPr>
      <w:rFonts w:ascii="Arial Narrow" w:eastAsia="Times New Roman" w:hAnsi="Arial Narrow" w:cs="Times New Roman"/>
      <w:b/>
      <w:bCs/>
      <w:sz w:val="20"/>
      <w:szCs w:val="20"/>
      <w:lang w:val="es-CO" w:eastAsia="es-CO"/>
    </w:rPr>
  </w:style>
  <w:style w:type="paragraph" w:customStyle="1" w:styleId="xl69">
    <w:name w:val="xl69"/>
    <w:basedOn w:val="Normal"/>
    <w:rsid w:val="00732D38"/>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rFonts w:ascii="Arial Narrow" w:eastAsia="Times New Roman" w:hAnsi="Arial Narrow" w:cs="Times New Roman"/>
      <w:b/>
      <w:bCs/>
      <w:sz w:val="20"/>
      <w:szCs w:val="20"/>
      <w:lang w:val="es-CO" w:eastAsia="es-CO"/>
    </w:rPr>
  </w:style>
  <w:style w:type="table" w:customStyle="1" w:styleId="Tabladecuadrcula1clara1">
    <w:name w:val="Tabla de cuadrícula 1 clara1"/>
    <w:basedOn w:val="Tablanormal"/>
    <w:uiPriority w:val="46"/>
    <w:rsid w:val="00732D3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merodelnea">
    <w:name w:val="line number"/>
    <w:basedOn w:val="Fuentedeprrafopredeter"/>
    <w:uiPriority w:val="99"/>
    <w:semiHidden/>
    <w:unhideWhenUsed/>
    <w:rsid w:val="009D1B94"/>
  </w:style>
  <w:style w:type="character" w:customStyle="1" w:styleId="spelle">
    <w:name w:val="spelle"/>
    <w:basedOn w:val="Fuentedeprrafopredeter"/>
    <w:rsid w:val="00450B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492514">
      <w:bodyDiv w:val="1"/>
      <w:marLeft w:val="0"/>
      <w:marRight w:val="0"/>
      <w:marTop w:val="0"/>
      <w:marBottom w:val="0"/>
      <w:divBdr>
        <w:top w:val="none" w:sz="0" w:space="0" w:color="auto"/>
        <w:left w:val="none" w:sz="0" w:space="0" w:color="auto"/>
        <w:bottom w:val="none" w:sz="0" w:space="0" w:color="auto"/>
        <w:right w:val="none" w:sz="0" w:space="0" w:color="auto"/>
      </w:divBdr>
      <w:divsChild>
        <w:div w:id="1489009858">
          <w:marLeft w:val="60"/>
          <w:marRight w:val="0"/>
          <w:marTop w:val="0"/>
          <w:marBottom w:val="0"/>
          <w:divBdr>
            <w:top w:val="none" w:sz="0" w:space="0" w:color="auto"/>
            <w:left w:val="none" w:sz="0" w:space="0" w:color="auto"/>
            <w:bottom w:val="none" w:sz="0" w:space="0" w:color="auto"/>
            <w:right w:val="none" w:sz="0" w:space="0" w:color="auto"/>
          </w:divBdr>
          <w:divsChild>
            <w:div w:id="1297104152">
              <w:marLeft w:val="0"/>
              <w:marRight w:val="0"/>
              <w:marTop w:val="0"/>
              <w:marBottom w:val="0"/>
              <w:divBdr>
                <w:top w:val="none" w:sz="0" w:space="0" w:color="auto"/>
                <w:left w:val="none" w:sz="0" w:space="0" w:color="auto"/>
                <w:bottom w:val="none" w:sz="0" w:space="0" w:color="auto"/>
                <w:right w:val="none" w:sz="0" w:space="0" w:color="auto"/>
              </w:divBdr>
              <w:divsChild>
                <w:div w:id="575554860">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42" Type="http://schemas.openxmlformats.org/officeDocument/2006/relationships/image" Target="media/image28.png"/><Relationship Id="rId47" Type="http://schemas.openxmlformats.org/officeDocument/2006/relationships/image" Target="media/image33.emf"/><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header" Target="header2.xml"/><Relationship Id="rId89" Type="http://schemas.openxmlformats.org/officeDocument/2006/relationships/customXml" Target="../customXml/item4.xml"/><Relationship Id="rId16" Type="http://schemas.openxmlformats.org/officeDocument/2006/relationships/diagramColors" Target="diagrams/colors1.xml"/><Relationship Id="rId11"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image" Target="media/image23.emf"/><Relationship Id="rId53" Type="http://schemas.openxmlformats.org/officeDocument/2006/relationships/image" Target="media/image39.emf"/><Relationship Id="rId58" Type="http://schemas.openxmlformats.org/officeDocument/2006/relationships/image" Target="media/image44.emf"/><Relationship Id="rId74" Type="http://schemas.openxmlformats.org/officeDocument/2006/relationships/image" Target="media/image60.emf"/><Relationship Id="rId79" Type="http://schemas.openxmlformats.org/officeDocument/2006/relationships/hyperlink" Target="https://www.eia.gov/outlooks/steo/outlook.php" TargetMode="External"/><Relationship Id="rId5"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image" Target="media/image55.emf"/><Relationship Id="rId77" Type="http://schemas.openxmlformats.org/officeDocument/2006/relationships/hyperlink" Target="https://www.iea.org/publications/freepublications/publication/Market_Report_Series_Oil2017.pdf" TargetMode="External"/><Relationship Id="rId8" Type="http://schemas.openxmlformats.org/officeDocument/2006/relationships/image" Target="media/image1.png"/><Relationship Id="rId51" Type="http://schemas.openxmlformats.org/officeDocument/2006/relationships/image" Target="media/image37.emf"/><Relationship Id="rId72" Type="http://schemas.openxmlformats.org/officeDocument/2006/relationships/image" Target="media/image58.emf"/><Relationship Id="rId80" Type="http://schemas.openxmlformats.org/officeDocument/2006/relationships/hyperlink" Target="https://asb.opec.org/index.php/data-download"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6.emf"/><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image" Target="media/image61.emf"/><Relationship Id="rId83" Type="http://schemas.openxmlformats.org/officeDocument/2006/relationships/hyperlink" Target="https://www.ecopetrol.com.co/wps/portal/es/ecopetrol-web/productos-y-servicios/precios/precios-vigentes/combustibles-y-zonas-de-frontera" TargetMode="External"/><Relationship Id="rId88"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image" Target="media/image59.emf"/><Relationship Id="rId78" Type="http://schemas.openxmlformats.org/officeDocument/2006/relationships/hyperlink" Target="https://www.eia.gov/petroleum/data.php" TargetMode="External"/><Relationship Id="rId81" Type="http://schemas.openxmlformats.org/officeDocument/2006/relationships/hyperlink" Target="https://www.iea.org/publications/freepublications/publication/Market_Report_Series_Oil2017.pdf"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Data" Target="diagrams/data1.xml"/><Relationship Id="rId18" Type="http://schemas.openxmlformats.org/officeDocument/2006/relationships/image" Target="media/image4.emf"/><Relationship Id="rId39" Type="http://schemas.openxmlformats.org/officeDocument/2006/relationships/image" Target="media/image25.emf"/><Relationship Id="rId34" Type="http://schemas.openxmlformats.org/officeDocument/2006/relationships/image" Target="media/image20.emf"/><Relationship Id="rId50" Type="http://schemas.openxmlformats.org/officeDocument/2006/relationships/image" Target="media/image36.emf"/><Relationship Id="rId55" Type="http://schemas.openxmlformats.org/officeDocument/2006/relationships/image" Target="media/image41.png"/><Relationship Id="rId76" Type="http://schemas.openxmlformats.org/officeDocument/2006/relationships/hyperlink" Target="https://www.iea.org/media/omrreports/fullissues/2011-03-15.pdf" TargetMode="External"/><Relationship Id="rId7" Type="http://schemas.openxmlformats.org/officeDocument/2006/relationships/endnotes" Target="endnotes.xml"/><Relationship Id="rId71" Type="http://schemas.openxmlformats.org/officeDocument/2006/relationships/image" Target="media/image57.emf"/><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0.emf"/><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52.emf"/><Relationship Id="rId87" Type="http://schemas.openxmlformats.org/officeDocument/2006/relationships/customXml" Target="../customXml/item2.xml"/><Relationship Id="rId61" Type="http://schemas.openxmlformats.org/officeDocument/2006/relationships/image" Target="media/image47.emf"/><Relationship Id="rId82" Type="http://schemas.openxmlformats.org/officeDocument/2006/relationships/hyperlink" Target="https://giignl.org/sites/default/files/PUBLIC_AREA/Publications/rapportannuel-2018pdf.pdf" TargetMode="External"/><Relationship Id="rId19"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189E99-A1DF-4DE7-9865-25E5FE8C612B}" type="doc">
      <dgm:prSet loTypeId="urn:microsoft.com/office/officeart/2005/8/layout/radial6" loCatId="relationship" qsTypeId="urn:microsoft.com/office/officeart/2005/8/quickstyle/3d1" qsCatId="3D" csTypeId="urn:microsoft.com/office/officeart/2005/8/colors/accent0_3" csCatId="mainScheme" phldr="1"/>
      <dgm:spPr/>
      <dgm:t>
        <a:bodyPr/>
        <a:lstStyle/>
        <a:p>
          <a:endParaRPr lang="es-CO"/>
        </a:p>
      </dgm:t>
    </dgm:pt>
    <dgm:pt modelId="{EC896C4E-B5F4-4735-ADAC-C9F4361A5A3A}">
      <dgm:prSet phldrT="[Texto]" custT="1"/>
      <dgm:spPr>
        <a:solidFill>
          <a:schemeClr val="accent1">
            <a:lumMod val="50000"/>
          </a:schemeClr>
        </a:solidFill>
      </dgm:spPr>
      <dgm:t>
        <a:bodyPr/>
        <a:lstStyle/>
        <a:p>
          <a:pPr algn="ctr"/>
          <a:r>
            <a:rPr lang="es-CO" sz="2000">
              <a:latin typeface="Arial" panose="020B0604020202020204" pitchFamily="34" charset="0"/>
              <a:cs typeface="Arial" panose="020B0604020202020204" pitchFamily="34" charset="0"/>
            </a:rPr>
            <a:t>Precio Crudo</a:t>
          </a:r>
        </a:p>
      </dgm:t>
    </dgm:pt>
    <dgm:pt modelId="{1954DE44-CEC5-455D-B714-E2460772223C}" type="parTrans" cxnId="{6FD6A804-330B-48D2-97C8-174FF29DB4AD}">
      <dgm:prSet/>
      <dgm:spPr/>
      <dgm:t>
        <a:bodyPr/>
        <a:lstStyle/>
        <a:p>
          <a:pPr algn="ctr"/>
          <a:endParaRPr lang="es-CO" sz="1800">
            <a:latin typeface="Arial" panose="020B0604020202020204" pitchFamily="34" charset="0"/>
            <a:cs typeface="Arial" panose="020B0604020202020204" pitchFamily="34" charset="0"/>
          </a:endParaRPr>
        </a:p>
      </dgm:t>
    </dgm:pt>
    <dgm:pt modelId="{8703A0C1-9F11-4604-A1C4-66DA6EE8426A}" type="sibTrans" cxnId="{6FD6A804-330B-48D2-97C8-174FF29DB4AD}">
      <dgm:prSet/>
      <dgm:spPr/>
      <dgm:t>
        <a:bodyPr/>
        <a:lstStyle/>
        <a:p>
          <a:pPr algn="ctr"/>
          <a:endParaRPr lang="es-CO" sz="1800">
            <a:latin typeface="Arial" panose="020B0604020202020204" pitchFamily="34" charset="0"/>
            <a:cs typeface="Arial" panose="020B0604020202020204" pitchFamily="34" charset="0"/>
          </a:endParaRPr>
        </a:p>
      </dgm:t>
    </dgm:pt>
    <dgm:pt modelId="{1456A74C-567C-447E-9F1F-A78B1ED2C36C}">
      <dgm:prSet phldrT="[Texto]" custT="1"/>
      <dgm:spPr>
        <a:solidFill>
          <a:schemeClr val="accent1">
            <a:lumMod val="50000"/>
          </a:schemeClr>
        </a:solidFill>
      </dgm:spPr>
      <dgm:t>
        <a:bodyPr/>
        <a:lstStyle/>
        <a:p>
          <a:pPr algn="ctr"/>
          <a:r>
            <a:rPr lang="es-CO" sz="900">
              <a:latin typeface="Arial" panose="020B0604020202020204" pitchFamily="34" charset="0"/>
              <a:cs typeface="Arial" panose="020B0604020202020204" pitchFamily="34" charset="0"/>
            </a:rPr>
            <a:t>Oferta y Demanda</a:t>
          </a:r>
        </a:p>
      </dgm:t>
    </dgm:pt>
    <dgm:pt modelId="{A0ACB4E5-269A-45D3-80C0-F07A4CFD4531}" type="parTrans" cxnId="{9C444BD7-0F4A-4269-8A48-1E521AFCC36F}">
      <dgm:prSet/>
      <dgm:spPr/>
      <dgm:t>
        <a:bodyPr/>
        <a:lstStyle/>
        <a:p>
          <a:pPr algn="ctr"/>
          <a:endParaRPr lang="es-CO" sz="1800">
            <a:latin typeface="Arial" panose="020B0604020202020204" pitchFamily="34" charset="0"/>
            <a:cs typeface="Arial" panose="020B0604020202020204" pitchFamily="34" charset="0"/>
          </a:endParaRPr>
        </a:p>
      </dgm:t>
    </dgm:pt>
    <dgm:pt modelId="{8158316B-491A-4449-8869-807E68315E61}" type="sibTrans" cxnId="{9C444BD7-0F4A-4269-8A48-1E521AFCC36F}">
      <dgm:prSet/>
      <dgm:spPr/>
      <dgm:t>
        <a:bodyPr/>
        <a:lstStyle/>
        <a:p>
          <a:pPr algn="ctr"/>
          <a:endParaRPr lang="es-CO" sz="1800">
            <a:latin typeface="Arial" panose="020B0604020202020204" pitchFamily="34" charset="0"/>
            <a:cs typeface="Arial" panose="020B0604020202020204" pitchFamily="34" charset="0"/>
          </a:endParaRPr>
        </a:p>
      </dgm:t>
    </dgm:pt>
    <dgm:pt modelId="{3A0BB5E1-086D-4F0D-912B-8769647E83CB}">
      <dgm:prSet phldrT="[Texto]" custT="1"/>
      <dgm:spPr>
        <a:solidFill>
          <a:schemeClr val="accent1">
            <a:lumMod val="50000"/>
          </a:schemeClr>
        </a:solidFill>
      </dgm:spPr>
      <dgm:t>
        <a:bodyPr/>
        <a:lstStyle/>
        <a:p>
          <a:pPr algn="ctr"/>
          <a:r>
            <a:rPr lang="es-CO" sz="900">
              <a:latin typeface="Arial" panose="020B0604020202020204" pitchFamily="34" charset="0"/>
              <a:cs typeface="Arial" panose="020B0604020202020204" pitchFamily="34" charset="0"/>
            </a:rPr>
            <a:t>Economía Paises</a:t>
          </a:r>
        </a:p>
      </dgm:t>
    </dgm:pt>
    <dgm:pt modelId="{7A8F480B-84EE-4139-B2F3-91D8E1335FBF}" type="parTrans" cxnId="{03DF4A0D-433C-421D-9E00-FA4E3B3B3834}">
      <dgm:prSet/>
      <dgm:spPr/>
      <dgm:t>
        <a:bodyPr/>
        <a:lstStyle/>
        <a:p>
          <a:pPr algn="ctr"/>
          <a:endParaRPr lang="es-CO" sz="1800">
            <a:latin typeface="Arial" panose="020B0604020202020204" pitchFamily="34" charset="0"/>
            <a:cs typeface="Arial" panose="020B0604020202020204" pitchFamily="34" charset="0"/>
          </a:endParaRPr>
        </a:p>
      </dgm:t>
    </dgm:pt>
    <dgm:pt modelId="{AE025E5D-9258-4569-BC8E-DE5BE0C1080D}" type="sibTrans" cxnId="{03DF4A0D-433C-421D-9E00-FA4E3B3B3834}">
      <dgm:prSet/>
      <dgm:spPr/>
      <dgm:t>
        <a:bodyPr/>
        <a:lstStyle/>
        <a:p>
          <a:pPr algn="ctr"/>
          <a:endParaRPr lang="es-CO" sz="1800">
            <a:latin typeface="Arial" panose="020B0604020202020204" pitchFamily="34" charset="0"/>
            <a:cs typeface="Arial" panose="020B0604020202020204" pitchFamily="34" charset="0"/>
          </a:endParaRPr>
        </a:p>
      </dgm:t>
    </dgm:pt>
    <dgm:pt modelId="{184D995C-B860-4403-9788-1FFA6E5074B9}">
      <dgm:prSet phldrT="[Texto]" custT="1"/>
      <dgm:spPr>
        <a:solidFill>
          <a:schemeClr val="accent1">
            <a:lumMod val="50000"/>
          </a:schemeClr>
        </a:solidFill>
      </dgm:spPr>
      <dgm:t>
        <a:bodyPr/>
        <a:lstStyle/>
        <a:p>
          <a:pPr algn="ctr"/>
          <a:r>
            <a:rPr lang="es-CO" sz="900">
              <a:latin typeface="Arial" panose="020B0604020202020204" pitchFamily="34" charset="0"/>
              <a:cs typeface="Arial" panose="020B0604020202020204" pitchFamily="34" charset="0"/>
            </a:rPr>
            <a:t>Asuntos Geopoliticos</a:t>
          </a:r>
        </a:p>
      </dgm:t>
    </dgm:pt>
    <dgm:pt modelId="{DCC94DF8-287A-45A7-B68A-0BAB17C0C3C7}" type="parTrans" cxnId="{DC8C2A68-F219-410D-8777-23F12BF84CD8}">
      <dgm:prSet/>
      <dgm:spPr/>
      <dgm:t>
        <a:bodyPr/>
        <a:lstStyle/>
        <a:p>
          <a:pPr algn="ctr"/>
          <a:endParaRPr lang="es-CO" sz="1800">
            <a:latin typeface="Arial" panose="020B0604020202020204" pitchFamily="34" charset="0"/>
            <a:cs typeface="Arial" panose="020B0604020202020204" pitchFamily="34" charset="0"/>
          </a:endParaRPr>
        </a:p>
      </dgm:t>
    </dgm:pt>
    <dgm:pt modelId="{D48535E6-5D6A-49BF-B3DC-55B507AF7647}" type="sibTrans" cxnId="{DC8C2A68-F219-410D-8777-23F12BF84CD8}">
      <dgm:prSet/>
      <dgm:spPr/>
      <dgm:t>
        <a:bodyPr/>
        <a:lstStyle/>
        <a:p>
          <a:pPr algn="ctr"/>
          <a:endParaRPr lang="es-CO" sz="1800">
            <a:latin typeface="Arial" panose="020B0604020202020204" pitchFamily="34" charset="0"/>
            <a:cs typeface="Arial" panose="020B0604020202020204" pitchFamily="34" charset="0"/>
          </a:endParaRPr>
        </a:p>
      </dgm:t>
    </dgm:pt>
    <dgm:pt modelId="{9FFCAAB1-B55C-4B11-A4F1-EC16275ADB69}">
      <dgm:prSet phldrT="[Texto]" custT="1"/>
      <dgm:spPr>
        <a:solidFill>
          <a:schemeClr val="accent1">
            <a:lumMod val="50000"/>
          </a:schemeClr>
        </a:solidFill>
      </dgm:spPr>
      <dgm:t>
        <a:bodyPr/>
        <a:lstStyle/>
        <a:p>
          <a:pPr algn="ctr"/>
          <a:r>
            <a:rPr lang="es-CO" sz="900">
              <a:latin typeface="Arial" panose="020B0604020202020204" pitchFamily="34" charset="0"/>
              <a:cs typeface="Arial" panose="020B0604020202020204" pitchFamily="34" charset="0"/>
            </a:rPr>
            <a:t>Cambio en la Matriz Energética Mundial</a:t>
          </a:r>
        </a:p>
      </dgm:t>
    </dgm:pt>
    <dgm:pt modelId="{E8D91791-CB8E-4ACA-B40E-53B9C20A9D92}" type="parTrans" cxnId="{F5C4B1E6-6940-4AD3-8B9F-613FC95670B5}">
      <dgm:prSet/>
      <dgm:spPr/>
      <dgm:t>
        <a:bodyPr/>
        <a:lstStyle/>
        <a:p>
          <a:pPr algn="ctr"/>
          <a:endParaRPr lang="es-CO" sz="1800">
            <a:latin typeface="Arial" panose="020B0604020202020204" pitchFamily="34" charset="0"/>
            <a:cs typeface="Arial" panose="020B0604020202020204" pitchFamily="34" charset="0"/>
          </a:endParaRPr>
        </a:p>
      </dgm:t>
    </dgm:pt>
    <dgm:pt modelId="{F890BBFE-FBAD-408A-B604-85B963E85E72}" type="sibTrans" cxnId="{F5C4B1E6-6940-4AD3-8B9F-613FC95670B5}">
      <dgm:prSet/>
      <dgm:spPr/>
      <dgm:t>
        <a:bodyPr/>
        <a:lstStyle/>
        <a:p>
          <a:pPr algn="ctr"/>
          <a:endParaRPr lang="es-CO" sz="1800">
            <a:latin typeface="Arial" panose="020B0604020202020204" pitchFamily="34" charset="0"/>
            <a:cs typeface="Arial" panose="020B0604020202020204" pitchFamily="34" charset="0"/>
          </a:endParaRPr>
        </a:p>
      </dgm:t>
    </dgm:pt>
    <dgm:pt modelId="{1A19D615-F016-4D17-BA88-4C8969ED31FA}">
      <dgm:prSet phldrT="[Texto]" custT="1"/>
      <dgm:spPr>
        <a:solidFill>
          <a:schemeClr val="accent1">
            <a:lumMod val="50000"/>
          </a:schemeClr>
        </a:solidFill>
      </dgm:spPr>
      <dgm:t>
        <a:bodyPr/>
        <a:lstStyle/>
        <a:p>
          <a:pPr algn="ctr"/>
          <a:r>
            <a:rPr lang="es-CO" sz="900">
              <a:latin typeface="Arial" panose="020B0604020202020204" pitchFamily="34" charset="0"/>
              <a:cs typeface="Arial" panose="020B0604020202020204" pitchFamily="34" charset="0"/>
            </a:rPr>
            <a:t>Eventos Programados y No Programados</a:t>
          </a:r>
        </a:p>
      </dgm:t>
    </dgm:pt>
    <dgm:pt modelId="{375F6E46-FEE6-4B61-9CFA-7A2F296DDB71}" type="parTrans" cxnId="{EB636CEC-E112-4C26-A13D-E7C2380A7723}">
      <dgm:prSet/>
      <dgm:spPr/>
      <dgm:t>
        <a:bodyPr/>
        <a:lstStyle/>
        <a:p>
          <a:pPr algn="ctr"/>
          <a:endParaRPr lang="es-CO" sz="1800">
            <a:latin typeface="Arial" panose="020B0604020202020204" pitchFamily="34" charset="0"/>
            <a:cs typeface="Arial" panose="020B0604020202020204" pitchFamily="34" charset="0"/>
          </a:endParaRPr>
        </a:p>
      </dgm:t>
    </dgm:pt>
    <dgm:pt modelId="{DD77B8CB-DFF8-4A28-95CA-116A7A91CD17}" type="sibTrans" cxnId="{EB636CEC-E112-4C26-A13D-E7C2380A7723}">
      <dgm:prSet/>
      <dgm:spPr/>
      <dgm:t>
        <a:bodyPr/>
        <a:lstStyle/>
        <a:p>
          <a:pPr algn="ctr"/>
          <a:endParaRPr lang="es-CO" sz="1800">
            <a:latin typeface="Arial" panose="020B0604020202020204" pitchFamily="34" charset="0"/>
            <a:cs typeface="Arial" panose="020B0604020202020204" pitchFamily="34" charset="0"/>
          </a:endParaRPr>
        </a:p>
      </dgm:t>
    </dgm:pt>
    <dgm:pt modelId="{D6F8395B-FB3B-4F7F-94D1-FB09C464A380}" type="pres">
      <dgm:prSet presAssocID="{91189E99-A1DF-4DE7-9865-25E5FE8C612B}" presName="Name0" presStyleCnt="0">
        <dgm:presLayoutVars>
          <dgm:chMax val="1"/>
          <dgm:dir/>
          <dgm:animLvl val="ctr"/>
          <dgm:resizeHandles val="exact"/>
        </dgm:presLayoutVars>
      </dgm:prSet>
      <dgm:spPr/>
      <dgm:t>
        <a:bodyPr/>
        <a:lstStyle/>
        <a:p>
          <a:endParaRPr lang="es-CO"/>
        </a:p>
      </dgm:t>
    </dgm:pt>
    <dgm:pt modelId="{FE2FFA3D-3848-4303-A0C3-DCD311BFCA80}" type="pres">
      <dgm:prSet presAssocID="{EC896C4E-B5F4-4735-ADAC-C9F4361A5A3A}" presName="centerShape" presStyleLbl="node0" presStyleIdx="0" presStyleCnt="1"/>
      <dgm:spPr/>
      <dgm:t>
        <a:bodyPr/>
        <a:lstStyle/>
        <a:p>
          <a:endParaRPr lang="es-CO"/>
        </a:p>
      </dgm:t>
    </dgm:pt>
    <dgm:pt modelId="{1FD9FFF3-63E4-492C-AD0D-93AE8DE6AC03}" type="pres">
      <dgm:prSet presAssocID="{1456A74C-567C-447E-9F1F-A78B1ED2C36C}" presName="node" presStyleLbl="node1" presStyleIdx="0" presStyleCnt="5" custScaleX="110670" custScaleY="110670">
        <dgm:presLayoutVars>
          <dgm:bulletEnabled val="1"/>
        </dgm:presLayoutVars>
      </dgm:prSet>
      <dgm:spPr/>
      <dgm:t>
        <a:bodyPr/>
        <a:lstStyle/>
        <a:p>
          <a:endParaRPr lang="es-CO"/>
        </a:p>
      </dgm:t>
    </dgm:pt>
    <dgm:pt modelId="{ABAEF6EA-9629-44C1-88D0-CD91C3581714}" type="pres">
      <dgm:prSet presAssocID="{1456A74C-567C-447E-9F1F-A78B1ED2C36C}" presName="dummy" presStyleCnt="0"/>
      <dgm:spPr/>
      <dgm:t>
        <a:bodyPr/>
        <a:lstStyle/>
        <a:p>
          <a:endParaRPr lang="es-ES"/>
        </a:p>
      </dgm:t>
    </dgm:pt>
    <dgm:pt modelId="{A6AE8AC3-5B38-4EBD-8C9D-48F0EC9E9B1F}" type="pres">
      <dgm:prSet presAssocID="{8158316B-491A-4449-8869-807E68315E61}" presName="sibTrans" presStyleLbl="sibTrans2D1" presStyleIdx="0" presStyleCnt="5"/>
      <dgm:spPr/>
      <dgm:t>
        <a:bodyPr/>
        <a:lstStyle/>
        <a:p>
          <a:endParaRPr lang="es-CO"/>
        </a:p>
      </dgm:t>
    </dgm:pt>
    <dgm:pt modelId="{B72D71C0-22B3-491A-B784-EBA6F7DF3EE8}" type="pres">
      <dgm:prSet presAssocID="{3A0BB5E1-086D-4F0D-912B-8769647E83CB}" presName="node" presStyleLbl="node1" presStyleIdx="1" presStyleCnt="5" custScaleX="110670" custScaleY="110670">
        <dgm:presLayoutVars>
          <dgm:bulletEnabled val="1"/>
        </dgm:presLayoutVars>
      </dgm:prSet>
      <dgm:spPr/>
      <dgm:t>
        <a:bodyPr/>
        <a:lstStyle/>
        <a:p>
          <a:endParaRPr lang="es-CO"/>
        </a:p>
      </dgm:t>
    </dgm:pt>
    <dgm:pt modelId="{FED75A0C-C028-4C6D-BB37-4B8A664D4937}" type="pres">
      <dgm:prSet presAssocID="{3A0BB5E1-086D-4F0D-912B-8769647E83CB}" presName="dummy" presStyleCnt="0"/>
      <dgm:spPr/>
      <dgm:t>
        <a:bodyPr/>
        <a:lstStyle/>
        <a:p>
          <a:endParaRPr lang="es-ES"/>
        </a:p>
      </dgm:t>
    </dgm:pt>
    <dgm:pt modelId="{CF91F89A-04A7-4710-AA5C-DA6DCF0EF519}" type="pres">
      <dgm:prSet presAssocID="{AE025E5D-9258-4569-BC8E-DE5BE0C1080D}" presName="sibTrans" presStyleLbl="sibTrans2D1" presStyleIdx="1" presStyleCnt="5"/>
      <dgm:spPr/>
      <dgm:t>
        <a:bodyPr/>
        <a:lstStyle/>
        <a:p>
          <a:endParaRPr lang="es-CO"/>
        </a:p>
      </dgm:t>
    </dgm:pt>
    <dgm:pt modelId="{668E263F-9CEE-46AF-A30B-074ABAAE22E5}" type="pres">
      <dgm:prSet presAssocID="{1A19D615-F016-4D17-BA88-4C8969ED31FA}" presName="node" presStyleLbl="node1" presStyleIdx="2" presStyleCnt="5" custScaleX="110670" custScaleY="110670">
        <dgm:presLayoutVars>
          <dgm:bulletEnabled val="1"/>
        </dgm:presLayoutVars>
      </dgm:prSet>
      <dgm:spPr/>
      <dgm:t>
        <a:bodyPr/>
        <a:lstStyle/>
        <a:p>
          <a:endParaRPr lang="es-CO"/>
        </a:p>
      </dgm:t>
    </dgm:pt>
    <dgm:pt modelId="{95F1739D-7E66-4F7F-81E1-8F23DF3E8BC4}" type="pres">
      <dgm:prSet presAssocID="{1A19D615-F016-4D17-BA88-4C8969ED31FA}" presName="dummy" presStyleCnt="0"/>
      <dgm:spPr/>
      <dgm:t>
        <a:bodyPr/>
        <a:lstStyle/>
        <a:p>
          <a:endParaRPr lang="es-ES"/>
        </a:p>
      </dgm:t>
    </dgm:pt>
    <dgm:pt modelId="{43E2C292-57EA-422D-AC88-26F3876F57BA}" type="pres">
      <dgm:prSet presAssocID="{DD77B8CB-DFF8-4A28-95CA-116A7A91CD17}" presName="sibTrans" presStyleLbl="sibTrans2D1" presStyleIdx="2" presStyleCnt="5"/>
      <dgm:spPr/>
      <dgm:t>
        <a:bodyPr/>
        <a:lstStyle/>
        <a:p>
          <a:endParaRPr lang="es-CO"/>
        </a:p>
      </dgm:t>
    </dgm:pt>
    <dgm:pt modelId="{98FFC90D-C157-49C2-AA3A-1030787AC8CE}" type="pres">
      <dgm:prSet presAssocID="{184D995C-B860-4403-9788-1FFA6E5074B9}" presName="node" presStyleLbl="node1" presStyleIdx="3" presStyleCnt="5" custScaleX="110670" custScaleY="110670">
        <dgm:presLayoutVars>
          <dgm:bulletEnabled val="1"/>
        </dgm:presLayoutVars>
      </dgm:prSet>
      <dgm:spPr/>
      <dgm:t>
        <a:bodyPr/>
        <a:lstStyle/>
        <a:p>
          <a:endParaRPr lang="es-CO"/>
        </a:p>
      </dgm:t>
    </dgm:pt>
    <dgm:pt modelId="{58E10C6E-1513-496C-8919-12BE0759EC42}" type="pres">
      <dgm:prSet presAssocID="{184D995C-B860-4403-9788-1FFA6E5074B9}" presName="dummy" presStyleCnt="0"/>
      <dgm:spPr/>
      <dgm:t>
        <a:bodyPr/>
        <a:lstStyle/>
        <a:p>
          <a:endParaRPr lang="es-ES"/>
        </a:p>
      </dgm:t>
    </dgm:pt>
    <dgm:pt modelId="{D9096DBC-B604-46E5-A558-E221F7992B5B}" type="pres">
      <dgm:prSet presAssocID="{D48535E6-5D6A-49BF-B3DC-55B507AF7647}" presName="sibTrans" presStyleLbl="sibTrans2D1" presStyleIdx="3" presStyleCnt="5"/>
      <dgm:spPr/>
      <dgm:t>
        <a:bodyPr/>
        <a:lstStyle/>
        <a:p>
          <a:endParaRPr lang="es-CO"/>
        </a:p>
      </dgm:t>
    </dgm:pt>
    <dgm:pt modelId="{584DED3E-5ED1-41B5-A5D0-37F221902358}" type="pres">
      <dgm:prSet presAssocID="{9FFCAAB1-B55C-4B11-A4F1-EC16275ADB69}" presName="node" presStyleLbl="node1" presStyleIdx="4" presStyleCnt="5" custScaleX="110670" custScaleY="110670">
        <dgm:presLayoutVars>
          <dgm:bulletEnabled val="1"/>
        </dgm:presLayoutVars>
      </dgm:prSet>
      <dgm:spPr/>
      <dgm:t>
        <a:bodyPr/>
        <a:lstStyle/>
        <a:p>
          <a:endParaRPr lang="es-CO"/>
        </a:p>
      </dgm:t>
    </dgm:pt>
    <dgm:pt modelId="{DCCD9134-3076-444A-A52E-D29130D8B47D}" type="pres">
      <dgm:prSet presAssocID="{9FFCAAB1-B55C-4B11-A4F1-EC16275ADB69}" presName="dummy" presStyleCnt="0"/>
      <dgm:spPr/>
      <dgm:t>
        <a:bodyPr/>
        <a:lstStyle/>
        <a:p>
          <a:endParaRPr lang="es-ES"/>
        </a:p>
      </dgm:t>
    </dgm:pt>
    <dgm:pt modelId="{E6765BB7-FEC8-4509-ABCB-7819F771EBD5}" type="pres">
      <dgm:prSet presAssocID="{F890BBFE-FBAD-408A-B604-85B963E85E72}" presName="sibTrans" presStyleLbl="sibTrans2D1" presStyleIdx="4" presStyleCnt="5"/>
      <dgm:spPr/>
      <dgm:t>
        <a:bodyPr/>
        <a:lstStyle/>
        <a:p>
          <a:endParaRPr lang="es-CO"/>
        </a:p>
      </dgm:t>
    </dgm:pt>
  </dgm:ptLst>
  <dgm:cxnLst>
    <dgm:cxn modelId="{03DF4A0D-433C-421D-9E00-FA4E3B3B3834}" srcId="{EC896C4E-B5F4-4735-ADAC-C9F4361A5A3A}" destId="{3A0BB5E1-086D-4F0D-912B-8769647E83CB}" srcOrd="1" destOrd="0" parTransId="{7A8F480B-84EE-4139-B2F3-91D8E1335FBF}" sibTransId="{AE025E5D-9258-4569-BC8E-DE5BE0C1080D}"/>
    <dgm:cxn modelId="{0FABD957-C55E-40BC-B28D-E88ECF5574DE}" type="presOf" srcId="{F890BBFE-FBAD-408A-B604-85B963E85E72}" destId="{E6765BB7-FEC8-4509-ABCB-7819F771EBD5}" srcOrd="0" destOrd="0" presId="urn:microsoft.com/office/officeart/2005/8/layout/radial6"/>
    <dgm:cxn modelId="{0D17E24F-9268-44A9-AD3B-3BAA1AB7E6FA}" type="presOf" srcId="{AE025E5D-9258-4569-BC8E-DE5BE0C1080D}" destId="{CF91F89A-04A7-4710-AA5C-DA6DCF0EF519}" srcOrd="0" destOrd="0" presId="urn:microsoft.com/office/officeart/2005/8/layout/radial6"/>
    <dgm:cxn modelId="{5B320B80-1CD4-4EDF-A191-6043FC1E77B1}" type="presOf" srcId="{D48535E6-5D6A-49BF-B3DC-55B507AF7647}" destId="{D9096DBC-B604-46E5-A558-E221F7992B5B}" srcOrd="0" destOrd="0" presId="urn:microsoft.com/office/officeart/2005/8/layout/radial6"/>
    <dgm:cxn modelId="{8476F93D-2E51-4AFF-A3EA-FAC0810B6377}" type="presOf" srcId="{1A19D615-F016-4D17-BA88-4C8969ED31FA}" destId="{668E263F-9CEE-46AF-A30B-074ABAAE22E5}" srcOrd="0" destOrd="0" presId="urn:microsoft.com/office/officeart/2005/8/layout/radial6"/>
    <dgm:cxn modelId="{A5B8AA25-245B-4011-AB7A-8B97B8AE139E}" type="presOf" srcId="{DD77B8CB-DFF8-4A28-95CA-116A7A91CD17}" destId="{43E2C292-57EA-422D-AC88-26F3876F57BA}" srcOrd="0" destOrd="0" presId="urn:microsoft.com/office/officeart/2005/8/layout/radial6"/>
    <dgm:cxn modelId="{1015C5F0-49F4-4E07-B555-4546817BC55B}" type="presOf" srcId="{91189E99-A1DF-4DE7-9865-25E5FE8C612B}" destId="{D6F8395B-FB3B-4F7F-94D1-FB09C464A380}" srcOrd="0" destOrd="0" presId="urn:microsoft.com/office/officeart/2005/8/layout/radial6"/>
    <dgm:cxn modelId="{1B3482F3-387C-4102-9C85-F1FF355F3810}" type="presOf" srcId="{9FFCAAB1-B55C-4B11-A4F1-EC16275ADB69}" destId="{584DED3E-5ED1-41B5-A5D0-37F221902358}" srcOrd="0" destOrd="0" presId="urn:microsoft.com/office/officeart/2005/8/layout/radial6"/>
    <dgm:cxn modelId="{6FD6A804-330B-48D2-97C8-174FF29DB4AD}" srcId="{91189E99-A1DF-4DE7-9865-25E5FE8C612B}" destId="{EC896C4E-B5F4-4735-ADAC-C9F4361A5A3A}" srcOrd="0" destOrd="0" parTransId="{1954DE44-CEC5-455D-B714-E2460772223C}" sibTransId="{8703A0C1-9F11-4604-A1C4-66DA6EE8426A}"/>
    <dgm:cxn modelId="{DC8C2A68-F219-410D-8777-23F12BF84CD8}" srcId="{EC896C4E-B5F4-4735-ADAC-C9F4361A5A3A}" destId="{184D995C-B860-4403-9788-1FFA6E5074B9}" srcOrd="3" destOrd="0" parTransId="{DCC94DF8-287A-45A7-B68A-0BAB17C0C3C7}" sibTransId="{D48535E6-5D6A-49BF-B3DC-55B507AF7647}"/>
    <dgm:cxn modelId="{15755ACD-3E21-4F26-91E9-AB19BF4CCA9F}" type="presOf" srcId="{3A0BB5E1-086D-4F0D-912B-8769647E83CB}" destId="{B72D71C0-22B3-491A-B784-EBA6F7DF3EE8}" srcOrd="0" destOrd="0" presId="urn:microsoft.com/office/officeart/2005/8/layout/radial6"/>
    <dgm:cxn modelId="{F5C4B1E6-6940-4AD3-8B9F-613FC95670B5}" srcId="{EC896C4E-B5F4-4735-ADAC-C9F4361A5A3A}" destId="{9FFCAAB1-B55C-4B11-A4F1-EC16275ADB69}" srcOrd="4" destOrd="0" parTransId="{E8D91791-CB8E-4ACA-B40E-53B9C20A9D92}" sibTransId="{F890BBFE-FBAD-408A-B604-85B963E85E72}"/>
    <dgm:cxn modelId="{C224F528-57FF-408D-802D-0D3E6103D673}" type="presOf" srcId="{8158316B-491A-4449-8869-807E68315E61}" destId="{A6AE8AC3-5B38-4EBD-8C9D-48F0EC9E9B1F}" srcOrd="0" destOrd="0" presId="urn:microsoft.com/office/officeart/2005/8/layout/radial6"/>
    <dgm:cxn modelId="{9C444BD7-0F4A-4269-8A48-1E521AFCC36F}" srcId="{EC896C4E-B5F4-4735-ADAC-C9F4361A5A3A}" destId="{1456A74C-567C-447E-9F1F-A78B1ED2C36C}" srcOrd="0" destOrd="0" parTransId="{A0ACB4E5-269A-45D3-80C0-F07A4CFD4531}" sibTransId="{8158316B-491A-4449-8869-807E68315E61}"/>
    <dgm:cxn modelId="{97AB8E45-68A8-4041-9D6F-6360D7DB6037}" type="presOf" srcId="{184D995C-B860-4403-9788-1FFA6E5074B9}" destId="{98FFC90D-C157-49C2-AA3A-1030787AC8CE}" srcOrd="0" destOrd="0" presId="urn:microsoft.com/office/officeart/2005/8/layout/radial6"/>
    <dgm:cxn modelId="{C8E35552-A89C-4538-9406-4775FA5FA546}" type="presOf" srcId="{1456A74C-567C-447E-9F1F-A78B1ED2C36C}" destId="{1FD9FFF3-63E4-492C-AD0D-93AE8DE6AC03}" srcOrd="0" destOrd="0" presId="urn:microsoft.com/office/officeart/2005/8/layout/radial6"/>
    <dgm:cxn modelId="{750D678C-8DAC-4942-BE04-73BB3F4FA790}" type="presOf" srcId="{EC896C4E-B5F4-4735-ADAC-C9F4361A5A3A}" destId="{FE2FFA3D-3848-4303-A0C3-DCD311BFCA80}" srcOrd="0" destOrd="0" presId="urn:microsoft.com/office/officeart/2005/8/layout/radial6"/>
    <dgm:cxn modelId="{EB636CEC-E112-4C26-A13D-E7C2380A7723}" srcId="{EC896C4E-B5F4-4735-ADAC-C9F4361A5A3A}" destId="{1A19D615-F016-4D17-BA88-4C8969ED31FA}" srcOrd="2" destOrd="0" parTransId="{375F6E46-FEE6-4B61-9CFA-7A2F296DDB71}" sibTransId="{DD77B8CB-DFF8-4A28-95CA-116A7A91CD17}"/>
    <dgm:cxn modelId="{3EB3FF72-3A22-43ED-A93E-22A88D787213}" type="presParOf" srcId="{D6F8395B-FB3B-4F7F-94D1-FB09C464A380}" destId="{FE2FFA3D-3848-4303-A0C3-DCD311BFCA80}" srcOrd="0" destOrd="0" presId="urn:microsoft.com/office/officeart/2005/8/layout/radial6"/>
    <dgm:cxn modelId="{7DA7D3E5-348E-434A-B9C6-4AC8640A1667}" type="presParOf" srcId="{D6F8395B-FB3B-4F7F-94D1-FB09C464A380}" destId="{1FD9FFF3-63E4-492C-AD0D-93AE8DE6AC03}" srcOrd="1" destOrd="0" presId="urn:microsoft.com/office/officeart/2005/8/layout/radial6"/>
    <dgm:cxn modelId="{F621802A-EB63-45DD-949A-6B1E10D6182A}" type="presParOf" srcId="{D6F8395B-FB3B-4F7F-94D1-FB09C464A380}" destId="{ABAEF6EA-9629-44C1-88D0-CD91C3581714}" srcOrd="2" destOrd="0" presId="urn:microsoft.com/office/officeart/2005/8/layout/radial6"/>
    <dgm:cxn modelId="{528456FC-D62D-4F36-BB31-8925A2DCB180}" type="presParOf" srcId="{D6F8395B-FB3B-4F7F-94D1-FB09C464A380}" destId="{A6AE8AC3-5B38-4EBD-8C9D-48F0EC9E9B1F}" srcOrd="3" destOrd="0" presId="urn:microsoft.com/office/officeart/2005/8/layout/radial6"/>
    <dgm:cxn modelId="{A96C0D60-D289-4AB2-8C91-7FDD798A1923}" type="presParOf" srcId="{D6F8395B-FB3B-4F7F-94D1-FB09C464A380}" destId="{B72D71C0-22B3-491A-B784-EBA6F7DF3EE8}" srcOrd="4" destOrd="0" presId="urn:microsoft.com/office/officeart/2005/8/layout/radial6"/>
    <dgm:cxn modelId="{4614244F-9935-404D-B01D-E85B75DC4EC2}" type="presParOf" srcId="{D6F8395B-FB3B-4F7F-94D1-FB09C464A380}" destId="{FED75A0C-C028-4C6D-BB37-4B8A664D4937}" srcOrd="5" destOrd="0" presId="urn:microsoft.com/office/officeart/2005/8/layout/radial6"/>
    <dgm:cxn modelId="{64293741-1B4B-4EC0-86CB-3B968B605EF3}" type="presParOf" srcId="{D6F8395B-FB3B-4F7F-94D1-FB09C464A380}" destId="{CF91F89A-04A7-4710-AA5C-DA6DCF0EF519}" srcOrd="6" destOrd="0" presId="urn:microsoft.com/office/officeart/2005/8/layout/radial6"/>
    <dgm:cxn modelId="{2178F07A-7F64-4D75-A1F7-2B451B7A17E0}" type="presParOf" srcId="{D6F8395B-FB3B-4F7F-94D1-FB09C464A380}" destId="{668E263F-9CEE-46AF-A30B-074ABAAE22E5}" srcOrd="7" destOrd="0" presId="urn:microsoft.com/office/officeart/2005/8/layout/radial6"/>
    <dgm:cxn modelId="{F8993159-4704-4D6D-B6FA-184F25D985C8}" type="presParOf" srcId="{D6F8395B-FB3B-4F7F-94D1-FB09C464A380}" destId="{95F1739D-7E66-4F7F-81E1-8F23DF3E8BC4}" srcOrd="8" destOrd="0" presId="urn:microsoft.com/office/officeart/2005/8/layout/radial6"/>
    <dgm:cxn modelId="{9D6FBC17-A349-4C01-B8ED-AE7ACFEB340E}" type="presParOf" srcId="{D6F8395B-FB3B-4F7F-94D1-FB09C464A380}" destId="{43E2C292-57EA-422D-AC88-26F3876F57BA}" srcOrd="9" destOrd="0" presId="urn:microsoft.com/office/officeart/2005/8/layout/radial6"/>
    <dgm:cxn modelId="{F55524E1-DBAA-4E0D-8C5F-3CBADC98BD9A}" type="presParOf" srcId="{D6F8395B-FB3B-4F7F-94D1-FB09C464A380}" destId="{98FFC90D-C157-49C2-AA3A-1030787AC8CE}" srcOrd="10" destOrd="0" presId="urn:microsoft.com/office/officeart/2005/8/layout/radial6"/>
    <dgm:cxn modelId="{E122BD1C-91D1-408F-A320-E06903055741}" type="presParOf" srcId="{D6F8395B-FB3B-4F7F-94D1-FB09C464A380}" destId="{58E10C6E-1513-496C-8919-12BE0759EC42}" srcOrd="11" destOrd="0" presId="urn:microsoft.com/office/officeart/2005/8/layout/radial6"/>
    <dgm:cxn modelId="{07DF3F7E-9C1B-4602-8C8E-1B087FD2198D}" type="presParOf" srcId="{D6F8395B-FB3B-4F7F-94D1-FB09C464A380}" destId="{D9096DBC-B604-46E5-A558-E221F7992B5B}" srcOrd="12" destOrd="0" presId="urn:microsoft.com/office/officeart/2005/8/layout/radial6"/>
    <dgm:cxn modelId="{09F9297C-F79F-420A-A473-D035E2D73728}" type="presParOf" srcId="{D6F8395B-FB3B-4F7F-94D1-FB09C464A380}" destId="{584DED3E-5ED1-41B5-A5D0-37F221902358}" srcOrd="13" destOrd="0" presId="urn:microsoft.com/office/officeart/2005/8/layout/radial6"/>
    <dgm:cxn modelId="{E0569D49-B8DB-4F55-A94B-242FFEBFFB8E}" type="presParOf" srcId="{D6F8395B-FB3B-4F7F-94D1-FB09C464A380}" destId="{DCCD9134-3076-444A-A52E-D29130D8B47D}" srcOrd="14" destOrd="0" presId="urn:microsoft.com/office/officeart/2005/8/layout/radial6"/>
    <dgm:cxn modelId="{39FE2C2F-D11F-4031-AF99-4C6E1B1D6267}" type="presParOf" srcId="{D6F8395B-FB3B-4F7F-94D1-FB09C464A380}" destId="{E6765BB7-FEC8-4509-ABCB-7819F771EBD5}" srcOrd="15" destOrd="0" presId="urn:microsoft.com/office/officeart/2005/8/layout/radial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765BB7-FEC8-4509-ABCB-7819F771EBD5}">
      <dsp:nvSpPr>
        <dsp:cNvPr id="0" name=""/>
        <dsp:cNvSpPr/>
      </dsp:nvSpPr>
      <dsp:spPr>
        <a:xfrm>
          <a:off x="1643887" y="434157"/>
          <a:ext cx="2824099" cy="2824099"/>
        </a:xfrm>
        <a:prstGeom prst="blockArc">
          <a:avLst>
            <a:gd name="adj1" fmla="val 11880000"/>
            <a:gd name="adj2" fmla="val 16200000"/>
            <a:gd name="adj3" fmla="val 4644"/>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9096DBC-B604-46E5-A558-E221F7992B5B}">
      <dsp:nvSpPr>
        <dsp:cNvPr id="0" name=""/>
        <dsp:cNvSpPr/>
      </dsp:nvSpPr>
      <dsp:spPr>
        <a:xfrm>
          <a:off x="1643887" y="434157"/>
          <a:ext cx="2824099" cy="2824099"/>
        </a:xfrm>
        <a:prstGeom prst="blockArc">
          <a:avLst>
            <a:gd name="adj1" fmla="val 7560000"/>
            <a:gd name="adj2" fmla="val 11880000"/>
            <a:gd name="adj3" fmla="val 4644"/>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3E2C292-57EA-422D-AC88-26F3876F57BA}">
      <dsp:nvSpPr>
        <dsp:cNvPr id="0" name=""/>
        <dsp:cNvSpPr/>
      </dsp:nvSpPr>
      <dsp:spPr>
        <a:xfrm>
          <a:off x="1643887" y="434157"/>
          <a:ext cx="2824099" cy="2824099"/>
        </a:xfrm>
        <a:prstGeom prst="blockArc">
          <a:avLst>
            <a:gd name="adj1" fmla="val 3240000"/>
            <a:gd name="adj2" fmla="val 7560000"/>
            <a:gd name="adj3" fmla="val 4644"/>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F91F89A-04A7-4710-AA5C-DA6DCF0EF519}">
      <dsp:nvSpPr>
        <dsp:cNvPr id="0" name=""/>
        <dsp:cNvSpPr/>
      </dsp:nvSpPr>
      <dsp:spPr>
        <a:xfrm>
          <a:off x="1643887" y="434157"/>
          <a:ext cx="2824099" cy="2824099"/>
        </a:xfrm>
        <a:prstGeom prst="blockArc">
          <a:avLst>
            <a:gd name="adj1" fmla="val 20520000"/>
            <a:gd name="adj2" fmla="val 3240000"/>
            <a:gd name="adj3" fmla="val 4644"/>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6AE8AC3-5B38-4EBD-8C9D-48F0EC9E9B1F}">
      <dsp:nvSpPr>
        <dsp:cNvPr id="0" name=""/>
        <dsp:cNvSpPr/>
      </dsp:nvSpPr>
      <dsp:spPr>
        <a:xfrm>
          <a:off x="1643887" y="434157"/>
          <a:ext cx="2824099" cy="2824099"/>
        </a:xfrm>
        <a:prstGeom prst="blockArc">
          <a:avLst>
            <a:gd name="adj1" fmla="val 16200000"/>
            <a:gd name="adj2" fmla="val 20520000"/>
            <a:gd name="adj3" fmla="val 4644"/>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E2FFA3D-3848-4303-A0C3-DCD311BFCA80}">
      <dsp:nvSpPr>
        <dsp:cNvPr id="0" name=""/>
        <dsp:cNvSpPr/>
      </dsp:nvSpPr>
      <dsp:spPr>
        <a:xfrm>
          <a:off x="2405357" y="1195627"/>
          <a:ext cx="1301160" cy="1301160"/>
        </a:xfrm>
        <a:prstGeom prst="ellipse">
          <a:avLst/>
        </a:prstGeom>
        <a:solidFill>
          <a:schemeClr val="accent1">
            <a:lumMod val="5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s-CO" sz="2000" kern="1200">
              <a:latin typeface="Arial" panose="020B0604020202020204" pitchFamily="34" charset="0"/>
              <a:cs typeface="Arial" panose="020B0604020202020204" pitchFamily="34" charset="0"/>
            </a:rPr>
            <a:t>Precio Crudo</a:t>
          </a:r>
        </a:p>
      </dsp:txBody>
      <dsp:txXfrm>
        <a:off x="2595907" y="1386177"/>
        <a:ext cx="920060" cy="920060"/>
      </dsp:txXfrm>
    </dsp:sp>
    <dsp:sp modelId="{1FD9FFF3-63E4-492C-AD0D-93AE8DE6AC03}">
      <dsp:nvSpPr>
        <dsp:cNvPr id="0" name=""/>
        <dsp:cNvSpPr/>
      </dsp:nvSpPr>
      <dsp:spPr>
        <a:xfrm>
          <a:off x="2551939" y="-37051"/>
          <a:ext cx="1007996" cy="1007996"/>
        </a:xfrm>
        <a:prstGeom prst="ellipse">
          <a:avLst/>
        </a:prstGeom>
        <a:solidFill>
          <a:schemeClr val="accent1">
            <a:lumMod val="5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latin typeface="Arial" panose="020B0604020202020204" pitchFamily="34" charset="0"/>
              <a:cs typeface="Arial" panose="020B0604020202020204" pitchFamily="34" charset="0"/>
            </a:rPr>
            <a:t>Oferta y Demanda</a:t>
          </a:r>
        </a:p>
      </dsp:txBody>
      <dsp:txXfrm>
        <a:off x="2699557" y="110567"/>
        <a:ext cx="712760" cy="712760"/>
      </dsp:txXfrm>
    </dsp:sp>
    <dsp:sp modelId="{B72D71C0-22B3-491A-B784-EBA6F7DF3EE8}">
      <dsp:nvSpPr>
        <dsp:cNvPr id="0" name=""/>
        <dsp:cNvSpPr/>
      </dsp:nvSpPr>
      <dsp:spPr>
        <a:xfrm>
          <a:off x="3863694" y="915994"/>
          <a:ext cx="1007996" cy="1007996"/>
        </a:xfrm>
        <a:prstGeom prst="ellipse">
          <a:avLst/>
        </a:prstGeom>
        <a:solidFill>
          <a:schemeClr val="accent1">
            <a:lumMod val="5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latin typeface="Arial" panose="020B0604020202020204" pitchFamily="34" charset="0"/>
              <a:cs typeface="Arial" panose="020B0604020202020204" pitchFamily="34" charset="0"/>
            </a:rPr>
            <a:t>Economía Paises</a:t>
          </a:r>
        </a:p>
      </dsp:txBody>
      <dsp:txXfrm>
        <a:off x="4011312" y="1063612"/>
        <a:ext cx="712760" cy="712760"/>
      </dsp:txXfrm>
    </dsp:sp>
    <dsp:sp modelId="{668E263F-9CEE-46AF-A30B-074ABAAE22E5}">
      <dsp:nvSpPr>
        <dsp:cNvPr id="0" name=""/>
        <dsp:cNvSpPr/>
      </dsp:nvSpPr>
      <dsp:spPr>
        <a:xfrm>
          <a:off x="3362648" y="2458054"/>
          <a:ext cx="1007996" cy="1007996"/>
        </a:xfrm>
        <a:prstGeom prst="ellipse">
          <a:avLst/>
        </a:prstGeom>
        <a:solidFill>
          <a:schemeClr val="accent1">
            <a:lumMod val="5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latin typeface="Arial" panose="020B0604020202020204" pitchFamily="34" charset="0"/>
              <a:cs typeface="Arial" panose="020B0604020202020204" pitchFamily="34" charset="0"/>
            </a:rPr>
            <a:t>Eventos Programados y No Programados</a:t>
          </a:r>
        </a:p>
      </dsp:txBody>
      <dsp:txXfrm>
        <a:off x="3510266" y="2605672"/>
        <a:ext cx="712760" cy="712760"/>
      </dsp:txXfrm>
    </dsp:sp>
    <dsp:sp modelId="{98FFC90D-C157-49C2-AA3A-1030787AC8CE}">
      <dsp:nvSpPr>
        <dsp:cNvPr id="0" name=""/>
        <dsp:cNvSpPr/>
      </dsp:nvSpPr>
      <dsp:spPr>
        <a:xfrm>
          <a:off x="1741230" y="2458054"/>
          <a:ext cx="1007996" cy="1007996"/>
        </a:xfrm>
        <a:prstGeom prst="ellipse">
          <a:avLst/>
        </a:prstGeom>
        <a:solidFill>
          <a:schemeClr val="accent1">
            <a:lumMod val="5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latin typeface="Arial" panose="020B0604020202020204" pitchFamily="34" charset="0"/>
              <a:cs typeface="Arial" panose="020B0604020202020204" pitchFamily="34" charset="0"/>
            </a:rPr>
            <a:t>Asuntos Geopoliticos</a:t>
          </a:r>
        </a:p>
      </dsp:txBody>
      <dsp:txXfrm>
        <a:off x="1888848" y="2605672"/>
        <a:ext cx="712760" cy="712760"/>
      </dsp:txXfrm>
    </dsp:sp>
    <dsp:sp modelId="{584DED3E-5ED1-41B5-A5D0-37F221902358}">
      <dsp:nvSpPr>
        <dsp:cNvPr id="0" name=""/>
        <dsp:cNvSpPr/>
      </dsp:nvSpPr>
      <dsp:spPr>
        <a:xfrm>
          <a:off x="1240184" y="915994"/>
          <a:ext cx="1007996" cy="1007996"/>
        </a:xfrm>
        <a:prstGeom prst="ellipse">
          <a:avLst/>
        </a:prstGeom>
        <a:solidFill>
          <a:schemeClr val="accent1">
            <a:lumMod val="5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latin typeface="Arial" panose="020B0604020202020204" pitchFamily="34" charset="0"/>
              <a:cs typeface="Arial" panose="020B0604020202020204" pitchFamily="34" charset="0"/>
            </a:rPr>
            <a:t>Cambio en la Matriz Energética Mundial</a:t>
          </a:r>
        </a:p>
      </dsp:txBody>
      <dsp:txXfrm>
        <a:off x="1387802" y="1063612"/>
        <a:ext cx="712760" cy="71276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ct:contentTypeSchema xmlns:ct="http://schemas.microsoft.com/office/2006/metadata/contentType" xmlns:ma="http://schemas.microsoft.com/office/2006/metadata/properties/metaAttributes" ct:_="" ma:_="" ma:contentTypeName="Documento" ma:contentTypeID="0x0101008942729923DD3E41ABE998432493E3D1" ma:contentTypeVersion="2" ma:contentTypeDescription="Crear nuevo documento." ma:contentTypeScope="" ma:versionID="28d0085fb3ff3ba2637e27c597caf0b5">
  <xsd:schema xmlns:xsd="http://www.w3.org/2001/XMLSchema" xmlns:xs="http://www.w3.org/2001/XMLSchema" xmlns:p="http://schemas.microsoft.com/office/2006/metadata/properties" targetNamespace="http://schemas.microsoft.com/office/2006/metadata/properties" ma:root="true" ma:fieldsID="7b4afbcb2487568e4ac3f4426186394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12B19C-A829-404E-B71E-7D02EAEBB8F3}"/>
</file>

<file path=customXml/itemProps2.xml><?xml version="1.0" encoding="utf-8"?>
<ds:datastoreItem xmlns:ds="http://schemas.openxmlformats.org/officeDocument/2006/customXml" ds:itemID="{1AA52A99-BBC2-4E15-BC67-843042650CEF}"/>
</file>

<file path=customXml/itemProps3.xml><?xml version="1.0" encoding="utf-8"?>
<ds:datastoreItem xmlns:ds="http://schemas.openxmlformats.org/officeDocument/2006/customXml" ds:itemID="{821021CD-FBE1-419F-8FFB-42340F3B27C6}"/>
</file>

<file path=customXml/itemProps4.xml><?xml version="1.0" encoding="utf-8"?>
<ds:datastoreItem xmlns:ds="http://schemas.openxmlformats.org/officeDocument/2006/customXml" ds:itemID="{08CEA76D-4B42-4634-A6EB-4B2ED97FB671}"/>
</file>

<file path=docProps/app.xml><?xml version="1.0" encoding="utf-8"?>
<Properties xmlns="http://schemas.openxmlformats.org/officeDocument/2006/extended-properties" xmlns:vt="http://schemas.openxmlformats.org/officeDocument/2006/docPropsVTypes">
  <Template>Normal</Template>
  <TotalTime>1</TotalTime>
  <Pages>99</Pages>
  <Words>28296</Words>
  <Characters>155629</Characters>
  <Application>Microsoft Office Word</Application>
  <DocSecurity>0</DocSecurity>
  <Lines>1296</Lines>
  <Paragraphs>367</Paragraphs>
  <ScaleCrop>false</ScaleCrop>
  <HeadingPairs>
    <vt:vector size="2" baseType="variant">
      <vt:variant>
        <vt:lpstr>Título</vt:lpstr>
      </vt:variant>
      <vt:variant>
        <vt:i4>1</vt:i4>
      </vt:variant>
    </vt:vector>
  </HeadingPairs>
  <TitlesOfParts>
    <vt:vector size="1" baseType="lpstr">
      <vt:lpstr/>
    </vt:vector>
  </TitlesOfParts>
  <Company>Unidad de Planeación Minero Energetica</Company>
  <LinksUpToDate>false</LinksUpToDate>
  <CharactersWithSpaces>183558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Montaña</dc:creator>
  <cp:lastModifiedBy>Sandra Leyva</cp:lastModifiedBy>
  <cp:revision>2</cp:revision>
  <cp:lastPrinted>2018-11-13T21:26:00Z</cp:lastPrinted>
  <dcterms:created xsi:type="dcterms:W3CDTF">2018-12-21T15:08:00Z</dcterms:created>
  <dcterms:modified xsi:type="dcterms:W3CDTF">2018-12-21T15:08:00Z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0x0101008942729923DD3E41ABE998432493E3D1</vt:lpwstr>
  </property>
</Properties>
</file>