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25DC6" w:rsidRPr="006B4647" w:rsidRDefault="00364E59" w:rsidP="00012259">
      <w:pPr>
        <w:pStyle w:val="Encabezado"/>
        <w:tabs>
          <w:tab w:val="clear" w:pos="8504"/>
          <w:tab w:val="left" w:pos="0"/>
          <w:tab w:val="right" w:pos="9356"/>
        </w:tabs>
        <w:ind w:left="0"/>
        <w:jc w:val="both"/>
        <w:rPr>
          <w:rFonts w:ascii="Bookman Old Style" w:hAnsi="Bookman Old Style"/>
          <w:szCs w:val="24"/>
        </w:rPr>
      </w:pPr>
      <w:r>
        <w:rPr>
          <w:rFonts w:ascii="Bookman Old Style" w:hAnsi="Bookman Old Style"/>
          <w:noProof/>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202.4pt;margin-top:-53.35pt;width:52.5pt;height:48.75pt;z-index:251657728" fillcolor="#0c9">
            <v:imagedata r:id="rId9" o:title=""/>
          </v:shape>
          <o:OLEObject Type="Embed" ProgID="PBrush" ShapeID="_x0000_s1026" DrawAspect="Content" ObjectID="_1453528802" r:id="rId10"/>
        </w:pict>
      </w:r>
    </w:p>
    <w:p w:rsidR="00625DC6" w:rsidRPr="006B4647" w:rsidRDefault="00625DC6" w:rsidP="00012259">
      <w:pPr>
        <w:pStyle w:val="Encabezado"/>
        <w:tabs>
          <w:tab w:val="clear" w:pos="8504"/>
          <w:tab w:val="left" w:pos="0"/>
          <w:tab w:val="right" w:pos="9356"/>
        </w:tabs>
        <w:ind w:left="0"/>
        <w:jc w:val="both"/>
        <w:rPr>
          <w:rFonts w:ascii="Bookman Old Style" w:hAnsi="Bookman Old Style"/>
          <w:szCs w:val="24"/>
        </w:rPr>
      </w:pPr>
    </w:p>
    <w:p w:rsidR="00CA77FB" w:rsidRPr="006B4647" w:rsidRDefault="00CA77FB" w:rsidP="00012259">
      <w:pPr>
        <w:pStyle w:val="Ttulo4"/>
        <w:tabs>
          <w:tab w:val="left" w:pos="0"/>
          <w:tab w:val="right" w:pos="9356"/>
        </w:tabs>
        <w:ind w:left="0"/>
        <w:rPr>
          <w:rFonts w:ascii="Bookman Old Style" w:hAnsi="Bookman Old Style"/>
          <w:b w:val="0"/>
          <w:bCs/>
          <w:noProof/>
          <w:sz w:val="24"/>
          <w:szCs w:val="24"/>
          <w:lang w:val="es-ES"/>
        </w:rPr>
      </w:pPr>
      <w:r w:rsidRPr="006B4647">
        <w:rPr>
          <w:rFonts w:ascii="Bookman Old Style" w:hAnsi="Bookman Old Style"/>
          <w:b w:val="0"/>
          <w:bCs/>
          <w:sz w:val="24"/>
          <w:szCs w:val="24"/>
        </w:rPr>
        <w:t>Ministerio de Minas y Energía</w:t>
      </w:r>
    </w:p>
    <w:p w:rsidR="00CA77FB" w:rsidRPr="006B4647" w:rsidRDefault="00CA77FB" w:rsidP="00012259">
      <w:pPr>
        <w:pStyle w:val="Ttulo4"/>
        <w:tabs>
          <w:tab w:val="left" w:pos="0"/>
          <w:tab w:val="right" w:pos="9356"/>
        </w:tabs>
        <w:ind w:left="0"/>
        <w:rPr>
          <w:rFonts w:ascii="Bookman Old Style" w:hAnsi="Bookman Old Style"/>
          <w:b w:val="0"/>
          <w:bCs/>
          <w:sz w:val="24"/>
          <w:szCs w:val="24"/>
        </w:rPr>
      </w:pPr>
    </w:p>
    <w:p w:rsidR="00CA77FB" w:rsidRPr="006B4647" w:rsidRDefault="00CA77FB" w:rsidP="00012259">
      <w:pPr>
        <w:pStyle w:val="Ttulo3"/>
        <w:tabs>
          <w:tab w:val="left" w:pos="0"/>
          <w:tab w:val="right" w:pos="9356"/>
        </w:tabs>
        <w:ind w:left="0"/>
        <w:rPr>
          <w:rFonts w:ascii="Bookman Old Style" w:hAnsi="Bookman Old Style" w:cs="Arial"/>
          <w:spacing w:val="20"/>
          <w:szCs w:val="24"/>
        </w:rPr>
      </w:pPr>
      <w:r w:rsidRPr="006B4647">
        <w:rPr>
          <w:rFonts w:ascii="Bookman Old Style" w:hAnsi="Bookman Old Style" w:cs="Arial"/>
          <w:spacing w:val="20"/>
          <w:szCs w:val="24"/>
        </w:rPr>
        <w:t>COMISIÓN DE REGULACIÓN DE ENERGÍA Y GAS</w:t>
      </w:r>
    </w:p>
    <w:p w:rsidR="00CA77FB" w:rsidRPr="006B4647" w:rsidRDefault="00CA77FB" w:rsidP="00012259">
      <w:pPr>
        <w:pStyle w:val="Ttulo5"/>
        <w:tabs>
          <w:tab w:val="left" w:pos="0"/>
          <w:tab w:val="right" w:pos="9356"/>
        </w:tabs>
        <w:ind w:left="0"/>
        <w:rPr>
          <w:rFonts w:ascii="Bookman Old Style" w:hAnsi="Bookman Old Style"/>
          <w:sz w:val="24"/>
          <w:szCs w:val="24"/>
        </w:rPr>
      </w:pPr>
    </w:p>
    <w:p w:rsidR="00CA77FB" w:rsidRPr="006B4647" w:rsidRDefault="00CA77FB" w:rsidP="00012259">
      <w:pPr>
        <w:pStyle w:val="Ttulo5"/>
        <w:tabs>
          <w:tab w:val="left" w:pos="0"/>
          <w:tab w:val="right" w:pos="9356"/>
        </w:tabs>
        <w:ind w:left="0"/>
        <w:rPr>
          <w:rFonts w:ascii="Bookman Old Style" w:hAnsi="Bookman Old Style"/>
          <w:sz w:val="24"/>
          <w:szCs w:val="24"/>
        </w:rPr>
      </w:pPr>
    </w:p>
    <w:p w:rsidR="00CA77FB" w:rsidRPr="006B4647" w:rsidRDefault="00CA77FB" w:rsidP="00012259">
      <w:pPr>
        <w:pStyle w:val="Ttulo5"/>
        <w:tabs>
          <w:tab w:val="left" w:pos="0"/>
          <w:tab w:val="right" w:pos="9356"/>
        </w:tabs>
        <w:ind w:left="0"/>
        <w:rPr>
          <w:rFonts w:ascii="Bookman Old Style" w:hAnsi="Bookman Old Style"/>
          <w:sz w:val="24"/>
          <w:szCs w:val="24"/>
        </w:rPr>
      </w:pPr>
      <w:r w:rsidRPr="006B4647">
        <w:rPr>
          <w:rFonts w:ascii="Bookman Old Style" w:hAnsi="Bookman Old Style"/>
          <w:sz w:val="24"/>
          <w:szCs w:val="24"/>
        </w:rPr>
        <w:t xml:space="preserve">RESOLUCIÓN No. </w:t>
      </w:r>
      <w:r w:rsidR="00795BFB" w:rsidRPr="006B4647">
        <w:rPr>
          <w:rFonts w:ascii="Bookman Old Style" w:hAnsi="Bookman Old Style"/>
          <w:sz w:val="24"/>
          <w:szCs w:val="24"/>
        </w:rPr>
        <w:t xml:space="preserve">                  </w:t>
      </w:r>
      <w:r w:rsidRPr="006B4647">
        <w:rPr>
          <w:rFonts w:ascii="Bookman Old Style" w:hAnsi="Bookman Old Style"/>
          <w:sz w:val="24"/>
          <w:szCs w:val="24"/>
        </w:rPr>
        <w:t xml:space="preserve">DE </w:t>
      </w:r>
      <w:r w:rsidR="00635913" w:rsidRPr="006B4647">
        <w:rPr>
          <w:rFonts w:ascii="Bookman Old Style" w:hAnsi="Bookman Old Style"/>
          <w:sz w:val="24"/>
          <w:szCs w:val="24"/>
        </w:rPr>
        <w:t>201</w:t>
      </w:r>
      <w:r w:rsidR="00635913">
        <w:rPr>
          <w:rFonts w:ascii="Bookman Old Style" w:hAnsi="Bookman Old Style"/>
          <w:sz w:val="24"/>
          <w:szCs w:val="24"/>
        </w:rPr>
        <w:t>3</w:t>
      </w:r>
    </w:p>
    <w:p w:rsidR="00CA77FB" w:rsidRPr="006B4647" w:rsidRDefault="00CA77FB" w:rsidP="00012259">
      <w:pPr>
        <w:tabs>
          <w:tab w:val="left" w:pos="0"/>
          <w:tab w:val="right" w:pos="9356"/>
        </w:tabs>
        <w:ind w:left="0"/>
        <w:jc w:val="center"/>
        <w:rPr>
          <w:rFonts w:ascii="Bookman Old Style" w:hAnsi="Bookman Old Style" w:cs="Arial"/>
          <w:b/>
          <w:snapToGrid w:val="0"/>
          <w:color w:val="000000"/>
          <w:lang w:val="es-ES_tradnl"/>
        </w:rPr>
      </w:pPr>
    </w:p>
    <w:p w:rsidR="00CA77FB" w:rsidRPr="006B4647" w:rsidRDefault="00CA77FB" w:rsidP="00012259">
      <w:pPr>
        <w:pStyle w:val="Ttulo3"/>
        <w:tabs>
          <w:tab w:val="left" w:pos="0"/>
          <w:tab w:val="right" w:pos="9356"/>
        </w:tabs>
        <w:ind w:left="0"/>
        <w:rPr>
          <w:rFonts w:ascii="Bookman Old Style" w:hAnsi="Bookman Old Style"/>
          <w:b w:val="0"/>
          <w:szCs w:val="24"/>
        </w:rPr>
      </w:pPr>
      <w:r w:rsidRPr="006B4647">
        <w:rPr>
          <w:rFonts w:ascii="Bookman Old Style" w:hAnsi="Bookman Old Style"/>
          <w:b w:val="0"/>
          <w:szCs w:val="24"/>
        </w:rPr>
        <w:t>(                                  )</w:t>
      </w:r>
    </w:p>
    <w:p w:rsidR="00CA77FB" w:rsidRPr="006B4647" w:rsidRDefault="00CA77FB" w:rsidP="00012259">
      <w:pPr>
        <w:tabs>
          <w:tab w:val="left" w:pos="0"/>
          <w:tab w:val="right" w:pos="9356"/>
        </w:tabs>
        <w:ind w:left="0"/>
        <w:jc w:val="center"/>
        <w:rPr>
          <w:rFonts w:ascii="Bookman Old Style" w:hAnsi="Bookman Old Style"/>
          <w:lang w:val="es-ES_tradnl"/>
        </w:rPr>
      </w:pPr>
    </w:p>
    <w:p w:rsidR="000B65DE" w:rsidRPr="000B65DE" w:rsidRDefault="000B65DE" w:rsidP="000B65DE">
      <w:pPr>
        <w:ind w:left="0" w:right="340"/>
        <w:jc w:val="center"/>
        <w:rPr>
          <w:rFonts w:ascii="Bookman Old Style" w:hAnsi="Bookman Old Style"/>
          <w:lang w:val="es-ES_tradnl" w:eastAsia="es-CO"/>
        </w:rPr>
      </w:pPr>
    </w:p>
    <w:p w:rsidR="000B65DE" w:rsidRPr="000B65DE" w:rsidRDefault="000B65DE" w:rsidP="000B65DE">
      <w:pPr>
        <w:ind w:right="340"/>
        <w:jc w:val="center"/>
        <w:rPr>
          <w:rFonts w:ascii="Bookman Old Style" w:hAnsi="Bookman Old Style"/>
        </w:rPr>
      </w:pPr>
      <w:r w:rsidRPr="000B65DE">
        <w:rPr>
          <w:rFonts w:ascii="Bookman Old Style" w:hAnsi="Bookman Old Style"/>
        </w:rPr>
        <w:t xml:space="preserve">Por la cual se establecen los criterios generales para remunerar la actividad de distribución de gas combustible por redes de tubería </w:t>
      </w:r>
      <w:r w:rsidRPr="000B65DE">
        <w:rPr>
          <w:rFonts w:ascii="Bookman Old Style" w:hAnsi="Bookman Old Style"/>
          <w:lang w:val="es-ES_tradnl"/>
        </w:rPr>
        <w:t>y se dictan otras disposiciones</w:t>
      </w:r>
      <w:r w:rsidRPr="000B65DE">
        <w:rPr>
          <w:rFonts w:ascii="Bookman Old Style" w:hAnsi="Bookman Old Style"/>
        </w:rPr>
        <w:t>.</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center"/>
        <w:rPr>
          <w:rFonts w:ascii="Bookman Old Style" w:hAnsi="Bookman Old Style"/>
          <w:b/>
        </w:rPr>
      </w:pPr>
      <w:r w:rsidRPr="000B65DE">
        <w:rPr>
          <w:rFonts w:ascii="Bookman Old Style" w:hAnsi="Bookman Old Style"/>
          <w:b/>
        </w:rPr>
        <w:t>LA COMISIÓN DE REGULACIÓN DE ENERGÍA Y GAS</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right="340"/>
        <w:jc w:val="both"/>
        <w:rPr>
          <w:rFonts w:ascii="Bookman Old Style" w:hAnsi="Bookman Old Style"/>
        </w:rPr>
      </w:pPr>
      <w:r w:rsidRPr="000B65DE">
        <w:rPr>
          <w:rFonts w:ascii="Bookman Old Style" w:hAnsi="Bookman Old Style"/>
        </w:rPr>
        <w:t>En ejercicio de las atribuciones legales, en especial las conferidas por la Ley 142 de 1994, y en desarrollo de los decretos 1524 y 2253 de 1994, y</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right="51"/>
        <w:jc w:val="center"/>
        <w:rPr>
          <w:rFonts w:ascii="Bookman Old Style" w:hAnsi="Bookman Old Style"/>
          <w:b/>
        </w:rPr>
      </w:pPr>
      <w:r w:rsidRPr="000B65DE">
        <w:rPr>
          <w:rFonts w:ascii="Bookman Old Style" w:hAnsi="Bookman Old Style"/>
          <w:b/>
        </w:rPr>
        <w:t>C O N S I D E R A N D O  Q U E:</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lang w:val="es-CO" w:eastAsia="es-CO"/>
        </w:rPr>
      </w:pPr>
      <w:r w:rsidRPr="000B65DE">
        <w:rPr>
          <w:rFonts w:ascii="Bookman Old Style" w:hAnsi="Bookman Old Style"/>
          <w:lang w:val="es-CO" w:eastAsia="es-CO"/>
        </w:rPr>
        <w:t xml:space="preserve">El Artículo 365 de la Constitución Política establece que los servicios públicos son inherentes a la finalidad social del Estado y que es deber de éste asegurar su prestación eficiente a todos los habitantes del territorio nacional. </w:t>
      </w:r>
    </w:p>
    <w:p w:rsidR="000B65DE" w:rsidRPr="000B65DE" w:rsidRDefault="000B65DE" w:rsidP="000B65DE">
      <w:pPr>
        <w:ind w:left="0"/>
        <w:jc w:val="both"/>
        <w:rPr>
          <w:rFonts w:ascii="Bookman Old Style" w:hAnsi="Bookman Old Style"/>
          <w:spacing w:val="-3"/>
          <w:lang w:val="es-CO"/>
        </w:rPr>
      </w:pPr>
    </w:p>
    <w:p w:rsidR="000B65DE" w:rsidRPr="000B65DE" w:rsidRDefault="000B65DE" w:rsidP="000B65DE">
      <w:pPr>
        <w:ind w:left="0"/>
        <w:jc w:val="both"/>
        <w:rPr>
          <w:rFonts w:ascii="Bookman Old Style" w:hAnsi="Bookman Old Style"/>
          <w:spacing w:val="-3"/>
          <w:lang w:val="es-ES_tradnl"/>
        </w:rPr>
      </w:pPr>
      <w:r w:rsidRPr="000B65DE">
        <w:rPr>
          <w:rFonts w:ascii="Bookman Old Style" w:hAnsi="Bookman Old Style"/>
          <w:spacing w:val="-3"/>
          <w:lang w:val="es-ES_tradnl"/>
        </w:rPr>
        <w:t>El servicio público domiciliario de gas combustible ha sido definido por la Ley 142 de 1994 como “el conjunto de actividades ordenadas a la distribución de gas combustible, por tubería u otro medio, desde un sitio de acopio de grandes volúmenes o desde un gasoducto central hasta la instalación de un consumidor final, incluyendo su conexión y medición. (…)”.</w:t>
      </w:r>
    </w:p>
    <w:p w:rsidR="000B65DE" w:rsidRPr="000B65DE" w:rsidRDefault="000B65DE" w:rsidP="000B65DE">
      <w:pPr>
        <w:ind w:left="0"/>
        <w:jc w:val="both"/>
        <w:rPr>
          <w:rFonts w:ascii="Bookman Old Style" w:hAnsi="Bookman Old Style"/>
          <w:spacing w:val="-3"/>
          <w:lang w:val="es-ES_tradnl"/>
        </w:rPr>
      </w:pPr>
    </w:p>
    <w:p w:rsidR="000B65DE" w:rsidRPr="000B65DE" w:rsidRDefault="000B65DE" w:rsidP="000B65DE">
      <w:pPr>
        <w:ind w:left="0"/>
        <w:jc w:val="both"/>
        <w:rPr>
          <w:rFonts w:ascii="Bookman Old Style" w:hAnsi="Bookman Old Style"/>
        </w:rPr>
      </w:pPr>
      <w:r w:rsidRPr="000B65DE">
        <w:rPr>
          <w:rFonts w:ascii="Bookman Old Style" w:hAnsi="Bookman Old Style"/>
        </w:rPr>
        <w:t>Según lo dispone el artículo 34 de la Ley 142 de 1994, se consideran restricciones indebidas  a la competencia, entre otras, la prestación gratuita o a precios o tarifas inferiores al costo, de servicios adicionales a los que contempla la tarifa.</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r w:rsidRPr="000B65DE">
        <w:rPr>
          <w:rFonts w:ascii="Bookman Old Style" w:hAnsi="Bookman Old Style"/>
        </w:rPr>
        <w:t>Conforme al Artículo 75 de la Ley 142 de 1994, corresponde a la Superintendencia de Servicios Públicos Domiciliarios ejercer el control, la inspección y vigilancia de las entidades que prestan servicios públicos domiciliarios.</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r w:rsidRPr="000B65DE">
        <w:rPr>
          <w:rFonts w:ascii="Bookman Old Style" w:hAnsi="Bookman Old Style"/>
        </w:rPr>
        <w:t xml:space="preserve">El </w:t>
      </w:r>
      <w:r w:rsidR="00E139B1">
        <w:rPr>
          <w:rFonts w:ascii="Bookman Old Style" w:hAnsi="Bookman Old Style"/>
        </w:rPr>
        <w:t xml:space="preserve">numeral 73.11 del </w:t>
      </w:r>
      <w:r w:rsidRPr="000B65DE">
        <w:rPr>
          <w:rFonts w:ascii="Bookman Old Style" w:hAnsi="Bookman Old Style"/>
        </w:rPr>
        <w:t xml:space="preserve">Artículo 73 de la Ley 142 de 1994, atribuyó a la Comisión de Regulación de Energía y Gas la facultad de establecer las fórmulas para la fijación de las tarifas del servicio público domiciliario de gas combustible. </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r w:rsidRPr="000B65DE">
        <w:rPr>
          <w:rFonts w:ascii="Bookman Old Style" w:hAnsi="Bookman Old Style"/>
        </w:rPr>
        <w:t xml:space="preserve">El párrafo final del Artículo 73 de la Ley 142 de 1994 determina que la  Comisión de Regulación de Energía y Gas tiene la facultad selectiva de pedir información amplia, exacta, veraz y oportuna a quienes prestan servicios públicos, incluso si sus tarifas no están sometidas a regulación, que quienes no las suministren estarán sujetos a todas las sanciones que contempla el artículo 81 de la presente Ley, y que la CREG podrá en todo caso imponer por sí misma las sanciones del caso cuando no se atiendan en forma adecuada sus solicitudes de información.  </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E</w:t>
      </w:r>
      <w:r w:rsidRPr="000B65DE">
        <w:rPr>
          <w:rFonts w:ascii="Bookman Old Style" w:hAnsi="Bookman Old Style"/>
        </w:rPr>
        <w:t>l Artículo 87 de la Ley 142 de 1994, estableció que el régimen tarifario estará orientado por los criterios de eficiencia económica, neutralidad, solidaridad, redistribución, suficiencia financiera, simplicidad y transparencia.</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 xml:space="preserve">En virtud del principio de eficiencia económica, definido en el </w:t>
      </w:r>
      <w:r w:rsidR="004E3E50">
        <w:rPr>
          <w:rFonts w:ascii="Bookman Old Style" w:hAnsi="Bookman Old Style"/>
          <w:lang w:val="es-ES_tradnl"/>
        </w:rPr>
        <w:t xml:space="preserve">numeral 87.1 del </w:t>
      </w:r>
      <w:r w:rsidRPr="000B65DE">
        <w:rPr>
          <w:rFonts w:ascii="Bookman Old Style" w:hAnsi="Bookman Old Style"/>
          <w:lang w:val="es-ES_tradnl"/>
        </w:rPr>
        <w:t>Artículo 87 de la Ley 142 de 1994, el régimen de tarifas procurará que éstas se aproximen a lo que serían los precios de un mercado competitivo, que las fórmulas tarifarias no pueden trasladar a los usuarios los costos de una gestión ineficiente, ni permitir que las empresas se apropien de las utilidades provenientes de prácticas restrictivas de la competencia.</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tabs>
          <w:tab w:val="left" w:pos="-720"/>
        </w:tabs>
        <w:suppressAutoHyphens/>
        <w:ind w:left="0"/>
        <w:jc w:val="both"/>
        <w:rPr>
          <w:rFonts w:ascii="Bookman Old Style" w:hAnsi="Bookman Old Style"/>
          <w:spacing w:val="-3"/>
          <w:lang w:val="es-ES_tradnl"/>
        </w:rPr>
      </w:pPr>
      <w:r w:rsidRPr="000B65DE">
        <w:rPr>
          <w:rFonts w:ascii="Bookman Old Style" w:hAnsi="Bookman Old Style"/>
          <w:spacing w:val="-3"/>
          <w:lang w:val="es-ES_tradnl"/>
        </w:rPr>
        <w:t xml:space="preserve">En virtud del principio de suficiencia financiera definido en el </w:t>
      </w:r>
      <w:r w:rsidR="004E3E50">
        <w:rPr>
          <w:rFonts w:ascii="Bookman Old Style" w:hAnsi="Bookman Old Style"/>
          <w:spacing w:val="-3"/>
          <w:lang w:val="es-ES_tradnl"/>
        </w:rPr>
        <w:t xml:space="preserve">numeral 87.4 del </w:t>
      </w:r>
      <w:r w:rsidRPr="000B65DE">
        <w:rPr>
          <w:rFonts w:ascii="Bookman Old Style" w:hAnsi="Bookman Old Style"/>
          <w:spacing w:val="-3"/>
          <w:lang w:val="es-ES_tradnl"/>
        </w:rPr>
        <w:t>Artículo 87 de la Ley 142 de 1994, se debe garantizar a las empresas eficientes la recuperación de sus costos de inversión y sus gastos de administración, operación y mantenimiento, y permitir la remuneración del patrimonio de los accionistas en la misma forma en la que lo habría remunerado una empresa eficiente en un sector de riesgo comparable.</w:t>
      </w:r>
    </w:p>
    <w:p w:rsidR="000B65DE" w:rsidRPr="000B65DE" w:rsidRDefault="000B65DE" w:rsidP="000B65DE">
      <w:pPr>
        <w:tabs>
          <w:tab w:val="left" w:pos="-720"/>
        </w:tabs>
        <w:suppressAutoHyphens/>
        <w:spacing w:line="288" w:lineRule="auto"/>
        <w:ind w:left="0"/>
        <w:jc w:val="both"/>
        <w:rPr>
          <w:rFonts w:ascii="Bookman Old Style" w:hAnsi="Bookman Old Style"/>
          <w:spacing w:val="-3"/>
          <w:lang w:val="es-ES_tradnl"/>
        </w:rPr>
      </w:pPr>
    </w:p>
    <w:p w:rsidR="000B65DE" w:rsidRPr="000B65DE" w:rsidRDefault="000B65DE" w:rsidP="000B65DE">
      <w:pPr>
        <w:tabs>
          <w:tab w:val="left" w:pos="-720"/>
        </w:tabs>
        <w:suppressAutoHyphens/>
        <w:ind w:left="0"/>
        <w:jc w:val="both"/>
        <w:rPr>
          <w:rFonts w:ascii="Bookman Old Style" w:hAnsi="Bookman Old Style"/>
          <w:spacing w:val="-3"/>
          <w:lang w:val="es-ES_tradnl"/>
        </w:rPr>
      </w:pPr>
      <w:r w:rsidRPr="000B65DE">
        <w:rPr>
          <w:rFonts w:ascii="Bookman Old Style" w:hAnsi="Bookman Old Style"/>
          <w:spacing w:val="-3"/>
          <w:lang w:val="es-ES_tradnl"/>
        </w:rPr>
        <w:t xml:space="preserve">Según el criterio de simplicidad establecido en el </w:t>
      </w:r>
      <w:r w:rsidR="00E139B1">
        <w:rPr>
          <w:rFonts w:ascii="Bookman Old Style" w:hAnsi="Bookman Old Style"/>
          <w:spacing w:val="-3"/>
          <w:lang w:val="es-ES_tradnl"/>
        </w:rPr>
        <w:t xml:space="preserve">numeral 87.5 del </w:t>
      </w:r>
      <w:r w:rsidRPr="000B65DE">
        <w:rPr>
          <w:rFonts w:ascii="Bookman Old Style" w:hAnsi="Bookman Old Style"/>
          <w:spacing w:val="-3"/>
          <w:lang w:val="es-ES_tradnl"/>
        </w:rPr>
        <w:t xml:space="preserve">Artículo 87 de la Ley 142 de 1994, se entiende que las fórmulas tarifarias se elaborarán en tal forma que se facilite su comprensión, aplicación y control. </w:t>
      </w:r>
    </w:p>
    <w:p w:rsidR="000B65DE" w:rsidRPr="000B65DE" w:rsidRDefault="000B65DE" w:rsidP="000B65DE">
      <w:pPr>
        <w:tabs>
          <w:tab w:val="left" w:pos="-720"/>
        </w:tabs>
        <w:suppressAutoHyphens/>
        <w:spacing w:line="288" w:lineRule="auto"/>
        <w:ind w:left="0"/>
        <w:jc w:val="both"/>
        <w:rPr>
          <w:rFonts w:ascii="Bookman Old Style" w:hAnsi="Bookman Old Style"/>
          <w:spacing w:val="-3"/>
          <w:lang w:val="es-ES_tradnl"/>
        </w:rPr>
      </w:pPr>
      <w:r w:rsidRPr="000B65DE">
        <w:rPr>
          <w:rFonts w:ascii="Bookman Old Style" w:hAnsi="Bookman Old Style"/>
          <w:spacing w:val="-3"/>
          <w:lang w:val="es-ES_tradnl"/>
        </w:rPr>
        <w:t xml:space="preserve"> </w:t>
      </w:r>
    </w:p>
    <w:p w:rsidR="000B65DE" w:rsidRPr="000B65DE" w:rsidRDefault="000B65DE" w:rsidP="000B65DE">
      <w:pPr>
        <w:ind w:left="0"/>
        <w:jc w:val="both"/>
        <w:rPr>
          <w:rFonts w:ascii="Bookman Old Style" w:hAnsi="Bookman Old Style"/>
        </w:rPr>
      </w:pPr>
      <w:r w:rsidRPr="000B65DE">
        <w:rPr>
          <w:rFonts w:ascii="Bookman Old Style" w:hAnsi="Bookman Old Style"/>
        </w:rPr>
        <w:t xml:space="preserve">De conformidad con el </w:t>
      </w:r>
      <w:r w:rsidR="00E139B1">
        <w:rPr>
          <w:rFonts w:ascii="Bookman Old Style" w:hAnsi="Bookman Old Style"/>
        </w:rPr>
        <w:t xml:space="preserve">numeral </w:t>
      </w:r>
      <w:r w:rsidRPr="000B65DE">
        <w:rPr>
          <w:rFonts w:ascii="Bookman Old Style" w:hAnsi="Bookman Old Style"/>
        </w:rPr>
        <w:t xml:space="preserve">87.8 </w:t>
      </w:r>
      <w:r w:rsidR="00E139B1">
        <w:rPr>
          <w:rFonts w:ascii="Bookman Old Style" w:hAnsi="Bookman Old Style"/>
        </w:rPr>
        <w:t xml:space="preserve">del Artículo 87 </w:t>
      </w:r>
      <w:r w:rsidRPr="000B65DE">
        <w:rPr>
          <w:rFonts w:ascii="Bookman Old Style" w:hAnsi="Bookman Old Style"/>
        </w:rPr>
        <w:t>de la Ley 142 de 1994 toda tarifa tendrá un carácter integral en el sentido que supondrá una calidad y grado de cobertura del servicio, cuyas características definirán las comisiones reguladoras.</w:t>
      </w:r>
    </w:p>
    <w:p w:rsidR="000B65DE" w:rsidRPr="000B65DE" w:rsidRDefault="000B65DE" w:rsidP="000B65DE">
      <w:pPr>
        <w:ind w:left="0"/>
        <w:jc w:val="both"/>
        <w:rPr>
          <w:rFonts w:ascii="Bookman Old Style" w:hAnsi="Bookman Old Style"/>
        </w:rPr>
      </w:pPr>
    </w:p>
    <w:p w:rsidR="000B65DE" w:rsidRPr="000B65DE" w:rsidRDefault="000B65DE" w:rsidP="000B65DE">
      <w:pPr>
        <w:autoSpaceDE w:val="0"/>
        <w:autoSpaceDN w:val="0"/>
        <w:adjustRightInd w:val="0"/>
        <w:spacing w:after="252" w:line="253" w:lineRule="atLeast"/>
        <w:ind w:left="0"/>
        <w:jc w:val="both"/>
        <w:rPr>
          <w:rFonts w:ascii="Bookman Old Style" w:hAnsi="Bookman Old Style" w:cs="Arial"/>
          <w:lang w:val="es-ES_tradnl" w:eastAsia="es-CO"/>
        </w:rPr>
      </w:pPr>
      <w:r w:rsidRPr="000B65DE">
        <w:rPr>
          <w:rFonts w:ascii="Bookman Old Style" w:hAnsi="Bookman Old Style" w:cs="Arial"/>
          <w:spacing w:val="-3"/>
          <w:lang w:val="es-ES_tradnl" w:eastAsia="es-CO"/>
        </w:rPr>
        <w:t xml:space="preserve">El numeral 87.9 del Artículo 87 de la Ley 142 de 1994, modificado por el artículo 99 de la Ley 1450 de 2011 </w:t>
      </w:r>
      <w:r w:rsidRPr="000B65DE">
        <w:rPr>
          <w:rFonts w:ascii="Bookman Old Style" w:hAnsi="Bookman Old Style" w:cs="Arial"/>
          <w:lang w:val="es-ES_tradnl" w:eastAsia="es-CO"/>
        </w:rPr>
        <w:t>estableció que:</w:t>
      </w:r>
    </w:p>
    <w:p w:rsidR="000B65DE" w:rsidRPr="000B65DE" w:rsidRDefault="000B65DE" w:rsidP="000B65DE">
      <w:pPr>
        <w:autoSpaceDE w:val="0"/>
        <w:autoSpaceDN w:val="0"/>
        <w:adjustRightInd w:val="0"/>
        <w:spacing w:after="252" w:line="253" w:lineRule="atLeast"/>
        <w:ind w:left="708"/>
        <w:jc w:val="both"/>
        <w:rPr>
          <w:rFonts w:ascii="Bookman Old Style" w:hAnsi="Bookman Old Style" w:cs="Arial"/>
          <w:color w:val="000000"/>
          <w:lang w:val="es-CO" w:eastAsia="es-CO"/>
        </w:rPr>
      </w:pPr>
      <w:r w:rsidRPr="000B65DE">
        <w:rPr>
          <w:rFonts w:ascii="Bookman Old Style" w:hAnsi="Bookman Old Style" w:cs="Arial"/>
          <w:color w:val="000000"/>
          <w:lang w:val="es-CO" w:eastAsia="es-CO"/>
        </w:rPr>
        <w:t xml:space="preserve">"87.9 Las Entidades públicas podrán aportar bienes o derechos a las empresas de servicios públicos domiciliarios, siempre y cuando su valor no se incluya en el cálculo de las tarifas que hayan de cobrarse a los usuarios y que en el presupuesto de la entidad que autorice el aporte figure este valor. Las Comisiones de Regulación establecerán los mecanismos necesarios para garantizar la reposición y mantenimiento de estos bienes. </w:t>
      </w:r>
    </w:p>
    <w:p w:rsidR="000B65DE" w:rsidRPr="000B65DE" w:rsidRDefault="000B65DE" w:rsidP="000B65DE">
      <w:pPr>
        <w:ind w:left="708"/>
        <w:jc w:val="both"/>
        <w:rPr>
          <w:rFonts w:ascii="Bookman Old Style" w:hAnsi="Bookman Old Style"/>
          <w:color w:val="000000"/>
        </w:rPr>
      </w:pPr>
      <w:r w:rsidRPr="000B65DE">
        <w:rPr>
          <w:rFonts w:ascii="Bookman Old Style" w:hAnsi="Bookman Old Style"/>
          <w:color w:val="000000"/>
        </w:rPr>
        <w:t>Lo dispuesto en el presente artículo no es aplicable cuando se realice enajenación o capitalización de dichos bienes o derechos".</w:t>
      </w:r>
    </w:p>
    <w:p w:rsidR="000B65DE" w:rsidRPr="000B65DE" w:rsidRDefault="000B65DE" w:rsidP="000B65DE">
      <w:pPr>
        <w:ind w:left="708"/>
        <w:jc w:val="both"/>
        <w:rPr>
          <w:rFonts w:ascii="Bookman Old Style" w:hAnsi="Bookman Old Style"/>
          <w:lang w:val="es-ES_tradnl"/>
        </w:rPr>
      </w:pPr>
    </w:p>
    <w:p w:rsidR="000B65DE" w:rsidRPr="000B65DE" w:rsidRDefault="000B65DE" w:rsidP="000B65DE">
      <w:pPr>
        <w:ind w:left="0"/>
        <w:jc w:val="both"/>
        <w:rPr>
          <w:rFonts w:ascii="Bookman Old Style" w:hAnsi="Bookman Old Style"/>
        </w:rPr>
      </w:pPr>
      <w:r w:rsidRPr="000B65DE">
        <w:rPr>
          <w:rFonts w:ascii="Bookman Old Style" w:hAnsi="Bookman Old Style"/>
        </w:rPr>
        <w:t xml:space="preserve">Según lo dispuesto por el </w:t>
      </w:r>
      <w:r w:rsidR="00E139B1">
        <w:rPr>
          <w:rFonts w:ascii="Bookman Old Style" w:hAnsi="Bookman Old Style"/>
        </w:rPr>
        <w:t xml:space="preserve">numeral </w:t>
      </w:r>
      <w:r w:rsidRPr="000B65DE">
        <w:rPr>
          <w:rFonts w:ascii="Bookman Old Style" w:hAnsi="Bookman Old Style"/>
        </w:rPr>
        <w:t xml:space="preserve">88.1 </w:t>
      </w:r>
      <w:r w:rsidR="00E139B1">
        <w:rPr>
          <w:rFonts w:ascii="Bookman Old Style" w:hAnsi="Bookman Old Style"/>
        </w:rPr>
        <w:t xml:space="preserve">del Artículo 88 </w:t>
      </w:r>
      <w:r w:rsidRPr="000B65DE">
        <w:rPr>
          <w:rFonts w:ascii="Bookman Old Style" w:hAnsi="Bookman Old Style"/>
        </w:rPr>
        <w:t>de la Ley 142 de 1994, la Comisión Reguladora podrá establecer topes máximos y mínimos tarifarios, de obligatorio cumplimiento por parte de las empresas.</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r w:rsidRPr="000B65DE">
        <w:rPr>
          <w:rFonts w:ascii="Bookman Old Style" w:hAnsi="Bookman Old Style"/>
        </w:rPr>
        <w:t>El Artículo 90 de la Ley 142 de 1994 establece que sin perjuicio de otras alternativas que pueden definir las comisiones de regulación, podrán incluirse un cargo por unidad de consumo, un cargo fijo, un cargo por aportes por conexión; así mismo determina que las comisiones de regulación siempre podrán diseñar y hacer públicas diversas opciones tarifarias que tomen en cuenta diseños óptimos de tarifas.</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r w:rsidRPr="000B65DE">
        <w:rPr>
          <w:rFonts w:ascii="Bookman Old Style" w:hAnsi="Bookman Old Style"/>
        </w:rPr>
        <w:t xml:space="preserve">En relación con el cargo fijo, el </w:t>
      </w:r>
      <w:r w:rsidR="00E139B1">
        <w:rPr>
          <w:rFonts w:ascii="Bookman Old Style" w:hAnsi="Bookman Old Style"/>
        </w:rPr>
        <w:t xml:space="preserve">numeral 90.2 del </w:t>
      </w:r>
      <w:r w:rsidRPr="000B65DE">
        <w:rPr>
          <w:rFonts w:ascii="Bookman Old Style" w:hAnsi="Bookman Old Style"/>
        </w:rPr>
        <w:t>Artículo 90 de la Ley 142 de 1994, dispone que dentro de las fórmulas tarifarias podrá incluirse un cargo fijo que refleje los costos económicos involucrados en garantizar la disponibilidad permanente del servicio para el usuario, independientemente del nivel de uso.</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r w:rsidRPr="000B65DE">
        <w:rPr>
          <w:rFonts w:ascii="Bookman Old Style" w:hAnsi="Bookman Old Style"/>
        </w:rPr>
        <w:t>El Artículo 91 de la Ley 142 de 1994 dispuso que para establecer las fórmulas tarifarias se calculará por separado, cuando sea posible, una fórmula para cada una de las diversas etapas del servicio.</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 xml:space="preserve">El Artículo 98 de la Ley 142 de 1994 prohíbe a quienes presten servicios públicos ofrecer tarifas inferiores a sus costos operacionales promedio con el ánimo de desplazar competidores, prevenir la entrada de nuevos oferentes o ganar posición dominante ante el mercado o ante clientes potenciales. </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 xml:space="preserve">Los Artículos 106 y siguientes de la Ley 142 de 1994 establecen los procedimientos que deben aplicarse con el propósito de producir actos administrativos unilaterales a que dé origen el cumplimiento de la citada Ley. </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 xml:space="preserve">El Artículo 125 de la ley 142 de 1994 establece disposiciones relacionadas con la actualización de las tarifas que se cobran a los usuarios. </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rPr>
      </w:pPr>
      <w:r w:rsidRPr="000B65DE">
        <w:rPr>
          <w:rFonts w:ascii="Bookman Old Style" w:hAnsi="Bookman Old Style"/>
        </w:rPr>
        <w:t>El Artículo 126 de la Ley 142 de 1994, establece el período de vigencia de las fórmulas tarifarias, vencido el cual, éstas continuarán rigiendo mientras la Comisión no fije las nuevas.</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r w:rsidRPr="000B65DE">
        <w:rPr>
          <w:rFonts w:ascii="Bookman Old Style" w:hAnsi="Bookman Old Style"/>
        </w:rPr>
        <w:t xml:space="preserve">El Artículo 136 de la Ley 142 de 1994, dispone que la prestación continua de un servicio de buena calidad es la obligación principal de las empresas de servicios públicos domiciliarios. </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cs="Arial"/>
        </w:rPr>
        <w:t xml:space="preserve">La </w:t>
      </w:r>
      <w:r w:rsidRPr="000B65DE">
        <w:rPr>
          <w:rFonts w:ascii="Bookman Old Style" w:hAnsi="Bookman Old Style" w:cs="Arial"/>
          <w:lang w:val="es-ES_tradnl"/>
        </w:rPr>
        <w:t xml:space="preserve">jurisprudencia de la </w:t>
      </w:r>
      <w:r w:rsidRPr="000B65DE">
        <w:rPr>
          <w:rFonts w:ascii="Bookman Old Style" w:hAnsi="Bookman Old Style" w:cs="Arial"/>
        </w:rPr>
        <w:t xml:space="preserve">Corte Constitucional </w:t>
      </w:r>
      <w:r w:rsidRPr="000B65DE">
        <w:rPr>
          <w:rFonts w:ascii="Bookman Old Style" w:hAnsi="Bookman Old Style" w:cs="Arial"/>
          <w:lang w:val="es-ES_tradnl"/>
        </w:rPr>
        <w:t xml:space="preserve">(sentencias </w:t>
      </w:r>
      <w:r w:rsidRPr="000B65DE">
        <w:rPr>
          <w:rFonts w:ascii="Bookman Old Style" w:hAnsi="Bookman Old Style"/>
          <w:lang w:val="es-ES_tradnl"/>
        </w:rPr>
        <w:t xml:space="preserve">C-585 de 1995, C- 035 de 2003 y C-075 de 2006) </w:t>
      </w:r>
      <w:r w:rsidRPr="000B65DE">
        <w:rPr>
          <w:rFonts w:ascii="Bookman Old Style" w:hAnsi="Bookman Old Style" w:cs="Arial"/>
        </w:rPr>
        <w:t xml:space="preserve">ha dispuesto que </w:t>
      </w:r>
      <w:r w:rsidRPr="000B65DE">
        <w:rPr>
          <w:rFonts w:ascii="Bookman Old Style" w:hAnsi="Bookman Old Style" w:cs="Arial"/>
          <w:lang w:val="es-ES_tradnl" w:eastAsia="es-CO"/>
        </w:rPr>
        <w:t xml:space="preserve">los servicios públicos domiciliarios “son aquellos que se prestan a través del sistema de redes físicas o humanas con puntos terminales en las viviendas o sitios de trabajo de los usuarios y cumplen con la finalidad específica de satisfacer necesidades esenciales de la persona (…)”. </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rPr>
      </w:pPr>
      <w:r w:rsidRPr="000B65DE">
        <w:rPr>
          <w:rFonts w:ascii="Bookman Old Style" w:hAnsi="Bookman Old Style"/>
        </w:rPr>
        <w:t xml:space="preserve">Mediante Ley 1437 de 2011 se expidió el Código de Procedimiento Administrativo y de lo Contencioso Administrativo. </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r w:rsidRPr="000B65DE">
        <w:rPr>
          <w:rFonts w:ascii="Bookman Old Style" w:hAnsi="Bookman Old Style"/>
        </w:rPr>
        <w:t xml:space="preserve">La Corte Constitucional en sentencia C-818 de 2011, decretó la inexequibilidad diferida hasta el 31 de diciembre de 2014 de los artículos 13 a 33 de la Ley 1437 de 2011.  </w:t>
      </w:r>
    </w:p>
    <w:p w:rsidR="000B65DE" w:rsidRPr="000B65DE" w:rsidRDefault="000B65DE" w:rsidP="000B65DE">
      <w:pPr>
        <w:ind w:left="0"/>
        <w:jc w:val="both"/>
        <w:rPr>
          <w:rFonts w:ascii="Bookman Old Style" w:hAnsi="Bookman Old Style"/>
        </w:rPr>
      </w:pPr>
    </w:p>
    <w:p w:rsidR="000B65DE" w:rsidRDefault="000B65DE" w:rsidP="000B65DE">
      <w:pPr>
        <w:ind w:left="0"/>
        <w:jc w:val="both"/>
        <w:rPr>
          <w:rFonts w:ascii="Bookman Old Style" w:hAnsi="Bookman Old Style" w:cs="Arial"/>
        </w:rPr>
      </w:pPr>
      <w:r w:rsidRPr="000B65DE">
        <w:rPr>
          <w:rFonts w:ascii="Bookman Old Style" w:hAnsi="Bookman Old Style" w:cs="Arial"/>
        </w:rPr>
        <w:t>Tal y como lo ha señalado la Jurisprudencia de la H. Corte Constitucional en sentencia C 150-03, la función de regulación puede materializarse mediante actos administrativos de carácter general, como por medio de actos administrativos de carácter particular.</w:t>
      </w:r>
    </w:p>
    <w:p w:rsidR="00C7068E" w:rsidRPr="000B65DE" w:rsidRDefault="00C7068E" w:rsidP="000B65DE">
      <w:pPr>
        <w:ind w:left="0"/>
        <w:jc w:val="both"/>
        <w:rPr>
          <w:rFonts w:ascii="Bookman Old Style" w:hAnsi="Bookman Old Style" w:cs="Arial"/>
        </w:rPr>
      </w:pPr>
    </w:p>
    <w:p w:rsidR="000B65DE" w:rsidRPr="000B65DE" w:rsidRDefault="000B65DE" w:rsidP="000B65DE">
      <w:pPr>
        <w:ind w:left="0"/>
        <w:jc w:val="both"/>
        <w:rPr>
          <w:rFonts w:ascii="Bookman Old Style" w:hAnsi="Bookman Old Style"/>
        </w:rPr>
      </w:pPr>
      <w:r w:rsidRPr="000B65DE">
        <w:rPr>
          <w:rFonts w:ascii="Bookman Old Style" w:hAnsi="Bookman Old Style"/>
        </w:rPr>
        <w:t>Mediante Resolución CREG-045 de 2002, la Comisión estableció la metodología de cálculo y ajuste para la determinación de la tasa de retorno que utilizará en las fórmulas tarifarias de la actividad de distribución de gas combustible por redes para el próximo período tarifario.</w:t>
      </w:r>
    </w:p>
    <w:p w:rsidR="000B65DE" w:rsidRPr="000B65DE" w:rsidRDefault="000B65DE" w:rsidP="000B65DE">
      <w:pPr>
        <w:tabs>
          <w:tab w:val="left" w:pos="5345"/>
        </w:tabs>
        <w:ind w:left="0"/>
        <w:jc w:val="both"/>
        <w:rPr>
          <w:rFonts w:ascii="Bookman Old Style" w:hAnsi="Bookman Old Style"/>
          <w:lang w:val="es-ES_tradnl"/>
        </w:rPr>
      </w:pPr>
    </w:p>
    <w:p w:rsidR="000B65DE" w:rsidRPr="000B65DE" w:rsidRDefault="000B65DE" w:rsidP="000B65DE">
      <w:pPr>
        <w:tabs>
          <w:tab w:val="left" w:pos="5345"/>
        </w:tabs>
        <w:ind w:left="0"/>
        <w:jc w:val="both"/>
        <w:rPr>
          <w:rFonts w:ascii="Bookman Old Style" w:hAnsi="Bookman Old Style"/>
          <w:lang w:val="es-ES_tradnl"/>
        </w:rPr>
      </w:pPr>
      <w:r w:rsidRPr="000B65DE">
        <w:rPr>
          <w:rFonts w:ascii="Bookman Old Style" w:hAnsi="Bookman Old Style"/>
          <w:lang w:val="es-ES_tradnl"/>
        </w:rPr>
        <w:t>Mediante la Resolución CREG-011 de 2003, la Comisión de Regulación de Energía y Gas aprobó los criterios generales para remunerar las actividades de distribución y comercialización de gas combustible, y las fórmulas generales para la prestación del servicio público domiciliario de distribución de gas combustible por redes de tubería.</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 xml:space="preserve">Con base en los mencionados criterios, la Comisión de Regulación de Energía y Gas aprobó el Cargo Promedio de Distribución (Dt) y el Cargo Máximo Base de Comercialización (Co) a cada uno de los mercados relevantes atendidos por las empresas prestadoras del servicio público de gas combustible. </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r w:rsidRPr="000B65DE">
        <w:rPr>
          <w:rFonts w:ascii="Bookman Old Style" w:hAnsi="Bookman Old Style"/>
        </w:rPr>
        <w:t>El régimen tarifario definido en las resoluciones antes citadas, fue aprobado bajo la modalidad de Libertad Regulada.</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r w:rsidRPr="000B65DE">
        <w:rPr>
          <w:rFonts w:ascii="Bookman Old Style" w:hAnsi="Bookman Old Style"/>
        </w:rPr>
        <w:t>Mediante la Resolución CREG 100 de 2003 se adoptaron  los Estándares de Calidad en el servicio público domiciliario de gas natural y GLP en Sistemas de Distribución por redes de tubería.</w:t>
      </w:r>
    </w:p>
    <w:p w:rsidR="000B65DE" w:rsidRPr="000B65DE" w:rsidRDefault="000B65DE" w:rsidP="000B65DE">
      <w:pPr>
        <w:ind w:left="0"/>
        <w:jc w:val="both"/>
        <w:rPr>
          <w:rFonts w:ascii="Bookman Old Style" w:hAnsi="Bookman Old Style"/>
        </w:rPr>
      </w:pPr>
    </w:p>
    <w:p w:rsidR="000B65DE" w:rsidRPr="000B65DE" w:rsidRDefault="000B65DE" w:rsidP="000B65DE">
      <w:pPr>
        <w:ind w:left="0" w:right="20"/>
        <w:jc w:val="both"/>
        <w:rPr>
          <w:rFonts w:ascii="Bookman Old Style" w:hAnsi="Bookman Old Style" w:cs="Arial"/>
          <w:lang w:val="es-ES_tradnl"/>
        </w:rPr>
      </w:pPr>
      <w:r w:rsidRPr="000B65DE">
        <w:rPr>
          <w:rFonts w:ascii="Bookman Old Style" w:hAnsi="Bookman Old Style" w:cs="Arial"/>
          <w:lang w:val="es-ES_tradnl"/>
        </w:rPr>
        <w:t>Mediante Documento CREG-009 de 2004, se definieron los criterios para establecer los gastos eficientes de AOM para las actividades de distribución y comercialización, el factor de eficiencia en redes, así como los gastos eficientes de AOM para el control y monitoreo de los estándares de calidad definidos mediante Resolución CREG-100 de 2003.</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r w:rsidRPr="000B65DE">
        <w:rPr>
          <w:rFonts w:ascii="Bookman Old Style" w:hAnsi="Bookman Old Style"/>
        </w:rPr>
        <w:t xml:space="preserve">El Decreto 802 de 2004, expedido por el Ministerio de Minas y Energía y que  estableció algunas disposiciones para incentivar el consumo del Gas Natural Comprimido para uso Vehicular, GNCV, indicó en su Artículo 3, que la Comisión de Regulación de Energía y Gas, CREG, dentro de los </w:t>
      </w:r>
      <w:r w:rsidR="00252641">
        <w:rPr>
          <w:rFonts w:ascii="Bookman Old Style" w:hAnsi="Bookman Old Style"/>
        </w:rPr>
        <w:t>tres</w:t>
      </w:r>
      <w:r w:rsidRPr="000B65DE">
        <w:rPr>
          <w:rFonts w:ascii="Bookman Old Style" w:hAnsi="Bookman Old Style"/>
        </w:rPr>
        <w:t xml:space="preserve"> (</w:t>
      </w:r>
      <w:r w:rsidR="00252641">
        <w:rPr>
          <w:rFonts w:ascii="Bookman Old Style" w:hAnsi="Bookman Old Style"/>
        </w:rPr>
        <w:t>3</w:t>
      </w:r>
      <w:r w:rsidRPr="000B65DE">
        <w:rPr>
          <w:rFonts w:ascii="Bookman Old Style" w:hAnsi="Bookman Old Style"/>
        </w:rPr>
        <w:t xml:space="preserve">) meses siguientes, contados a partir de la expedición del presente Decreto, cuando haya lugar a ello, ajustaría las disposiciones regulatorias vigentes en las actividades de su competencia para incentivar el consumo de Gas Natural Comprimido para uso Vehicular, GNCV. </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r w:rsidRPr="000B65DE">
        <w:rPr>
          <w:rFonts w:ascii="Bookman Old Style" w:hAnsi="Bookman Old Style"/>
        </w:rPr>
        <w:t>Mediante la Resolución CREG 018 de 2004, se dio cumplimiento a las disposiciones previstas en el Artículo 3 del Decreto 802 de 2004.</w:t>
      </w:r>
    </w:p>
    <w:p w:rsidR="000B65DE" w:rsidRPr="000B65DE" w:rsidRDefault="000B65DE" w:rsidP="000B65DE">
      <w:pPr>
        <w:ind w:left="0"/>
        <w:jc w:val="both"/>
        <w:rPr>
          <w:rFonts w:ascii="Bookman Old Style" w:hAnsi="Bookman Old Style" w:cs="Arial"/>
          <w:lang w:val="es-ES_tradnl"/>
        </w:rPr>
      </w:pPr>
    </w:p>
    <w:p w:rsidR="000B65DE" w:rsidRPr="000B65DE" w:rsidRDefault="000B65DE" w:rsidP="000B65DE">
      <w:pPr>
        <w:ind w:left="0"/>
        <w:jc w:val="both"/>
        <w:rPr>
          <w:rFonts w:ascii="Bookman Old Style" w:hAnsi="Bookman Old Style"/>
        </w:rPr>
      </w:pPr>
      <w:r w:rsidRPr="000B65DE">
        <w:rPr>
          <w:rFonts w:ascii="Bookman Old Style" w:hAnsi="Bookman Old Style"/>
        </w:rPr>
        <w:lastRenderedPageBreak/>
        <w:t>Mediante el Decreto 1008 de 2006 se estipuló que con el objeto de impulsar la utilización del GNCV en los sistemas terrestres masivos de pasajeros se introdujera un incentivo tarifario de la regulación de la actividad de distribución de gas natural por redes. En este sentido la Comisión de Regulación de Energía y Gas expidió la Resolución CREG-020 de 2006.</w:t>
      </w:r>
    </w:p>
    <w:p w:rsidR="00C7068E" w:rsidRDefault="00C7068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r w:rsidRPr="000B65DE">
        <w:rPr>
          <w:rFonts w:ascii="Bookman Old Style" w:hAnsi="Bookman Old Style"/>
        </w:rPr>
        <w:t>Mediante la Resolución CREG 069 de 2006, se dio cumplimiento a lo dispuesto por el Parágrafo Primero del Artículo Primero de la Resolución CREG 045 de 2002  en donde se previó lo siguiente: “En el mes de junio del tercer año de vigencia del próximo período tarifario, se realizará un ajuste de la tasa de retorno con la información disponible de las fuentes establecidas en el Numeral 2 del Anexo de la presente resolución denominado “Parámetros, Valores de los Parámetros, Metodología de Cálculo y Ajuste de las Tasas de Retorno para la Actividad de Distribución de Gas Combustible por Redes”, actualizando únicamente los valores del costo de deuda, la tasa libre de riesgo y los spreads de la deuda soberana”.</w:t>
      </w:r>
    </w:p>
    <w:p w:rsidR="000B65DE" w:rsidRPr="000B65DE" w:rsidRDefault="000B65DE" w:rsidP="000B65DE">
      <w:pPr>
        <w:ind w:left="0"/>
        <w:jc w:val="both"/>
        <w:rPr>
          <w:rFonts w:ascii="Bookman Old Style" w:hAnsi="Bookman Old Style"/>
        </w:rPr>
      </w:pPr>
    </w:p>
    <w:p w:rsidR="000B65DE" w:rsidRPr="000B65DE" w:rsidRDefault="000B65DE" w:rsidP="000B65DE">
      <w:pPr>
        <w:ind w:left="0" w:right="-23"/>
        <w:jc w:val="both"/>
        <w:rPr>
          <w:rFonts w:ascii="Bookman Old Style" w:hAnsi="Bookman Old Style" w:cs="Arial"/>
          <w:lang w:val="es-ES_tradnl"/>
        </w:rPr>
      </w:pPr>
      <w:r w:rsidRPr="000B65DE">
        <w:rPr>
          <w:rFonts w:ascii="Bookman Old Style" w:hAnsi="Bookman Old Style"/>
        </w:rPr>
        <w:t>Mediante Resolución CREG-136 de 2008, la Comisión de Regulación de Energía y Gas</w:t>
      </w:r>
      <w:r w:rsidRPr="000B65DE">
        <w:rPr>
          <w:rFonts w:ascii="Bookman Old Style" w:hAnsi="Bookman Old Style"/>
          <w:lang w:val="es-ES_tradnl"/>
        </w:rPr>
        <w:t xml:space="preserve"> sometió a consideración de los agentes, usuarios y terceros interesados, </w:t>
      </w:r>
      <w:r w:rsidRPr="000B65DE">
        <w:rPr>
          <w:rFonts w:ascii="Bookman Old Style" w:hAnsi="Bookman Old Style" w:cs="Arial"/>
          <w:lang w:val="es-ES_tradnl"/>
        </w:rPr>
        <w:t>las bases sobre las cuales se efectuarían los estudios para determinar la metodología de remuneración de las actividades de distribución y comercialización de gas combustible por redes y la fórmula tarifaria, en el siguiente período tarifario.</w:t>
      </w:r>
    </w:p>
    <w:p w:rsidR="000B65DE" w:rsidRPr="000B65DE" w:rsidRDefault="000B65DE" w:rsidP="000B65DE">
      <w:pPr>
        <w:ind w:left="0" w:right="-23"/>
        <w:jc w:val="both"/>
        <w:rPr>
          <w:rFonts w:ascii="Bookman Old Style" w:hAnsi="Bookman Old Style"/>
          <w:lang w:val="es-ES_tradnl"/>
        </w:rPr>
      </w:pPr>
    </w:p>
    <w:p w:rsidR="000B65DE" w:rsidRPr="000B65DE" w:rsidRDefault="000B65DE" w:rsidP="000B65DE">
      <w:pPr>
        <w:ind w:left="0" w:right="-23"/>
        <w:jc w:val="both"/>
        <w:rPr>
          <w:rFonts w:ascii="Bookman Old Style" w:hAnsi="Bookman Old Style"/>
          <w:lang w:val="es-ES_tradnl"/>
        </w:rPr>
      </w:pPr>
      <w:r w:rsidRPr="000B65DE">
        <w:rPr>
          <w:rFonts w:ascii="Bookman Old Style" w:hAnsi="Bookman Old Style"/>
          <w:lang w:val="es-ES_tradnl"/>
        </w:rPr>
        <w:t>La Comisión adelantó los estudios: “Consultoría para la evaluación de la metodología de Canasta de Tarifas de la actividad de distribución de gas combustible por redes de tubería con la firma SANIG Servicios” y la</w:t>
      </w:r>
      <w:r w:rsidRPr="000B65DE">
        <w:rPr>
          <w:rFonts w:ascii="Bookman Old Style" w:hAnsi="Bookman Old Style"/>
          <w:noProof/>
          <w:lang w:val="es-ES_tradnl"/>
        </w:rPr>
        <w:t xml:space="preserve"> “Consultoría para la actualización de las unidades constructivas asociadas a los activos inherentes a la actividad de distribución de gas combustible por redes, y los costos eficientes de cada una para ser consideradas en el próximo períodotarifario” con la firma Itansuca Proyectos de Ingeniería S.A. </w:t>
      </w:r>
    </w:p>
    <w:p w:rsidR="000B65DE" w:rsidRPr="000B65DE" w:rsidRDefault="000B65DE" w:rsidP="000B65DE">
      <w:pPr>
        <w:ind w:left="0" w:right="-23"/>
        <w:jc w:val="both"/>
        <w:rPr>
          <w:rFonts w:ascii="Bookman Old Style" w:hAnsi="Bookman Old Style"/>
          <w:lang w:val="es-ES_tradnl"/>
        </w:rPr>
      </w:pPr>
    </w:p>
    <w:p w:rsidR="000B65DE" w:rsidRPr="000B65DE" w:rsidRDefault="000B65DE" w:rsidP="000B65DE">
      <w:pPr>
        <w:ind w:left="0" w:right="-23"/>
        <w:jc w:val="both"/>
        <w:rPr>
          <w:rFonts w:ascii="Bookman Old Style" w:hAnsi="Bookman Old Style"/>
          <w:lang w:val="es-ES_tradnl"/>
        </w:rPr>
      </w:pPr>
      <w:r w:rsidRPr="000B65DE">
        <w:rPr>
          <w:rFonts w:ascii="Bookman Old Style" w:hAnsi="Bookman Old Style"/>
          <w:lang w:val="es-ES_tradnl"/>
        </w:rPr>
        <w:t>Adicionalmente, internamente se adelantaron estudios para la determinación de gastos de administración, operación y mantenimiento  y el factor de productividad.</w:t>
      </w:r>
    </w:p>
    <w:p w:rsidR="000B65DE" w:rsidRPr="000B65DE" w:rsidRDefault="000B65DE" w:rsidP="000B65DE">
      <w:pPr>
        <w:ind w:left="0" w:right="-23"/>
        <w:jc w:val="both"/>
        <w:rPr>
          <w:rFonts w:ascii="Bookman Old Style" w:hAnsi="Bookman Old Style"/>
          <w:lang w:val="es-ES_tradnl"/>
        </w:rPr>
      </w:pPr>
    </w:p>
    <w:p w:rsidR="000B65DE" w:rsidRPr="000B65DE" w:rsidRDefault="000B65DE" w:rsidP="000B65DE">
      <w:pPr>
        <w:ind w:left="0" w:right="-23"/>
        <w:jc w:val="both"/>
        <w:rPr>
          <w:rFonts w:ascii="Bookman Old Style" w:hAnsi="Bookman Old Style"/>
          <w:lang w:val="es-ES_tradnl"/>
        </w:rPr>
      </w:pPr>
      <w:r w:rsidRPr="000B65DE">
        <w:rPr>
          <w:rFonts w:ascii="Bookman Old Style" w:hAnsi="Bookman Old Style"/>
          <w:lang w:val="es-ES_tradnl"/>
        </w:rPr>
        <w:t xml:space="preserve">El Ministerio de Minas y Energía expidió el Decreto 2730 de 2010 </w:t>
      </w:r>
      <w:r w:rsidR="00DB57F8">
        <w:rPr>
          <w:rFonts w:ascii="Bookman Old Style" w:hAnsi="Bookman Old Style"/>
          <w:lang w:val="es-ES_tradnl"/>
        </w:rPr>
        <w:t>“P</w:t>
      </w:r>
      <w:r w:rsidRPr="000B65DE">
        <w:rPr>
          <w:rFonts w:ascii="Bookman Old Style" w:hAnsi="Bookman Old Style"/>
          <w:lang w:val="es-ES_tradnl"/>
        </w:rPr>
        <w:t>or el cual se establecen los instrumentos para asegurar el abastecimiento nacional de gas natural y se dictan otras disposiciones</w:t>
      </w:r>
      <w:r w:rsidR="00DB57F8">
        <w:rPr>
          <w:rFonts w:ascii="Bookman Old Style" w:hAnsi="Bookman Old Style"/>
          <w:lang w:val="es-ES_tradnl"/>
        </w:rPr>
        <w:t>”</w:t>
      </w:r>
      <w:r w:rsidRPr="000B65DE">
        <w:rPr>
          <w:rFonts w:ascii="Bookman Old Style" w:hAnsi="Bookman Old Style"/>
          <w:lang w:val="es-ES_tradnl"/>
        </w:rPr>
        <w:t xml:space="preserve">, </w:t>
      </w:r>
      <w:r w:rsidR="00DB57F8">
        <w:rPr>
          <w:rFonts w:ascii="Bookman Old Style" w:hAnsi="Bookman Old Style"/>
          <w:lang w:val="es-ES_tradnl"/>
        </w:rPr>
        <w:t xml:space="preserve">en donde </w:t>
      </w:r>
      <w:r w:rsidRPr="000B65DE">
        <w:rPr>
          <w:rFonts w:ascii="Bookman Old Style" w:hAnsi="Bookman Old Style"/>
          <w:lang w:val="es-ES_tradnl"/>
        </w:rPr>
        <w:t xml:space="preserve">se define </w:t>
      </w:r>
      <w:r w:rsidR="00DB57F8">
        <w:rPr>
          <w:rFonts w:ascii="Bookman Old Style" w:hAnsi="Bookman Old Style"/>
          <w:lang w:val="es-ES_tradnl"/>
        </w:rPr>
        <w:t xml:space="preserve">el </w:t>
      </w:r>
      <w:r w:rsidRPr="000B65DE">
        <w:rPr>
          <w:rFonts w:ascii="Bookman Old Style" w:hAnsi="Bookman Old Style"/>
          <w:lang w:val="es-ES_tradnl"/>
        </w:rPr>
        <w:t>mercado relevante de distribución y se estipulan reglas para expansiones de red que tengan como propósito la interconexión de dos sistemas de distribución.</w:t>
      </w:r>
    </w:p>
    <w:p w:rsidR="000B65DE" w:rsidRPr="000B65DE" w:rsidRDefault="000B65DE" w:rsidP="000B65DE">
      <w:pPr>
        <w:ind w:left="0" w:right="-23"/>
        <w:jc w:val="both"/>
        <w:rPr>
          <w:rFonts w:ascii="Bookman Old Style" w:hAnsi="Bookman Old Style"/>
          <w:lang w:val="es-ES_tradnl"/>
        </w:rPr>
      </w:pPr>
    </w:p>
    <w:p w:rsidR="000B65DE" w:rsidRPr="000B65DE" w:rsidRDefault="000B65DE" w:rsidP="000B65DE">
      <w:pPr>
        <w:ind w:left="0" w:right="-23"/>
        <w:jc w:val="both"/>
        <w:rPr>
          <w:rFonts w:ascii="Bookman Old Style" w:hAnsi="Bookman Old Style"/>
          <w:lang w:val="es-ES_tradnl"/>
        </w:rPr>
      </w:pPr>
      <w:r w:rsidRPr="000B65DE">
        <w:rPr>
          <w:rFonts w:ascii="Bookman Old Style" w:hAnsi="Bookman Old Style"/>
          <w:lang w:val="es-ES_tradnl"/>
        </w:rPr>
        <w:t>El 15 de Junio de 2011, se expidió el Decreto 2100 de 2011 “</w:t>
      </w:r>
      <w:r w:rsidR="00DB57F8">
        <w:rPr>
          <w:rFonts w:ascii="Bookman Old Style" w:hAnsi="Bookman Old Style"/>
          <w:lang w:val="es-ES_tradnl"/>
        </w:rPr>
        <w:t>P</w:t>
      </w:r>
      <w:r w:rsidRPr="000B65DE">
        <w:rPr>
          <w:rFonts w:ascii="Bookman Old Style" w:hAnsi="Bookman Old Style"/>
          <w:lang w:val="es-ES_tradnl"/>
        </w:rPr>
        <w:t xml:space="preserve">or el cual se establecen mecanismos para promover el aseguramiento del abastecimiento nacional de gas natural y se dictan otras disposiciones”, el cual derogó el Decreto 2730 de 2010, modificando en consecuencia los lineamientos de política que habían sido establecidos. </w:t>
      </w:r>
    </w:p>
    <w:p w:rsidR="000B65DE" w:rsidRPr="000B65DE" w:rsidRDefault="000B65DE" w:rsidP="000B65DE">
      <w:pPr>
        <w:ind w:left="0" w:right="-23"/>
        <w:jc w:val="both"/>
        <w:rPr>
          <w:rFonts w:ascii="Bookman Old Style" w:hAnsi="Bookman Old Style"/>
          <w:lang w:val="es-ES_tradnl"/>
        </w:rPr>
      </w:pPr>
    </w:p>
    <w:p w:rsidR="000B65DE" w:rsidRPr="000B65DE" w:rsidRDefault="000B65DE" w:rsidP="000B65DE">
      <w:pPr>
        <w:ind w:left="0" w:right="-23"/>
        <w:jc w:val="both"/>
        <w:rPr>
          <w:rFonts w:ascii="Bookman Old Style" w:hAnsi="Bookman Old Style"/>
          <w:lang w:val="es-ES_tradnl"/>
        </w:rPr>
      </w:pPr>
      <w:r w:rsidRPr="000B65DE">
        <w:rPr>
          <w:rFonts w:ascii="Bookman Old Style" w:eastAsia="Calibri" w:hAnsi="Bookman Old Style" w:cs="Arial"/>
          <w:lang w:eastAsia="en-US"/>
        </w:rPr>
        <w:t xml:space="preserve">El Decreto 2100 de 2011 estableció nuevas directrices en aspectos como: (i) la comercialización del gas natural, (ii) la atención a la demanda esencial y (iii) el régimen de exportaciones e importaciones del energético. </w:t>
      </w:r>
    </w:p>
    <w:p w:rsidR="000B65DE" w:rsidRPr="000B65DE" w:rsidRDefault="000B65DE" w:rsidP="000B65DE">
      <w:pPr>
        <w:ind w:left="0" w:right="-23"/>
        <w:jc w:val="both"/>
        <w:rPr>
          <w:rFonts w:ascii="Bookman Old Style" w:hAnsi="Bookman Old Style"/>
          <w:lang w:val="es-ES_tradnl"/>
        </w:rPr>
      </w:pPr>
    </w:p>
    <w:p w:rsidR="000B65DE" w:rsidRPr="00BA0B86" w:rsidRDefault="000B65DE" w:rsidP="000B65DE">
      <w:pPr>
        <w:ind w:left="0"/>
        <w:jc w:val="both"/>
        <w:rPr>
          <w:rFonts w:ascii="Bookman Old Style" w:hAnsi="Bookman Old Style" w:cs="Arial"/>
        </w:rPr>
      </w:pPr>
      <w:r w:rsidRPr="00BA0B86">
        <w:rPr>
          <w:rFonts w:ascii="Bookman Old Style" w:hAnsi="Bookman Old Style" w:cs="Arial"/>
        </w:rPr>
        <w:t>La Comisión de Regulación de Energía y Gas expidió la Resolución 118 de 2011, “por la cual se ajusta la Resolución CREG 095 de 2008, modificada por las Resoluciones CREG 045 y 147 de 2009, conforme a lo establecido en el Decreto 2100 de 2011, y se dictan otras disposiciones”, la cual fue modificada y precisada por las resoluciones CREG 134, 140, 162 y 168 de 2011.</w:t>
      </w:r>
    </w:p>
    <w:p w:rsidR="000B65DE" w:rsidRPr="00BA0B86" w:rsidRDefault="000B65DE" w:rsidP="000B65DE">
      <w:pPr>
        <w:ind w:left="0"/>
        <w:jc w:val="both"/>
        <w:rPr>
          <w:rFonts w:ascii="Bookman Old Style" w:hAnsi="Bookman Old Style" w:cs="Arial"/>
        </w:rPr>
      </w:pPr>
    </w:p>
    <w:p w:rsidR="000B65DE" w:rsidRPr="00BA0B86" w:rsidRDefault="000B65DE" w:rsidP="000B65DE">
      <w:pPr>
        <w:ind w:left="0" w:right="-23"/>
        <w:jc w:val="both"/>
        <w:rPr>
          <w:rFonts w:ascii="Bookman Old Style" w:hAnsi="Bookman Old Style" w:cs="Arial"/>
        </w:rPr>
      </w:pPr>
      <w:r w:rsidRPr="00BA0B86">
        <w:rPr>
          <w:rFonts w:ascii="Bookman Old Style" w:hAnsi="Bookman Old Style" w:cs="Arial"/>
        </w:rPr>
        <w:t xml:space="preserve">Con base en las disposiciones contenidas en los actos administrativos citados en el considerando anterior, se implementó y desarrolló la comercialización del gas natural para el período de atención que se extiende hasta el 31 de diciembre de 2013. </w:t>
      </w:r>
    </w:p>
    <w:p w:rsidR="000B65DE" w:rsidRPr="000B65DE" w:rsidRDefault="000B65DE" w:rsidP="000B65DE">
      <w:pPr>
        <w:ind w:left="0"/>
        <w:jc w:val="both"/>
        <w:rPr>
          <w:rFonts w:ascii="Bookman Old Style" w:hAnsi="Bookman Old Style" w:cs="Arial"/>
        </w:rPr>
      </w:pPr>
    </w:p>
    <w:p w:rsidR="000B65DE" w:rsidRDefault="000B65DE" w:rsidP="000B65DE">
      <w:pPr>
        <w:ind w:left="0" w:right="-23"/>
        <w:jc w:val="both"/>
        <w:rPr>
          <w:rFonts w:ascii="Bookman Old Style" w:eastAsia="Malgun Gothic" w:hAnsi="Bookman Old Style"/>
          <w:lang w:val="es-ES_tradnl"/>
        </w:rPr>
      </w:pPr>
      <w:r w:rsidRPr="000B65DE">
        <w:rPr>
          <w:rFonts w:ascii="Bookman Old Style" w:eastAsia="Malgun Gothic" w:hAnsi="Bookman Old Style"/>
          <w:lang w:val="es-ES_tradnl"/>
        </w:rPr>
        <w:t>Mediante la Resolución CREG 171 de 2011 se modificó el numeral 2.1.1 del RUT, determina</w:t>
      </w:r>
      <w:r w:rsidR="00DB57F8">
        <w:rPr>
          <w:rFonts w:ascii="Bookman Old Style" w:eastAsia="Malgun Gothic" w:hAnsi="Bookman Old Style"/>
          <w:lang w:val="es-ES_tradnl"/>
        </w:rPr>
        <w:t xml:space="preserve">ndo </w:t>
      </w:r>
      <w:r w:rsidRPr="000B65DE">
        <w:rPr>
          <w:rFonts w:ascii="Bookman Old Style" w:eastAsia="Malgun Gothic" w:hAnsi="Bookman Old Style"/>
          <w:lang w:val="es-ES_tradnl"/>
        </w:rPr>
        <w:t xml:space="preserve">las </w:t>
      </w:r>
      <w:r w:rsidRPr="000B65DE">
        <w:rPr>
          <w:rFonts w:ascii="Bookman Old Style" w:eastAsia="Malgun Gothic" w:hAnsi="Bookman Old Style" w:cs="Arial"/>
        </w:rPr>
        <w:t xml:space="preserve">condiciones para autorizar el acceso a los sistemas de transporte por parte de usuarios conectados o que puedan conectarse a sistemas de distribución. </w:t>
      </w:r>
      <w:r w:rsidRPr="000B65DE">
        <w:rPr>
          <w:rFonts w:ascii="Bookman Old Style" w:eastAsia="Malgun Gothic" w:hAnsi="Bookman Old Style"/>
          <w:lang w:val="es-ES_tradnl"/>
        </w:rPr>
        <w:t xml:space="preserve"> </w:t>
      </w:r>
    </w:p>
    <w:p w:rsidR="00D33FF6" w:rsidRPr="000B65DE" w:rsidRDefault="00D33FF6" w:rsidP="000B65DE">
      <w:pPr>
        <w:ind w:left="0" w:right="-23"/>
        <w:jc w:val="both"/>
        <w:rPr>
          <w:rFonts w:ascii="Bookman Old Style" w:eastAsia="Malgun Gothic" w:hAnsi="Bookman Old Style"/>
          <w:lang w:val="es-ES_tradnl"/>
        </w:rPr>
      </w:pPr>
    </w:p>
    <w:p w:rsidR="00314B81" w:rsidRPr="006846A0" w:rsidRDefault="00314B81" w:rsidP="00DB57F8">
      <w:pPr>
        <w:ind w:left="0"/>
        <w:jc w:val="both"/>
        <w:rPr>
          <w:rFonts w:ascii="Bookman Old Style" w:hAnsi="Bookman Old Style" w:cs="Arial"/>
          <w:lang w:val="es-CO" w:eastAsia="x-none"/>
        </w:rPr>
      </w:pPr>
      <w:r>
        <w:rPr>
          <w:rFonts w:ascii="Bookman Old Style" w:hAnsi="Bookman Old Style"/>
        </w:rPr>
        <w:t>A través de la Resolución CREG 089 de 2013</w:t>
      </w:r>
      <w:r w:rsidRPr="006846A0">
        <w:rPr>
          <w:rFonts w:ascii="Bookman Old Style" w:hAnsi="Bookman Old Style"/>
          <w:spacing w:val="-3"/>
          <w:lang w:val="es-ES_tradnl" w:eastAsia="x-none"/>
        </w:rPr>
        <w:t xml:space="preserve">, </w:t>
      </w:r>
      <w:r w:rsidR="00DB57F8" w:rsidRPr="00483BFD">
        <w:rPr>
          <w:rFonts w:ascii="Bookman Old Style" w:hAnsi="Bookman Old Style" w:cs="Arial"/>
          <w:color w:val="000000" w:themeColor="text1"/>
        </w:rPr>
        <w:t>“</w:t>
      </w:r>
      <w:r w:rsidR="00DB57F8" w:rsidRPr="00483BFD">
        <w:rPr>
          <w:rFonts w:ascii="Bookman Old Style" w:hAnsi="Bookman Old Style" w:cs="Arial"/>
          <w:color w:val="000000" w:themeColor="text1"/>
          <w:lang w:eastAsia="es-CO"/>
        </w:rPr>
        <w:t>Por la cual se reglamentan aspectos comerciales del mercado mayorista de gas natural, que hacen parte del reglamento de operación de gas natural”</w:t>
      </w:r>
      <w:r w:rsidR="00DB57F8">
        <w:rPr>
          <w:rFonts w:ascii="Bookman Old Style" w:hAnsi="Bookman Old Style" w:cs="Arial"/>
          <w:color w:val="000000" w:themeColor="text1"/>
          <w:lang w:eastAsia="es-CO"/>
        </w:rPr>
        <w:t xml:space="preserve">, </w:t>
      </w:r>
      <w:r w:rsidRPr="006846A0">
        <w:rPr>
          <w:rFonts w:ascii="Bookman Old Style" w:hAnsi="Bookman Old Style"/>
          <w:spacing w:val="-3"/>
          <w:lang w:val="es-ES_tradnl" w:eastAsia="x-none"/>
        </w:rPr>
        <w:t xml:space="preserve">la Comisión </w:t>
      </w:r>
      <w:r w:rsidRPr="006846A0">
        <w:rPr>
          <w:rFonts w:ascii="Bookman Old Style" w:hAnsi="Bookman Old Style" w:cs="Arial"/>
          <w:iCs/>
          <w:lang w:val="es-CO" w:eastAsia="x-none"/>
        </w:rPr>
        <w:t>reguló</w:t>
      </w:r>
      <w:r w:rsidRPr="006846A0">
        <w:rPr>
          <w:rFonts w:ascii="Bookman Old Style" w:hAnsi="Bookman Old Style" w:cs="Arial"/>
          <w:iCs/>
          <w:lang w:val="x-none" w:eastAsia="x-none"/>
        </w:rPr>
        <w:t xml:space="preserve"> los aspectos comerciales del mercado mayorista de gas natural, que hacen parte del Reglamento de operación de gas natural</w:t>
      </w:r>
      <w:r w:rsidRPr="006846A0">
        <w:rPr>
          <w:rFonts w:ascii="Bookman Old Style" w:hAnsi="Bookman Old Style" w:cs="Arial"/>
          <w:lang w:val="es-CO" w:eastAsia="x-none"/>
        </w:rPr>
        <w:t>.</w:t>
      </w:r>
    </w:p>
    <w:p w:rsidR="00314B81" w:rsidRDefault="00314B81" w:rsidP="00314B81">
      <w:pPr>
        <w:adjustRightInd w:val="0"/>
        <w:ind w:left="0"/>
        <w:jc w:val="both"/>
        <w:textAlignment w:val="baseline"/>
        <w:rPr>
          <w:rFonts w:ascii="Bookman Old Style" w:hAnsi="Bookman Old Style"/>
          <w:lang w:val="es-CO"/>
        </w:rPr>
      </w:pPr>
    </w:p>
    <w:p w:rsidR="00913BF8" w:rsidRDefault="00913BF8" w:rsidP="00913BF8">
      <w:pPr>
        <w:ind w:left="0" w:right="-23"/>
        <w:jc w:val="both"/>
        <w:rPr>
          <w:rFonts w:ascii="Bookman Old Style" w:eastAsia="Malgun Gothic" w:hAnsi="Bookman Old Style"/>
          <w:lang w:val="es-ES_tradnl"/>
        </w:rPr>
      </w:pPr>
      <w:r>
        <w:rPr>
          <w:rFonts w:ascii="Bookman Old Style" w:eastAsia="Malgun Gothic" w:hAnsi="Bookman Old Style"/>
          <w:lang w:val="es-ES_tradnl"/>
        </w:rPr>
        <w:t xml:space="preserve">La aplicación del </w:t>
      </w:r>
      <w:r w:rsidRPr="00913BF8">
        <w:rPr>
          <w:rFonts w:ascii="Bookman Old Style" w:eastAsia="Malgun Gothic" w:hAnsi="Bookman Old Style"/>
          <w:lang w:val="es-ES_tradnl"/>
        </w:rPr>
        <w:t xml:space="preserve">nuevo marco regulatorio </w:t>
      </w:r>
      <w:r>
        <w:rPr>
          <w:rFonts w:ascii="Bookman Old Style" w:eastAsia="Malgun Gothic" w:hAnsi="Bookman Old Style"/>
          <w:lang w:val="es-ES_tradnl"/>
        </w:rPr>
        <w:t>que inici</w:t>
      </w:r>
      <w:r w:rsidR="00DB57F8">
        <w:rPr>
          <w:rFonts w:ascii="Bookman Old Style" w:eastAsia="Malgun Gothic" w:hAnsi="Bookman Old Style"/>
          <w:lang w:val="es-ES_tradnl"/>
        </w:rPr>
        <w:t>ó</w:t>
      </w:r>
      <w:r>
        <w:rPr>
          <w:rFonts w:ascii="Bookman Old Style" w:eastAsia="Malgun Gothic" w:hAnsi="Bookman Old Style"/>
          <w:lang w:val="es-ES_tradnl"/>
        </w:rPr>
        <w:t xml:space="preserve"> en el cuarto trimestre del 2013 permitió que</w:t>
      </w:r>
      <w:r w:rsidRPr="00913BF8">
        <w:rPr>
          <w:rFonts w:ascii="Bookman Old Style" w:eastAsia="Malgun Gothic" w:hAnsi="Bookman Old Style"/>
          <w:lang w:val="es-ES_tradnl"/>
        </w:rPr>
        <w:t xml:space="preserve"> los agentes del sector comercializa</w:t>
      </w:r>
      <w:r>
        <w:rPr>
          <w:rFonts w:ascii="Bookman Old Style" w:eastAsia="Malgun Gothic" w:hAnsi="Bookman Old Style"/>
          <w:lang w:val="es-ES_tradnl"/>
        </w:rPr>
        <w:t>rán el gas</w:t>
      </w:r>
      <w:r w:rsidRPr="00913BF8">
        <w:rPr>
          <w:rFonts w:ascii="Bookman Old Style" w:eastAsia="Malgun Gothic" w:hAnsi="Bookman Old Style"/>
          <w:lang w:val="es-ES_tradnl"/>
        </w:rPr>
        <w:t xml:space="preserve"> en un ambiente de precios libres, </w:t>
      </w:r>
      <w:r>
        <w:rPr>
          <w:rFonts w:ascii="Bookman Old Style" w:eastAsia="Malgun Gothic" w:hAnsi="Bookman Old Style"/>
          <w:lang w:val="es-ES_tradnl"/>
        </w:rPr>
        <w:t>en donde</w:t>
      </w:r>
      <w:r w:rsidRPr="00913BF8">
        <w:rPr>
          <w:rFonts w:ascii="Bookman Old Style" w:eastAsia="Malgun Gothic" w:hAnsi="Bookman Old Style"/>
          <w:lang w:val="es-ES_tradnl"/>
        </w:rPr>
        <w:t xml:space="preserve"> los vendedores y los compradores determinaron el valor del gas como resultado de sus negociaciones. </w:t>
      </w:r>
    </w:p>
    <w:p w:rsidR="00913BF8" w:rsidRDefault="00913BF8" w:rsidP="00913BF8">
      <w:pPr>
        <w:ind w:left="0" w:right="-23"/>
        <w:jc w:val="both"/>
        <w:rPr>
          <w:rFonts w:ascii="Bookman Old Style" w:eastAsia="Malgun Gothic" w:hAnsi="Bookman Old Style"/>
          <w:lang w:val="es-ES_tradnl"/>
        </w:rPr>
      </w:pPr>
      <w:r w:rsidRPr="00913BF8">
        <w:rPr>
          <w:rFonts w:ascii="Bookman Old Style" w:eastAsia="Malgun Gothic" w:hAnsi="Bookman Old Style"/>
          <w:lang w:val="es-ES_tradnl"/>
        </w:rPr>
        <w:br/>
        <w:t xml:space="preserve">A través de este proceso se transó el 70% del gas que se consume diariamente en el país. De este resultado el 44% corresponde al que proviene de los campos de producción de La Guajira y el 56% de Cusiana y Cupiagua en el departamento del Casanare. </w:t>
      </w:r>
    </w:p>
    <w:p w:rsidR="00913BF8" w:rsidRDefault="00913BF8" w:rsidP="00913BF8">
      <w:pPr>
        <w:ind w:left="0" w:right="-23"/>
        <w:jc w:val="both"/>
        <w:rPr>
          <w:rFonts w:ascii="Bookman Old Style" w:eastAsia="Malgun Gothic" w:hAnsi="Bookman Old Style"/>
          <w:lang w:val="es-ES_tradnl"/>
        </w:rPr>
      </w:pPr>
      <w:r w:rsidRPr="00913BF8">
        <w:rPr>
          <w:rFonts w:ascii="Bookman Old Style" w:eastAsia="Malgun Gothic" w:hAnsi="Bookman Old Style"/>
          <w:lang w:val="es-ES_tradnl"/>
        </w:rPr>
        <w:br/>
        <w:t xml:space="preserve">La compra del 95% del energético con destino a la demanda residencial se llevó a cabo a través de contratos con duración de cinco (5) años lo que garantiza el suministro de gas para estos usuarios durante el mismo periodo. </w:t>
      </w:r>
    </w:p>
    <w:p w:rsidR="005543A8" w:rsidRDefault="005543A8" w:rsidP="000B65DE">
      <w:pPr>
        <w:ind w:left="0" w:right="-23"/>
        <w:jc w:val="both"/>
        <w:rPr>
          <w:rFonts w:ascii="Bookman Old Style" w:hAnsi="Bookman Old Style" w:cs="Arial"/>
          <w:lang w:val="es-CO"/>
        </w:rPr>
      </w:pPr>
    </w:p>
    <w:p w:rsidR="000B65DE" w:rsidRPr="000B65DE" w:rsidRDefault="000B65DE" w:rsidP="000B65DE">
      <w:pPr>
        <w:ind w:left="0" w:right="-23"/>
        <w:jc w:val="both"/>
        <w:rPr>
          <w:rFonts w:ascii="Bookman Old Style" w:eastAsia="Malgun Gothic" w:hAnsi="Bookman Old Style" w:cs="Arial"/>
        </w:rPr>
      </w:pPr>
      <w:r w:rsidRPr="000B65DE">
        <w:rPr>
          <w:rFonts w:ascii="Bookman Old Style" w:eastAsia="Malgun Gothic" w:hAnsi="Bookman Old Style" w:cs="Arial"/>
        </w:rPr>
        <w:t>Lo anterior muestra que para el siguiente período tarifario el sector contará con la suficiente oferta de gas y las reglas para que las empresas  Distribuidoras mantengan  o aumenten la demanda de los usuarios conectados a sus sistemas de distribución.</w:t>
      </w:r>
    </w:p>
    <w:p w:rsidR="000B65DE" w:rsidRPr="000B65DE" w:rsidRDefault="000B65DE" w:rsidP="000B65DE">
      <w:pPr>
        <w:ind w:left="0" w:right="-23"/>
        <w:jc w:val="both"/>
        <w:rPr>
          <w:rFonts w:ascii="Bookman Old Style" w:eastAsia="Malgun Gothic" w:hAnsi="Bookman Old Style" w:cs="Arial"/>
        </w:rPr>
      </w:pPr>
    </w:p>
    <w:p w:rsidR="000B65DE" w:rsidRPr="000B65DE" w:rsidRDefault="000B65DE" w:rsidP="000B65DE">
      <w:pPr>
        <w:ind w:left="0" w:right="-23"/>
        <w:jc w:val="both"/>
        <w:rPr>
          <w:rFonts w:ascii="Bookman Old Style" w:eastAsia="Malgun Gothic" w:hAnsi="Bookman Old Style" w:cs="Arial"/>
        </w:rPr>
      </w:pPr>
      <w:r w:rsidRPr="000B65DE">
        <w:rPr>
          <w:rFonts w:ascii="Bookman Old Style" w:eastAsia="Malgun Gothic" w:hAnsi="Bookman Old Style" w:cs="Arial"/>
        </w:rPr>
        <w:t>Los resultados del período tarifario que culmina muestran que el comportamiento de la demanda tuvo un crecimiento real mayor al proyectado, con lo cual se puede afirmar que los mercados relevantes de distribución actuales han alcanzado la madurez esperada.</w:t>
      </w:r>
    </w:p>
    <w:p w:rsidR="000B65DE" w:rsidRPr="000B65DE" w:rsidRDefault="000B65DE" w:rsidP="000B65DE">
      <w:pPr>
        <w:rPr>
          <w:rFonts w:eastAsia="Malgun Gothic"/>
        </w:rPr>
      </w:pPr>
    </w:p>
    <w:p w:rsidR="000B65DE" w:rsidRPr="000B65DE" w:rsidRDefault="00314B81" w:rsidP="000B65DE">
      <w:pPr>
        <w:ind w:left="0" w:right="-23"/>
        <w:jc w:val="both"/>
        <w:rPr>
          <w:rFonts w:ascii="Bookman Old Style" w:eastAsia="Malgun Gothic" w:hAnsi="Bookman Old Style" w:cs="Arial"/>
        </w:rPr>
      </w:pPr>
      <w:r>
        <w:rPr>
          <w:rFonts w:ascii="Bookman Old Style" w:eastAsia="Malgun Gothic" w:hAnsi="Bookman Old Style" w:cs="Arial"/>
        </w:rPr>
        <w:t xml:space="preserve">Las condiciones actuales y los análisis </w:t>
      </w:r>
      <w:r w:rsidR="000B65DE" w:rsidRPr="000B65DE">
        <w:rPr>
          <w:rFonts w:ascii="Bookman Old Style" w:eastAsia="Malgun Gothic" w:hAnsi="Bookman Old Style" w:cs="Arial"/>
        </w:rPr>
        <w:t xml:space="preserve"> </w:t>
      </w:r>
      <w:r>
        <w:rPr>
          <w:rFonts w:ascii="Bookman Old Style" w:eastAsia="Malgun Gothic" w:hAnsi="Bookman Old Style" w:cs="Arial"/>
        </w:rPr>
        <w:t xml:space="preserve">llevan </w:t>
      </w:r>
      <w:r w:rsidR="000B65DE" w:rsidRPr="000B65DE">
        <w:rPr>
          <w:rFonts w:ascii="Bookman Old Style" w:eastAsia="Malgun Gothic" w:hAnsi="Bookman Old Style" w:cs="Arial"/>
        </w:rPr>
        <w:t xml:space="preserve">a concluir que es posible migrar hacia una metodología  de corte transversal, la cual, acompañada con una tasa de descuento que incluya el riesgo de demanda, así como una canasta de tarifas que capture las señales de los costos de oportunidad, brinda señales </w:t>
      </w:r>
      <w:r w:rsidR="000B65DE" w:rsidRPr="000B65DE">
        <w:rPr>
          <w:rFonts w:ascii="Bookman Old Style" w:eastAsia="Malgun Gothic" w:hAnsi="Bookman Old Style" w:cs="Arial"/>
        </w:rPr>
        <w:lastRenderedPageBreak/>
        <w:t>más apropiadas para los objetivos regulatorios y al mismo tiempo permite  mantener la cobertura y el incentivo para una expansión eficiente del servicio.</w:t>
      </w:r>
    </w:p>
    <w:p w:rsidR="004E696C" w:rsidRPr="000B65DE" w:rsidRDefault="004E696C" w:rsidP="000B65DE">
      <w:pPr>
        <w:ind w:left="0" w:right="-23"/>
        <w:jc w:val="both"/>
        <w:rPr>
          <w:rFonts w:ascii="Bookman Old Style" w:eastAsia="Malgun Gothic" w:hAnsi="Bookman Old Style"/>
          <w:lang w:val="es-ES_tradnl" w:eastAsia="es-CO"/>
        </w:rPr>
      </w:pPr>
    </w:p>
    <w:p w:rsidR="004E696C" w:rsidRPr="004E696C" w:rsidRDefault="004E696C" w:rsidP="004E696C">
      <w:pPr>
        <w:ind w:left="0" w:right="-23"/>
        <w:jc w:val="both"/>
        <w:rPr>
          <w:rFonts w:ascii="Bookman Old Style" w:eastAsia="Malgun Gothic" w:hAnsi="Bookman Old Style" w:cs="Arial"/>
        </w:rPr>
      </w:pPr>
      <w:r w:rsidRPr="004E696C">
        <w:rPr>
          <w:rFonts w:ascii="Bookman Old Style" w:eastAsia="Malgun Gothic" w:hAnsi="Bookman Old Style" w:cs="Arial"/>
        </w:rPr>
        <w:t>Mediante la Resolución CREG 090 de 2012 la CREG ordenó publicar un proyecto de resolución por la cual se establecen los criterios generales para remunerar la actividad de distribución de gas combustible por redes de tubería y se dictan otras disposiciones.</w:t>
      </w:r>
    </w:p>
    <w:p w:rsidR="008F7595" w:rsidRDefault="008F7595" w:rsidP="008F7595">
      <w:pPr>
        <w:ind w:left="0"/>
        <w:jc w:val="both"/>
        <w:rPr>
          <w:rFonts w:ascii="Bookman Old Style" w:hAnsi="Bookman Old Style"/>
          <w:lang w:val="es-CO"/>
        </w:rPr>
      </w:pPr>
    </w:p>
    <w:p w:rsidR="008F7595" w:rsidRDefault="008F7595" w:rsidP="008F7595">
      <w:pPr>
        <w:ind w:left="0"/>
        <w:jc w:val="both"/>
        <w:rPr>
          <w:rFonts w:ascii="Bookman Old Style" w:hAnsi="Bookman Old Style"/>
          <w:lang w:val="es-CO"/>
        </w:rPr>
      </w:pPr>
      <w:r>
        <w:rPr>
          <w:rFonts w:ascii="Bookman Old Style" w:hAnsi="Bookman Old Style"/>
          <w:lang w:val="es-CO"/>
        </w:rPr>
        <w:t>A través de la Resolución 127 de 2013 se modificó el Código de Distribución en relación con los temas de medición, factores de corrección y pérdidas, entre otros.</w:t>
      </w:r>
    </w:p>
    <w:p w:rsidR="00C7068E" w:rsidRPr="008F7595" w:rsidRDefault="00C7068E" w:rsidP="004E696C">
      <w:pPr>
        <w:ind w:left="0" w:right="-23"/>
        <w:jc w:val="both"/>
        <w:rPr>
          <w:rFonts w:ascii="Bookman Old Style" w:eastAsia="Malgun Gothic" w:hAnsi="Bookman Old Style" w:cs="Arial"/>
          <w:lang w:val="es-CO"/>
        </w:rPr>
      </w:pPr>
    </w:p>
    <w:p w:rsidR="004E696C" w:rsidRDefault="004E696C" w:rsidP="004E696C">
      <w:pPr>
        <w:adjustRightInd w:val="0"/>
        <w:ind w:left="0"/>
        <w:jc w:val="both"/>
        <w:textAlignment w:val="baseline"/>
        <w:rPr>
          <w:rFonts w:ascii="Bookman Old Style" w:hAnsi="Bookman Old Style"/>
        </w:rPr>
      </w:pPr>
      <w:r>
        <w:rPr>
          <w:rFonts w:ascii="Bookman Old Style" w:hAnsi="Bookman Old Style"/>
        </w:rPr>
        <w:t xml:space="preserve">En relación con la propuesta contenida en la Resolución CREG 090 de 2012, se realizaron audiencias públicas en las ciudades de Medellín, Cartagena y Bogotá </w:t>
      </w:r>
      <w:r w:rsidRPr="002E2E62">
        <w:rPr>
          <w:rFonts w:ascii="Bookman Old Style" w:hAnsi="Bookman Old Style"/>
        </w:rPr>
        <w:t xml:space="preserve">los días </w:t>
      </w:r>
      <w:r w:rsidR="00CA0643" w:rsidRPr="002E2E62">
        <w:rPr>
          <w:rFonts w:ascii="Bookman Old Style" w:hAnsi="Bookman Old Style"/>
        </w:rPr>
        <w:t>18, 22 y 23</w:t>
      </w:r>
      <w:r w:rsidRPr="002E2E62">
        <w:rPr>
          <w:rFonts w:ascii="Bookman Old Style" w:hAnsi="Bookman Old Style"/>
        </w:rPr>
        <w:t xml:space="preserve"> de</w:t>
      </w:r>
      <w:r>
        <w:rPr>
          <w:rFonts w:ascii="Bookman Old Style" w:hAnsi="Bookman Old Style"/>
        </w:rPr>
        <w:t xml:space="preserve">  Abril de 2013, respectivamente.</w:t>
      </w:r>
    </w:p>
    <w:p w:rsidR="004E696C" w:rsidRDefault="004E696C" w:rsidP="004E696C">
      <w:pPr>
        <w:adjustRightInd w:val="0"/>
        <w:ind w:left="0"/>
        <w:jc w:val="both"/>
        <w:textAlignment w:val="baseline"/>
        <w:rPr>
          <w:rFonts w:ascii="Bookman Old Style" w:hAnsi="Bookman Old Style"/>
        </w:rPr>
      </w:pPr>
    </w:p>
    <w:p w:rsidR="004E696C" w:rsidRDefault="004E696C" w:rsidP="004E696C">
      <w:pPr>
        <w:widowControl w:val="0"/>
        <w:adjustRightInd w:val="0"/>
        <w:ind w:left="0"/>
        <w:jc w:val="both"/>
        <w:textAlignment w:val="baseline"/>
        <w:rPr>
          <w:rFonts w:ascii="Bookman Old Style" w:hAnsi="Bookman Old Style"/>
        </w:rPr>
      </w:pPr>
      <w:r>
        <w:rPr>
          <w:rFonts w:ascii="Bookman Old Style" w:hAnsi="Bookman Old Style"/>
        </w:rPr>
        <w:t>En relación con la Resolución CREG 090 de 2012 se recibieron comentarios por parte de</w:t>
      </w:r>
      <w:r w:rsidR="00AF5789">
        <w:rPr>
          <w:rFonts w:ascii="Bookman Old Style" w:hAnsi="Bookman Old Style"/>
        </w:rPr>
        <w:t xml:space="preserve"> los siguientes agentes y usuarios con </w:t>
      </w:r>
      <w:r w:rsidR="00507D74">
        <w:rPr>
          <w:rFonts w:ascii="Bookman Old Style" w:hAnsi="Bookman Old Style"/>
        </w:rPr>
        <w:t>sus</w:t>
      </w:r>
      <w:r w:rsidR="00AF5789">
        <w:rPr>
          <w:rFonts w:ascii="Bookman Old Style" w:hAnsi="Bookman Old Style"/>
        </w:rPr>
        <w:t xml:space="preserve"> respectivos radicados: </w:t>
      </w:r>
      <w:r w:rsidR="00AF5789" w:rsidRPr="00AF5789">
        <w:rPr>
          <w:rFonts w:ascii="Bookman Old Style" w:hAnsi="Bookman Old Style"/>
        </w:rPr>
        <w:t xml:space="preserve">AGREMGAS </w:t>
      </w:r>
      <w:r w:rsidR="00AF5789">
        <w:rPr>
          <w:rFonts w:ascii="Bookman Old Style" w:hAnsi="Bookman Old Style"/>
        </w:rPr>
        <w:t>(</w:t>
      </w:r>
      <w:r w:rsidR="00AF5789" w:rsidRPr="00AF5789">
        <w:rPr>
          <w:rFonts w:ascii="Bookman Old Style" w:hAnsi="Bookman Old Style"/>
        </w:rPr>
        <w:t>E-2013-004765 E-2013-004970</w:t>
      </w:r>
      <w:r w:rsidR="00AF5789">
        <w:rPr>
          <w:rFonts w:ascii="Bookman Old Style" w:hAnsi="Bookman Old Style"/>
        </w:rPr>
        <w:t>);</w:t>
      </w:r>
      <w:r w:rsidR="00AF5789" w:rsidRPr="00AF5789">
        <w:rPr>
          <w:rFonts w:ascii="Arial" w:hAnsi="Arial" w:cs="Arial"/>
          <w:color w:val="000000"/>
          <w:sz w:val="16"/>
          <w:szCs w:val="22"/>
          <w:lang w:val="es-CO" w:eastAsia="es-CO"/>
        </w:rPr>
        <w:t xml:space="preserve"> </w:t>
      </w:r>
      <w:r w:rsidR="00AF5789" w:rsidRPr="00AF5789">
        <w:rPr>
          <w:rFonts w:ascii="Bookman Old Style" w:hAnsi="Bookman Old Style"/>
        </w:rPr>
        <w:t xml:space="preserve">ALFAGRES </w:t>
      </w:r>
      <w:r w:rsidR="00AF5789">
        <w:rPr>
          <w:rFonts w:ascii="Bookman Old Style" w:hAnsi="Bookman Old Style"/>
        </w:rPr>
        <w:t>(</w:t>
      </w:r>
      <w:r w:rsidR="00AF5789" w:rsidRPr="00AF5789">
        <w:rPr>
          <w:rFonts w:ascii="Bookman Old Style" w:hAnsi="Bookman Old Style"/>
        </w:rPr>
        <w:t>E-2013-001931</w:t>
      </w:r>
      <w:r w:rsidR="00AF5789">
        <w:rPr>
          <w:rFonts w:ascii="Bookman Old Style" w:hAnsi="Bookman Old Style"/>
        </w:rPr>
        <w:t>)</w:t>
      </w:r>
      <w:r w:rsidR="00AF5789" w:rsidRPr="00AF5789">
        <w:rPr>
          <w:rFonts w:ascii="Bookman Old Style" w:hAnsi="Bookman Old Style"/>
        </w:rPr>
        <w:t xml:space="preserve">, ALUMINA </w:t>
      </w:r>
      <w:r w:rsidR="00AF5789">
        <w:rPr>
          <w:rFonts w:ascii="Bookman Old Style" w:hAnsi="Bookman Old Style"/>
        </w:rPr>
        <w:t>(</w:t>
      </w:r>
      <w:r w:rsidR="00AF5789" w:rsidRPr="00AF5789">
        <w:rPr>
          <w:rFonts w:ascii="Bookman Old Style" w:hAnsi="Bookman Old Style"/>
        </w:rPr>
        <w:t>E-2013-001933</w:t>
      </w:r>
      <w:r w:rsidR="00AF5789">
        <w:rPr>
          <w:rFonts w:ascii="Bookman Old Style" w:hAnsi="Bookman Old Style"/>
        </w:rPr>
        <w:t xml:space="preserve">); </w:t>
      </w:r>
      <w:r w:rsidR="00AF5789" w:rsidRPr="00AF5789">
        <w:rPr>
          <w:rFonts w:ascii="Bookman Old Style" w:hAnsi="Bookman Old Style"/>
        </w:rPr>
        <w:t xml:space="preserve">ANDESCO </w:t>
      </w:r>
      <w:r w:rsidR="00507D74">
        <w:rPr>
          <w:rFonts w:ascii="Bookman Old Style" w:hAnsi="Bookman Old Style"/>
        </w:rPr>
        <w:t>(</w:t>
      </w:r>
      <w:r w:rsidR="00AF5789" w:rsidRPr="00AF5789">
        <w:rPr>
          <w:rFonts w:ascii="Bookman Old Style" w:hAnsi="Bookman Old Style"/>
        </w:rPr>
        <w:t>E-2013-004751</w:t>
      </w:r>
      <w:r w:rsidR="00507D74">
        <w:rPr>
          <w:rFonts w:ascii="Bookman Old Style" w:hAnsi="Bookman Old Style"/>
        </w:rPr>
        <w:t>)</w:t>
      </w:r>
      <w:r w:rsidR="00AF5789" w:rsidRPr="00AF5789">
        <w:rPr>
          <w:rFonts w:ascii="Bookman Old Style" w:hAnsi="Bookman Old Style"/>
        </w:rPr>
        <w:t xml:space="preserve">; ANDI </w:t>
      </w:r>
      <w:r w:rsidR="00507D74">
        <w:rPr>
          <w:rFonts w:ascii="Bookman Old Style" w:hAnsi="Bookman Old Style"/>
        </w:rPr>
        <w:t>(</w:t>
      </w:r>
      <w:r w:rsidR="00AF5789" w:rsidRPr="00AF5789">
        <w:rPr>
          <w:rFonts w:ascii="Bookman Old Style" w:hAnsi="Bookman Old Style"/>
        </w:rPr>
        <w:t>E-2013-004791</w:t>
      </w:r>
      <w:r w:rsidR="00507D74">
        <w:rPr>
          <w:rFonts w:ascii="Bookman Old Style" w:hAnsi="Bookman Old Style"/>
        </w:rPr>
        <w:t>)</w:t>
      </w:r>
      <w:r w:rsidR="00AF5789">
        <w:rPr>
          <w:rFonts w:ascii="Bookman Old Style" w:hAnsi="Bookman Old Style"/>
        </w:rPr>
        <w:t>;</w:t>
      </w:r>
      <w:r w:rsidR="00AF5789" w:rsidRPr="00AF5789">
        <w:rPr>
          <w:rFonts w:ascii="Bookman Old Style" w:hAnsi="Bookman Old Style"/>
        </w:rPr>
        <w:t xml:space="preserve"> BIOSC </w:t>
      </w:r>
      <w:r w:rsidR="00507D74">
        <w:rPr>
          <w:rFonts w:ascii="Bookman Old Style" w:hAnsi="Bookman Old Style"/>
        </w:rPr>
        <w:t>(</w:t>
      </w:r>
      <w:r w:rsidR="00AF5789" w:rsidRPr="00AF5789">
        <w:rPr>
          <w:rFonts w:ascii="Bookman Old Style" w:hAnsi="Bookman Old Style"/>
        </w:rPr>
        <w:t>E-2013-001948</w:t>
      </w:r>
      <w:r w:rsidR="00507D74">
        <w:rPr>
          <w:rFonts w:ascii="Bookman Old Style" w:hAnsi="Bookman Old Style"/>
        </w:rPr>
        <w:t>)</w:t>
      </w:r>
      <w:r w:rsidR="00AF5789">
        <w:rPr>
          <w:rFonts w:ascii="Bookman Old Style" w:hAnsi="Bookman Old Style"/>
        </w:rPr>
        <w:t>;</w:t>
      </w:r>
      <w:r w:rsidR="00AF5789" w:rsidRPr="00AF5789">
        <w:rPr>
          <w:rFonts w:ascii="Arial" w:hAnsi="Arial" w:cs="Arial"/>
          <w:color w:val="000000"/>
          <w:sz w:val="16"/>
          <w:szCs w:val="22"/>
          <w:lang w:val="es-CO" w:eastAsia="es-CO"/>
        </w:rPr>
        <w:t xml:space="preserve"> </w:t>
      </w:r>
      <w:r w:rsidR="00AF5789" w:rsidRPr="00AF5789">
        <w:rPr>
          <w:rFonts w:ascii="Bookman Old Style" w:hAnsi="Bookman Old Style"/>
        </w:rPr>
        <w:t xml:space="preserve">CAMILO QUINTERO </w:t>
      </w:r>
      <w:r w:rsidR="00AF5789">
        <w:rPr>
          <w:rFonts w:ascii="Bookman Old Style" w:hAnsi="Bookman Old Style"/>
        </w:rPr>
        <w:t>(</w:t>
      </w:r>
      <w:r w:rsidR="00AF5789" w:rsidRPr="00AF5789">
        <w:rPr>
          <w:rFonts w:ascii="Bookman Old Style" w:hAnsi="Bookman Old Style"/>
        </w:rPr>
        <w:t>E-2013-003893</w:t>
      </w:r>
      <w:r w:rsidR="00AF5789">
        <w:rPr>
          <w:rFonts w:ascii="Bookman Old Style" w:hAnsi="Bookman Old Style"/>
        </w:rPr>
        <w:t>)</w:t>
      </w:r>
      <w:r w:rsidR="00AF5789" w:rsidRPr="00AF5789">
        <w:rPr>
          <w:rFonts w:ascii="Bookman Old Style" w:hAnsi="Bookman Old Style"/>
        </w:rPr>
        <w:t xml:space="preserve">; CARVAJAL SERVICIOS </w:t>
      </w:r>
      <w:r w:rsidR="00507D74">
        <w:rPr>
          <w:rFonts w:ascii="Bookman Old Style" w:hAnsi="Bookman Old Style"/>
        </w:rPr>
        <w:t>(</w:t>
      </w:r>
      <w:r w:rsidR="00AF5789" w:rsidRPr="00AF5789">
        <w:rPr>
          <w:rFonts w:ascii="Bookman Old Style" w:hAnsi="Bookman Old Style"/>
        </w:rPr>
        <w:t>E-2013-002011</w:t>
      </w:r>
      <w:r w:rsidR="00507D74">
        <w:rPr>
          <w:rFonts w:ascii="Bookman Old Style" w:hAnsi="Bookman Old Style"/>
        </w:rPr>
        <w:t xml:space="preserve"> y</w:t>
      </w:r>
      <w:r w:rsidR="00AF5789" w:rsidRPr="00AF5789">
        <w:rPr>
          <w:rFonts w:ascii="Bookman Old Style" w:hAnsi="Bookman Old Style"/>
        </w:rPr>
        <w:t xml:space="preserve"> E-2013-001921</w:t>
      </w:r>
      <w:r w:rsidR="00507D74">
        <w:rPr>
          <w:rFonts w:ascii="Bookman Old Style" w:hAnsi="Bookman Old Style"/>
        </w:rPr>
        <w:t>)</w:t>
      </w:r>
      <w:r w:rsidR="00AF5789">
        <w:rPr>
          <w:rFonts w:ascii="Bookman Old Style" w:hAnsi="Bookman Old Style"/>
        </w:rPr>
        <w:t>;</w:t>
      </w:r>
      <w:r w:rsidR="00AF5789" w:rsidRPr="00AF5789">
        <w:rPr>
          <w:rFonts w:ascii="Arial" w:hAnsi="Arial" w:cs="Arial"/>
          <w:color w:val="000000"/>
          <w:sz w:val="16"/>
          <w:szCs w:val="22"/>
          <w:lang w:val="es-CO" w:eastAsia="es-CO"/>
        </w:rPr>
        <w:t xml:space="preserve"> </w:t>
      </w:r>
      <w:r w:rsidR="00AF5789" w:rsidRPr="00507D74">
        <w:rPr>
          <w:rFonts w:ascii="Bookman Old Style" w:hAnsi="Bookman Old Style"/>
        </w:rPr>
        <w:t xml:space="preserve">CONFEVOCOLTICS </w:t>
      </w:r>
      <w:r w:rsidR="00507D74">
        <w:rPr>
          <w:rFonts w:ascii="Bookman Old Style" w:hAnsi="Bookman Old Style"/>
        </w:rPr>
        <w:t>(</w:t>
      </w:r>
      <w:r w:rsidR="00AF5789" w:rsidRPr="00507D74">
        <w:rPr>
          <w:rFonts w:ascii="Bookman Old Style" w:hAnsi="Bookman Old Style"/>
        </w:rPr>
        <w:t>E-2013-004762</w:t>
      </w:r>
      <w:r w:rsidR="00507D74">
        <w:rPr>
          <w:rFonts w:ascii="Bookman Old Style" w:hAnsi="Bookman Old Style"/>
        </w:rPr>
        <w:t>)</w:t>
      </w:r>
      <w:r w:rsidR="00AF5789">
        <w:rPr>
          <w:rFonts w:ascii="Bookman Old Style" w:hAnsi="Bookman Old Style"/>
        </w:rPr>
        <w:t>;</w:t>
      </w:r>
      <w:r w:rsidR="00AF5789" w:rsidRPr="00507D74">
        <w:rPr>
          <w:rFonts w:ascii="Bookman Old Style" w:hAnsi="Bookman Old Style"/>
        </w:rPr>
        <w:t xml:space="preserve"> ECOPETROL </w:t>
      </w:r>
      <w:r w:rsidR="00507D74">
        <w:rPr>
          <w:rFonts w:ascii="Bookman Old Style" w:hAnsi="Bookman Old Style"/>
        </w:rPr>
        <w:t>(</w:t>
      </w:r>
      <w:r w:rsidR="00AF5789" w:rsidRPr="00507D74">
        <w:rPr>
          <w:rFonts w:ascii="Bookman Old Style" w:hAnsi="Bookman Old Style"/>
        </w:rPr>
        <w:t>E-2013-004698</w:t>
      </w:r>
      <w:r w:rsidR="00507D74">
        <w:rPr>
          <w:rFonts w:ascii="Bookman Old Style" w:hAnsi="Bookman Old Style"/>
        </w:rPr>
        <w:t xml:space="preserve">, </w:t>
      </w:r>
      <w:r w:rsidR="00AF5789" w:rsidRPr="00507D74">
        <w:rPr>
          <w:rFonts w:ascii="Bookman Old Style" w:hAnsi="Bookman Old Style"/>
        </w:rPr>
        <w:t xml:space="preserve"> E-2013-004991 </w:t>
      </w:r>
      <w:r w:rsidR="00507D74">
        <w:rPr>
          <w:rFonts w:ascii="Bookman Old Style" w:hAnsi="Bookman Old Style"/>
        </w:rPr>
        <w:t xml:space="preserve">y </w:t>
      </w:r>
      <w:r w:rsidR="00AF5789" w:rsidRPr="00507D74">
        <w:rPr>
          <w:rFonts w:ascii="Bookman Old Style" w:hAnsi="Bookman Old Style"/>
        </w:rPr>
        <w:t>E-2013-004213</w:t>
      </w:r>
      <w:r w:rsidR="00507D74">
        <w:rPr>
          <w:rFonts w:ascii="Bookman Old Style" w:hAnsi="Bookman Old Style"/>
        </w:rPr>
        <w:t>)</w:t>
      </w:r>
      <w:r w:rsidR="00AF5789">
        <w:rPr>
          <w:rFonts w:ascii="Bookman Old Style" w:hAnsi="Bookman Old Style"/>
        </w:rPr>
        <w:t>;</w:t>
      </w:r>
      <w:r w:rsidR="00AF5789" w:rsidRPr="00507D74">
        <w:rPr>
          <w:rFonts w:ascii="Bookman Old Style" w:hAnsi="Bookman Old Style"/>
        </w:rPr>
        <w:t xml:space="preserve"> EFIGAS</w:t>
      </w:r>
      <w:r w:rsidR="00507D74">
        <w:rPr>
          <w:rFonts w:ascii="Bookman Old Style" w:hAnsi="Bookman Old Style"/>
        </w:rPr>
        <w:t xml:space="preserve"> S.A. E.S.P.</w:t>
      </w:r>
      <w:r w:rsidR="00AF5789" w:rsidRPr="00507D74">
        <w:rPr>
          <w:rFonts w:ascii="Bookman Old Style" w:hAnsi="Bookman Old Style"/>
        </w:rPr>
        <w:t>, GASES DE LA GUAJIRA</w:t>
      </w:r>
      <w:r w:rsidR="00507D74" w:rsidRPr="00507D74">
        <w:rPr>
          <w:rFonts w:ascii="Bookman Old Style" w:hAnsi="Bookman Old Style"/>
        </w:rPr>
        <w:t xml:space="preserve"> </w:t>
      </w:r>
      <w:r w:rsidR="00507D74">
        <w:rPr>
          <w:rFonts w:ascii="Bookman Old Style" w:hAnsi="Bookman Old Style"/>
        </w:rPr>
        <w:t>S.A. E.S.P.</w:t>
      </w:r>
      <w:r w:rsidR="00507D74" w:rsidRPr="00507D74">
        <w:rPr>
          <w:rFonts w:ascii="Bookman Old Style" w:hAnsi="Bookman Old Style"/>
        </w:rPr>
        <w:t>,</w:t>
      </w:r>
      <w:r w:rsidR="00AF5789" w:rsidRPr="00507D74">
        <w:rPr>
          <w:rFonts w:ascii="Bookman Old Style" w:hAnsi="Bookman Old Style"/>
        </w:rPr>
        <w:t xml:space="preserve"> SURTIGAS</w:t>
      </w:r>
      <w:r w:rsidR="00507D74" w:rsidRPr="00507D74">
        <w:rPr>
          <w:rFonts w:ascii="Bookman Old Style" w:hAnsi="Bookman Old Style"/>
        </w:rPr>
        <w:t xml:space="preserve"> </w:t>
      </w:r>
      <w:r w:rsidR="00507D74">
        <w:rPr>
          <w:rFonts w:ascii="Bookman Old Style" w:hAnsi="Bookman Old Style"/>
        </w:rPr>
        <w:t>S.A. E.S.P.</w:t>
      </w:r>
      <w:r w:rsidR="00507D74" w:rsidRPr="00507D74">
        <w:rPr>
          <w:rFonts w:ascii="Bookman Old Style" w:hAnsi="Bookman Old Style"/>
        </w:rPr>
        <w:t xml:space="preserve">, </w:t>
      </w:r>
      <w:r w:rsidR="00AF5789" w:rsidRPr="00507D74">
        <w:rPr>
          <w:rFonts w:ascii="Bookman Old Style" w:hAnsi="Bookman Old Style"/>
        </w:rPr>
        <w:t xml:space="preserve"> GASES DEL CARIBE</w:t>
      </w:r>
      <w:r w:rsidR="00507D74">
        <w:rPr>
          <w:rFonts w:ascii="Bookman Old Style" w:hAnsi="Bookman Old Style"/>
        </w:rPr>
        <w:t xml:space="preserve"> S.A. E.S.P.</w:t>
      </w:r>
      <w:r w:rsidR="00507D74" w:rsidRPr="00507D74">
        <w:rPr>
          <w:rFonts w:ascii="Bookman Old Style" w:hAnsi="Bookman Old Style"/>
        </w:rPr>
        <w:t xml:space="preserve">, </w:t>
      </w:r>
      <w:r w:rsidR="00AF5789" w:rsidRPr="00507D74">
        <w:rPr>
          <w:rFonts w:ascii="Bookman Old Style" w:hAnsi="Bookman Old Style"/>
        </w:rPr>
        <w:t xml:space="preserve"> GASES</w:t>
      </w:r>
      <w:r w:rsidR="00507D74">
        <w:rPr>
          <w:rFonts w:ascii="Bookman Old Style" w:hAnsi="Bookman Old Style"/>
        </w:rPr>
        <w:t xml:space="preserve"> DE </w:t>
      </w:r>
      <w:r w:rsidR="00AF5789" w:rsidRPr="00507D74">
        <w:rPr>
          <w:rFonts w:ascii="Bookman Old Style" w:hAnsi="Bookman Old Style"/>
        </w:rPr>
        <w:t xml:space="preserve">OCCIDENTE </w:t>
      </w:r>
      <w:r w:rsidR="00507D74">
        <w:rPr>
          <w:rFonts w:ascii="Bookman Old Style" w:hAnsi="Bookman Old Style"/>
        </w:rPr>
        <w:t>S.A. E.S.P. (</w:t>
      </w:r>
      <w:r w:rsidR="00AF5789" w:rsidRPr="00507D74">
        <w:rPr>
          <w:rFonts w:ascii="Bookman Old Style" w:hAnsi="Bookman Old Style"/>
        </w:rPr>
        <w:t xml:space="preserve">E-2013-003224 </w:t>
      </w:r>
      <w:r w:rsidR="00507D74">
        <w:rPr>
          <w:rFonts w:ascii="Bookman Old Style" w:hAnsi="Bookman Old Style"/>
        </w:rPr>
        <w:t xml:space="preserve">Y </w:t>
      </w:r>
      <w:r w:rsidR="00AF5789" w:rsidRPr="00507D74">
        <w:rPr>
          <w:rFonts w:ascii="Bookman Old Style" w:hAnsi="Bookman Old Style"/>
        </w:rPr>
        <w:t>E-2013-005052</w:t>
      </w:r>
      <w:r w:rsidR="00507D74">
        <w:rPr>
          <w:rFonts w:ascii="Bookman Old Style" w:hAnsi="Bookman Old Style"/>
        </w:rPr>
        <w:t>)</w:t>
      </w:r>
      <w:r w:rsidR="00AF5789">
        <w:rPr>
          <w:rFonts w:ascii="Bookman Old Style" w:hAnsi="Bookman Old Style"/>
        </w:rPr>
        <w:t>;</w:t>
      </w:r>
      <w:r w:rsidR="00AF5789" w:rsidRPr="00AF5789">
        <w:rPr>
          <w:rFonts w:ascii="Arial" w:hAnsi="Arial" w:cs="Arial"/>
          <w:color w:val="000000"/>
          <w:sz w:val="16"/>
          <w:szCs w:val="22"/>
          <w:lang w:val="es-CO" w:eastAsia="es-CO"/>
        </w:rPr>
        <w:t xml:space="preserve"> </w:t>
      </w:r>
      <w:r w:rsidR="00AF5789" w:rsidRPr="00507D74">
        <w:rPr>
          <w:rFonts w:ascii="Bookman Old Style" w:hAnsi="Bookman Old Style"/>
        </w:rPr>
        <w:t xml:space="preserve">EPM </w:t>
      </w:r>
      <w:r w:rsidR="00507D74">
        <w:rPr>
          <w:rFonts w:ascii="Bookman Old Style" w:hAnsi="Bookman Old Style"/>
        </w:rPr>
        <w:t>(</w:t>
      </w:r>
      <w:r w:rsidR="00AF5789" w:rsidRPr="00507D74">
        <w:rPr>
          <w:rFonts w:ascii="Bookman Old Style" w:hAnsi="Bookman Old Style"/>
        </w:rPr>
        <w:t>E-2013-004157</w:t>
      </w:r>
      <w:r w:rsidR="00507D74">
        <w:rPr>
          <w:rFonts w:ascii="Bookman Old Style" w:hAnsi="Bookman Old Style"/>
        </w:rPr>
        <w:t>,</w:t>
      </w:r>
      <w:r w:rsidR="00AF5789" w:rsidRPr="00507D74">
        <w:rPr>
          <w:rFonts w:ascii="Bookman Old Style" w:hAnsi="Bookman Old Style"/>
        </w:rPr>
        <w:t xml:space="preserve"> E-2013-004198</w:t>
      </w:r>
      <w:r w:rsidR="00507D74">
        <w:rPr>
          <w:rFonts w:ascii="Bookman Old Style" w:hAnsi="Bookman Old Style"/>
        </w:rPr>
        <w:t xml:space="preserve"> y</w:t>
      </w:r>
      <w:r w:rsidR="00AF5789" w:rsidRPr="00507D74">
        <w:rPr>
          <w:rFonts w:ascii="Bookman Old Style" w:hAnsi="Bookman Old Style"/>
        </w:rPr>
        <w:t xml:space="preserve"> E-2013-004741</w:t>
      </w:r>
      <w:r w:rsidR="00507D74">
        <w:rPr>
          <w:rFonts w:ascii="Bookman Old Style" w:hAnsi="Bookman Old Style"/>
        </w:rPr>
        <w:t>)</w:t>
      </w:r>
      <w:r w:rsidR="00AF5789">
        <w:rPr>
          <w:rFonts w:ascii="Bookman Old Style" w:hAnsi="Bookman Old Style"/>
        </w:rPr>
        <w:t>;</w:t>
      </w:r>
      <w:r w:rsidR="00AF5789" w:rsidRPr="00AF5789">
        <w:rPr>
          <w:rFonts w:ascii="Arial" w:hAnsi="Arial" w:cs="Arial"/>
          <w:color w:val="000000"/>
          <w:sz w:val="16"/>
          <w:szCs w:val="22"/>
          <w:lang w:val="es-CO" w:eastAsia="es-CO"/>
        </w:rPr>
        <w:t xml:space="preserve"> </w:t>
      </w:r>
      <w:r w:rsidR="00AF5789" w:rsidRPr="00507D74">
        <w:rPr>
          <w:rFonts w:ascii="Bookman Old Style" w:hAnsi="Bookman Old Style"/>
        </w:rPr>
        <w:t xml:space="preserve">EVALUACION Y ESTUDIOS DE LA GESTION PUBLICA VEEDURIA CIUDADANA </w:t>
      </w:r>
      <w:r w:rsidR="00507D74">
        <w:rPr>
          <w:rFonts w:ascii="Bookman Old Style" w:hAnsi="Bookman Old Style"/>
        </w:rPr>
        <w:t>(</w:t>
      </w:r>
      <w:r w:rsidR="00AF5789" w:rsidRPr="00507D74">
        <w:rPr>
          <w:rFonts w:ascii="Bookman Old Style" w:hAnsi="Bookman Old Style"/>
        </w:rPr>
        <w:t xml:space="preserve">TL-2013-000161 </w:t>
      </w:r>
      <w:r w:rsidR="00507D74">
        <w:rPr>
          <w:rFonts w:ascii="Bookman Old Style" w:hAnsi="Bookman Old Style"/>
        </w:rPr>
        <w:t xml:space="preserve">Y </w:t>
      </w:r>
      <w:r w:rsidR="00AF5789" w:rsidRPr="00507D74">
        <w:rPr>
          <w:rFonts w:ascii="Bookman Old Style" w:hAnsi="Bookman Old Style"/>
        </w:rPr>
        <w:t>E-2013-004138</w:t>
      </w:r>
      <w:r w:rsidR="00507D74">
        <w:rPr>
          <w:rFonts w:ascii="Bookman Old Style" w:hAnsi="Bookman Old Style"/>
        </w:rPr>
        <w:t>);</w:t>
      </w:r>
      <w:r w:rsidR="00AF5789" w:rsidRPr="00507D74">
        <w:rPr>
          <w:rFonts w:ascii="Bookman Old Style" w:hAnsi="Bookman Old Style"/>
        </w:rPr>
        <w:t xml:space="preserve"> FAMILIA </w:t>
      </w:r>
      <w:r w:rsidR="00507D74">
        <w:rPr>
          <w:rFonts w:ascii="Bookman Old Style" w:hAnsi="Bookman Old Style"/>
        </w:rPr>
        <w:t>(</w:t>
      </w:r>
      <w:r w:rsidR="00AF5789" w:rsidRPr="00507D74">
        <w:rPr>
          <w:rFonts w:ascii="Bookman Old Style" w:hAnsi="Bookman Old Style"/>
        </w:rPr>
        <w:t>E-2013-001938</w:t>
      </w:r>
      <w:r w:rsidR="00507D74">
        <w:rPr>
          <w:rFonts w:ascii="Bookman Old Style" w:hAnsi="Bookman Old Style"/>
        </w:rPr>
        <w:t>)</w:t>
      </w:r>
      <w:r w:rsidR="00AF5789" w:rsidRPr="00507D74">
        <w:rPr>
          <w:rFonts w:ascii="Bookman Old Style" w:hAnsi="Bookman Old Style"/>
        </w:rPr>
        <w:t>; GAS NATURAL</w:t>
      </w:r>
      <w:r w:rsidR="00507D74">
        <w:rPr>
          <w:rFonts w:ascii="Bookman Old Style" w:hAnsi="Bookman Old Style"/>
        </w:rPr>
        <w:t xml:space="preserve"> S.A. E.S.P.</w:t>
      </w:r>
      <w:r w:rsidR="00AF5789" w:rsidRPr="00507D74">
        <w:rPr>
          <w:rFonts w:ascii="Bookman Old Style" w:hAnsi="Bookman Old Style"/>
        </w:rPr>
        <w:t xml:space="preserve"> </w:t>
      </w:r>
      <w:r w:rsidR="00507D74">
        <w:rPr>
          <w:rFonts w:ascii="Bookman Old Style" w:hAnsi="Bookman Old Style"/>
        </w:rPr>
        <w:t>(</w:t>
      </w:r>
      <w:r w:rsidR="00AF5789" w:rsidRPr="00507D74">
        <w:rPr>
          <w:rFonts w:ascii="Bookman Old Style" w:hAnsi="Bookman Old Style"/>
        </w:rPr>
        <w:t xml:space="preserve">E-2013-004764 </w:t>
      </w:r>
      <w:r w:rsidR="00507D74">
        <w:rPr>
          <w:rFonts w:ascii="Bookman Old Style" w:hAnsi="Bookman Old Style"/>
        </w:rPr>
        <w:t xml:space="preserve">y </w:t>
      </w:r>
      <w:r w:rsidR="00AF5789" w:rsidRPr="00507D74">
        <w:rPr>
          <w:rFonts w:ascii="Bookman Old Style" w:hAnsi="Bookman Old Style"/>
        </w:rPr>
        <w:t>E-2013-005034</w:t>
      </w:r>
      <w:r w:rsidR="00507D74">
        <w:rPr>
          <w:rFonts w:ascii="Bookman Old Style" w:hAnsi="Bookman Old Style"/>
        </w:rPr>
        <w:t>);</w:t>
      </w:r>
      <w:r w:rsidR="00AF5789" w:rsidRPr="00507D74">
        <w:rPr>
          <w:rFonts w:ascii="Bookman Old Style" w:hAnsi="Bookman Old Style"/>
        </w:rPr>
        <w:t xml:space="preserve"> GASES DE OCCIDENTE </w:t>
      </w:r>
      <w:r w:rsidR="00507D74">
        <w:rPr>
          <w:rFonts w:ascii="Bookman Old Style" w:hAnsi="Bookman Old Style"/>
        </w:rPr>
        <w:t>S.A. E.S.P. (</w:t>
      </w:r>
      <w:r w:rsidR="00AF5789" w:rsidRPr="00507D74">
        <w:rPr>
          <w:rFonts w:ascii="Bookman Old Style" w:hAnsi="Bookman Old Style"/>
        </w:rPr>
        <w:t>E-2013-004737</w:t>
      </w:r>
      <w:r w:rsidR="00507D74">
        <w:rPr>
          <w:rFonts w:ascii="Bookman Old Style" w:hAnsi="Bookman Old Style"/>
        </w:rPr>
        <w:t xml:space="preserve"> y</w:t>
      </w:r>
      <w:r w:rsidR="00AF5789" w:rsidRPr="00507D74">
        <w:rPr>
          <w:rFonts w:ascii="Bookman Old Style" w:hAnsi="Bookman Old Style"/>
        </w:rPr>
        <w:t xml:space="preserve"> E-2013-004992</w:t>
      </w:r>
      <w:r w:rsidR="00507D74">
        <w:rPr>
          <w:rFonts w:ascii="Bookman Old Style" w:hAnsi="Bookman Old Style"/>
        </w:rPr>
        <w:t>);</w:t>
      </w:r>
      <w:r w:rsidR="00AF5789" w:rsidRPr="00507D74">
        <w:rPr>
          <w:rFonts w:ascii="Bookman Old Style" w:hAnsi="Bookman Old Style"/>
        </w:rPr>
        <w:t xml:space="preserve"> GRUPO ENDESA, EMGESA, CODENSA </w:t>
      </w:r>
      <w:r w:rsidR="00507D74">
        <w:rPr>
          <w:rFonts w:ascii="Bookman Old Style" w:hAnsi="Bookman Old Style"/>
        </w:rPr>
        <w:t>(</w:t>
      </w:r>
      <w:r w:rsidR="00AF5789" w:rsidRPr="00507D74">
        <w:rPr>
          <w:rFonts w:ascii="Bookman Old Style" w:hAnsi="Bookman Old Style"/>
        </w:rPr>
        <w:t>E-2013-004213</w:t>
      </w:r>
      <w:r w:rsidR="00507D74">
        <w:rPr>
          <w:rFonts w:ascii="Bookman Old Style" w:hAnsi="Bookman Old Style"/>
        </w:rPr>
        <w:t>,</w:t>
      </w:r>
      <w:r w:rsidR="00AF5789" w:rsidRPr="00507D74">
        <w:rPr>
          <w:rFonts w:ascii="Bookman Old Style" w:hAnsi="Bookman Old Style"/>
        </w:rPr>
        <w:t xml:space="preserve"> E-2013-004763 </w:t>
      </w:r>
      <w:r w:rsidR="00507D74">
        <w:rPr>
          <w:rFonts w:ascii="Bookman Old Style" w:hAnsi="Bookman Old Style"/>
        </w:rPr>
        <w:t xml:space="preserve">y </w:t>
      </w:r>
      <w:r w:rsidR="00AF5789" w:rsidRPr="00507D74">
        <w:rPr>
          <w:rFonts w:ascii="Bookman Old Style" w:hAnsi="Bookman Old Style"/>
        </w:rPr>
        <w:t>E-2013-005022</w:t>
      </w:r>
      <w:r w:rsidR="00507D74">
        <w:rPr>
          <w:rFonts w:ascii="Bookman Old Style" w:hAnsi="Bookman Old Style"/>
        </w:rPr>
        <w:t xml:space="preserve">); </w:t>
      </w:r>
      <w:r w:rsidR="00AF5789" w:rsidRPr="00507D74">
        <w:rPr>
          <w:rFonts w:ascii="Bookman Old Style" w:hAnsi="Bookman Old Style"/>
        </w:rPr>
        <w:t xml:space="preserve">GYPTEC </w:t>
      </w:r>
      <w:r w:rsidR="00507D74">
        <w:rPr>
          <w:rFonts w:ascii="Bookman Old Style" w:hAnsi="Bookman Old Style"/>
        </w:rPr>
        <w:t>(</w:t>
      </w:r>
      <w:r w:rsidR="00AF5789" w:rsidRPr="00507D74">
        <w:rPr>
          <w:rFonts w:ascii="Bookman Old Style" w:hAnsi="Bookman Old Style"/>
        </w:rPr>
        <w:t>E-2013-001922</w:t>
      </w:r>
      <w:r w:rsidR="00507D74">
        <w:rPr>
          <w:rFonts w:ascii="Bookman Old Style" w:hAnsi="Bookman Old Style"/>
        </w:rPr>
        <w:t>)</w:t>
      </w:r>
      <w:r w:rsidR="00AF5789" w:rsidRPr="00507D74">
        <w:rPr>
          <w:rFonts w:ascii="Bookman Old Style" w:hAnsi="Bookman Old Style"/>
        </w:rPr>
        <w:t xml:space="preserve"> INGREDION </w:t>
      </w:r>
      <w:r w:rsidR="00507D74">
        <w:rPr>
          <w:rFonts w:ascii="Bookman Old Style" w:hAnsi="Bookman Old Style"/>
        </w:rPr>
        <w:t>(</w:t>
      </w:r>
      <w:r w:rsidR="00AF5789" w:rsidRPr="00507D74">
        <w:rPr>
          <w:rFonts w:ascii="Bookman Old Style" w:hAnsi="Bookman Old Style"/>
        </w:rPr>
        <w:t>E-2013-001949</w:t>
      </w:r>
      <w:r w:rsidR="00507D74">
        <w:rPr>
          <w:rFonts w:ascii="Bookman Old Style" w:hAnsi="Bookman Old Style"/>
        </w:rPr>
        <w:t>);</w:t>
      </w:r>
      <w:r w:rsidR="00AF5789" w:rsidRPr="00507D74">
        <w:rPr>
          <w:rFonts w:ascii="Bookman Old Style" w:hAnsi="Bookman Old Style"/>
        </w:rPr>
        <w:t xml:space="preserve"> INVERCOLSA </w:t>
      </w:r>
      <w:r w:rsidR="00507D74">
        <w:rPr>
          <w:rFonts w:ascii="Bookman Old Style" w:hAnsi="Bookman Old Style"/>
        </w:rPr>
        <w:t>(</w:t>
      </w:r>
      <w:r w:rsidR="00AF5789" w:rsidRPr="00507D74">
        <w:rPr>
          <w:rFonts w:ascii="Bookman Old Style" w:hAnsi="Bookman Old Style"/>
        </w:rPr>
        <w:t>E-2013-004788</w:t>
      </w:r>
      <w:r w:rsidR="00507D74">
        <w:rPr>
          <w:rFonts w:ascii="Bookman Old Style" w:hAnsi="Bookman Old Style"/>
        </w:rPr>
        <w:t>)</w:t>
      </w:r>
      <w:r w:rsidR="00AF5789">
        <w:rPr>
          <w:rFonts w:ascii="Bookman Old Style" w:hAnsi="Bookman Old Style"/>
        </w:rPr>
        <w:t>;</w:t>
      </w:r>
      <w:r w:rsidR="00AF5789" w:rsidRPr="00AF5789">
        <w:rPr>
          <w:rFonts w:ascii="Arial" w:hAnsi="Arial" w:cs="Arial"/>
          <w:color w:val="000000"/>
          <w:sz w:val="16"/>
          <w:szCs w:val="22"/>
          <w:lang w:val="es-CO" w:eastAsia="es-CO"/>
        </w:rPr>
        <w:t xml:space="preserve"> </w:t>
      </w:r>
      <w:r w:rsidR="00AF5789" w:rsidRPr="00507D74">
        <w:rPr>
          <w:rFonts w:ascii="Bookman Old Style" w:hAnsi="Bookman Old Style"/>
        </w:rPr>
        <w:t xml:space="preserve">ITANSUCA </w:t>
      </w:r>
      <w:r w:rsidR="00507D74">
        <w:rPr>
          <w:rFonts w:ascii="Bookman Old Style" w:hAnsi="Bookman Old Style"/>
        </w:rPr>
        <w:t>(</w:t>
      </w:r>
      <w:r w:rsidR="00AF5789" w:rsidRPr="00507D74">
        <w:rPr>
          <w:rFonts w:ascii="Bookman Old Style" w:hAnsi="Bookman Old Style"/>
        </w:rPr>
        <w:t>E-2013-004770</w:t>
      </w:r>
      <w:r w:rsidR="00507D74">
        <w:rPr>
          <w:rFonts w:ascii="Bookman Old Style" w:hAnsi="Bookman Old Style"/>
        </w:rPr>
        <w:t xml:space="preserve">); </w:t>
      </w:r>
      <w:r w:rsidR="00AF5789" w:rsidRPr="00507D74">
        <w:rPr>
          <w:rFonts w:ascii="Bookman Old Style" w:hAnsi="Bookman Old Style"/>
        </w:rPr>
        <w:t xml:space="preserve">LLANOGAS </w:t>
      </w:r>
      <w:r w:rsidR="00507D74">
        <w:rPr>
          <w:rFonts w:ascii="Bookman Old Style" w:hAnsi="Bookman Old Style"/>
        </w:rPr>
        <w:t>S.A. E.S.P. (</w:t>
      </w:r>
      <w:r w:rsidR="00AF5789" w:rsidRPr="00507D74">
        <w:rPr>
          <w:rFonts w:ascii="Bookman Old Style" w:hAnsi="Bookman Old Style"/>
        </w:rPr>
        <w:t>E-2013-004719</w:t>
      </w:r>
      <w:r w:rsidR="00507D74">
        <w:rPr>
          <w:rFonts w:ascii="Bookman Old Style" w:hAnsi="Bookman Old Style"/>
        </w:rPr>
        <w:t xml:space="preserve"> y</w:t>
      </w:r>
      <w:r w:rsidR="00AF5789" w:rsidRPr="00507D74">
        <w:rPr>
          <w:rFonts w:ascii="Bookman Old Style" w:hAnsi="Bookman Old Style"/>
        </w:rPr>
        <w:t xml:space="preserve"> E-2013-004738</w:t>
      </w:r>
      <w:r w:rsidR="00507D74">
        <w:rPr>
          <w:rFonts w:ascii="Bookman Old Style" w:hAnsi="Bookman Old Style"/>
        </w:rPr>
        <w:t>)</w:t>
      </w:r>
      <w:r w:rsidR="00AF5789">
        <w:rPr>
          <w:rFonts w:ascii="Bookman Old Style" w:hAnsi="Bookman Old Style"/>
        </w:rPr>
        <w:t>;</w:t>
      </w:r>
      <w:r w:rsidR="00AF5789" w:rsidRPr="00AF5789">
        <w:rPr>
          <w:rFonts w:ascii="Arial" w:hAnsi="Arial" w:cs="Arial"/>
          <w:color w:val="000000"/>
          <w:sz w:val="16"/>
          <w:szCs w:val="22"/>
          <w:lang w:val="es-CO" w:eastAsia="es-CO"/>
        </w:rPr>
        <w:t xml:space="preserve"> </w:t>
      </w:r>
      <w:r w:rsidR="00AF5789" w:rsidRPr="00507D74">
        <w:rPr>
          <w:rFonts w:ascii="Bookman Old Style" w:hAnsi="Bookman Old Style"/>
        </w:rPr>
        <w:t xml:space="preserve">MADIGAS </w:t>
      </w:r>
      <w:r w:rsidR="00507D74">
        <w:rPr>
          <w:rFonts w:ascii="Bookman Old Style" w:hAnsi="Bookman Old Style"/>
        </w:rPr>
        <w:t>INGENIEROS S.A. E.S.P. (</w:t>
      </w:r>
      <w:r w:rsidR="00AF5789" w:rsidRPr="00507D74">
        <w:rPr>
          <w:rFonts w:ascii="Bookman Old Style" w:hAnsi="Bookman Old Style"/>
        </w:rPr>
        <w:t>E-2013-000389</w:t>
      </w:r>
      <w:r w:rsidR="00507D74">
        <w:rPr>
          <w:rFonts w:ascii="Bookman Old Style" w:hAnsi="Bookman Old Style"/>
        </w:rPr>
        <w:t>)</w:t>
      </w:r>
      <w:r w:rsidR="00AF5789" w:rsidRPr="00507D74">
        <w:rPr>
          <w:rFonts w:ascii="Bookman Old Style" w:hAnsi="Bookman Old Style"/>
        </w:rPr>
        <w:t xml:space="preserve"> MONTAGAS </w:t>
      </w:r>
      <w:r w:rsidR="00507D74">
        <w:rPr>
          <w:rFonts w:ascii="Bookman Old Style" w:hAnsi="Bookman Old Style"/>
        </w:rPr>
        <w:t>(</w:t>
      </w:r>
      <w:r w:rsidR="00AF5789" w:rsidRPr="00507D74">
        <w:rPr>
          <w:rFonts w:ascii="Bookman Old Style" w:hAnsi="Bookman Old Style"/>
        </w:rPr>
        <w:t>E-2013-000344</w:t>
      </w:r>
      <w:r w:rsidR="00507D74">
        <w:rPr>
          <w:rFonts w:ascii="Bookman Old Style" w:hAnsi="Bookman Old Style"/>
        </w:rPr>
        <w:t>);</w:t>
      </w:r>
      <w:r w:rsidR="00AF5789" w:rsidRPr="00507D74">
        <w:rPr>
          <w:rFonts w:ascii="Bookman Old Style" w:hAnsi="Bookman Old Style"/>
        </w:rPr>
        <w:t xml:space="preserve"> NATURGAS </w:t>
      </w:r>
      <w:r w:rsidR="00507D74">
        <w:rPr>
          <w:rFonts w:ascii="Bookman Old Style" w:hAnsi="Bookman Old Style"/>
        </w:rPr>
        <w:t>(</w:t>
      </w:r>
      <w:r w:rsidR="00AF5789" w:rsidRPr="00507D74">
        <w:rPr>
          <w:rFonts w:ascii="Bookman Old Style" w:hAnsi="Bookman Old Style"/>
        </w:rPr>
        <w:t xml:space="preserve">E-2013-004744 </w:t>
      </w:r>
      <w:r w:rsidR="00507D74">
        <w:rPr>
          <w:rFonts w:ascii="Bookman Old Style" w:hAnsi="Bookman Old Style"/>
        </w:rPr>
        <w:t xml:space="preserve">y </w:t>
      </w:r>
      <w:r w:rsidR="00AF5789" w:rsidRPr="00507D74">
        <w:rPr>
          <w:rFonts w:ascii="Bookman Old Style" w:hAnsi="Bookman Old Style"/>
        </w:rPr>
        <w:t>E-2013-005027</w:t>
      </w:r>
      <w:r w:rsidR="00507D74">
        <w:rPr>
          <w:rFonts w:ascii="Bookman Old Style" w:hAnsi="Bookman Old Style"/>
        </w:rPr>
        <w:t>);</w:t>
      </w:r>
      <w:r w:rsidR="00AF5789" w:rsidRPr="00507D74">
        <w:rPr>
          <w:rFonts w:ascii="Bookman Old Style" w:hAnsi="Bookman Old Style"/>
        </w:rPr>
        <w:t xml:space="preserve"> ORGANIZACIÓN CORONA </w:t>
      </w:r>
      <w:r w:rsidR="00507D74">
        <w:rPr>
          <w:rFonts w:ascii="Bookman Old Style" w:hAnsi="Bookman Old Style"/>
        </w:rPr>
        <w:t>(</w:t>
      </w:r>
      <w:r w:rsidR="00AF5789" w:rsidRPr="00507D74">
        <w:rPr>
          <w:rFonts w:ascii="Bookman Old Style" w:hAnsi="Bookman Old Style"/>
        </w:rPr>
        <w:t>E-2013-001942</w:t>
      </w:r>
      <w:r w:rsidR="00507D74">
        <w:rPr>
          <w:rFonts w:ascii="Bookman Old Style" w:hAnsi="Bookman Old Style"/>
        </w:rPr>
        <w:t>);</w:t>
      </w:r>
      <w:r w:rsidR="00AF5789" w:rsidRPr="00507D74">
        <w:rPr>
          <w:rFonts w:ascii="Bookman Old Style" w:hAnsi="Bookman Old Style"/>
        </w:rPr>
        <w:t xml:space="preserve"> PELDAR </w:t>
      </w:r>
      <w:r w:rsidR="00507D74">
        <w:rPr>
          <w:rFonts w:ascii="Bookman Old Style" w:hAnsi="Bookman Old Style"/>
        </w:rPr>
        <w:t>(</w:t>
      </w:r>
      <w:r w:rsidR="00AF5789" w:rsidRPr="00507D74">
        <w:rPr>
          <w:rFonts w:ascii="Bookman Old Style" w:hAnsi="Bookman Old Style"/>
        </w:rPr>
        <w:t>E-2013-001924</w:t>
      </w:r>
      <w:r w:rsidR="00507D74">
        <w:rPr>
          <w:rFonts w:ascii="Bookman Old Style" w:hAnsi="Bookman Old Style"/>
        </w:rPr>
        <w:t>);</w:t>
      </w:r>
      <w:r w:rsidR="00AF5789" w:rsidRPr="00507D74">
        <w:rPr>
          <w:rFonts w:ascii="Bookman Old Style" w:hAnsi="Bookman Old Style"/>
        </w:rPr>
        <w:t xml:space="preserve"> PLEXA </w:t>
      </w:r>
      <w:r w:rsidR="00507D74">
        <w:rPr>
          <w:rFonts w:ascii="Bookman Old Style" w:hAnsi="Bookman Old Style"/>
        </w:rPr>
        <w:t>(</w:t>
      </w:r>
      <w:r w:rsidR="00AF5789" w:rsidRPr="00507D74">
        <w:rPr>
          <w:rFonts w:ascii="Bookman Old Style" w:hAnsi="Bookman Old Style"/>
        </w:rPr>
        <w:t>E-2013-000453</w:t>
      </w:r>
      <w:r w:rsidR="00507D74">
        <w:rPr>
          <w:rFonts w:ascii="Bookman Old Style" w:hAnsi="Bookman Old Style"/>
        </w:rPr>
        <w:t>);</w:t>
      </w:r>
      <w:r w:rsidR="00AF5789" w:rsidRPr="00507D74">
        <w:rPr>
          <w:rFonts w:ascii="Bookman Old Style" w:hAnsi="Bookman Old Style"/>
        </w:rPr>
        <w:t xml:space="preserve"> PUBLISERVICIOS</w:t>
      </w:r>
      <w:r w:rsidR="00507D74">
        <w:rPr>
          <w:rFonts w:ascii="Bookman Old Style" w:hAnsi="Bookman Old Style"/>
        </w:rPr>
        <w:t xml:space="preserve"> S.A. E.S.P.</w:t>
      </w:r>
      <w:r w:rsidR="00AF5789" w:rsidRPr="00507D74">
        <w:rPr>
          <w:rFonts w:ascii="Bookman Old Style" w:hAnsi="Bookman Old Style"/>
        </w:rPr>
        <w:t xml:space="preserve"> </w:t>
      </w:r>
      <w:r w:rsidR="00507D74">
        <w:rPr>
          <w:rFonts w:ascii="Bookman Old Style" w:hAnsi="Bookman Old Style"/>
        </w:rPr>
        <w:t>(</w:t>
      </w:r>
      <w:r w:rsidR="00AF5789" w:rsidRPr="00507D74">
        <w:rPr>
          <w:rFonts w:ascii="Bookman Old Style" w:hAnsi="Bookman Old Style"/>
        </w:rPr>
        <w:t>E-2013-004775</w:t>
      </w:r>
      <w:r w:rsidR="00507D74">
        <w:rPr>
          <w:rFonts w:ascii="Bookman Old Style" w:hAnsi="Bookman Old Style"/>
        </w:rPr>
        <w:t>);</w:t>
      </w:r>
      <w:r w:rsidR="00AF5789" w:rsidRPr="00507D74">
        <w:rPr>
          <w:rFonts w:ascii="Bookman Old Style" w:hAnsi="Bookman Old Style"/>
        </w:rPr>
        <w:t xml:space="preserve"> SEATECH INTERNATIONAL </w:t>
      </w:r>
      <w:r w:rsidR="00507D74">
        <w:rPr>
          <w:rFonts w:ascii="Bookman Old Style" w:hAnsi="Bookman Old Style"/>
        </w:rPr>
        <w:t>(</w:t>
      </w:r>
      <w:r w:rsidR="00AF5789" w:rsidRPr="00507D74">
        <w:rPr>
          <w:rFonts w:ascii="Bookman Old Style" w:hAnsi="Bookman Old Style"/>
        </w:rPr>
        <w:t>E-2013-001907</w:t>
      </w:r>
      <w:r w:rsidR="00507D74">
        <w:rPr>
          <w:rFonts w:ascii="Bookman Old Style" w:hAnsi="Bookman Old Style"/>
        </w:rPr>
        <w:t>);</w:t>
      </w:r>
      <w:r w:rsidR="00AF5789" w:rsidRPr="00507D74">
        <w:rPr>
          <w:rFonts w:ascii="Bookman Old Style" w:hAnsi="Bookman Old Style"/>
        </w:rPr>
        <w:t xml:space="preserve"> SIGRA </w:t>
      </w:r>
      <w:r w:rsidR="00507D74">
        <w:rPr>
          <w:rFonts w:ascii="Bookman Old Style" w:hAnsi="Bookman Old Style"/>
        </w:rPr>
        <w:t>(</w:t>
      </w:r>
      <w:r w:rsidR="00AF5789" w:rsidRPr="00507D74">
        <w:rPr>
          <w:rFonts w:ascii="Bookman Old Style" w:hAnsi="Bookman Old Style"/>
        </w:rPr>
        <w:t>E-2013-001900</w:t>
      </w:r>
      <w:r w:rsidR="00507D74">
        <w:rPr>
          <w:rFonts w:ascii="Bookman Old Style" w:hAnsi="Bookman Old Style"/>
        </w:rPr>
        <w:t xml:space="preserve">); </w:t>
      </w:r>
      <w:r w:rsidR="00AF5789" w:rsidRPr="00507D74">
        <w:rPr>
          <w:rFonts w:ascii="Bookman Old Style" w:hAnsi="Bookman Old Style"/>
        </w:rPr>
        <w:t xml:space="preserve"> SUPERINTENDENCIA DE SERVICIOS PUBLICOS </w:t>
      </w:r>
      <w:r w:rsidR="00507D74">
        <w:rPr>
          <w:rFonts w:ascii="Bookman Old Style" w:hAnsi="Bookman Old Style"/>
        </w:rPr>
        <w:t>(</w:t>
      </w:r>
      <w:r w:rsidR="00AF5789" w:rsidRPr="00507D74">
        <w:rPr>
          <w:rFonts w:ascii="Bookman Old Style" w:hAnsi="Bookman Old Style"/>
        </w:rPr>
        <w:t>E-2013-005605</w:t>
      </w:r>
      <w:r w:rsidR="00507D74">
        <w:rPr>
          <w:rFonts w:ascii="Bookman Old Style" w:hAnsi="Bookman Old Style"/>
        </w:rPr>
        <w:t>);</w:t>
      </w:r>
      <w:r w:rsidR="00AF5789" w:rsidRPr="00507D74">
        <w:rPr>
          <w:rFonts w:ascii="Bookman Old Style" w:hAnsi="Bookman Old Style"/>
        </w:rPr>
        <w:t xml:space="preserve"> TGI </w:t>
      </w:r>
      <w:r w:rsidR="00507D74">
        <w:rPr>
          <w:rFonts w:ascii="Bookman Old Style" w:hAnsi="Bookman Old Style"/>
        </w:rPr>
        <w:t>(</w:t>
      </w:r>
      <w:r w:rsidR="00AF5789" w:rsidRPr="00507D74">
        <w:rPr>
          <w:rFonts w:ascii="Bookman Old Style" w:hAnsi="Bookman Old Style"/>
        </w:rPr>
        <w:t xml:space="preserve">E-2013-004786 </w:t>
      </w:r>
      <w:r w:rsidR="00507D74">
        <w:rPr>
          <w:rFonts w:ascii="Bookman Old Style" w:hAnsi="Bookman Old Style"/>
        </w:rPr>
        <w:t xml:space="preserve"> y </w:t>
      </w:r>
      <w:r w:rsidR="00AF5789" w:rsidRPr="00507D74">
        <w:rPr>
          <w:rFonts w:ascii="Bookman Old Style" w:hAnsi="Bookman Old Style"/>
        </w:rPr>
        <w:t>E-2013-004982</w:t>
      </w:r>
      <w:r w:rsidR="00507D74">
        <w:rPr>
          <w:rFonts w:ascii="Bookman Old Style" w:hAnsi="Bookman Old Style"/>
        </w:rPr>
        <w:t>);</w:t>
      </w:r>
      <w:r w:rsidR="00AF5789" w:rsidRPr="00507D74">
        <w:rPr>
          <w:rFonts w:ascii="Bookman Old Style" w:hAnsi="Bookman Old Style"/>
        </w:rPr>
        <w:t xml:space="preserve"> UNION DE EMPRESAS COLOMBIANAS DE GLP </w:t>
      </w:r>
      <w:r w:rsidR="00507D74">
        <w:rPr>
          <w:rFonts w:ascii="Bookman Old Style" w:hAnsi="Bookman Old Style"/>
        </w:rPr>
        <w:t>(</w:t>
      </w:r>
      <w:r w:rsidR="00AF5789" w:rsidRPr="00507D74">
        <w:rPr>
          <w:rFonts w:ascii="Bookman Old Style" w:hAnsi="Bookman Old Style"/>
        </w:rPr>
        <w:t>E-2013-003600</w:t>
      </w:r>
      <w:r w:rsidR="00507D74">
        <w:rPr>
          <w:rFonts w:ascii="Bookman Old Style" w:hAnsi="Bookman Old Style"/>
        </w:rPr>
        <w:t xml:space="preserve"> y</w:t>
      </w:r>
      <w:r w:rsidR="00AF5789" w:rsidRPr="00507D74">
        <w:rPr>
          <w:rFonts w:ascii="Bookman Old Style" w:hAnsi="Bookman Old Style"/>
        </w:rPr>
        <w:t xml:space="preserve"> E-2013-001860</w:t>
      </w:r>
      <w:r w:rsidR="00507D74">
        <w:rPr>
          <w:rFonts w:ascii="Bookman Old Style" w:hAnsi="Bookman Old Style"/>
        </w:rPr>
        <w:t>).</w:t>
      </w:r>
    </w:p>
    <w:p w:rsidR="00507D74" w:rsidRDefault="00507D74" w:rsidP="004E696C">
      <w:pPr>
        <w:widowControl w:val="0"/>
        <w:adjustRightInd w:val="0"/>
        <w:ind w:left="0"/>
        <w:jc w:val="both"/>
        <w:textAlignment w:val="baseline"/>
        <w:rPr>
          <w:rFonts w:ascii="Bookman Old Style" w:hAnsi="Bookman Old Style"/>
        </w:rPr>
      </w:pPr>
    </w:p>
    <w:p w:rsidR="00314B81" w:rsidRDefault="00314B81" w:rsidP="004E696C">
      <w:pPr>
        <w:widowControl w:val="0"/>
        <w:adjustRightInd w:val="0"/>
        <w:ind w:left="0"/>
        <w:jc w:val="both"/>
        <w:textAlignment w:val="baseline"/>
        <w:rPr>
          <w:rFonts w:ascii="Bookman Old Style" w:hAnsi="Bookman Old Style"/>
        </w:rPr>
      </w:pPr>
      <w:r>
        <w:rPr>
          <w:rFonts w:ascii="Bookman Old Style" w:hAnsi="Bookman Old Style"/>
        </w:rPr>
        <w:t xml:space="preserve">Adicionalmente NATURGAS presentó a la Comisión </w:t>
      </w:r>
      <w:r w:rsidR="00D33FF6">
        <w:rPr>
          <w:rFonts w:ascii="Bookman Old Style" w:hAnsi="Bookman Old Style"/>
        </w:rPr>
        <w:t>el</w:t>
      </w:r>
      <w:r>
        <w:rPr>
          <w:rFonts w:ascii="Bookman Old Style" w:hAnsi="Bookman Old Style"/>
        </w:rPr>
        <w:t xml:space="preserve"> estudio </w:t>
      </w:r>
      <w:r w:rsidR="00D33FF6">
        <w:rPr>
          <w:rFonts w:ascii="Bookman Old Style" w:hAnsi="Bookman Old Style"/>
        </w:rPr>
        <w:t>“Discusión de la metodología de regulación de mercados relevantes de distribución de gas natural” realizado por Pablo Roda.</w:t>
      </w:r>
    </w:p>
    <w:p w:rsidR="00CA0643" w:rsidRDefault="00CA0643" w:rsidP="004E696C">
      <w:pPr>
        <w:widowControl w:val="0"/>
        <w:adjustRightInd w:val="0"/>
        <w:ind w:left="0"/>
        <w:jc w:val="both"/>
        <w:textAlignment w:val="baseline"/>
        <w:rPr>
          <w:rFonts w:ascii="Bookman Old Style" w:hAnsi="Bookman Old Style"/>
        </w:rPr>
      </w:pPr>
    </w:p>
    <w:p w:rsidR="00500790" w:rsidRDefault="00500790" w:rsidP="00500790">
      <w:pPr>
        <w:widowControl w:val="0"/>
        <w:adjustRightInd w:val="0"/>
        <w:ind w:left="0"/>
        <w:jc w:val="both"/>
        <w:textAlignment w:val="baseline"/>
        <w:rPr>
          <w:rFonts w:ascii="Bookman Old Style" w:hAnsi="Bookman Old Style"/>
        </w:rPr>
      </w:pPr>
      <w:r>
        <w:rPr>
          <w:rFonts w:ascii="Bookman Old Style" w:hAnsi="Bookman Old Style"/>
        </w:rPr>
        <w:t xml:space="preserve">Las respuestas a cada uno de los comentarios recibidos se encuentran consignadas en el Documento </w:t>
      </w:r>
      <w:r w:rsidRPr="00103665">
        <w:rPr>
          <w:rFonts w:ascii="Bookman Old Style" w:hAnsi="Bookman Old Style"/>
        </w:rPr>
        <w:t xml:space="preserve">CREG </w:t>
      </w:r>
      <w:r w:rsidR="00103665">
        <w:rPr>
          <w:rFonts w:ascii="Bookman Old Style" w:hAnsi="Bookman Old Style"/>
        </w:rPr>
        <w:t>146</w:t>
      </w:r>
      <w:r w:rsidRPr="00103665">
        <w:rPr>
          <w:rFonts w:ascii="Bookman Old Style" w:hAnsi="Bookman Old Style"/>
        </w:rPr>
        <w:t xml:space="preserve"> de 2013</w:t>
      </w:r>
      <w:r>
        <w:rPr>
          <w:rFonts w:ascii="Bookman Old Style" w:hAnsi="Bookman Old Style"/>
        </w:rPr>
        <w:t>, así como los ajustes resultantes a la propuesta de la Resolución CREG 090 de 2012.</w:t>
      </w:r>
    </w:p>
    <w:p w:rsidR="00500790" w:rsidRPr="00500790" w:rsidRDefault="00500790" w:rsidP="00500790">
      <w:pPr>
        <w:ind w:left="0"/>
        <w:jc w:val="both"/>
        <w:rPr>
          <w:rFonts w:ascii="Bookman Old Style" w:hAnsi="Bookman Old Style" w:cs="Arial"/>
        </w:rPr>
      </w:pPr>
    </w:p>
    <w:p w:rsidR="00500790" w:rsidRPr="000A0338" w:rsidRDefault="00500790" w:rsidP="00500790">
      <w:pPr>
        <w:ind w:left="0"/>
        <w:jc w:val="both"/>
        <w:rPr>
          <w:rFonts w:ascii="Bookman Old Style" w:hAnsi="Bookman Old Style" w:cs="Arial"/>
        </w:rPr>
      </w:pPr>
      <w:r w:rsidRPr="000A0338">
        <w:rPr>
          <w:rFonts w:ascii="Bookman Old Style" w:hAnsi="Bookman Old Style" w:cs="Arial"/>
        </w:rPr>
        <w:lastRenderedPageBreak/>
        <w:t>En cumplimiento de lo establecido en la Ley 1340 de 2009, el artículo 8 del Decreto 2897 de 2010 y la Resolución SIC 44649 de 2010, la CREG procedió a dar respuesta al cuestionario expedido por la Superintendencia de Industria y Comercio SIC, encontrando que el presente acto no requiere ser remitido a la SIC por no tener incidencia en la libre competencia.</w:t>
      </w:r>
    </w:p>
    <w:p w:rsidR="00500790" w:rsidRPr="000A0338" w:rsidRDefault="00500790" w:rsidP="00500790">
      <w:pPr>
        <w:ind w:left="0"/>
        <w:jc w:val="both"/>
        <w:rPr>
          <w:rFonts w:ascii="Bookman Old Style" w:hAnsi="Bookman Old Style" w:cs="Arial"/>
        </w:rPr>
      </w:pPr>
    </w:p>
    <w:p w:rsidR="00500790" w:rsidRDefault="00500790" w:rsidP="00500790">
      <w:pPr>
        <w:widowControl w:val="0"/>
        <w:adjustRightInd w:val="0"/>
        <w:ind w:left="0"/>
        <w:jc w:val="both"/>
        <w:textAlignment w:val="baseline"/>
        <w:rPr>
          <w:rFonts w:ascii="Bookman Old Style" w:hAnsi="Bookman Old Style" w:cs="Arial"/>
        </w:rPr>
      </w:pPr>
      <w:r w:rsidRPr="000A0338">
        <w:rPr>
          <w:rFonts w:ascii="Bookman Old Style" w:hAnsi="Bookman Old Style" w:cs="Arial"/>
        </w:rPr>
        <w:t>Según lo previsto en el artículo 9° del Decreto 2696 de 2004, concordante con el artículo 8 del Código de Procedimiento Administrativo y de lo Contencioso Administrativo, la regulación que mediante la presente resolución se adopta ha surtido el proceso de publicidad previo correspondiente según las normas vigentes, garantizándose de esta manera la participación de todos los agentes del sector y demás interesados</w:t>
      </w:r>
      <w:r w:rsidR="00103665">
        <w:rPr>
          <w:rFonts w:ascii="Bookman Old Style" w:hAnsi="Bookman Old Style" w:cs="Arial"/>
        </w:rPr>
        <w:t>.</w:t>
      </w:r>
    </w:p>
    <w:p w:rsidR="00103665" w:rsidRDefault="00103665" w:rsidP="00500790">
      <w:pPr>
        <w:widowControl w:val="0"/>
        <w:adjustRightInd w:val="0"/>
        <w:ind w:left="0"/>
        <w:jc w:val="both"/>
        <w:textAlignment w:val="baseline"/>
        <w:rPr>
          <w:rFonts w:ascii="Bookman Old Style" w:hAnsi="Bookman Old Style"/>
        </w:rPr>
      </w:pPr>
    </w:p>
    <w:p w:rsidR="00103665" w:rsidRDefault="00103665" w:rsidP="00103665">
      <w:pPr>
        <w:ind w:left="0"/>
        <w:jc w:val="both"/>
        <w:rPr>
          <w:rFonts w:ascii="Bookman Old Style" w:hAnsi="Bookman Old Style"/>
        </w:rPr>
      </w:pPr>
      <w:r>
        <w:rPr>
          <w:rFonts w:ascii="Bookman Old Style" w:hAnsi="Bookman Old Style"/>
        </w:rPr>
        <w:t>Que la Comisión de Regulación de Energía y Gas, en su sesión No. 585 del 18 de diciembre de 2013, acordó expedir la presente resolución;</w:t>
      </w:r>
    </w:p>
    <w:p w:rsidR="004E696C" w:rsidRPr="00D33FF6" w:rsidRDefault="004E696C" w:rsidP="000B65DE">
      <w:pPr>
        <w:ind w:left="0"/>
        <w:jc w:val="both"/>
        <w:rPr>
          <w:rFonts w:ascii="Bookman Old Style" w:hAnsi="Bookman Old Style"/>
          <w:lang w:val="es-CO"/>
        </w:rPr>
      </w:pPr>
    </w:p>
    <w:p w:rsidR="000B65DE" w:rsidRDefault="000B65DE" w:rsidP="000B65DE">
      <w:pPr>
        <w:ind w:left="0"/>
        <w:jc w:val="both"/>
        <w:rPr>
          <w:rFonts w:ascii="Bookman Old Style" w:hAnsi="Bookman Old Style"/>
        </w:rPr>
      </w:pPr>
      <w:r w:rsidRPr="000B65DE">
        <w:rPr>
          <w:rFonts w:ascii="Bookman Old Style" w:hAnsi="Bookman Old Style"/>
        </w:rPr>
        <w:t xml:space="preserve">En consecuencia, </w:t>
      </w:r>
    </w:p>
    <w:p w:rsidR="005B1FCE" w:rsidRPr="000B65DE" w:rsidRDefault="005B1FCE" w:rsidP="000B65DE">
      <w:pPr>
        <w:ind w:left="0"/>
        <w:jc w:val="both"/>
        <w:rPr>
          <w:rFonts w:ascii="Bookman Old Style" w:hAnsi="Bookman Old Style"/>
          <w:b/>
        </w:rPr>
      </w:pPr>
    </w:p>
    <w:p w:rsidR="000B65DE" w:rsidRPr="000B65DE" w:rsidRDefault="000B65DE" w:rsidP="000B65DE">
      <w:pPr>
        <w:suppressAutoHyphens/>
        <w:jc w:val="center"/>
        <w:rPr>
          <w:rFonts w:ascii="Bookman Old Style" w:hAnsi="Bookman Old Style"/>
          <w:spacing w:val="-3"/>
        </w:rPr>
      </w:pPr>
      <w:r w:rsidRPr="000B65DE">
        <w:rPr>
          <w:rFonts w:ascii="Bookman Old Style" w:hAnsi="Bookman Old Style"/>
          <w:b/>
          <w:spacing w:val="-3"/>
        </w:rPr>
        <w:t>R E S U E L V E:</w:t>
      </w:r>
    </w:p>
    <w:p w:rsidR="000B65DE" w:rsidRPr="000B65DE" w:rsidRDefault="000B65DE" w:rsidP="000B65DE">
      <w:pPr>
        <w:ind w:left="0"/>
        <w:jc w:val="both"/>
        <w:rPr>
          <w:rFonts w:ascii="Bookman Old Style" w:hAnsi="Bookman Old Style"/>
          <w:b/>
        </w:rPr>
      </w:pPr>
    </w:p>
    <w:p w:rsidR="000B65DE" w:rsidRPr="000B65DE" w:rsidRDefault="000B65DE" w:rsidP="00382E27">
      <w:pPr>
        <w:keepNext/>
        <w:numPr>
          <w:ilvl w:val="0"/>
          <w:numId w:val="2"/>
        </w:numPr>
        <w:jc w:val="both"/>
        <w:outlineLvl w:val="0"/>
        <w:rPr>
          <w:rFonts w:ascii="Bookman Old Style" w:hAnsi="Bookman Old Style"/>
          <w:bCs/>
        </w:rPr>
      </w:pPr>
      <w:r w:rsidRPr="000B65DE">
        <w:rPr>
          <w:rFonts w:ascii="Bookman Old Style" w:hAnsi="Bookman Old Style"/>
          <w:b/>
          <w:bCs/>
          <w:lang w:val="es-ES_tradnl"/>
        </w:rPr>
        <w:t>OBJETO.</w:t>
      </w:r>
      <w:r w:rsidRPr="000B65DE">
        <w:rPr>
          <w:rFonts w:ascii="Bookman Old Style" w:hAnsi="Bookman Old Style"/>
          <w:bCs/>
          <w:lang w:val="es-ES_tradnl"/>
        </w:rPr>
        <w:t xml:space="preserve">  La presente resolución tiene como objeto establecer los criterios generales para remunerar la actividad de distribución de gas combustible por redes de tubería en áreas de servicio no exclusivo y algunas disposiciones en relación con la </w:t>
      </w:r>
      <w:r w:rsidRPr="000B65DE">
        <w:rPr>
          <w:rFonts w:ascii="Bookman Old Style" w:hAnsi="Bookman Old Style" w:cs="Arial"/>
          <w:lang w:val="es-CO" w:eastAsia="en-US"/>
        </w:rPr>
        <w:t>prestación del servicio de distribución de gas combustible mediante gasoductos virtuales</w:t>
      </w:r>
      <w:r w:rsidRPr="000B65DE">
        <w:rPr>
          <w:rFonts w:ascii="Bookman Old Style" w:hAnsi="Bookman Old Style"/>
          <w:bCs/>
        </w:rPr>
        <w:t>.</w:t>
      </w:r>
    </w:p>
    <w:p w:rsidR="000B65DE" w:rsidRPr="000B65DE" w:rsidRDefault="000B65DE" w:rsidP="000B65DE">
      <w:pPr>
        <w:ind w:left="0"/>
        <w:jc w:val="both"/>
        <w:rPr>
          <w:rFonts w:ascii="Bookman Old Style" w:hAnsi="Bookman Old Style"/>
        </w:rPr>
      </w:pPr>
    </w:p>
    <w:p w:rsidR="000B65DE" w:rsidRPr="000B65DE" w:rsidRDefault="000B65DE" w:rsidP="000B65DE">
      <w:pPr>
        <w:keepNext/>
        <w:tabs>
          <w:tab w:val="num" w:pos="1843"/>
        </w:tabs>
        <w:spacing w:before="240" w:after="60"/>
        <w:ind w:left="0"/>
        <w:jc w:val="center"/>
        <w:outlineLvl w:val="0"/>
        <w:rPr>
          <w:rFonts w:ascii="Bookman Old Style" w:hAnsi="Bookman Old Style"/>
          <w:b/>
          <w:bCs/>
          <w:lang w:val="es-CO"/>
        </w:rPr>
      </w:pPr>
      <w:r w:rsidRPr="000B65DE">
        <w:rPr>
          <w:rFonts w:ascii="Bookman Old Style" w:hAnsi="Bookman Old Style"/>
          <w:b/>
          <w:bCs/>
          <w:lang w:val="es-CO"/>
        </w:rPr>
        <w:t>CAPÍTULO I. DEFINICIONES Y ASPECTOS GENERALES</w:t>
      </w:r>
    </w:p>
    <w:p w:rsidR="000B65DE" w:rsidRDefault="000B65DE" w:rsidP="000B65DE">
      <w:pPr>
        <w:ind w:left="0"/>
        <w:jc w:val="both"/>
        <w:rPr>
          <w:rFonts w:ascii="Bookman Old Style" w:hAnsi="Bookman Old Style"/>
          <w:lang w:val="es-CO"/>
        </w:rPr>
      </w:pPr>
    </w:p>
    <w:p w:rsidR="00C7068E" w:rsidRPr="00C7068E" w:rsidRDefault="00C7068E" w:rsidP="000B65DE">
      <w:pPr>
        <w:ind w:left="0"/>
        <w:jc w:val="both"/>
        <w:rPr>
          <w:rFonts w:ascii="Bookman Old Style" w:hAnsi="Bookman Old Style"/>
          <w:lang w:val="es-CO"/>
        </w:rPr>
      </w:pPr>
    </w:p>
    <w:p w:rsidR="000B65DE" w:rsidRPr="000B65DE" w:rsidRDefault="000B65DE" w:rsidP="00382E27">
      <w:pPr>
        <w:keepNext/>
        <w:numPr>
          <w:ilvl w:val="0"/>
          <w:numId w:val="2"/>
        </w:numPr>
        <w:jc w:val="both"/>
        <w:outlineLvl w:val="0"/>
        <w:rPr>
          <w:rFonts w:ascii="Bookman Old Style" w:hAnsi="Bookman Old Style"/>
          <w:bCs/>
          <w:lang w:val="es-ES_tradnl"/>
        </w:rPr>
      </w:pPr>
      <w:r w:rsidRPr="000B65DE">
        <w:rPr>
          <w:rFonts w:ascii="Bookman Old Style" w:hAnsi="Bookman Old Style"/>
          <w:b/>
          <w:bCs/>
          <w:lang w:val="es-ES_tradnl"/>
        </w:rPr>
        <w:t>DEFINICIONES.</w:t>
      </w:r>
      <w:r w:rsidRPr="000B65DE">
        <w:rPr>
          <w:rFonts w:ascii="Bookman Old Style" w:hAnsi="Bookman Old Style"/>
          <w:bCs/>
          <w:lang w:val="es-ES_tradnl"/>
        </w:rPr>
        <w:t xml:space="preserve"> Para la interpretación y aplicación de esta Resolución se tendrán en cuenta, además de las definiciones  contenidas en la Ley 142 de 1994 y en las resoluciones vigentes de la CREG, las siguientes:</w:t>
      </w:r>
    </w:p>
    <w:p w:rsidR="000B65DE" w:rsidRPr="000B65DE" w:rsidRDefault="000B65DE" w:rsidP="000B65DE">
      <w:pPr>
        <w:rPr>
          <w:lang w:val="es-CO"/>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ACCESO AL SISTEMA DE DISTRIBUCIÓN:</w:t>
      </w:r>
      <w:r w:rsidRPr="000B65DE">
        <w:rPr>
          <w:rFonts w:ascii="Bookman Old Style" w:hAnsi="Bookman Old Style"/>
          <w:lang w:val="es-ES_tradnl"/>
        </w:rPr>
        <w:t xml:space="preserve"> Es la utilización de los Sistemas de Distribución de gas combustible por redes de tubería, por parte de los Almacenadores, Comercializadores, otros Distribuidores y usuarios, a cambio del pago de cargos por uso de la red y de los cargos de conexión correspondientes, con los derechos y deberes establecidos en la Resolución CREG-067 de 1995 o aquellas disposiciones que lo sustituyan, modifiquen o complementen. </w:t>
      </w:r>
    </w:p>
    <w:p w:rsidR="003540B4" w:rsidRPr="000B65DE" w:rsidRDefault="003540B4"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 xml:space="preserve">CANASTA DE TARIFAS: </w:t>
      </w:r>
      <w:r w:rsidRPr="000B65DE">
        <w:rPr>
          <w:rFonts w:ascii="Bookman Old Style" w:hAnsi="Bookman Old Style"/>
          <w:lang w:val="es-ES_tradnl"/>
        </w:rPr>
        <w:t xml:space="preserve">Metodología de control tarifario consistente en la fijación, por parte del Distribuidor, de cargos máximos diferenciados por </w:t>
      </w:r>
      <w:r w:rsidR="00C42ACD">
        <w:rPr>
          <w:rFonts w:ascii="Bookman Old Style" w:hAnsi="Bookman Old Style"/>
          <w:lang w:val="es-ES_tradnl"/>
        </w:rPr>
        <w:t xml:space="preserve">tipo de usuario y </w:t>
      </w:r>
      <w:r w:rsidRPr="000B65DE">
        <w:rPr>
          <w:rFonts w:ascii="Bookman Old Style" w:hAnsi="Bookman Old Style"/>
          <w:lang w:val="es-ES_tradnl"/>
        </w:rPr>
        <w:t>rangos de consumo para los Usuarios Diferentes a los de Uso Residencial. Dichos cargos y rangos deben cumplir con la condición de que sus ingresos asociados no superen los ingresos asociados al Cargo Promedio de Distribución Aplicable a Usuarios Diferentes a</w:t>
      </w:r>
      <w:r w:rsidR="00416F0F">
        <w:rPr>
          <w:rFonts w:ascii="Bookman Old Style" w:hAnsi="Bookman Old Style"/>
          <w:lang w:val="es-ES_tradnl"/>
        </w:rPr>
        <w:t xml:space="preserve"> los de Uso</w:t>
      </w:r>
      <w:r w:rsidRPr="000B65DE">
        <w:rPr>
          <w:rFonts w:ascii="Bookman Old Style" w:hAnsi="Bookman Old Style"/>
          <w:lang w:val="es-ES_tradnl"/>
        </w:rPr>
        <w:t xml:space="preserve"> Residencial aprobado por la CREG.</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lastRenderedPageBreak/>
        <w:t>CARGOS DE DISTRIBUCIÓN:</w:t>
      </w:r>
      <w:r w:rsidRPr="000B65DE">
        <w:rPr>
          <w:rFonts w:ascii="Bookman Old Style" w:hAnsi="Bookman Old Style"/>
          <w:lang w:val="es-ES_tradnl"/>
        </w:rPr>
        <w:t xml:space="preserve">  Corresponde al </w:t>
      </w:r>
      <w:r w:rsidRPr="000B65DE">
        <w:rPr>
          <w:rFonts w:ascii="Bookman Old Style" w:hAnsi="Bookman Old Style"/>
          <w:bCs/>
          <w:lang w:val="es-ES_tradnl"/>
        </w:rPr>
        <w:t xml:space="preserve">Cargo De Distribución Aplicable A Usuarios De Uso Residencial y/o al Cargo Promedio De Distribución Aplicable a Usuarios Diferentes a los de Uso Residencial, los cuales se aprueban para </w:t>
      </w:r>
      <w:r w:rsidRPr="000B65DE">
        <w:rPr>
          <w:rFonts w:ascii="Bookman Old Style" w:hAnsi="Bookman Old Style"/>
          <w:lang w:val="es-ES_tradnl"/>
        </w:rPr>
        <w:t>Mercado Relevante de Distribución para el Siguiente Período Tarifario</w:t>
      </w:r>
      <w:r w:rsidR="00500790">
        <w:rPr>
          <w:rFonts w:ascii="Bookman Old Style" w:hAnsi="Bookman Old Style"/>
          <w:lang w:val="es-ES_tradnl"/>
        </w:rPr>
        <w:t>.</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bCs/>
          <w:lang w:val="es-ES_tradnl"/>
        </w:rPr>
        <w:t>CARGO DE DISTRIBUCIÓN APLICABLE A USUARIOS DE USO RESIDENCIAL</w:t>
      </w:r>
      <w:r w:rsidRPr="000B65DE">
        <w:rPr>
          <w:rFonts w:ascii="Bookman Old Style" w:hAnsi="Bookman Old Style"/>
          <w:b/>
          <w:lang w:val="es-ES_tradnl"/>
        </w:rPr>
        <w:t>:</w:t>
      </w:r>
      <w:r w:rsidRPr="000B65DE">
        <w:rPr>
          <w:rFonts w:ascii="Bookman Old Style" w:hAnsi="Bookman Old Style"/>
          <w:lang w:val="es-ES_tradnl"/>
        </w:rPr>
        <w:t xml:space="preserve"> Es el cargo unitario de distribución en pesos por metro cúbico ($/m</w:t>
      </w:r>
      <w:r w:rsidRPr="000B65DE">
        <w:rPr>
          <w:rFonts w:ascii="Bookman Old Style" w:hAnsi="Bookman Old Style"/>
          <w:vertAlign w:val="superscript"/>
          <w:lang w:val="es-ES_tradnl"/>
        </w:rPr>
        <w:t>3</w:t>
      </w:r>
      <w:r w:rsidRPr="000B65DE">
        <w:rPr>
          <w:rFonts w:ascii="Bookman Old Style" w:hAnsi="Bookman Old Style"/>
          <w:lang w:val="es-ES_tradnl"/>
        </w:rPr>
        <w:t>)</w:t>
      </w:r>
      <w:r w:rsidRPr="000B65DE">
        <w:rPr>
          <w:rFonts w:ascii="Bookman Old Style" w:hAnsi="Bookman Old Style"/>
          <w:vertAlign w:val="superscript"/>
          <w:lang w:val="es-ES_tradnl"/>
        </w:rPr>
        <w:t xml:space="preserve"> </w:t>
      </w:r>
      <w:r w:rsidRPr="000B65DE">
        <w:rPr>
          <w:rFonts w:ascii="Bookman Old Style" w:hAnsi="Bookman Old Style"/>
          <w:lang w:val="es-ES_tradnl"/>
        </w:rPr>
        <w:t>aplicable a los Usuarios de Uso Residencial conectados o que se conectarán al Sistema de Distribución del Mercado Relevante de Distribución para el Siguiente Período Tarifario. Este cargo es aprobado por la CREG mediante Resolución Particular.</w:t>
      </w:r>
    </w:p>
    <w:p w:rsidR="000B65DE" w:rsidRPr="000B65DE" w:rsidRDefault="000B65DE" w:rsidP="000B65DE">
      <w:pPr>
        <w:keepNext/>
        <w:spacing w:before="240" w:after="60"/>
        <w:ind w:left="0"/>
        <w:jc w:val="both"/>
        <w:outlineLvl w:val="0"/>
        <w:rPr>
          <w:rFonts w:ascii="Bookman Old Style" w:hAnsi="Bookman Old Style"/>
          <w:lang w:val="es-ES_tradnl"/>
        </w:rPr>
      </w:pPr>
      <w:r w:rsidRPr="000B65DE">
        <w:rPr>
          <w:rFonts w:ascii="Bookman Old Style" w:hAnsi="Bookman Old Style"/>
          <w:b/>
          <w:bCs/>
          <w:lang w:val="es-ES_tradnl"/>
        </w:rPr>
        <w:t>CARGO PROMEDIO DE DISTRIBUCIÓN APLICABLE A USUARIOS DIFERENTES A LOS DE USO RESIDENCIAL</w:t>
      </w:r>
      <w:r w:rsidRPr="000B65DE">
        <w:rPr>
          <w:rFonts w:ascii="Bookman Old Style" w:hAnsi="Bookman Old Style"/>
          <w:b/>
          <w:lang w:val="es-ES_tradnl"/>
        </w:rPr>
        <w:t xml:space="preserve">: </w:t>
      </w:r>
      <w:r w:rsidRPr="000B65DE">
        <w:rPr>
          <w:rFonts w:ascii="Bookman Old Style" w:hAnsi="Bookman Old Style"/>
          <w:lang w:val="es-ES_tradnl"/>
        </w:rPr>
        <w:t>Es el cargo promedio unitario de distribución en pesos por metro cúbico ($/m</w:t>
      </w:r>
      <w:r w:rsidRPr="000B65DE">
        <w:rPr>
          <w:rFonts w:ascii="Bookman Old Style" w:hAnsi="Bookman Old Style"/>
          <w:vertAlign w:val="superscript"/>
          <w:lang w:val="es-ES_tradnl"/>
        </w:rPr>
        <w:t>3</w:t>
      </w:r>
      <w:r w:rsidRPr="000B65DE">
        <w:rPr>
          <w:rFonts w:ascii="Bookman Old Style" w:hAnsi="Bookman Old Style"/>
          <w:lang w:val="es-ES_tradnl"/>
        </w:rPr>
        <w:t>)</w:t>
      </w:r>
      <w:r w:rsidRPr="000B65DE">
        <w:rPr>
          <w:rFonts w:ascii="Bookman Old Style" w:hAnsi="Bookman Old Style"/>
          <w:vertAlign w:val="superscript"/>
          <w:lang w:val="es-ES_tradnl"/>
        </w:rPr>
        <w:t xml:space="preserve"> </w:t>
      </w:r>
      <w:r w:rsidRPr="000B65DE">
        <w:rPr>
          <w:rFonts w:ascii="Bookman Old Style" w:hAnsi="Bookman Old Style"/>
          <w:lang w:val="es-ES_tradnl"/>
        </w:rPr>
        <w:t>aplicable a los Usuarios Diferentes a los de Uso Residencial y que están conectados o se conectarán al Sistema de Distribución del Mercado Relevante de Distribución para el Siguiente Período Tarifario. Este cargo es aprobado por la CREG mediante Resolución Particular y es el que sirve como base para la estructuración de la Canasta de Tarifas Aplicable a Usuarios Diferentes a los de Uso Residencial aplicable en un Sistema de Distribución de Gas Combustible.</w:t>
      </w:r>
    </w:p>
    <w:p w:rsidR="00CC2C87" w:rsidRPr="000B65DE" w:rsidRDefault="00CC2C87" w:rsidP="000B65DE">
      <w:pPr>
        <w:ind w:left="0"/>
        <w:jc w:val="both"/>
        <w:rPr>
          <w:rFonts w:ascii="Bookman Old Style" w:hAnsi="Bookman Old Style"/>
          <w:b/>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CÓDIGO DE DISTRIBUCIÓN:</w:t>
      </w:r>
      <w:r w:rsidRPr="000B65DE">
        <w:rPr>
          <w:rFonts w:ascii="Bookman Old Style" w:hAnsi="Bookman Old Style"/>
          <w:lang w:val="es-ES_tradnl"/>
        </w:rPr>
        <w:t xml:space="preserve"> Conjunto de disposiciones expedidas por la CREG, a las cuales deben someterse las Empresas de Servicios Públicos Domiciliarios de gas combustible, los usuarios y demás Agentes que utilicen Sistemas de Distribución de gas combustible por redes. Hasta tanto la Comisión establezca uno diferente, el Código de Distribución será el adoptado mediante Resolución CREG-067 de 1995, con sus modificaciones y adiciones.</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CONEXIONES DE ACCESO AL SISTEMA DE DISTRIBUCIÓN (CONEXIÓN):</w:t>
      </w:r>
      <w:r w:rsidRPr="000B65DE">
        <w:rPr>
          <w:rFonts w:ascii="Bookman Old Style" w:hAnsi="Bookman Old Style"/>
          <w:lang w:val="es-ES_tradnl"/>
        </w:rPr>
        <w:t xml:space="preserve"> Activos de uso exclusivo, que no hacen parte del Sistema de Distribución, que permiten conectar un Comercializador, un Almacenador, otro Distribuidor, o un solo usuario a un Sistema de Distribución de gas combustible por redes de tuberías. La conexión se compone básicamente de los equipos que conforman el centro de medición y la acometida, activos que son propiedad de quien los hubiere pagado, si no fueren inmuebles por adhesión. </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CREG:</w:t>
      </w:r>
      <w:r w:rsidRPr="000B65DE">
        <w:rPr>
          <w:rFonts w:ascii="Bookman Old Style" w:hAnsi="Bookman Old Style"/>
          <w:lang w:val="es-ES_tradnl"/>
        </w:rPr>
        <w:t xml:space="preserve"> Comisión de Regulación de Energía y Gas.</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DEMANDA DE VOLUMEN:</w:t>
      </w:r>
      <w:r w:rsidRPr="000B65DE">
        <w:rPr>
          <w:rFonts w:ascii="Bookman Old Style" w:hAnsi="Bookman Old Style"/>
          <w:lang w:val="es-ES_tradnl"/>
        </w:rPr>
        <w:t xml:space="preserve"> Cantidad de gas combustible que el Distribuidor entregó en la Fecha de Corte o Fecha de Base en cada uno de los mercados relevantes de distribución o cantidad de gas combustible que el distribuidor proyecta entregar anualmente a los consumidores finales en un mercado relevante nuevo de distribución o en un Municipio Nuevo, para el Horizonte de Proyección, expresado en metros cúbicos.</w:t>
      </w: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br/>
      </w:r>
      <w:r w:rsidRPr="000B65DE">
        <w:rPr>
          <w:rFonts w:ascii="Bookman Old Style" w:hAnsi="Bookman Old Style"/>
          <w:b/>
          <w:lang w:val="es-ES_tradnl"/>
        </w:rPr>
        <w:t>DISTRIBUCIÓN DE GAS COMBUSTIBLE POR REDES DE TUBERIA:</w:t>
      </w:r>
      <w:r w:rsidRPr="000B65DE">
        <w:rPr>
          <w:rFonts w:ascii="Bookman Old Style" w:hAnsi="Bookman Old Style"/>
          <w:lang w:val="es-ES_tradnl"/>
        </w:rPr>
        <w:t xml:space="preserve"> Es la conducción de gas combustible a través de redes de tubería, desde las Estaciones Reguladoras de Puerta de Ciudad, o desde una Estación de </w:t>
      </w:r>
      <w:r w:rsidRPr="000B65DE">
        <w:rPr>
          <w:rFonts w:ascii="Bookman Old Style" w:hAnsi="Bookman Old Style"/>
          <w:lang w:val="es-ES_tradnl"/>
        </w:rPr>
        <w:lastRenderedPageBreak/>
        <w:t xml:space="preserve">Transferencia de Custodia de Distribución o desde un Tanque de Almacenamiento, hasta la conexión de un usuario, de conformidad con la definición del numeral 14.28 </w:t>
      </w:r>
      <w:r w:rsidR="00DB57F8">
        <w:rPr>
          <w:rFonts w:ascii="Bookman Old Style" w:hAnsi="Bookman Old Style"/>
          <w:lang w:val="es-ES_tradnl"/>
        </w:rPr>
        <w:t xml:space="preserve">del Artículo 14 </w:t>
      </w:r>
      <w:r w:rsidRPr="000B65DE">
        <w:rPr>
          <w:rFonts w:ascii="Bookman Old Style" w:hAnsi="Bookman Old Style"/>
          <w:lang w:val="es-ES_tradnl"/>
        </w:rPr>
        <w:t xml:space="preserve">de la Ley 142 de 1994. </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DISTRIBUCIÓN DE GAS MEDIANTE GASODUCTOS VIRTUALES:</w:t>
      </w:r>
      <w:r w:rsidRPr="000B65DE">
        <w:rPr>
          <w:rFonts w:ascii="Bookman Old Style" w:hAnsi="Bookman Old Style"/>
          <w:lang w:val="es-ES_tradnl"/>
        </w:rPr>
        <w:t xml:space="preserve"> Es la conducción de gas combustible desde una fuente de producción de gas, o desde el  Sistema Nacional de Transporte o  desde un Sistema de Distribución o desde un Tanque de Almacenamiento, a través de un medio de transporte diferente a gasoductos, hasta la conexión de un consumidor final, de conformidad con la definición del numeral 14.28 </w:t>
      </w:r>
      <w:r w:rsidR="00500790">
        <w:rPr>
          <w:rFonts w:ascii="Bookman Old Style" w:hAnsi="Bookman Old Style"/>
          <w:lang w:val="es-ES_tradnl"/>
        </w:rPr>
        <w:t xml:space="preserve">del artículo 14 </w:t>
      </w:r>
      <w:r w:rsidRPr="000B65DE">
        <w:rPr>
          <w:rFonts w:ascii="Bookman Old Style" w:hAnsi="Bookman Old Style"/>
          <w:lang w:val="es-ES_tradnl"/>
        </w:rPr>
        <w:t>de la Ley 142 de 1994.</w:t>
      </w: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 xml:space="preserve"> </w:t>
      </w: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DISTRIBUIDOR DE GAS COMBUSTIBLE POR REDES DE TUBERIA O GASODUCTOS VIRTUALES (DISTRIBUIDOR):</w:t>
      </w:r>
      <w:r w:rsidRPr="000B65DE">
        <w:rPr>
          <w:rFonts w:ascii="Bookman Old Style" w:hAnsi="Bookman Old Style"/>
          <w:lang w:val="es-ES_tradnl"/>
        </w:rPr>
        <w:t xml:space="preserve"> Persona constituida según lo establecido en el artículo 15 de la Ley 142 de 1994, encargada de la administración, la gestión comercial, la planeación, la expansión, la operación y el mantenimiento de todo o parte de la capacidad de un Sistema de Distribución. Los activos utilizados pueden ser de su propiedad o de terceros. </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EMPRESAS DE SERVICIOS PÚBLICOS:</w:t>
      </w:r>
      <w:r w:rsidR="00500790">
        <w:rPr>
          <w:rFonts w:ascii="Bookman Old Style" w:hAnsi="Bookman Old Style"/>
          <w:lang w:val="es-ES_tradnl"/>
        </w:rPr>
        <w:t xml:space="preserve"> Se entiende por estas, l</w:t>
      </w:r>
      <w:r w:rsidRPr="000B65DE">
        <w:rPr>
          <w:rFonts w:ascii="Bookman Old Style" w:hAnsi="Bookman Old Style"/>
          <w:lang w:val="es-ES_tradnl"/>
        </w:rPr>
        <w:t xml:space="preserve">as que define el Título I, Capítulo I, de la Ley 142 de 1994. </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ESTACIÓN REGULADORA DE PUERTA DE CIUDAD O PUERTA DE CIUDAD:</w:t>
      </w:r>
      <w:r w:rsidRPr="000B65DE">
        <w:rPr>
          <w:rFonts w:ascii="Bookman Old Style" w:hAnsi="Bookman Old Style"/>
          <w:lang w:val="es-ES_tradnl"/>
        </w:rPr>
        <w:t xml:space="preserve"> Estación de transferencia de custodia desde el SNT a un Sistema de Distribución, en la cual se efectúan labores de regulación de presión, tratamiento y medición del gas. A partir de este punto inician las redes que conforman total o parcialmente un Sistema de Distribución y el Distribuidor asume la custodia del gas combustible. </w:t>
      </w:r>
    </w:p>
    <w:p w:rsidR="000B65DE" w:rsidRPr="000B65DE" w:rsidRDefault="000B65DE" w:rsidP="000B65DE">
      <w:pPr>
        <w:ind w:left="0"/>
        <w:jc w:val="both"/>
        <w:rPr>
          <w:rFonts w:ascii="Bookman Old Style" w:hAnsi="Bookman Old Style"/>
          <w:b/>
          <w:lang w:val="es-ES_tradnl"/>
        </w:rPr>
      </w:pPr>
    </w:p>
    <w:p w:rsidR="004149DF" w:rsidRDefault="004149DF" w:rsidP="000B65DE">
      <w:pPr>
        <w:ind w:left="0"/>
        <w:jc w:val="both"/>
        <w:rPr>
          <w:rFonts w:ascii="Bookman Old Style" w:hAnsi="Bookman Old Style"/>
          <w:lang w:val="es-ES_tradnl"/>
        </w:rPr>
      </w:pPr>
      <w:r w:rsidRPr="00416F0F">
        <w:rPr>
          <w:rFonts w:ascii="Bookman Old Style" w:hAnsi="Bookman Old Style"/>
          <w:b/>
          <w:lang w:val="es-ES_tradnl"/>
        </w:rPr>
        <w:t xml:space="preserve">ESTACIÓN DE DESCOMPRESIÓN: </w:t>
      </w:r>
      <w:r w:rsidR="007F02D4" w:rsidRPr="007F02D4">
        <w:rPr>
          <w:rFonts w:ascii="Bookman Old Style" w:hAnsi="Bookman Old Style"/>
          <w:lang w:val="es-ES_tradnl"/>
        </w:rPr>
        <w:t xml:space="preserve">Instalación </w:t>
      </w:r>
      <w:r w:rsidR="00FC718B">
        <w:rPr>
          <w:rFonts w:ascii="Bookman Old Style" w:hAnsi="Bookman Old Style"/>
          <w:lang w:val="es-ES_tradnl"/>
        </w:rPr>
        <w:t xml:space="preserve">en donde </w:t>
      </w:r>
      <w:r w:rsidR="00FC718B" w:rsidRPr="007F02D4">
        <w:rPr>
          <w:rFonts w:ascii="Bookman Old Style" w:hAnsi="Bookman Old Style"/>
          <w:lang w:val="es-ES_tradnl"/>
        </w:rPr>
        <w:t>se reduce la presió</w:t>
      </w:r>
      <w:r w:rsidR="00FC718B">
        <w:rPr>
          <w:rFonts w:ascii="Bookman Old Style" w:hAnsi="Bookman Old Style"/>
          <w:lang w:val="es-ES_tradnl"/>
        </w:rPr>
        <w:t xml:space="preserve">n del </w:t>
      </w:r>
      <w:r w:rsidR="00416F0F">
        <w:rPr>
          <w:rFonts w:ascii="Bookman Old Style" w:hAnsi="Bookman Old Style"/>
          <w:lang w:val="es-ES_tradnl"/>
        </w:rPr>
        <w:t xml:space="preserve">Gas Natural Comprimido - </w:t>
      </w:r>
      <w:r w:rsidR="00FC718B">
        <w:rPr>
          <w:rFonts w:ascii="Bookman Old Style" w:hAnsi="Bookman Old Style"/>
          <w:lang w:val="es-ES_tradnl"/>
        </w:rPr>
        <w:t>GNC</w:t>
      </w:r>
      <w:r w:rsidR="00FC718B" w:rsidRPr="007F02D4">
        <w:rPr>
          <w:rFonts w:ascii="Bookman Old Style" w:hAnsi="Bookman Old Style"/>
          <w:lang w:val="es-ES_tradnl"/>
        </w:rPr>
        <w:t xml:space="preserve"> y se ajusta al caudal necesario</w:t>
      </w:r>
      <w:r w:rsidR="00FC718B">
        <w:rPr>
          <w:rFonts w:ascii="Bookman Old Style" w:hAnsi="Bookman Old Style"/>
          <w:lang w:val="es-ES_tradnl"/>
        </w:rPr>
        <w:t xml:space="preserve"> para inyectarlo a las redes de distribución</w:t>
      </w:r>
      <w:r w:rsidR="00416F0F">
        <w:rPr>
          <w:rFonts w:ascii="Bookman Old Style" w:hAnsi="Bookman Old Style"/>
          <w:lang w:val="es-ES_tradnl"/>
        </w:rPr>
        <w:t xml:space="preserve"> o a la conexión de un usuario</w:t>
      </w:r>
      <w:r w:rsidR="00FC718B">
        <w:rPr>
          <w:rFonts w:ascii="Bookman Old Style" w:hAnsi="Bookman Old Style"/>
          <w:lang w:val="es-ES_tradnl"/>
        </w:rPr>
        <w:t>. Esta</w:t>
      </w:r>
      <w:r w:rsidR="00416F0F">
        <w:rPr>
          <w:rFonts w:ascii="Bookman Old Style" w:hAnsi="Bookman Old Style"/>
          <w:lang w:val="es-ES_tradnl"/>
        </w:rPr>
        <w:t xml:space="preserve"> estación</w:t>
      </w:r>
      <w:r w:rsidR="00FC718B">
        <w:rPr>
          <w:rFonts w:ascii="Bookman Old Style" w:hAnsi="Bookman Old Style"/>
          <w:lang w:val="es-ES_tradnl"/>
        </w:rPr>
        <w:t xml:space="preserve"> </w:t>
      </w:r>
      <w:r w:rsidR="007F02D4" w:rsidRPr="007F02D4">
        <w:rPr>
          <w:rFonts w:ascii="Bookman Old Style" w:hAnsi="Bookman Old Style"/>
          <w:lang w:val="es-ES_tradnl"/>
        </w:rPr>
        <w:t xml:space="preserve">cuenta con un regulador de presión, un sistema de calentamiento y un sistema de medición. </w:t>
      </w:r>
    </w:p>
    <w:p w:rsidR="00FC718B" w:rsidRDefault="00FC718B" w:rsidP="000B65DE">
      <w:pPr>
        <w:ind w:left="0"/>
        <w:jc w:val="both"/>
        <w:rPr>
          <w:rFonts w:ascii="Bookman Old Style" w:hAnsi="Bookman Old Style"/>
          <w:b/>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 xml:space="preserve">ESTACIÓN DE TRANSFERENCIA DE CUSTODIA DE DISTRIBUCIÓN: </w:t>
      </w:r>
      <w:r w:rsidRPr="000B65DE">
        <w:rPr>
          <w:rFonts w:ascii="Bookman Old Style" w:hAnsi="Bookman Old Style"/>
          <w:lang w:val="es-ES_tradnl"/>
        </w:rPr>
        <w:t xml:space="preserve">Estación de transferencia de custodia, en la cual se efectúan labores de  medición del gas y en algunos casos de regulación de presión del gas. A partir de este punto inician las redes que conforman total o parcialmente un Sistema de Distribución conectado a otro Sistema de Distribución y se da la transferencia de la custodia del gas combustible entre Distribuidores. </w:t>
      </w:r>
    </w:p>
    <w:p w:rsidR="000B65DE" w:rsidRPr="000B65DE" w:rsidRDefault="000B65DE" w:rsidP="000B65DE">
      <w:pPr>
        <w:ind w:left="0"/>
        <w:jc w:val="both"/>
        <w:rPr>
          <w:rFonts w:ascii="Bookman Old Style" w:hAnsi="Bookman Old Style"/>
          <w:b/>
          <w:lang w:val="es-ES_tradnl"/>
        </w:rPr>
      </w:pPr>
    </w:p>
    <w:p w:rsid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FECHA BASE:</w:t>
      </w:r>
      <w:r w:rsidRPr="000B65DE">
        <w:rPr>
          <w:rFonts w:ascii="Bookman Old Style" w:hAnsi="Bookman Old Style"/>
          <w:lang w:val="es-ES_tradnl"/>
        </w:rPr>
        <w:t xml:space="preserve"> Es la fecha de referencia que se tiene en cuenta para realizar los cálculos de los cargos que el Distribuidor presenta a la CREG en cada Período Tarifario, y </w:t>
      </w:r>
      <w:r w:rsidR="00500790">
        <w:rPr>
          <w:rFonts w:ascii="Bookman Old Style" w:hAnsi="Bookman Old Style"/>
          <w:lang w:val="es-ES_tradnl"/>
        </w:rPr>
        <w:t xml:space="preserve">que </w:t>
      </w:r>
      <w:r w:rsidRPr="000B65DE">
        <w:rPr>
          <w:rFonts w:ascii="Bookman Old Style" w:hAnsi="Bookman Old Style"/>
          <w:lang w:val="es-ES_tradnl"/>
        </w:rPr>
        <w:t xml:space="preserve">corresponde al 31 de diciembre del año anterior al año de la solicitud tarifaria. </w:t>
      </w:r>
    </w:p>
    <w:p w:rsidR="00416F0F" w:rsidRPr="000B65DE" w:rsidRDefault="00416F0F" w:rsidP="000B65DE">
      <w:pPr>
        <w:ind w:left="0"/>
        <w:jc w:val="both"/>
        <w:rPr>
          <w:rFonts w:ascii="Bookman Old Style" w:hAnsi="Bookman Old Style"/>
          <w:lang w:val="es-ES_tradnl"/>
        </w:rPr>
      </w:pPr>
    </w:p>
    <w:p w:rsidR="000B65DE" w:rsidRPr="000B65DE" w:rsidRDefault="000B65DE" w:rsidP="000B65DE">
      <w:pPr>
        <w:spacing w:after="200"/>
        <w:ind w:left="0"/>
        <w:contextualSpacing/>
        <w:jc w:val="both"/>
        <w:rPr>
          <w:rFonts w:ascii="Bookman Old Style" w:hAnsi="Bookman Old Style"/>
          <w:lang w:val="es-ES_tradnl"/>
        </w:rPr>
      </w:pPr>
      <w:r w:rsidRPr="000B65DE">
        <w:rPr>
          <w:rFonts w:ascii="Bookman Old Style" w:hAnsi="Bookman Old Style"/>
          <w:b/>
          <w:lang w:val="es-ES_tradnl"/>
        </w:rPr>
        <w:t>FECHA DE CORTE:</w:t>
      </w:r>
      <w:r w:rsidRPr="000B65DE">
        <w:rPr>
          <w:rFonts w:ascii="Arial" w:eastAsia="Calibri" w:hAnsi="Arial" w:cs="Arial"/>
          <w:lang w:val="es-CO" w:eastAsia="en-US"/>
        </w:rPr>
        <w:t xml:space="preserve"> </w:t>
      </w:r>
      <w:r w:rsidRPr="000B65DE">
        <w:rPr>
          <w:rFonts w:ascii="Bookman Old Style" w:hAnsi="Bookman Old Style"/>
          <w:lang w:val="es-ES_tradnl"/>
        </w:rPr>
        <w:t xml:space="preserve">Esta es la fecha hasta la cual se tomará la información de activos existentes que los distribuidores hayan construido en períodos tarifarios anteriores o en el que culmina y la Demanda de Volumen obtenida para efectos del cálculo de los Cargos  de distribución. Esta fecha se aplica sólo </w:t>
      </w:r>
      <w:r w:rsidRPr="000B65DE">
        <w:rPr>
          <w:rFonts w:ascii="Bookman Old Style" w:hAnsi="Bookman Old Style"/>
          <w:lang w:val="es-ES_tradnl"/>
        </w:rPr>
        <w:lastRenderedPageBreak/>
        <w:t xml:space="preserve">a mercados existentes y corresponde al 31 de diciembre del año anterior al año de la solicitud tarifaria. </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GAS COMBUSTIBLE:</w:t>
      </w:r>
      <w:r w:rsidRPr="000B65DE">
        <w:rPr>
          <w:rFonts w:ascii="Bookman Old Style" w:hAnsi="Bookman Old Style"/>
          <w:lang w:val="es-ES_tradnl"/>
        </w:rPr>
        <w:t xml:space="preserve"> Es cualquier gas que pertenezca a una de las tres familias de gases combustibles (gases manufacturados, gas natural y gas licuado de petróleo) y cuyas características permiten su empleo en artefactos a gas, según lo establecido en la Norma Técnica Colombiana NTC-3527, o aquellas que la modifiquen, sustituyan o complementen. </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GAS LICUADO DE PETRÓLEO (GLP):</w:t>
      </w:r>
      <w:r w:rsidRPr="000B65DE">
        <w:rPr>
          <w:rFonts w:ascii="Bookman Old Style" w:hAnsi="Bookman Old Style"/>
          <w:lang w:val="es-ES_tradnl"/>
        </w:rPr>
        <w:t xml:space="preserve"> Es una mezcla de hidrocarburos extraídos del procesamiento del gas natural o del petróleo, </w:t>
      </w:r>
      <w:r w:rsidR="00DB57F8">
        <w:rPr>
          <w:rFonts w:ascii="Bookman Old Style" w:hAnsi="Bookman Old Style"/>
          <w:lang w:val="es-ES_tradnl"/>
        </w:rPr>
        <w:t xml:space="preserve">en estado </w:t>
      </w:r>
      <w:r w:rsidRPr="000B65DE">
        <w:rPr>
          <w:rFonts w:ascii="Bookman Old Style" w:hAnsi="Bookman Old Style"/>
          <w:lang w:val="es-ES_tradnl"/>
        </w:rPr>
        <w:t xml:space="preserve">gaseoso en condiciones de presión y temperatura ambiente, que se licuan fácilmente por enfriamiento o compresión. El GLP está constituido principalmente por propano y butano. </w:t>
      </w:r>
    </w:p>
    <w:p w:rsidR="000B65DE" w:rsidRPr="000B65DE" w:rsidRDefault="000B65DE" w:rsidP="000B65DE">
      <w:pPr>
        <w:spacing w:before="100" w:beforeAutospacing="1" w:after="100" w:afterAutospacing="1"/>
        <w:ind w:left="0"/>
        <w:jc w:val="both"/>
        <w:rPr>
          <w:rFonts w:ascii="Bookman Old Style" w:eastAsia="Arial Unicode MS" w:hAnsi="Bookman Old Style" w:cs="Arial Unicode MS"/>
          <w:lang w:val="es-ES_tradnl"/>
        </w:rPr>
      </w:pPr>
      <w:r w:rsidRPr="000B65DE">
        <w:rPr>
          <w:rFonts w:ascii="Bookman Old Style" w:eastAsia="Arial Unicode MS" w:hAnsi="Bookman Old Style" w:cs="Arial"/>
          <w:b/>
          <w:bCs/>
        </w:rPr>
        <w:t>GAS METANO EN DEPÓSITOS DE CARBÓN (GMDC):</w:t>
      </w:r>
      <w:r w:rsidRPr="000B65DE">
        <w:rPr>
          <w:rFonts w:ascii="Bookman Old Style" w:eastAsia="Arial Unicode MS" w:hAnsi="Bookman Old Style" w:cs="Arial"/>
          <w:sz w:val="27"/>
          <w:szCs w:val="27"/>
        </w:rPr>
        <w:t xml:space="preserve"> </w:t>
      </w:r>
      <w:r w:rsidRPr="000B65DE">
        <w:rPr>
          <w:rFonts w:ascii="Bookman Old Style" w:eastAsia="Arial Unicode MS" w:hAnsi="Bookman Old Style" w:cs="Arial Unicode MS"/>
          <w:lang w:val="es-ES_tradnl"/>
        </w:rPr>
        <w:t xml:space="preserve">Es una mezcla de gases con un alto contenido de metano y trazas de etano, propano, butano, dióxido de carbono y nitrógeno que se encuentra absorbido en carbón. Cuando lo requiera, debe ser acondicionado o tratado para que satisfaga las condiciones de calidad de gas establecidas por la CREG. </w:t>
      </w: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GAS NATURAL:</w:t>
      </w:r>
      <w:r w:rsidRPr="000B65DE">
        <w:rPr>
          <w:rFonts w:ascii="Bookman Old Style" w:hAnsi="Bookman Old Style"/>
          <w:lang w:val="es-ES_tradnl"/>
        </w:rPr>
        <w:t xml:space="preserve"> Es una mezcla de hidrocarburos livianos, principalmente constituida por metano, que se encuentra en los yacimientos en forma libre o en forma asociada al petróleo. El Gas Natural, cuando lo requiera, debe ser acondicionado o tratado para que satisfaga las condiciones de calidad de gas establecidas por la CREG en la Resolución CREG 071 de 1999 o aquellas que la aclaren, modifiquen o sustituyan. </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GAS NATURAL COMPRIMIDO (GNC):</w:t>
      </w:r>
      <w:r w:rsidRPr="000B65DE">
        <w:rPr>
          <w:rFonts w:ascii="Bookman Old Style" w:hAnsi="Bookman Old Style"/>
          <w:lang w:val="es-ES_tradnl"/>
        </w:rPr>
        <w:t xml:space="preserve"> Gas Natural cuya presión se aumenta a través de un proceso de compresión y se almacena en recipientes de alta resistencia. </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cs="Arial"/>
        </w:rPr>
      </w:pPr>
      <w:r w:rsidRPr="000B65DE">
        <w:rPr>
          <w:rFonts w:ascii="Bookman Old Style" w:hAnsi="Bookman Old Style" w:cs="Arial"/>
          <w:b/>
          <w:bCs/>
        </w:rPr>
        <w:t>GAS AIRE PROPANADO (GAP):</w:t>
      </w:r>
      <w:r w:rsidRPr="000B65DE">
        <w:rPr>
          <w:rFonts w:ascii="Bookman Old Style" w:hAnsi="Bookman Old Style" w:cs="Arial"/>
        </w:rPr>
        <w:t xml:space="preserve"> Es una mezcla de propano con aire que produce un combustible con características de combustión similares a las del Gas Natural. También es conocido como gas natural sintético. Cuando lo requiera, debe ser acondicionado o tratado para que satisfaga las condiciones de calidad de gas establecidas por la CREG.</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cs="Arial"/>
        </w:rPr>
      </w:pPr>
      <w:r w:rsidRPr="000B65DE">
        <w:rPr>
          <w:rFonts w:ascii="Bookman Old Style" w:hAnsi="Bookman Old Style"/>
          <w:b/>
          <w:lang w:val="es-ES_tradnl"/>
        </w:rPr>
        <w:t>GASODUCTO VIRTUAL DE DISTRIBUCIÓN</w:t>
      </w:r>
      <w:r w:rsidRPr="000B65DE">
        <w:rPr>
          <w:rFonts w:ascii="Bookman Old Style" w:hAnsi="Bookman Old Style" w:cs="Arial"/>
        </w:rPr>
        <w:t>: Sistema de compresión, transporte y descompresión de GNC, para abastecer Gas Natural, por un medio diferente a gasoducto físico, a mercados relevantes, municipios, usuarios finales, estaciones de GNCV u otros, cuando el gasoducto físico no es posible técnicamente o no es viable financieramente.</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HORIZONTE DE PROYECCIÓN:</w:t>
      </w:r>
      <w:r w:rsidRPr="000B65DE">
        <w:rPr>
          <w:rFonts w:ascii="Bookman Old Style" w:hAnsi="Bookman Old Style"/>
          <w:lang w:val="es-ES_tradnl"/>
        </w:rPr>
        <w:t xml:space="preserve"> Período de tiempo, fijado en 20 años, utilizado para simular el comportamiento de las variables de demanda y gastos de administración, operación y mantenimiento asociados a la utilización de la Inversión Base, en la metodología tarifaria. Esta información se reporta sólo para los Nuevos Mercados Relevantes de Distribución o Municipios Nuevos que van a integrarse a un Mercado Relevante. </w:t>
      </w:r>
    </w:p>
    <w:p w:rsidR="000B65DE" w:rsidRPr="000B65DE" w:rsidRDefault="000B65DE" w:rsidP="000B65DE">
      <w:pPr>
        <w:ind w:left="0"/>
        <w:jc w:val="both"/>
        <w:rPr>
          <w:rFonts w:ascii="Bookman Old Style" w:hAnsi="Bookman Old Style"/>
          <w:lang w:val="es-ES_tradnl"/>
        </w:rPr>
      </w:pPr>
    </w:p>
    <w:p w:rsidR="00103665" w:rsidRDefault="00103665" w:rsidP="000B65DE">
      <w:pPr>
        <w:ind w:left="0"/>
        <w:jc w:val="both"/>
        <w:rPr>
          <w:rFonts w:ascii="Bookman Old Style" w:hAnsi="Bookman Old Style"/>
          <w:b/>
          <w:lang w:val="es-ES_tradnl"/>
        </w:rPr>
      </w:pPr>
    </w:p>
    <w:p w:rsidR="000B65DE" w:rsidRPr="000B65DE" w:rsidRDefault="000B65DE" w:rsidP="000B65DE">
      <w:pPr>
        <w:ind w:left="0"/>
        <w:jc w:val="both"/>
        <w:rPr>
          <w:rFonts w:ascii="Bookman Old Style" w:hAnsi="Bookman Old Style" w:cs="Arial"/>
          <w:lang w:val="es-ES_tradnl"/>
        </w:rPr>
      </w:pPr>
      <w:r w:rsidRPr="000B65DE">
        <w:rPr>
          <w:rFonts w:ascii="Bookman Old Style" w:hAnsi="Bookman Old Style"/>
          <w:b/>
          <w:lang w:val="es-ES_tradnl"/>
        </w:rPr>
        <w:t>INVERSIÓN BASE:</w:t>
      </w:r>
      <w:r w:rsidRPr="000B65DE">
        <w:rPr>
          <w:rFonts w:ascii="Bookman Old Style" w:hAnsi="Bookman Old Style" w:cs="Arial"/>
          <w:color w:val="666666"/>
          <w:sz w:val="27"/>
          <w:szCs w:val="27"/>
          <w:lang w:val="es-ES_tradnl"/>
        </w:rPr>
        <w:t xml:space="preserve"> </w:t>
      </w:r>
      <w:r w:rsidRPr="000B65DE">
        <w:rPr>
          <w:rFonts w:ascii="Bookman Old Style" w:hAnsi="Bookman Old Style" w:cs="Arial"/>
          <w:lang w:val="es-ES_tradnl"/>
        </w:rPr>
        <w:t xml:space="preserve">Es aquella que reconoce la CREG en los Cargos de Distribución y que corresponde al dimensionamiento del Sistema de Distribución, de acuerdo con la Demanda de Volumen, y valorada con los costos eficientes reconocidos de cada una de las unidades constructivas que lo constituyen. La Inversión Base deberá considerar las normas de seguridad establecidas por el Ministerio de Minas y Energía, el Código de Distribución y las normas técnicas aplicables emitidas por autoridades competentes.  </w:t>
      </w:r>
    </w:p>
    <w:p w:rsidR="000B65DE" w:rsidRPr="000B65DE" w:rsidRDefault="000B65DE" w:rsidP="000B65DE">
      <w:pPr>
        <w:ind w:left="0"/>
        <w:jc w:val="both"/>
        <w:rPr>
          <w:rFonts w:ascii="Bookman Old Style" w:hAnsi="Bookman Old Style" w:cs="Arial"/>
          <w:lang w:val="es-ES_tradnl"/>
        </w:rPr>
      </w:pPr>
    </w:p>
    <w:p w:rsidR="000B65DE" w:rsidRDefault="000B65DE" w:rsidP="000B65DE">
      <w:pPr>
        <w:ind w:left="0"/>
        <w:jc w:val="both"/>
        <w:rPr>
          <w:rFonts w:ascii="Bookman Old Style" w:hAnsi="Bookman Old Style" w:cs="Arial"/>
          <w:lang w:val="es-ES_tradnl"/>
        </w:rPr>
      </w:pPr>
      <w:r w:rsidRPr="000B65DE">
        <w:rPr>
          <w:rFonts w:ascii="Bookman Old Style" w:hAnsi="Bookman Old Style" w:cs="Arial"/>
          <w:lang w:val="es-ES_tradnl"/>
        </w:rPr>
        <w:t>La Inversión Base está constituida por la Inversión Existente a la Fecha de Corte y/o el Programa de Nuevas Inversiones para mercados relevantes de sistemas de distribución de Municipios Nuevos (IPNI). La Inversión Existente está compuesta por: la Inversión Existente (IE) a la fecha de la solicitud tarifaria del período tarifario vigente, la Inversión Programada en Nuevas Inversiones que fue reconocida y ejecutada en el período tarifario vigente (IPE), la Inversión ejecutada durante el período tarifario vigente y no prevista en el Programa de Nuevas Inversiones (INPE)</w:t>
      </w:r>
      <w:r w:rsidR="004B3E7B">
        <w:rPr>
          <w:rFonts w:ascii="Bookman Old Style" w:hAnsi="Bookman Old Style" w:cs="Arial"/>
          <w:lang w:val="es-ES_tradnl"/>
        </w:rPr>
        <w:t>, también</w:t>
      </w:r>
      <w:r w:rsidRPr="000B65DE">
        <w:rPr>
          <w:rFonts w:ascii="Bookman Old Style" w:hAnsi="Bookman Old Style" w:cs="Arial"/>
          <w:lang w:val="es-ES_tradnl"/>
        </w:rPr>
        <w:t xml:space="preserve"> incluye la reposición de Inversión Existente durante el período tarifario vigente</w:t>
      </w:r>
      <w:r w:rsidR="004B3E7B">
        <w:rPr>
          <w:rFonts w:ascii="Bookman Old Style" w:hAnsi="Bookman Old Style" w:cs="Arial"/>
          <w:lang w:val="es-ES_tradnl"/>
        </w:rPr>
        <w:t>,</w:t>
      </w:r>
      <w:r w:rsidRPr="000B65DE">
        <w:rPr>
          <w:rFonts w:ascii="Bookman Old Style" w:hAnsi="Bookman Old Style" w:cs="Arial"/>
          <w:lang w:val="es-ES_tradnl"/>
        </w:rPr>
        <w:t>- Inversión de Reposición de Activos de la Inversión Existente (IRAIE)</w:t>
      </w:r>
      <w:r w:rsidR="00DD6880">
        <w:rPr>
          <w:rFonts w:ascii="Bookman Old Style" w:hAnsi="Bookman Old Style" w:cs="Arial"/>
          <w:lang w:val="es-ES_tradnl"/>
        </w:rPr>
        <w:t xml:space="preserve">. </w:t>
      </w:r>
      <w:r w:rsidR="00416F0F">
        <w:rPr>
          <w:rFonts w:ascii="Bookman Old Style" w:hAnsi="Bookman Old Style" w:cs="Arial"/>
          <w:lang w:val="es-ES_tradnl"/>
        </w:rPr>
        <w:t>Así mismo,</w:t>
      </w:r>
      <w:r w:rsidR="00DD6880">
        <w:rPr>
          <w:rFonts w:ascii="Bookman Old Style" w:hAnsi="Bookman Old Style" w:cs="Arial"/>
          <w:lang w:val="es-ES_tradnl"/>
        </w:rPr>
        <w:t xml:space="preserve"> se podrá </w:t>
      </w:r>
      <w:r w:rsidR="00416F0F">
        <w:rPr>
          <w:rFonts w:ascii="Bookman Old Style" w:hAnsi="Bookman Old Style" w:cs="Arial"/>
          <w:lang w:val="es-ES_tradnl"/>
        </w:rPr>
        <w:t>considerar</w:t>
      </w:r>
      <w:r w:rsidR="00DD6880">
        <w:rPr>
          <w:rFonts w:ascii="Bookman Old Style" w:hAnsi="Bookman Old Style" w:cs="Arial"/>
          <w:lang w:val="es-ES_tradnl"/>
        </w:rPr>
        <w:t xml:space="preserve"> dentro de la Inversión Existente</w:t>
      </w:r>
      <w:r w:rsidR="004B3E7B">
        <w:rPr>
          <w:rFonts w:ascii="Bookman Old Style" w:hAnsi="Bookman Old Style" w:cs="Arial"/>
          <w:lang w:val="es-ES_tradnl"/>
        </w:rPr>
        <w:t xml:space="preserve"> la</w:t>
      </w:r>
      <w:r w:rsidR="007C2642">
        <w:rPr>
          <w:rFonts w:ascii="Bookman Old Style" w:hAnsi="Bookman Old Style" w:cs="Arial"/>
          <w:lang w:val="es-ES_tradnl"/>
        </w:rPr>
        <w:t xml:space="preserve"> </w:t>
      </w:r>
      <w:r w:rsidR="004B3E7B">
        <w:rPr>
          <w:rFonts w:ascii="Bookman Old Style" w:hAnsi="Bookman Old Style" w:cs="Arial"/>
          <w:lang w:val="es-ES_tradnl"/>
        </w:rPr>
        <w:t>i</w:t>
      </w:r>
      <w:r w:rsidR="007C2642">
        <w:rPr>
          <w:rFonts w:ascii="Bookman Old Style" w:hAnsi="Bookman Old Style" w:cs="Arial"/>
          <w:lang w:val="es-ES_tradnl"/>
        </w:rPr>
        <w:t xml:space="preserve">nversión en infraestructura que se requiera para </w:t>
      </w:r>
      <w:r w:rsidR="004B3E7B">
        <w:rPr>
          <w:rFonts w:ascii="Bookman Old Style" w:hAnsi="Bookman Old Style" w:cs="Arial"/>
          <w:lang w:val="es-ES_tradnl"/>
        </w:rPr>
        <w:t>inter</w:t>
      </w:r>
      <w:r w:rsidR="007C2642">
        <w:rPr>
          <w:rFonts w:ascii="Bookman Old Style" w:hAnsi="Bookman Old Style" w:cs="Arial"/>
          <w:lang w:val="es-ES_tradnl"/>
        </w:rPr>
        <w:t>conectar</w:t>
      </w:r>
      <w:r w:rsidR="004B3E7B">
        <w:rPr>
          <w:rFonts w:ascii="Bookman Old Style" w:hAnsi="Bookman Old Style" w:cs="Arial"/>
          <w:lang w:val="es-ES_tradnl"/>
        </w:rPr>
        <w:t xml:space="preserve">: </w:t>
      </w:r>
      <w:r w:rsidR="00D73713">
        <w:rPr>
          <w:rFonts w:ascii="Bookman Old Style" w:hAnsi="Bookman Old Style" w:cs="Arial"/>
          <w:lang w:val="es-ES_tradnl"/>
        </w:rPr>
        <w:t>i</w:t>
      </w:r>
      <w:r w:rsidR="004B3E7B">
        <w:rPr>
          <w:rFonts w:ascii="Bookman Old Style" w:hAnsi="Bookman Old Style" w:cs="Arial"/>
          <w:lang w:val="es-ES_tradnl"/>
        </w:rPr>
        <w:t>)</w:t>
      </w:r>
      <w:r w:rsidR="007C2642">
        <w:rPr>
          <w:rFonts w:ascii="Bookman Old Style" w:hAnsi="Bookman Old Style" w:cs="Arial"/>
          <w:lang w:val="es-ES_tradnl"/>
        </w:rPr>
        <w:t xml:space="preserve"> sistemas de distribución </w:t>
      </w:r>
      <w:r w:rsidR="004B3E7B">
        <w:rPr>
          <w:rFonts w:ascii="Bookman Old Style" w:hAnsi="Bookman Old Style" w:cs="Arial"/>
          <w:lang w:val="es-ES_tradnl"/>
        </w:rPr>
        <w:t xml:space="preserve"> </w:t>
      </w:r>
      <w:r w:rsidR="007C2642">
        <w:rPr>
          <w:rFonts w:ascii="Bookman Old Style" w:hAnsi="Bookman Old Style" w:cs="Arial"/>
          <w:lang w:val="es-ES_tradnl"/>
        </w:rPr>
        <w:t xml:space="preserve">que </w:t>
      </w:r>
      <w:r w:rsidR="004B3E7B">
        <w:rPr>
          <w:rFonts w:ascii="Bookman Old Style" w:hAnsi="Bookman Old Style" w:cs="Arial"/>
          <w:lang w:val="es-ES_tradnl"/>
        </w:rPr>
        <w:t>son atendidos con GNC y que para el nuevo periodo tarifario se interconectaran al SNT o a otro sistema de distribución como se indica</w:t>
      </w:r>
      <w:r w:rsidR="007C2642">
        <w:rPr>
          <w:rFonts w:ascii="Bookman Old Style" w:hAnsi="Bookman Old Style" w:cs="Arial"/>
          <w:lang w:val="es-ES_tradnl"/>
        </w:rPr>
        <w:t xml:space="preserve"> en el literal ii)</w:t>
      </w:r>
      <w:r w:rsidR="004B3E7B">
        <w:rPr>
          <w:rFonts w:ascii="Bookman Old Style" w:hAnsi="Bookman Old Style" w:cs="Arial"/>
          <w:lang w:val="es-ES_tradnl"/>
        </w:rPr>
        <w:t xml:space="preserve"> del </w:t>
      </w:r>
      <w:r w:rsidR="00416F0F">
        <w:rPr>
          <w:rFonts w:ascii="Bookman Old Style" w:hAnsi="Bookman Old Style" w:cs="Arial"/>
          <w:lang w:val="es-ES_tradnl"/>
        </w:rPr>
        <w:t>A</w:t>
      </w:r>
      <w:r w:rsidR="004B3E7B">
        <w:rPr>
          <w:rFonts w:ascii="Bookman Old Style" w:hAnsi="Bookman Old Style" w:cs="Arial"/>
          <w:lang w:val="es-ES_tradnl"/>
        </w:rPr>
        <w:t>rtículo 4</w:t>
      </w:r>
      <w:r w:rsidR="003A7E7A">
        <w:rPr>
          <w:rFonts w:ascii="Bookman Old Style" w:hAnsi="Bookman Old Style" w:cs="Arial"/>
          <w:lang w:val="es-ES_tradnl"/>
        </w:rPr>
        <w:t>,</w:t>
      </w:r>
      <w:r w:rsidR="004B3E7B">
        <w:rPr>
          <w:rFonts w:ascii="Bookman Old Style" w:hAnsi="Bookman Old Style" w:cs="Arial"/>
          <w:lang w:val="es-ES_tradnl"/>
        </w:rPr>
        <w:t xml:space="preserve"> ii)</w:t>
      </w:r>
      <w:r w:rsidR="00DD6880">
        <w:rPr>
          <w:rFonts w:ascii="Bookman Old Style" w:hAnsi="Bookman Old Style" w:cs="Arial"/>
          <w:lang w:val="es-ES_tradnl"/>
        </w:rPr>
        <w:t xml:space="preserve"> </w:t>
      </w:r>
      <w:r w:rsidR="003A7E7A">
        <w:rPr>
          <w:rFonts w:ascii="Bookman Old Style" w:hAnsi="Bookman Old Style" w:cs="Arial"/>
          <w:lang w:val="es-ES_tradnl"/>
        </w:rPr>
        <w:t>Así mismo, la inversión en infraestructura</w:t>
      </w:r>
      <w:r w:rsidR="004B3E7B">
        <w:rPr>
          <w:rFonts w:ascii="Bookman Old Style" w:hAnsi="Bookman Old Style" w:cs="Arial"/>
          <w:lang w:val="es-ES_tradnl"/>
        </w:rPr>
        <w:t xml:space="preserve"> para municipios que son parte de un </w:t>
      </w:r>
      <w:r w:rsidR="00CC038C">
        <w:rPr>
          <w:rFonts w:ascii="Bookman Old Style" w:hAnsi="Bookman Old Style" w:cs="Arial"/>
          <w:lang w:val="es-ES_tradnl"/>
        </w:rPr>
        <w:t xml:space="preserve">Mercado Relevante Existente </w:t>
      </w:r>
      <w:r w:rsidR="004B3E7B">
        <w:rPr>
          <w:rFonts w:ascii="Bookman Old Style" w:hAnsi="Bookman Old Style" w:cs="Arial"/>
          <w:lang w:val="es-ES_tradnl"/>
        </w:rPr>
        <w:t xml:space="preserve">que está servido con GNC y que para el nuevo periodo tarifario se </w:t>
      </w:r>
      <w:r w:rsidR="00DD6880">
        <w:rPr>
          <w:rFonts w:ascii="Bookman Old Style" w:hAnsi="Bookman Old Style" w:cs="Arial"/>
          <w:lang w:val="es-ES_tradnl"/>
        </w:rPr>
        <w:t>conecta al SNT.</w:t>
      </w:r>
    </w:p>
    <w:p w:rsidR="004B3E7B" w:rsidRDefault="004B3E7B" w:rsidP="000B65DE">
      <w:pPr>
        <w:ind w:left="0"/>
        <w:jc w:val="both"/>
        <w:rPr>
          <w:rFonts w:ascii="Bookman Old Style" w:hAnsi="Bookman Old Style" w:cs="Arial"/>
          <w:lang w:val="es-ES_tradnl"/>
        </w:rPr>
      </w:pPr>
    </w:p>
    <w:p w:rsidR="000B65DE" w:rsidRPr="000B65DE" w:rsidRDefault="000B65DE" w:rsidP="000B65DE">
      <w:pPr>
        <w:ind w:left="0"/>
        <w:jc w:val="both"/>
        <w:rPr>
          <w:rFonts w:ascii="Bookman Old Style" w:hAnsi="Bookman Old Style" w:cs="Arial"/>
          <w:b/>
          <w:lang w:val="es-ES_tradnl"/>
        </w:rPr>
      </w:pPr>
      <w:r w:rsidRPr="000B65DE">
        <w:rPr>
          <w:rFonts w:ascii="Bookman Old Style" w:hAnsi="Bookman Old Style" w:cs="Arial"/>
          <w:b/>
          <w:lang w:val="es-ES_tradnl"/>
        </w:rPr>
        <w:t xml:space="preserve">MERCADO RELEVANTE EXISTENTE DE DISTRIBUCIÓN: </w:t>
      </w:r>
      <w:r w:rsidRPr="000B65DE">
        <w:rPr>
          <w:rFonts w:ascii="Bookman Old Style" w:hAnsi="Bookman Old Style"/>
          <w:lang w:val="es-ES_tradnl"/>
        </w:rPr>
        <w:t>Corresponde al municipio o al grupo de municipios, para el cual la CREG estableció cargos por uso del Sistema de Distribución con base en la metodología de la Resolución CREG 011 de 2003. En esta Resolución se hará referencia indistintamente a Mercado Relevante Existente de Distribución o a Mercado Existente de Distribución.</w:t>
      </w:r>
    </w:p>
    <w:p w:rsidR="00C7068E" w:rsidRDefault="00C7068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 xml:space="preserve">MERCADO RELEVANTE DE DISTRIBUCIÓN PARA EL SIGUIENTE PERÍODO TARIFARIO: </w:t>
      </w:r>
      <w:r w:rsidRPr="000B65DE">
        <w:rPr>
          <w:rFonts w:ascii="Bookman Old Style" w:hAnsi="Bookman Old Style"/>
          <w:lang w:val="es-ES_tradnl"/>
        </w:rPr>
        <w:t xml:space="preserve">Corresponde al municipio o al  grupo de municipios, para el cual la CREG establece cargos por uso del Sistema de Distribución al cual están conectados un conjunto de usuarios. Los mercados relevantes de distribución para el siguiente período tarifario deben conformarse cumpliendo las reglas establecidas en el </w:t>
      </w:r>
      <w:r w:rsidR="00AF6018" w:rsidRPr="000B65DE">
        <w:rPr>
          <w:rFonts w:ascii="Bookman Old Style" w:hAnsi="Bookman Old Style"/>
          <w:lang w:val="es-ES_tradnl"/>
        </w:rPr>
        <w:fldChar w:fldCharType="begin"/>
      </w:r>
      <w:r w:rsidRPr="000B65DE">
        <w:rPr>
          <w:rFonts w:ascii="Bookman Old Style" w:hAnsi="Bookman Old Style"/>
          <w:lang w:val="es-ES_tradnl"/>
        </w:rPr>
        <w:instrText xml:space="preserve"> REF _Ref330192244 \r \h </w:instrText>
      </w:r>
      <w:r w:rsidR="00AF6018" w:rsidRPr="000B65DE">
        <w:rPr>
          <w:rFonts w:ascii="Bookman Old Style" w:hAnsi="Bookman Old Style"/>
          <w:lang w:val="es-ES_tradnl"/>
        </w:rPr>
      </w:r>
      <w:r w:rsidR="00AF6018" w:rsidRPr="000B65DE">
        <w:rPr>
          <w:rFonts w:ascii="Bookman Old Style" w:hAnsi="Bookman Old Style"/>
          <w:lang w:val="es-ES_tradnl"/>
        </w:rPr>
        <w:fldChar w:fldCharType="separate"/>
      </w:r>
      <w:r w:rsidR="004D5C18">
        <w:rPr>
          <w:rFonts w:ascii="Bookman Old Style" w:hAnsi="Bookman Old Style"/>
          <w:lang w:val="es-ES_tradnl"/>
        </w:rPr>
        <w:t>Artículo 5</w:t>
      </w:r>
      <w:r w:rsidR="00AF6018" w:rsidRPr="000B65DE">
        <w:rPr>
          <w:rFonts w:ascii="Bookman Old Style" w:hAnsi="Bookman Old Style"/>
          <w:lang w:val="es-ES_tradnl"/>
        </w:rPr>
        <w:fldChar w:fldCharType="end"/>
      </w:r>
      <w:r w:rsidRPr="000B65DE">
        <w:rPr>
          <w:rFonts w:ascii="Bookman Old Style" w:hAnsi="Bookman Old Style"/>
          <w:lang w:val="es-ES_tradnl"/>
        </w:rPr>
        <w:t xml:space="preserve"> de la presente resolución.</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 xml:space="preserve">MUNICIPIO NUEVO: </w:t>
      </w:r>
      <w:r w:rsidRPr="000B65DE">
        <w:rPr>
          <w:rFonts w:ascii="Bookman Old Style" w:hAnsi="Bookman Old Style"/>
          <w:lang w:val="es-ES_tradnl"/>
        </w:rPr>
        <w:t xml:space="preserve">Para efectos de esta Resolución, se considerará que se está ante un Municipio Nuevo cuando éste no cuente con cargos aprobados para la prestación del servicio público domiciliario de gas suministrado por redes de tubería o cuando el municipio se libere como consecuencia de haber perdido vigencia el cargo aprobado sin que se haya presentado una solicitud tarifaria en los términos del </w:t>
      </w:r>
      <w:r w:rsidRPr="000E7BD5">
        <w:rPr>
          <w:rFonts w:ascii="Bookman Old Style" w:hAnsi="Bookman Old Style"/>
          <w:lang w:val="es-ES_tradnl"/>
        </w:rPr>
        <w:t xml:space="preserve">inciso dos del </w:t>
      </w:r>
      <w:r w:rsidR="000E7BD5">
        <w:rPr>
          <w:rFonts w:ascii="Bookman Old Style" w:hAnsi="Bookman Old Style"/>
          <w:lang w:val="es-ES_tradnl"/>
        </w:rPr>
        <w:t xml:space="preserve">literal </w:t>
      </w:r>
      <w:r w:rsidRPr="000E7BD5">
        <w:rPr>
          <w:rFonts w:ascii="Bookman Old Style" w:hAnsi="Bookman Old Style"/>
          <w:lang w:val="es-ES_tradnl"/>
        </w:rPr>
        <w:t xml:space="preserve">ii) </w:t>
      </w:r>
      <w:r w:rsidR="000E7BD5">
        <w:rPr>
          <w:rFonts w:ascii="Bookman Old Style" w:hAnsi="Bookman Old Style"/>
          <w:lang w:val="es-ES_tradnl"/>
        </w:rPr>
        <w:t xml:space="preserve">numeral 6.5 </w:t>
      </w:r>
      <w:r w:rsidRPr="000E7BD5">
        <w:rPr>
          <w:rFonts w:ascii="Bookman Old Style" w:hAnsi="Bookman Old Style"/>
          <w:lang w:val="es-ES_tradnl"/>
        </w:rPr>
        <w:t xml:space="preserve">del </w:t>
      </w:r>
      <w:r w:rsidR="00416F0F" w:rsidRPr="000E7BD5">
        <w:rPr>
          <w:rFonts w:ascii="Bookman Old Style" w:hAnsi="Bookman Old Style"/>
          <w:lang w:val="es-ES_tradnl"/>
        </w:rPr>
        <w:t>A</w:t>
      </w:r>
      <w:r w:rsidRPr="000E7BD5">
        <w:rPr>
          <w:rFonts w:ascii="Bookman Old Style" w:hAnsi="Bookman Old Style"/>
          <w:lang w:val="es-ES_tradnl"/>
        </w:rPr>
        <w:t>rtículo 6 de este acto administrati</w:t>
      </w:r>
      <w:r w:rsidRPr="000B65DE">
        <w:rPr>
          <w:rFonts w:ascii="Bookman Old Style" w:hAnsi="Bookman Old Style"/>
          <w:lang w:val="es-ES_tradnl"/>
        </w:rPr>
        <w:t>vo</w:t>
      </w:r>
      <w:r w:rsidR="0005499D">
        <w:rPr>
          <w:rFonts w:ascii="Bookman Old Style" w:hAnsi="Bookman Old Style"/>
          <w:lang w:val="es-ES_tradnl"/>
        </w:rPr>
        <w:t xml:space="preserve"> o que la Resolución que aprobó el cargo de distribución de dicho municipio haya comenzado su vigencia en un periodo menor a un año a la </w:t>
      </w:r>
      <w:r w:rsidR="00CF4F4C">
        <w:rPr>
          <w:rFonts w:ascii="Bookman Old Style" w:hAnsi="Bookman Old Style"/>
          <w:lang w:val="es-ES_tradnl"/>
        </w:rPr>
        <w:t>entrada en vigencia de la presente</w:t>
      </w:r>
      <w:r w:rsidR="0005499D">
        <w:rPr>
          <w:rFonts w:ascii="Bookman Old Style" w:hAnsi="Bookman Old Style"/>
          <w:lang w:val="es-ES_tradnl"/>
        </w:rPr>
        <w:t xml:space="preserve"> Resolución</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lastRenderedPageBreak/>
        <w:t xml:space="preserve">NUEVO MERCADO RELEVANTE DE DISTRIBUCIÓN PARA EL SIGUIENTE PERÍODO TARIFARIO: </w:t>
      </w:r>
      <w:r w:rsidRPr="000B65DE">
        <w:rPr>
          <w:rFonts w:ascii="Bookman Old Style" w:hAnsi="Bookman Old Style"/>
          <w:lang w:val="es-ES_tradnl"/>
        </w:rPr>
        <w:t xml:space="preserve">Corresponde al mercado relevante de distribución conformado según el </w:t>
      </w:r>
      <w:r w:rsidR="000E7BD5">
        <w:rPr>
          <w:rFonts w:ascii="Bookman Old Style" w:hAnsi="Bookman Old Style"/>
          <w:lang w:val="es-ES_tradnl"/>
        </w:rPr>
        <w:t xml:space="preserve">literal </w:t>
      </w:r>
      <w:r w:rsidRPr="000E7BD5">
        <w:rPr>
          <w:rFonts w:ascii="Bookman Old Style" w:hAnsi="Bookman Old Style"/>
          <w:lang w:val="es-ES_tradnl"/>
        </w:rPr>
        <w:t>iv) del numeral 5.2 del Artículo 5 de la  presente resolución.</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PERÍODO TARIFARIO:</w:t>
      </w:r>
      <w:r w:rsidRPr="000B65DE">
        <w:rPr>
          <w:rFonts w:ascii="Bookman Old Style" w:hAnsi="Bookman Old Style"/>
          <w:lang w:val="es-ES_tradnl"/>
        </w:rPr>
        <w:t xml:space="preserve"> Período en el cual los cargos regulados de distribución  se encuentran vigentes, de acuerdo con lo establecido en el artículo 126 de la Ley 142 de 1994. </w:t>
      </w: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br/>
      </w:r>
      <w:r w:rsidRPr="000B65DE">
        <w:rPr>
          <w:rFonts w:ascii="Bookman Old Style" w:hAnsi="Bookman Old Style"/>
          <w:b/>
          <w:lang w:val="es-ES_tradnl"/>
        </w:rPr>
        <w:t>RED PRIMARIA DE DISTRIBUCIÓN:</w:t>
      </w:r>
      <w:r w:rsidRPr="000B65DE">
        <w:rPr>
          <w:rFonts w:ascii="Bookman Old Style" w:hAnsi="Bookman Old Style"/>
          <w:lang w:val="es-ES_tradnl"/>
        </w:rPr>
        <w:t xml:space="preserve"> </w:t>
      </w:r>
      <w:r w:rsidR="00C42ACD">
        <w:rPr>
          <w:rFonts w:ascii="Bookman Old Style" w:hAnsi="Bookman Old Style"/>
          <w:lang w:val="es-ES_tradnl"/>
        </w:rPr>
        <w:t>Para efectos tarifarios corresponde a la r</w:t>
      </w:r>
      <w:r w:rsidRPr="000B65DE">
        <w:rPr>
          <w:rFonts w:ascii="Bookman Old Style" w:hAnsi="Bookman Old Style"/>
          <w:lang w:val="es-ES_tradnl"/>
        </w:rPr>
        <w:t xml:space="preserve">ed conformada por los Tanques de Almacenamiento o Estaciones Puerta de Ciudad o Estaciones de Transferencia de Custodia de Distribución o estaciones reguladoras de presión, más la tubería de acero de todos los diámetros y/o tubería de diámetros de 2, 3, 4, 6, 8 y 10 pulgadas, que de éstas se derivan. </w:t>
      </w:r>
      <w:r w:rsidR="006667CD">
        <w:rPr>
          <w:rFonts w:ascii="Bookman Old Style" w:hAnsi="Bookman Old Style"/>
          <w:lang w:val="es-ES_tradnl"/>
        </w:rPr>
        <w:t>Esta definición no modifica la establecida en las Normas Técnicas Colombianas.</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RED SECUNDARIA DE DISTRIBUCIÓN:</w:t>
      </w:r>
      <w:r w:rsidRPr="000B65DE">
        <w:rPr>
          <w:rFonts w:ascii="Bookman Old Style" w:hAnsi="Bookman Old Style"/>
          <w:lang w:val="es-ES_tradnl"/>
        </w:rPr>
        <w:t xml:space="preserve"> </w:t>
      </w:r>
      <w:r w:rsidR="00C42ACD">
        <w:rPr>
          <w:rFonts w:ascii="Bookman Old Style" w:hAnsi="Bookman Old Style"/>
          <w:lang w:val="es-ES_tradnl"/>
        </w:rPr>
        <w:t xml:space="preserve">Para efectos tarifarios corresponde a la </w:t>
      </w:r>
      <w:r w:rsidRPr="000B65DE">
        <w:rPr>
          <w:rFonts w:ascii="Bookman Old Style" w:hAnsi="Bookman Old Style"/>
          <w:lang w:val="es-ES_tradnl"/>
        </w:rPr>
        <w:t xml:space="preserve">Red conformada por la tubería de diámetros </w:t>
      </w:r>
      <w:r w:rsidR="00CF4F4C">
        <w:rPr>
          <w:rFonts w:ascii="Bookman Old Style" w:hAnsi="Bookman Old Style"/>
          <w:lang w:val="es-ES_tradnl"/>
        </w:rPr>
        <w:t>menores de 2</w:t>
      </w:r>
      <w:r w:rsidR="006667CD">
        <w:rPr>
          <w:rFonts w:eastAsia="Calibri"/>
        </w:rPr>
        <w:t xml:space="preserve"> </w:t>
      </w:r>
      <w:r w:rsidRPr="000B65DE">
        <w:rPr>
          <w:rFonts w:ascii="Bookman Old Style" w:hAnsi="Bookman Old Style"/>
          <w:lang w:val="es-CO"/>
        </w:rPr>
        <w:t>pulgada</w:t>
      </w:r>
      <w:r w:rsidR="00C42ACD">
        <w:rPr>
          <w:rFonts w:ascii="Bookman Old Style" w:hAnsi="Bookman Old Style"/>
          <w:lang w:val="es-CO"/>
        </w:rPr>
        <w:t>s</w:t>
      </w:r>
      <w:r w:rsidR="00416F0F">
        <w:rPr>
          <w:rFonts w:ascii="Bookman Old Style" w:hAnsi="Bookman Old Style"/>
          <w:lang w:val="es-CO"/>
        </w:rPr>
        <w:t xml:space="preserve">. </w:t>
      </w:r>
      <w:r w:rsidR="006667CD">
        <w:rPr>
          <w:rFonts w:ascii="Bookman Old Style" w:hAnsi="Bookman Old Style"/>
          <w:lang w:val="es-ES_tradnl"/>
        </w:rPr>
        <w:t>Esta definición no modifica la establecida en las Normas Técnicas Colombianas.</w:t>
      </w:r>
      <w:r w:rsidR="007C33B0">
        <w:rPr>
          <w:rFonts w:ascii="Bookman Old Style" w:hAnsi="Bookman Old Style"/>
          <w:lang w:val="es-ES_tradnl"/>
        </w:rPr>
        <w:t xml:space="preserve"> Cuando en el Sistema de Distribución no exista </w:t>
      </w:r>
      <w:r w:rsidR="00FB213D">
        <w:rPr>
          <w:rFonts w:ascii="Bookman Old Style" w:hAnsi="Bookman Old Style"/>
          <w:lang w:val="es-ES_tradnl"/>
        </w:rPr>
        <w:t>Red P</w:t>
      </w:r>
      <w:r w:rsidR="007C33B0">
        <w:rPr>
          <w:rFonts w:ascii="Bookman Old Style" w:hAnsi="Bookman Old Style"/>
          <w:lang w:val="es-ES_tradnl"/>
        </w:rPr>
        <w:t xml:space="preserve">rimaria </w:t>
      </w:r>
      <w:r w:rsidR="00FB213D">
        <w:rPr>
          <w:rFonts w:ascii="Bookman Old Style" w:hAnsi="Bookman Old Style"/>
          <w:lang w:val="es-ES_tradnl"/>
        </w:rPr>
        <w:t xml:space="preserve"> de Distribución, </w:t>
      </w:r>
      <w:r w:rsidR="007C33B0">
        <w:rPr>
          <w:rFonts w:ascii="Bookman Old Style" w:hAnsi="Bookman Old Style"/>
          <w:lang w:val="es-ES_tradnl"/>
        </w:rPr>
        <w:t>se incluirá en</w:t>
      </w:r>
      <w:r w:rsidR="00FB213D">
        <w:rPr>
          <w:rFonts w:ascii="Bookman Old Style" w:hAnsi="Bookman Old Style"/>
          <w:lang w:val="es-ES_tradnl"/>
        </w:rPr>
        <w:t xml:space="preserve"> la red secundaria los</w:t>
      </w:r>
      <w:r w:rsidR="007C33B0">
        <w:rPr>
          <w:rFonts w:ascii="Bookman Old Style" w:hAnsi="Bookman Old Style"/>
          <w:lang w:val="es-ES_tradnl"/>
        </w:rPr>
        <w:t xml:space="preserve"> </w:t>
      </w:r>
      <w:r w:rsidR="00FB213D" w:rsidRPr="000B65DE">
        <w:rPr>
          <w:rFonts w:ascii="Bookman Old Style" w:hAnsi="Bookman Old Style"/>
          <w:lang w:val="es-ES_tradnl"/>
        </w:rPr>
        <w:t>Tanques de Almacenamiento o Estaciones Puerta de Ciudad o Estaciones de Transferencia de Custodia de Distribución o estaciones reguladoras de presión</w:t>
      </w:r>
      <w:r w:rsidR="007C33B0">
        <w:rPr>
          <w:rFonts w:ascii="Bookman Old Style" w:hAnsi="Bookman Old Style"/>
          <w:lang w:val="es-ES_tradnl"/>
        </w:rPr>
        <w:t>.</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b/>
          <w:lang w:val="es-ES_tradnl"/>
        </w:rPr>
      </w:pPr>
      <w:r w:rsidRPr="000B65DE">
        <w:rPr>
          <w:rFonts w:ascii="Bookman Old Style" w:hAnsi="Bookman Old Style"/>
          <w:b/>
          <w:lang w:val="es-ES_tradnl"/>
        </w:rPr>
        <w:t xml:space="preserve">REPOSICIÓN DE ACTIVO: </w:t>
      </w:r>
      <w:r w:rsidRPr="000B65DE">
        <w:rPr>
          <w:rFonts w:ascii="Bookman Old Style" w:hAnsi="Bookman Old Style"/>
          <w:lang w:val="es-ES_tradnl"/>
        </w:rPr>
        <w:t>Efecto de remplazar un activo de la</w:t>
      </w:r>
      <w:r w:rsidR="00416F0F">
        <w:rPr>
          <w:rFonts w:ascii="Bookman Old Style" w:hAnsi="Bookman Old Style"/>
          <w:lang w:val="es-ES_tradnl"/>
        </w:rPr>
        <w:t xml:space="preserve"> Inversión Existente -</w:t>
      </w:r>
      <w:r w:rsidRPr="000B65DE">
        <w:rPr>
          <w:rFonts w:ascii="Bookman Old Style" w:hAnsi="Bookman Old Style"/>
          <w:lang w:val="es-ES_tradnl"/>
        </w:rPr>
        <w:t xml:space="preserve"> IE, que pertenece a un Sistema de Distribución, que llega al final de su Vida Útil Normativa, por uno nuevo de iguales o mejores condiciones.</w:t>
      </w:r>
    </w:p>
    <w:p w:rsidR="000B65DE" w:rsidRPr="000B65DE" w:rsidRDefault="000B65DE" w:rsidP="000B65DE">
      <w:pPr>
        <w:ind w:left="0"/>
        <w:jc w:val="both"/>
        <w:rPr>
          <w:rFonts w:ascii="Bookman Old Style" w:hAnsi="Bookman Old Style"/>
          <w:b/>
          <w:lang w:val="es-ES_tradnl"/>
        </w:rPr>
      </w:pPr>
    </w:p>
    <w:p w:rsidR="000B65DE" w:rsidRPr="000B65DE" w:rsidRDefault="000B65DE" w:rsidP="000B65DE">
      <w:pPr>
        <w:ind w:left="0"/>
        <w:jc w:val="both"/>
        <w:rPr>
          <w:rFonts w:ascii="Bookman Old Style" w:hAnsi="Bookman Old Style"/>
          <w:lang w:val="es-ES_tradnl"/>
        </w:rPr>
      </w:pPr>
      <w:bookmarkStart w:id="0" w:name="s"/>
      <w:bookmarkEnd w:id="0"/>
      <w:r w:rsidRPr="000B65DE">
        <w:rPr>
          <w:rFonts w:ascii="Bookman Old Style" w:hAnsi="Bookman Old Style"/>
          <w:b/>
          <w:lang w:val="es-ES_tradnl"/>
        </w:rPr>
        <w:t>SIGUIENTE PERÍODO TARIFARIO:</w:t>
      </w:r>
      <w:r w:rsidRPr="000B65DE">
        <w:rPr>
          <w:rFonts w:ascii="Bookman Old Style" w:hAnsi="Bookman Old Style"/>
          <w:lang w:val="es-ES_tradnl"/>
        </w:rPr>
        <w:t xml:space="preserve"> Período de vigencia de los cargos aprobados con base en la metodología de esta Resolución.</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SISTEMA DE DISTRIBUCIÓN:</w:t>
      </w:r>
      <w:r w:rsidRPr="000B65DE">
        <w:rPr>
          <w:rFonts w:ascii="Bookman Old Style" w:hAnsi="Bookman Old Style"/>
          <w:lang w:val="es-ES_tradnl"/>
        </w:rPr>
        <w:t xml:space="preserve"> Es el conjunto de gasoductos y estaciones reguladoras de presión que transportan Gas Combustible desde una Estación Reguladora de Puerta de Ciudad o desde una Estación de Transferencia de Custodia de Distribución o desde un Tanque de Almacenamiento, </w:t>
      </w:r>
      <w:r w:rsidR="004B486A">
        <w:rPr>
          <w:rFonts w:ascii="Bookman Old Style" w:hAnsi="Bookman Old Style"/>
          <w:lang w:val="es-ES_tradnl"/>
        </w:rPr>
        <w:t xml:space="preserve">o desde una Estación de Descompresión, </w:t>
      </w:r>
      <w:r w:rsidRPr="000B65DE">
        <w:rPr>
          <w:rFonts w:ascii="Bookman Old Style" w:hAnsi="Bookman Old Style"/>
          <w:lang w:val="es-ES_tradnl"/>
        </w:rPr>
        <w:t xml:space="preserve">hasta el punto de derivación de otro Sistema de Distribución y/o de las acometidas de los inmuebles, sin incluir su Conexión. Estos deben ceñirse a las reglas para la conformación de Sistemas de Distribución que se establecen en el </w:t>
      </w:r>
      <w:r w:rsidR="00AF6018" w:rsidRPr="000B65DE">
        <w:rPr>
          <w:rFonts w:ascii="Bookman Old Style" w:hAnsi="Bookman Old Style"/>
          <w:lang w:val="es-ES_tradnl"/>
        </w:rPr>
        <w:fldChar w:fldCharType="begin"/>
      </w:r>
      <w:r w:rsidRPr="000B65DE">
        <w:rPr>
          <w:rFonts w:ascii="Bookman Old Style" w:hAnsi="Bookman Old Style"/>
          <w:lang w:val="es-ES_tradnl"/>
        </w:rPr>
        <w:instrText xml:space="preserve"> REF _Ref330192325 \r \h </w:instrText>
      </w:r>
      <w:r w:rsidR="00AF6018" w:rsidRPr="000B65DE">
        <w:rPr>
          <w:rFonts w:ascii="Bookman Old Style" w:hAnsi="Bookman Old Style"/>
          <w:lang w:val="es-ES_tradnl"/>
        </w:rPr>
      </w:r>
      <w:r w:rsidR="00AF6018" w:rsidRPr="000B65DE">
        <w:rPr>
          <w:rFonts w:ascii="Bookman Old Style" w:hAnsi="Bookman Old Style"/>
          <w:lang w:val="es-ES_tradnl"/>
        </w:rPr>
        <w:fldChar w:fldCharType="separate"/>
      </w:r>
      <w:r w:rsidR="004D5C18">
        <w:rPr>
          <w:rFonts w:ascii="Bookman Old Style" w:hAnsi="Bookman Old Style"/>
          <w:lang w:val="es-ES_tradnl"/>
        </w:rPr>
        <w:t>Artículo 4</w:t>
      </w:r>
      <w:r w:rsidR="00AF6018" w:rsidRPr="000B65DE">
        <w:rPr>
          <w:rFonts w:ascii="Bookman Old Style" w:hAnsi="Bookman Old Style"/>
          <w:lang w:val="es-ES_tradnl"/>
        </w:rPr>
        <w:fldChar w:fldCharType="end"/>
      </w:r>
      <w:r w:rsidRPr="000B65DE">
        <w:rPr>
          <w:rFonts w:ascii="Bookman Old Style" w:hAnsi="Bookman Old Style"/>
          <w:lang w:val="es-ES_tradnl"/>
        </w:rPr>
        <w:t xml:space="preserve"> de esta Resolución.</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 xml:space="preserve">TANQUE DE ALMACENAMIENTO: </w:t>
      </w:r>
      <w:r w:rsidRPr="000B65DE">
        <w:rPr>
          <w:rFonts w:ascii="Bookman Old Style" w:hAnsi="Bookman Old Style"/>
          <w:lang w:val="es-ES_tradnl"/>
        </w:rPr>
        <w:t>Recipientes que almacenan GLP,  GNC o GAP  que luego es inyectado en las redes de distribución que abastecen usuarios de mercados relevantes que utilizan estos combustibles. Los tanques forman parte de los Sistemas de Distribución de los mercados relevantes de distribución que utilizan estas tecnologías.</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rPr>
      </w:pPr>
      <w:bookmarkStart w:id="1" w:name="u"/>
      <w:bookmarkEnd w:id="1"/>
      <w:r w:rsidRPr="000B65DE">
        <w:rPr>
          <w:rFonts w:ascii="Bookman Old Style" w:hAnsi="Bookman Old Style"/>
          <w:b/>
          <w:lang w:val="es-ES_tradnl"/>
        </w:rPr>
        <w:t>TASA DE RETORNO:</w:t>
      </w:r>
      <w:r w:rsidRPr="000B65DE">
        <w:rPr>
          <w:rFonts w:ascii="Bookman Old Style" w:hAnsi="Bookman Old Style"/>
        </w:rPr>
        <w:t xml:space="preserve"> Tasa calculada a partir de la estimación del Costo Promedio Ponderado de Capital (WACC por sus siglas en inglés) establecido para la actividad de distribución de Gas Combustible por redes de tubería en términos constantes y antes de impuestos. </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UNIDAD CONSTRUCTIVA:</w:t>
      </w:r>
      <w:r w:rsidRPr="000B65DE">
        <w:rPr>
          <w:rFonts w:ascii="Bookman Old Style" w:hAnsi="Bookman Old Style"/>
          <w:lang w:val="es-ES_tradnl"/>
        </w:rPr>
        <w:t xml:space="preserve"> Componente típico del conjunto de infraestructura que conforma las Redes Primaria y Secundaria de los Sistemas de Distribución adoptado por la Comisión para el inventario y/o valoración de dichos Sistemas, según se establece en la presente resolución.</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 xml:space="preserve">USUARIOS DIFERENTES A LOS DE USO RESIDENCIAL: </w:t>
      </w:r>
      <w:r w:rsidRPr="000B65DE">
        <w:rPr>
          <w:rFonts w:ascii="Bookman Old Style" w:hAnsi="Bookman Old Style"/>
          <w:lang w:val="es-ES_tradnl"/>
        </w:rPr>
        <w:t>Son los usuarios clasificados como comerciales, industriales regulados y no regulados, los de GNV y todos aquellos diferentes a los usuarios residenciales que se encuentran conectados o se van a conectar al Sistema de Distribución del Mercado Relevante de Distribución conformado para el Siguiente Período Tarifario.</w:t>
      </w:r>
    </w:p>
    <w:p w:rsidR="000B65DE" w:rsidRPr="000B65DE" w:rsidRDefault="000B65DE" w:rsidP="000B65DE">
      <w:pPr>
        <w:ind w:left="0"/>
        <w:jc w:val="both"/>
        <w:rPr>
          <w:rFonts w:ascii="Bookman Old Style" w:hAnsi="Bookman Old Style"/>
          <w:b/>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lang w:val="es-ES_tradnl"/>
        </w:rPr>
        <w:t>USUARIOS DE USO RESIDENCIAL</w:t>
      </w:r>
      <w:r w:rsidRPr="000B65DE">
        <w:rPr>
          <w:rFonts w:ascii="Bookman Old Style" w:hAnsi="Bookman Old Style"/>
          <w:lang w:val="es-ES_tradnl"/>
        </w:rPr>
        <w:t>: Corresponde a los usuarios clasificados como de uso residencial y que se encuentran conectados o se van a conectar al Sistema de Distribución del Mercado Relevante de Distribución conformado para el Siguiente Período Tarifario.</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cs="Arial"/>
        </w:rPr>
      </w:pPr>
      <w:r w:rsidRPr="000B65DE">
        <w:rPr>
          <w:rFonts w:ascii="Bookman Old Style" w:hAnsi="Bookman Old Style"/>
          <w:b/>
          <w:lang w:val="es-ES_tradnl"/>
        </w:rPr>
        <w:t>VIDA ÚTIL NORMATIVA:</w:t>
      </w:r>
      <w:r w:rsidRPr="000B65DE">
        <w:rPr>
          <w:rFonts w:ascii="Bookman Old Style" w:hAnsi="Bookman Old Style" w:cs="Arial"/>
        </w:rPr>
        <w:t xml:space="preserve"> Período de tiempo fijado en 20 años, considerado como vida útil de un activo, contados a partir de la fecha de entrada en operación del mismo. </w:t>
      </w:r>
    </w:p>
    <w:p w:rsidR="000B65DE" w:rsidRPr="000B65DE" w:rsidRDefault="000B65DE" w:rsidP="000B65DE">
      <w:pPr>
        <w:ind w:left="0"/>
        <w:jc w:val="both"/>
        <w:rPr>
          <w:rFonts w:ascii="Bookman Old Style" w:hAnsi="Bookman Old Style" w:cs="Arial"/>
        </w:rPr>
      </w:pPr>
    </w:p>
    <w:p w:rsidR="000E366F" w:rsidRPr="000E366F" w:rsidRDefault="003540B4" w:rsidP="000B65DE">
      <w:pPr>
        <w:tabs>
          <w:tab w:val="num" w:pos="1418"/>
        </w:tabs>
        <w:ind w:left="0"/>
        <w:jc w:val="both"/>
        <w:rPr>
          <w:rFonts w:ascii="Bookman Old Style" w:hAnsi="Bookman Old Style"/>
          <w:lang w:val="es-ES_tradnl"/>
        </w:rPr>
      </w:pPr>
      <w:r w:rsidRPr="000E366F">
        <w:rPr>
          <w:rFonts w:ascii="Bookman Old Style" w:hAnsi="Bookman Old Style"/>
          <w:b/>
          <w:lang w:val="es-ES_tradnl"/>
        </w:rPr>
        <w:t>ZONA GEOGR</w:t>
      </w:r>
      <w:r w:rsidR="00DB1BC2" w:rsidRPr="000E366F">
        <w:rPr>
          <w:rFonts w:ascii="Bookman Old Style" w:hAnsi="Bookman Old Style"/>
          <w:b/>
          <w:lang w:val="es-ES_tradnl"/>
        </w:rPr>
        <w:t>Á</w:t>
      </w:r>
      <w:r w:rsidRPr="000E366F">
        <w:rPr>
          <w:rFonts w:ascii="Bookman Old Style" w:hAnsi="Bookman Old Style"/>
          <w:b/>
          <w:lang w:val="es-ES_tradnl"/>
        </w:rPr>
        <w:t xml:space="preserve">FICA QUE DEJA DE SER </w:t>
      </w:r>
      <w:r w:rsidR="00D83BBE" w:rsidRPr="000E366F">
        <w:rPr>
          <w:rFonts w:ascii="Bookman Old Style" w:hAnsi="Bookman Old Style"/>
          <w:b/>
          <w:lang w:val="es-ES_tradnl"/>
        </w:rPr>
        <w:t>Á</w:t>
      </w:r>
      <w:r w:rsidRPr="000E366F">
        <w:rPr>
          <w:rFonts w:ascii="Bookman Old Style" w:hAnsi="Bookman Old Style"/>
          <w:b/>
          <w:lang w:val="es-ES_tradnl"/>
        </w:rPr>
        <w:t xml:space="preserve">REA DE SERVICIO EXCLUSIVO: </w:t>
      </w:r>
      <w:r w:rsidR="000E366F" w:rsidRPr="000E366F">
        <w:rPr>
          <w:rFonts w:ascii="Bookman Old Style" w:hAnsi="Bookman Old Style"/>
          <w:lang w:val="es-ES_tradnl"/>
        </w:rPr>
        <w:t>Corresponde al</w:t>
      </w:r>
      <w:r w:rsidRPr="000E366F">
        <w:rPr>
          <w:rFonts w:ascii="Bookman Old Style" w:hAnsi="Bookman Old Style"/>
          <w:lang w:val="es-ES_tradnl"/>
        </w:rPr>
        <w:t xml:space="preserve"> grupo de municipios </w:t>
      </w:r>
      <w:r w:rsidR="000E366F" w:rsidRPr="000E366F">
        <w:rPr>
          <w:rFonts w:ascii="Bookman Old Style" w:hAnsi="Bookman Old Style"/>
          <w:lang w:val="es-ES_tradnl"/>
        </w:rPr>
        <w:t xml:space="preserve">que formaron parte de cada una de las seis áreas de servicio exclusivo de gas natural que </w:t>
      </w:r>
      <w:r w:rsidR="000E366F" w:rsidRPr="000E366F">
        <w:rPr>
          <w:rFonts w:ascii="Bookman Old Style" w:hAnsi="Bookman Old Style"/>
        </w:rPr>
        <w:t xml:space="preserve">el Ministerio de Minas y Energía otorgó en concesión especial para la prestación del servicio público domiciliario de distribución de gas natural en </w:t>
      </w:r>
      <w:r w:rsidR="000E366F" w:rsidRPr="000E366F">
        <w:rPr>
          <w:rFonts w:ascii="Bookman Old Style" w:hAnsi="Bookman Old Style"/>
          <w:spacing w:val="-3"/>
          <w:lang w:val="es-ES_tradnl"/>
        </w:rPr>
        <w:t>forma exclusiva,</w:t>
      </w:r>
      <w:r w:rsidR="000E366F" w:rsidRPr="000E366F">
        <w:rPr>
          <w:rFonts w:ascii="Bookman Old Style" w:hAnsi="Bookman Old Style"/>
          <w:lang w:val="es-ES_tradnl"/>
        </w:rPr>
        <w:t xml:space="preserve"> conforme a l</w:t>
      </w:r>
      <w:r w:rsidR="000E366F" w:rsidRPr="000E366F">
        <w:rPr>
          <w:rFonts w:ascii="Bookman Old Style" w:hAnsi="Bookman Old Style"/>
          <w:spacing w:val="-3"/>
          <w:lang w:val="es-ES_tradnl"/>
        </w:rPr>
        <w:t>os</w:t>
      </w:r>
      <w:r w:rsidR="000E366F" w:rsidRPr="000E366F">
        <w:rPr>
          <w:rFonts w:ascii="Bookman Old Style" w:hAnsi="Bookman Old Style"/>
          <w:spacing w:val="-3"/>
        </w:rPr>
        <w:t xml:space="preserve"> artículos 40 y 174 de la Ley 142 de 1994</w:t>
      </w:r>
      <w:r w:rsidR="000E366F" w:rsidRPr="00AC2A6A">
        <w:rPr>
          <w:rFonts w:ascii="Bookman Old Style" w:hAnsi="Bookman Old Style"/>
          <w:spacing w:val="-3"/>
        </w:rPr>
        <w:t xml:space="preserve">. </w:t>
      </w:r>
    </w:p>
    <w:p w:rsidR="000E366F" w:rsidRDefault="000E366F" w:rsidP="000B65DE">
      <w:pPr>
        <w:tabs>
          <w:tab w:val="num" w:pos="1418"/>
        </w:tabs>
        <w:ind w:left="0"/>
        <w:jc w:val="both"/>
        <w:rPr>
          <w:rFonts w:ascii="Bookman Old Style" w:hAnsi="Bookman Old Style"/>
          <w:highlight w:val="yellow"/>
          <w:lang w:val="es-ES_tradnl"/>
        </w:rPr>
      </w:pPr>
    </w:p>
    <w:p w:rsidR="000B65DE" w:rsidRPr="00E84E94" w:rsidRDefault="000B65DE" w:rsidP="00E84E94">
      <w:pPr>
        <w:keepNext/>
        <w:tabs>
          <w:tab w:val="num" w:pos="1843"/>
        </w:tabs>
        <w:spacing w:before="240" w:after="60"/>
        <w:ind w:left="0"/>
        <w:jc w:val="center"/>
        <w:outlineLvl w:val="0"/>
        <w:rPr>
          <w:rFonts w:ascii="Bookman Old Style" w:hAnsi="Bookman Old Style"/>
          <w:b/>
          <w:bCs/>
          <w:lang w:val="es-CO"/>
        </w:rPr>
      </w:pPr>
      <w:r w:rsidRPr="00E84E94">
        <w:rPr>
          <w:rFonts w:ascii="Bookman Old Style" w:hAnsi="Bookman Old Style"/>
          <w:b/>
          <w:bCs/>
          <w:lang w:val="es-CO"/>
        </w:rPr>
        <w:t>CAPÍTULO II. PRESTACIÓN DE LA ACTIVIDAD DE DISTRIBUCIÓN DE GAS COMBUSTIBLE A TRAVÉS DE SISTEMAS DE DISTRIBUCIÓN</w:t>
      </w:r>
    </w:p>
    <w:p w:rsidR="00C7068E" w:rsidRDefault="00C7068E" w:rsidP="000B65DE">
      <w:pPr>
        <w:tabs>
          <w:tab w:val="num" w:pos="1418"/>
        </w:tabs>
        <w:ind w:left="0"/>
        <w:jc w:val="both"/>
        <w:rPr>
          <w:rFonts w:ascii="Bookman Old Style" w:hAnsi="Bookman Old Style"/>
          <w:lang w:val="es-ES_tradnl"/>
        </w:rPr>
      </w:pPr>
    </w:p>
    <w:p w:rsidR="003467C2" w:rsidRPr="000B65DE" w:rsidRDefault="003467C2" w:rsidP="000B65DE">
      <w:pPr>
        <w:tabs>
          <w:tab w:val="num" w:pos="1418"/>
        </w:tabs>
        <w:ind w:left="0"/>
        <w:jc w:val="both"/>
        <w:rPr>
          <w:rFonts w:ascii="Bookman Old Style" w:hAnsi="Bookman Old Style"/>
          <w:lang w:val="es-ES_tradnl"/>
        </w:rPr>
      </w:pPr>
    </w:p>
    <w:p w:rsidR="000B65DE" w:rsidRPr="000B65DE" w:rsidRDefault="000B65DE" w:rsidP="00382E27">
      <w:pPr>
        <w:keepNext/>
        <w:numPr>
          <w:ilvl w:val="0"/>
          <w:numId w:val="2"/>
        </w:numPr>
        <w:jc w:val="both"/>
        <w:outlineLvl w:val="0"/>
        <w:rPr>
          <w:rFonts w:ascii="Bookman Old Style" w:hAnsi="Bookman Old Style"/>
          <w:bCs/>
          <w:lang w:val="es-ES_tradnl"/>
        </w:rPr>
      </w:pPr>
      <w:bookmarkStart w:id="2" w:name="_Ref30434909"/>
      <w:r w:rsidRPr="000B65DE">
        <w:rPr>
          <w:rFonts w:ascii="Bookman Old Style" w:hAnsi="Bookman Old Style"/>
          <w:b/>
          <w:bCs/>
          <w:lang w:val="es-ES_tradnl"/>
        </w:rPr>
        <w:t>ÁMBITO DE APLICACIÓN.</w:t>
      </w:r>
      <w:r w:rsidRPr="000B65DE">
        <w:rPr>
          <w:rFonts w:ascii="Bookman Old Style" w:hAnsi="Bookman Old Style"/>
          <w:bCs/>
          <w:lang w:val="es-ES_tradnl"/>
        </w:rPr>
        <w:t xml:space="preserve">  Este Capítulo se aplica a todas las personas que, estando organizadas en alguna de las formas dispuestas por el Título I de la Ley 142 de 1994 y desarrollan la actividad de distribución de Gas Combustible a través de Sistemas de Distribución, con excepción de aquellos donde la prestación del servicio se haga bajo el esquema de áreas de servicio exclusivo.</w:t>
      </w:r>
      <w:bookmarkEnd w:id="2"/>
      <w:r w:rsidRPr="000B65DE">
        <w:rPr>
          <w:rFonts w:ascii="Bookman Old Style" w:hAnsi="Bookman Old Style"/>
          <w:bCs/>
          <w:lang w:val="es-ES_tradnl"/>
        </w:rPr>
        <w:t xml:space="preserve"> </w:t>
      </w:r>
    </w:p>
    <w:p w:rsidR="000B65DE" w:rsidRPr="000B65DE" w:rsidRDefault="000B65DE" w:rsidP="000B65DE">
      <w:pPr>
        <w:rPr>
          <w:lang w:val="es-ES_tradnl"/>
        </w:rPr>
      </w:pPr>
    </w:p>
    <w:p w:rsidR="000B65DE" w:rsidRPr="000B65DE" w:rsidRDefault="000B65DE" w:rsidP="00382E27">
      <w:pPr>
        <w:keepNext/>
        <w:numPr>
          <w:ilvl w:val="0"/>
          <w:numId w:val="2"/>
        </w:numPr>
        <w:jc w:val="both"/>
        <w:outlineLvl w:val="0"/>
        <w:rPr>
          <w:rFonts w:ascii="Bookman Old Style" w:hAnsi="Bookman Old Style"/>
          <w:bCs/>
          <w:lang w:val="es-ES_tradnl"/>
        </w:rPr>
      </w:pPr>
      <w:bookmarkStart w:id="3" w:name="_Ref330192325"/>
      <w:r w:rsidRPr="000B65DE">
        <w:rPr>
          <w:rFonts w:ascii="Bookman Old Style" w:hAnsi="Bookman Old Style"/>
          <w:b/>
          <w:bCs/>
          <w:lang w:val="es-ES_tradnl"/>
        </w:rPr>
        <w:t>REGLAS PARA LA CONFORMACIÓN DE SISTEMAS DE DISTRIBUCIÓN.</w:t>
      </w:r>
      <w:r w:rsidRPr="000B65DE">
        <w:rPr>
          <w:rFonts w:ascii="Bookman Old Style" w:hAnsi="Bookman Old Style"/>
          <w:bCs/>
          <w:lang w:val="es-ES_tradnl"/>
        </w:rPr>
        <w:t xml:space="preserve"> A partir de la entrada en vigencia de la presente resolución, se establecen los siguientes criterios para determinar cuándo se está ante un Sistema de Distribución de Gas Combustible por redes de tubería:</w:t>
      </w:r>
      <w:bookmarkEnd w:id="3"/>
      <w:r w:rsidRPr="000B65DE">
        <w:rPr>
          <w:rFonts w:ascii="Bookman Old Style" w:hAnsi="Bookman Old Style"/>
          <w:bCs/>
          <w:lang w:val="es-ES_tradnl"/>
        </w:rPr>
        <w:t xml:space="preserve"> </w:t>
      </w:r>
    </w:p>
    <w:p w:rsidR="00C7068E" w:rsidRPr="000B65DE" w:rsidRDefault="00C7068E" w:rsidP="000B65DE">
      <w:pPr>
        <w:ind w:left="0"/>
        <w:jc w:val="both"/>
        <w:rPr>
          <w:rFonts w:ascii="Bookman Old Style" w:hAnsi="Bookman Old Style"/>
          <w:lang w:val="es-ES_tradnl"/>
        </w:rPr>
      </w:pPr>
    </w:p>
    <w:p w:rsidR="000B65DE" w:rsidRPr="000B65DE" w:rsidRDefault="000B65DE" w:rsidP="00382E27">
      <w:pPr>
        <w:numPr>
          <w:ilvl w:val="5"/>
          <w:numId w:val="2"/>
        </w:numPr>
        <w:tabs>
          <w:tab w:val="num" w:pos="284"/>
        </w:tabs>
        <w:ind w:left="284" w:hanging="284"/>
        <w:jc w:val="both"/>
        <w:rPr>
          <w:rFonts w:ascii="Bookman Old Style" w:hAnsi="Bookman Old Style"/>
          <w:bCs/>
          <w:lang w:val="es-ES_tradnl"/>
        </w:rPr>
      </w:pPr>
      <w:r w:rsidRPr="000B65DE">
        <w:rPr>
          <w:rFonts w:ascii="Bookman Old Style" w:hAnsi="Bookman Old Style"/>
          <w:lang w:val="es-CO"/>
        </w:rPr>
        <w:t xml:space="preserve">El Sistema de Distribución será considerado </w:t>
      </w:r>
      <w:r w:rsidRPr="000B65DE">
        <w:rPr>
          <w:rFonts w:ascii="Bookman Old Style" w:hAnsi="Bookman Old Style"/>
          <w:bCs/>
          <w:lang w:val="es-ES_tradnl"/>
        </w:rPr>
        <w:t>por Mercado Relevante de Distribución para el Siguiente Período Tarifario, con independencia de si tiene dos o más propietarios.</w:t>
      </w:r>
    </w:p>
    <w:p w:rsidR="000B65DE" w:rsidRDefault="000B65DE" w:rsidP="000B65DE">
      <w:pPr>
        <w:tabs>
          <w:tab w:val="num" w:pos="4320"/>
        </w:tabs>
        <w:ind w:left="0"/>
        <w:jc w:val="both"/>
        <w:rPr>
          <w:rFonts w:ascii="Bookman Old Style" w:hAnsi="Bookman Old Style"/>
          <w:bCs/>
          <w:lang w:val="es-ES_tradnl"/>
        </w:rPr>
      </w:pPr>
    </w:p>
    <w:p w:rsidR="00103665" w:rsidRDefault="00103665" w:rsidP="000B65DE">
      <w:pPr>
        <w:tabs>
          <w:tab w:val="num" w:pos="4320"/>
        </w:tabs>
        <w:ind w:left="0"/>
        <w:jc w:val="both"/>
        <w:rPr>
          <w:rFonts w:ascii="Bookman Old Style" w:hAnsi="Bookman Old Style"/>
          <w:bCs/>
          <w:lang w:val="es-ES_tradnl"/>
        </w:rPr>
      </w:pPr>
    </w:p>
    <w:p w:rsidR="00103665" w:rsidRPr="000B65DE" w:rsidRDefault="00103665" w:rsidP="000B65DE">
      <w:pPr>
        <w:tabs>
          <w:tab w:val="num" w:pos="4320"/>
        </w:tabs>
        <w:ind w:left="0"/>
        <w:jc w:val="both"/>
        <w:rPr>
          <w:rFonts w:ascii="Bookman Old Style" w:hAnsi="Bookman Old Style"/>
          <w:bCs/>
          <w:lang w:val="es-ES_tradnl"/>
        </w:rPr>
      </w:pPr>
    </w:p>
    <w:p w:rsidR="000B2618" w:rsidRPr="00C46E0E" w:rsidRDefault="00A71AF1" w:rsidP="00986586">
      <w:pPr>
        <w:numPr>
          <w:ilvl w:val="5"/>
          <w:numId w:val="2"/>
        </w:numPr>
        <w:tabs>
          <w:tab w:val="num" w:pos="284"/>
          <w:tab w:val="num" w:pos="1721"/>
        </w:tabs>
        <w:ind w:left="284" w:hanging="426"/>
        <w:jc w:val="both"/>
        <w:rPr>
          <w:rFonts w:ascii="Bookman Old Style" w:hAnsi="Bookman Old Style"/>
          <w:lang w:val="es-ES_tradnl"/>
        </w:rPr>
      </w:pPr>
      <w:r w:rsidRPr="00C46E0E">
        <w:rPr>
          <w:rFonts w:ascii="Bookman Old Style" w:hAnsi="Bookman Old Style"/>
          <w:lang w:val="es-ES_tradnl"/>
        </w:rPr>
        <w:t>A partir de la vigencia de la presente Resolución, t</w:t>
      </w:r>
      <w:r w:rsidR="000B65DE" w:rsidRPr="00986586">
        <w:rPr>
          <w:rFonts w:ascii="Bookman Old Style" w:hAnsi="Bookman Old Style"/>
          <w:lang w:val="es-ES_tradnl"/>
        </w:rPr>
        <w:t xml:space="preserve">ambién se considerarán parte de un Sistema de Distribución los gasoductos </w:t>
      </w:r>
      <w:r w:rsidR="00C46E0E" w:rsidRPr="00C46E0E">
        <w:rPr>
          <w:rFonts w:ascii="Bookman Old Style" w:hAnsi="Bookman Old Style"/>
          <w:lang w:val="es-ES_tradnl"/>
        </w:rPr>
        <w:t>y la</w:t>
      </w:r>
      <w:r w:rsidR="000B65DE" w:rsidRPr="00C46E0E">
        <w:rPr>
          <w:rFonts w:ascii="Bookman Old Style" w:hAnsi="Bookman Old Style"/>
          <w:lang w:val="es-ES_tradnl"/>
        </w:rPr>
        <w:t xml:space="preserve"> Estación de Transferencia de Custodia de Distribución</w:t>
      </w:r>
      <w:r w:rsidR="00C46E0E" w:rsidRPr="00C46E0E">
        <w:rPr>
          <w:rFonts w:ascii="Bookman Old Style" w:hAnsi="Bookman Old Style"/>
          <w:lang w:val="es-ES_tradnl"/>
        </w:rPr>
        <w:t xml:space="preserve"> para conectarse</w:t>
      </w:r>
      <w:r w:rsidR="000B65DE" w:rsidRPr="00C46E0E">
        <w:rPr>
          <w:rFonts w:ascii="Bookman Old Style" w:hAnsi="Bookman Old Style"/>
          <w:lang w:val="es-ES_tradnl"/>
        </w:rPr>
        <w:t xml:space="preserve"> a otro Mercado Relevante de Distribución Existente, en los cuales el servicio de distribución podrá ser prestado por el mismo Distribuidor o por distribuidores distintos que pueden tener o no vinculación económica entre sí</w:t>
      </w:r>
      <w:r w:rsidR="003A083D" w:rsidRPr="00C46E0E">
        <w:rPr>
          <w:rFonts w:ascii="Bookman Old Style" w:hAnsi="Bookman Old Style"/>
          <w:lang w:val="es-ES_tradnl"/>
        </w:rPr>
        <w:t xml:space="preserve"> </w:t>
      </w:r>
      <w:r w:rsidR="00CE4DCE" w:rsidRPr="00C46E0E">
        <w:rPr>
          <w:rFonts w:ascii="Bookman Old Style" w:hAnsi="Bookman Old Style"/>
          <w:lang w:val="es-ES_tradnl"/>
        </w:rPr>
        <w:t xml:space="preserve">cuando cumplan con lo establecido en el numeral </w:t>
      </w:r>
      <w:r w:rsidR="003A7E7A" w:rsidRPr="00C46E0E">
        <w:rPr>
          <w:rFonts w:ascii="Bookman Old Style" w:hAnsi="Bookman Old Style"/>
          <w:lang w:val="es-ES_tradnl"/>
        </w:rPr>
        <w:t>siguiente. Se</w:t>
      </w:r>
      <w:r w:rsidR="000B2618" w:rsidRPr="00C46E0E">
        <w:rPr>
          <w:rFonts w:ascii="Bookman Old Style" w:hAnsi="Bookman Old Style"/>
          <w:lang w:val="es-ES_tradnl"/>
        </w:rPr>
        <w:t xml:space="preserve"> podrá conectar un nuevo Sistema de Distribución o un Sistema de Distribución existente pero atendido con GNC, a otro Sistema de Distribución, siempre y cuando:</w:t>
      </w:r>
    </w:p>
    <w:p w:rsidR="000B2618" w:rsidRDefault="000B2618" w:rsidP="000B2618">
      <w:pPr>
        <w:pStyle w:val="Prrafodelista"/>
        <w:ind w:left="720"/>
        <w:jc w:val="both"/>
        <w:rPr>
          <w:rFonts w:ascii="Bookman Old Style" w:hAnsi="Bookman Old Style"/>
          <w:sz w:val="24"/>
          <w:szCs w:val="24"/>
          <w:lang w:val="es-ES_tradnl"/>
        </w:rPr>
      </w:pPr>
    </w:p>
    <w:p w:rsidR="000B2618" w:rsidRPr="002F650D" w:rsidRDefault="000B2618" w:rsidP="008F4D9F">
      <w:pPr>
        <w:pStyle w:val="Prrafodelista"/>
        <w:numPr>
          <w:ilvl w:val="0"/>
          <w:numId w:val="33"/>
        </w:numPr>
        <w:jc w:val="both"/>
        <w:rPr>
          <w:rFonts w:ascii="Bookman Old Style" w:hAnsi="Bookman Old Style"/>
          <w:sz w:val="24"/>
          <w:szCs w:val="24"/>
          <w:lang w:val="es-ES_tradnl"/>
        </w:rPr>
      </w:pPr>
      <w:r>
        <w:rPr>
          <w:rFonts w:ascii="Bookman Old Style" w:hAnsi="Bookman Old Style"/>
          <w:sz w:val="24"/>
          <w:szCs w:val="24"/>
          <w:lang w:val="es-ES_tradnl"/>
        </w:rPr>
        <w:t>A</w:t>
      </w:r>
      <w:r w:rsidRPr="002F650D">
        <w:rPr>
          <w:rFonts w:ascii="Bookman Old Style" w:hAnsi="Bookman Old Style"/>
          <w:sz w:val="24"/>
          <w:szCs w:val="24"/>
          <w:lang w:val="es-ES_tradnl"/>
        </w:rPr>
        <w:t xml:space="preserve">l momento de presentarse la solicitud por parte del Distribuidor no </w:t>
      </w:r>
      <w:r>
        <w:rPr>
          <w:rFonts w:ascii="Bookman Old Style" w:hAnsi="Bookman Old Style"/>
          <w:sz w:val="24"/>
          <w:szCs w:val="24"/>
          <w:lang w:val="es-ES_tradnl"/>
        </w:rPr>
        <w:t>exista</w:t>
      </w:r>
      <w:r w:rsidRPr="002F650D">
        <w:rPr>
          <w:rFonts w:ascii="Bookman Old Style" w:hAnsi="Bookman Old Style"/>
          <w:sz w:val="24"/>
          <w:szCs w:val="24"/>
          <w:lang w:val="es-ES_tradnl"/>
        </w:rPr>
        <w:t xml:space="preserve"> o no </w:t>
      </w:r>
      <w:r>
        <w:rPr>
          <w:rFonts w:ascii="Bookman Old Style" w:hAnsi="Bookman Old Style"/>
          <w:sz w:val="24"/>
          <w:szCs w:val="24"/>
          <w:lang w:val="es-ES_tradnl"/>
        </w:rPr>
        <w:t xml:space="preserve">haya </w:t>
      </w:r>
      <w:r w:rsidRPr="002F650D">
        <w:rPr>
          <w:rFonts w:ascii="Bookman Old Style" w:hAnsi="Bookman Old Style"/>
          <w:sz w:val="24"/>
          <w:szCs w:val="24"/>
          <w:lang w:val="es-ES_tradnl"/>
        </w:rPr>
        <w:t xml:space="preserve">comenzado la construcción de una extensión de la red tipo II de transporte que conecte el Sistema de Distribución al SNT. </w:t>
      </w:r>
    </w:p>
    <w:p w:rsidR="000B2618" w:rsidRDefault="000B2618" w:rsidP="000B2618">
      <w:pPr>
        <w:ind w:left="0"/>
        <w:jc w:val="both"/>
        <w:rPr>
          <w:rFonts w:ascii="Bookman Old Style" w:hAnsi="Bookman Old Style"/>
          <w:lang w:val="es-ES_tradnl"/>
        </w:rPr>
      </w:pPr>
    </w:p>
    <w:p w:rsidR="000B2618" w:rsidRDefault="003A083D" w:rsidP="008F4D9F">
      <w:pPr>
        <w:pStyle w:val="Prrafodelista"/>
        <w:numPr>
          <w:ilvl w:val="0"/>
          <w:numId w:val="33"/>
        </w:numPr>
        <w:jc w:val="both"/>
        <w:rPr>
          <w:rFonts w:ascii="Bookman Old Style" w:hAnsi="Bookman Old Style"/>
          <w:sz w:val="24"/>
          <w:szCs w:val="24"/>
          <w:lang w:val="es-ES_tradnl"/>
        </w:rPr>
      </w:pPr>
      <w:r>
        <w:rPr>
          <w:rFonts w:ascii="Bookman Old Style" w:hAnsi="Bookman Old Style"/>
          <w:sz w:val="24"/>
          <w:szCs w:val="24"/>
          <w:lang w:val="es-ES_tradnl"/>
        </w:rPr>
        <w:t>L</w:t>
      </w:r>
      <w:r w:rsidR="000B2618" w:rsidRPr="00905C12">
        <w:rPr>
          <w:rFonts w:ascii="Bookman Old Style" w:hAnsi="Bookman Old Style"/>
          <w:sz w:val="24"/>
          <w:szCs w:val="24"/>
          <w:lang w:val="es-ES_tradnl"/>
        </w:rPr>
        <w:t xml:space="preserve">a conexión de </w:t>
      </w:r>
      <w:r>
        <w:rPr>
          <w:rFonts w:ascii="Bookman Old Style" w:hAnsi="Bookman Old Style"/>
          <w:sz w:val="24"/>
          <w:szCs w:val="24"/>
          <w:lang w:val="es-ES_tradnl"/>
        </w:rPr>
        <w:t xml:space="preserve">los </w:t>
      </w:r>
      <w:r w:rsidR="000B2618" w:rsidRPr="00905C12">
        <w:rPr>
          <w:rFonts w:ascii="Bookman Old Style" w:hAnsi="Bookman Old Style"/>
          <w:sz w:val="24"/>
          <w:szCs w:val="24"/>
          <w:lang w:val="es-ES_tradnl"/>
        </w:rPr>
        <w:t xml:space="preserve">Sistemas de Distribución </w:t>
      </w:r>
      <w:r>
        <w:rPr>
          <w:rFonts w:ascii="Bookman Old Style" w:hAnsi="Bookman Old Style"/>
          <w:sz w:val="24"/>
          <w:szCs w:val="24"/>
          <w:lang w:val="es-ES_tradnl"/>
        </w:rPr>
        <w:t xml:space="preserve">corresponda a </w:t>
      </w:r>
      <w:r w:rsidR="000B2618" w:rsidRPr="00905C12">
        <w:rPr>
          <w:rFonts w:ascii="Bookman Old Style" w:hAnsi="Bookman Old Style"/>
          <w:sz w:val="24"/>
          <w:szCs w:val="24"/>
          <w:lang w:val="es-ES_tradnl"/>
        </w:rPr>
        <w:t xml:space="preserve">Mercados Relevantes </w:t>
      </w:r>
      <w:r w:rsidR="000B2618">
        <w:rPr>
          <w:rFonts w:ascii="Bookman Old Style" w:hAnsi="Bookman Old Style"/>
          <w:sz w:val="24"/>
          <w:szCs w:val="24"/>
          <w:lang w:val="es-ES_tradnl"/>
        </w:rPr>
        <w:t>de Distribución adyacentes, es decir que estén situados próximos uno de otro y cumpla</w:t>
      </w:r>
      <w:r>
        <w:rPr>
          <w:rFonts w:ascii="Bookman Old Style" w:hAnsi="Bookman Old Style"/>
          <w:sz w:val="24"/>
          <w:szCs w:val="24"/>
          <w:lang w:val="es-ES_tradnl"/>
        </w:rPr>
        <w:t>n</w:t>
      </w:r>
      <w:r w:rsidR="000B2618">
        <w:rPr>
          <w:rFonts w:ascii="Bookman Old Style" w:hAnsi="Bookman Old Style"/>
          <w:sz w:val="24"/>
          <w:szCs w:val="24"/>
          <w:lang w:val="es-ES_tradnl"/>
        </w:rPr>
        <w:t xml:space="preserve"> con el procedimiento indicado en el ANEXO </w:t>
      </w:r>
      <w:r w:rsidR="00472B0E">
        <w:rPr>
          <w:rFonts w:ascii="Bookman Old Style" w:hAnsi="Bookman Old Style"/>
          <w:sz w:val="24"/>
          <w:szCs w:val="24"/>
          <w:lang w:val="es-ES_tradnl"/>
        </w:rPr>
        <w:t>1</w:t>
      </w:r>
      <w:r w:rsidR="000B2618">
        <w:rPr>
          <w:rFonts w:ascii="Bookman Old Style" w:hAnsi="Bookman Old Style"/>
          <w:sz w:val="24"/>
          <w:szCs w:val="24"/>
          <w:lang w:val="es-ES_tradnl"/>
        </w:rPr>
        <w:t xml:space="preserve"> de esta resolución</w:t>
      </w:r>
      <w:r w:rsidR="00A523D8">
        <w:rPr>
          <w:rFonts w:ascii="Bookman Old Style" w:hAnsi="Bookman Old Style"/>
          <w:sz w:val="24"/>
          <w:szCs w:val="24"/>
          <w:lang w:val="es-ES_tradnl"/>
        </w:rPr>
        <w:t xml:space="preserve"> para sus solicitudes tarifarias</w:t>
      </w:r>
      <w:r w:rsidR="000B2618">
        <w:rPr>
          <w:rFonts w:ascii="Bookman Old Style" w:hAnsi="Bookman Old Style"/>
          <w:sz w:val="24"/>
          <w:szCs w:val="24"/>
          <w:lang w:val="es-ES_tradnl"/>
        </w:rPr>
        <w:t>.</w:t>
      </w:r>
    </w:p>
    <w:p w:rsidR="009D40B8" w:rsidRDefault="009D40B8" w:rsidP="009D40B8">
      <w:pPr>
        <w:pStyle w:val="Prrafodelista"/>
        <w:ind w:left="720"/>
        <w:jc w:val="both"/>
        <w:rPr>
          <w:rFonts w:ascii="Bookman Old Style" w:hAnsi="Bookman Old Style"/>
          <w:sz w:val="24"/>
          <w:szCs w:val="24"/>
          <w:lang w:val="es-ES_tradnl"/>
        </w:rPr>
      </w:pPr>
    </w:p>
    <w:p w:rsidR="000B65DE" w:rsidRPr="00A523D8" w:rsidRDefault="000B65DE" w:rsidP="00382E27">
      <w:pPr>
        <w:numPr>
          <w:ilvl w:val="5"/>
          <w:numId w:val="2"/>
        </w:numPr>
        <w:tabs>
          <w:tab w:val="num" w:pos="284"/>
        </w:tabs>
        <w:ind w:left="284" w:hanging="426"/>
        <w:jc w:val="both"/>
        <w:rPr>
          <w:rFonts w:ascii="Bookman Old Style" w:hAnsi="Bookman Old Style"/>
          <w:lang w:val="es-ES_tradnl"/>
        </w:rPr>
      </w:pPr>
      <w:r w:rsidRPr="00A523D8">
        <w:rPr>
          <w:rFonts w:ascii="Bookman Old Style" w:hAnsi="Bookman Old Style"/>
          <w:lang w:val="es-ES_tradnl"/>
        </w:rPr>
        <w:t xml:space="preserve">Para </w:t>
      </w:r>
      <w:r w:rsidR="000B2618" w:rsidRPr="00A523D8">
        <w:rPr>
          <w:rFonts w:ascii="Bookman Old Style" w:hAnsi="Bookman Old Style"/>
          <w:lang w:val="es-ES_tradnl"/>
        </w:rPr>
        <w:t xml:space="preserve">la determinación de Cargos de Distribución de un Sistema de Distribución de un Mercado Relevante de Distribución que se conecta a otro se </w:t>
      </w:r>
      <w:r w:rsidRPr="00A523D8">
        <w:rPr>
          <w:rFonts w:ascii="Bookman Old Style" w:hAnsi="Bookman Old Style"/>
          <w:lang w:val="es-ES_tradnl"/>
        </w:rPr>
        <w:t>aplicar</w:t>
      </w:r>
      <w:r w:rsidR="000B2618" w:rsidRPr="00A523D8">
        <w:rPr>
          <w:rFonts w:ascii="Bookman Old Style" w:hAnsi="Bookman Old Style"/>
          <w:lang w:val="es-ES_tradnl"/>
        </w:rPr>
        <w:t xml:space="preserve">á el procedimiento establecido en el literal II del </w:t>
      </w:r>
      <w:r w:rsidRPr="00A523D8">
        <w:rPr>
          <w:rFonts w:ascii="Bookman Old Style" w:hAnsi="Bookman Old Style"/>
          <w:lang w:val="es-ES_tradnl"/>
        </w:rPr>
        <w:t xml:space="preserve"> </w:t>
      </w:r>
      <w:r w:rsidR="00AF6018" w:rsidRPr="00A523D8">
        <w:rPr>
          <w:rFonts w:ascii="Bookman Old Style" w:hAnsi="Bookman Old Style"/>
          <w:lang w:val="es-ES_tradnl"/>
        </w:rPr>
        <w:fldChar w:fldCharType="begin"/>
      </w:r>
      <w:r w:rsidRPr="00A523D8">
        <w:rPr>
          <w:rFonts w:ascii="Bookman Old Style" w:hAnsi="Bookman Old Style"/>
          <w:lang w:val="es-ES_tradnl"/>
        </w:rPr>
        <w:instrText xml:space="preserve"> REF _Ref289696914 \r \h </w:instrText>
      </w:r>
      <w:r w:rsidR="007D6EB1" w:rsidRPr="00A523D8">
        <w:rPr>
          <w:rFonts w:ascii="Bookman Old Style" w:hAnsi="Bookman Old Style"/>
          <w:lang w:val="es-ES_tradnl"/>
        </w:rPr>
        <w:instrText xml:space="preserve"> \* MERGEFORMAT </w:instrText>
      </w:r>
      <w:r w:rsidR="00AF6018" w:rsidRPr="00A523D8">
        <w:rPr>
          <w:rFonts w:ascii="Bookman Old Style" w:hAnsi="Bookman Old Style"/>
          <w:lang w:val="es-ES_tradnl"/>
        </w:rPr>
      </w:r>
      <w:r w:rsidR="00AF6018" w:rsidRPr="00A523D8">
        <w:rPr>
          <w:rFonts w:ascii="Bookman Old Style" w:hAnsi="Bookman Old Style"/>
          <w:lang w:val="es-ES_tradnl"/>
        </w:rPr>
        <w:fldChar w:fldCharType="separate"/>
      </w:r>
      <w:r w:rsidR="004D5C18">
        <w:rPr>
          <w:rFonts w:ascii="Bookman Old Style" w:hAnsi="Bookman Old Style"/>
          <w:lang w:val="es-ES_tradnl"/>
        </w:rPr>
        <w:t>ANEXO 1</w:t>
      </w:r>
      <w:r w:rsidR="00AF6018" w:rsidRPr="00A523D8">
        <w:rPr>
          <w:rFonts w:ascii="Bookman Old Style" w:hAnsi="Bookman Old Style"/>
          <w:lang w:val="es-ES_tradnl"/>
        </w:rPr>
        <w:fldChar w:fldCharType="end"/>
      </w:r>
      <w:r w:rsidR="00472B0E">
        <w:rPr>
          <w:rFonts w:ascii="Bookman Old Style" w:hAnsi="Bookman Old Style"/>
          <w:lang w:val="es-ES_tradnl"/>
        </w:rPr>
        <w:t>1</w:t>
      </w:r>
      <w:r w:rsidRPr="00A523D8">
        <w:rPr>
          <w:rFonts w:ascii="Bookman Old Style" w:hAnsi="Bookman Old Style"/>
          <w:lang w:val="es-ES_tradnl"/>
        </w:rPr>
        <w:t xml:space="preserve"> de la presente resolución. </w:t>
      </w:r>
    </w:p>
    <w:p w:rsidR="000B65DE" w:rsidRPr="000B65DE" w:rsidRDefault="000B65DE" w:rsidP="000B65DE">
      <w:pPr>
        <w:ind w:left="284"/>
        <w:jc w:val="both"/>
        <w:rPr>
          <w:rFonts w:ascii="Bookman Old Style" w:hAnsi="Bookman Old Style"/>
          <w:lang w:val="es-ES_tradnl"/>
        </w:rPr>
      </w:pPr>
    </w:p>
    <w:p w:rsidR="000B65DE" w:rsidRPr="000B65DE" w:rsidRDefault="000B65DE" w:rsidP="00382E27">
      <w:pPr>
        <w:numPr>
          <w:ilvl w:val="5"/>
          <w:numId w:val="2"/>
        </w:numPr>
        <w:tabs>
          <w:tab w:val="num" w:pos="284"/>
        </w:tabs>
        <w:ind w:left="284" w:hanging="426"/>
        <w:jc w:val="both"/>
        <w:rPr>
          <w:rFonts w:ascii="Bookman Old Style" w:hAnsi="Bookman Old Style"/>
          <w:lang w:val="es-ES_tradnl"/>
        </w:rPr>
      </w:pPr>
      <w:r w:rsidRPr="000B65DE">
        <w:rPr>
          <w:rFonts w:ascii="Bookman Old Style" w:hAnsi="Bookman Old Style"/>
          <w:lang w:val="es-ES_tradnl"/>
        </w:rPr>
        <w:t>El Sistema de Distribución que se conecte a otro Sistema de Distribución, debe pagar por su uso, el Cargo de Distribución de este último ajustado con la demanda asociada al Sistema de Distribución que se conectan. El Cargo de Distribución aplicable será: (i) si se conecta a la Red Primaria de Distribución, el Cargo de Distribución Aplicable a Usuarios Diferentes a los de Uso Residencial y ii) si se conecta a la Red Secundaria de Distribución el Cargo Aplicable a los Usuarios de Uso Residencial.</w:t>
      </w:r>
    </w:p>
    <w:p w:rsidR="000B65DE" w:rsidRPr="000B65DE" w:rsidRDefault="000B65DE" w:rsidP="000B65DE">
      <w:pPr>
        <w:ind w:left="284"/>
        <w:jc w:val="both"/>
        <w:rPr>
          <w:rFonts w:ascii="Bookman Old Style" w:hAnsi="Bookman Old Style"/>
          <w:lang w:val="es-ES_tradnl"/>
        </w:rPr>
      </w:pPr>
    </w:p>
    <w:p w:rsidR="000B65DE" w:rsidRPr="000B65DE" w:rsidRDefault="000B65DE" w:rsidP="000B65DE">
      <w:pPr>
        <w:ind w:left="0"/>
        <w:jc w:val="both"/>
        <w:rPr>
          <w:rFonts w:ascii="Bookman Old Style" w:hAnsi="Bookman Old Style"/>
          <w:u w:val="single"/>
          <w:lang w:val="es-ES_tradnl"/>
        </w:rPr>
      </w:pPr>
    </w:p>
    <w:p w:rsidR="000B65DE" w:rsidRPr="000B65DE" w:rsidRDefault="000B65DE" w:rsidP="00382E27">
      <w:pPr>
        <w:keepNext/>
        <w:numPr>
          <w:ilvl w:val="0"/>
          <w:numId w:val="2"/>
        </w:numPr>
        <w:jc w:val="both"/>
        <w:outlineLvl w:val="0"/>
        <w:rPr>
          <w:rFonts w:ascii="Bookman Old Style" w:hAnsi="Bookman Old Style"/>
          <w:b/>
          <w:bCs/>
          <w:lang w:val="es-ES_tradnl"/>
        </w:rPr>
      </w:pPr>
      <w:bookmarkStart w:id="4" w:name="_Ref330192244"/>
      <w:r w:rsidRPr="000B65DE">
        <w:rPr>
          <w:rFonts w:ascii="Bookman Old Style" w:hAnsi="Bookman Old Style"/>
          <w:b/>
          <w:bCs/>
          <w:lang w:val="es-ES_tradnl"/>
        </w:rPr>
        <w:t>MERCADOS RELEVANTES DE DISTRIBUCIÓN PARA EL SIGUIENTE PERÍODO TARIFARIO.</w:t>
      </w:r>
      <w:bookmarkEnd w:id="4"/>
      <w:r w:rsidRPr="000B65DE">
        <w:rPr>
          <w:rFonts w:ascii="Bookman Old Style" w:hAnsi="Bookman Old Style"/>
          <w:b/>
          <w:bCs/>
          <w:lang w:val="es-ES_tradnl"/>
        </w:rPr>
        <w:t xml:space="preserve"> </w:t>
      </w:r>
    </w:p>
    <w:p w:rsidR="000B65DE" w:rsidRPr="000B65DE" w:rsidRDefault="000B65DE" w:rsidP="000B65DE">
      <w:pPr>
        <w:ind w:left="0"/>
        <w:jc w:val="both"/>
        <w:rPr>
          <w:rFonts w:ascii="Bookman Old Style" w:hAnsi="Bookman Old Style"/>
        </w:rPr>
      </w:pPr>
    </w:p>
    <w:p w:rsidR="000B65DE" w:rsidRPr="000B65DE" w:rsidRDefault="000B65DE" w:rsidP="00382E27">
      <w:pPr>
        <w:numPr>
          <w:ilvl w:val="1"/>
          <w:numId w:val="6"/>
        </w:numPr>
        <w:overflowPunct w:val="0"/>
        <w:autoSpaceDE w:val="0"/>
        <w:autoSpaceDN w:val="0"/>
        <w:adjustRightInd w:val="0"/>
        <w:jc w:val="both"/>
        <w:textAlignment w:val="baseline"/>
        <w:outlineLvl w:val="1"/>
        <w:rPr>
          <w:rFonts w:ascii="Bookman Old Style" w:hAnsi="Bookman Old Style"/>
          <w:b/>
          <w:bCs/>
          <w:iCs/>
          <w:szCs w:val="20"/>
        </w:rPr>
      </w:pPr>
      <w:r w:rsidRPr="000B65DE">
        <w:rPr>
          <w:rFonts w:ascii="Bookman Old Style" w:hAnsi="Bookman Old Style"/>
          <w:b/>
          <w:bCs/>
          <w:szCs w:val="20"/>
        </w:rPr>
        <w:t>REGLA GENERAL.</w:t>
      </w:r>
    </w:p>
    <w:p w:rsidR="000B65DE" w:rsidRPr="000B65DE" w:rsidRDefault="000B65DE" w:rsidP="000B65DE"/>
    <w:p w:rsidR="000B65DE" w:rsidRPr="000B65DE" w:rsidRDefault="000B65DE" w:rsidP="000B65DE">
      <w:pPr>
        <w:ind w:left="0"/>
        <w:jc w:val="both"/>
        <w:rPr>
          <w:rFonts w:ascii="Bookman Old Style" w:hAnsi="Bookman Old Style"/>
          <w:lang w:val="es-ES_tradnl"/>
        </w:rPr>
      </w:pPr>
      <w:r w:rsidRPr="000B65DE">
        <w:rPr>
          <w:rFonts w:ascii="Bookman Old Style" w:hAnsi="Bookman Old Style"/>
          <w:color w:val="000000"/>
          <w:spacing w:val="-3"/>
        </w:rPr>
        <w:t xml:space="preserve">Para la aplicación de lo dispuesto en la presente resolución, </w:t>
      </w:r>
      <w:r w:rsidRPr="000B65DE">
        <w:rPr>
          <w:rFonts w:ascii="Bookman Old Style" w:hAnsi="Bookman Old Style"/>
          <w:lang w:val="es-ES_tradnl"/>
        </w:rPr>
        <w:t xml:space="preserve">el Mercado Relevante de Distribución para el Siguiente Período Tarifario que se tendrá en cuenta para el cálculo tarifario será definido por la CREG con base en la solicitud tarifaria que presente cada Distribuidor. El Mercado Relevante de Distribución para el Siguiente Período Tarifario deberá ser </w:t>
      </w:r>
      <w:r w:rsidR="00472B0E">
        <w:rPr>
          <w:rFonts w:ascii="Bookman Old Style" w:hAnsi="Bookman Old Style"/>
          <w:lang w:val="es-ES_tradnl"/>
        </w:rPr>
        <w:t xml:space="preserve">conformado </w:t>
      </w:r>
      <w:r w:rsidRPr="000B65DE">
        <w:rPr>
          <w:rFonts w:ascii="Bookman Old Style" w:hAnsi="Bookman Old Style"/>
          <w:lang w:val="es-ES_tradnl"/>
        </w:rPr>
        <w:t xml:space="preserve">como mínimo </w:t>
      </w:r>
      <w:r w:rsidR="00472B0E">
        <w:rPr>
          <w:rFonts w:ascii="Bookman Old Style" w:hAnsi="Bookman Old Style"/>
          <w:lang w:val="es-ES_tradnl"/>
        </w:rPr>
        <w:t xml:space="preserve">por </w:t>
      </w:r>
      <w:r w:rsidRPr="000B65DE">
        <w:rPr>
          <w:rFonts w:ascii="Bookman Old Style" w:hAnsi="Bookman Old Style"/>
          <w:lang w:val="es-ES_tradnl"/>
        </w:rPr>
        <w:t xml:space="preserve">un municipio o podrá estar conformado por un grupo de municipios, con excepción de lo establecido en el numeral </w:t>
      </w:r>
      <w:r w:rsidR="008B26D0">
        <w:fldChar w:fldCharType="begin"/>
      </w:r>
      <w:r w:rsidR="008B26D0">
        <w:instrText xml:space="preserve"> REF _Ref289436060 \r \h  \* MERGEFORMAT </w:instrText>
      </w:r>
      <w:r w:rsidR="008B26D0">
        <w:fldChar w:fldCharType="separate"/>
      </w:r>
      <w:r w:rsidR="004D5C18" w:rsidRPr="004D5C18">
        <w:rPr>
          <w:rFonts w:ascii="Bookman Old Style" w:hAnsi="Bookman Old Style"/>
          <w:lang w:val="es-ES_tradnl"/>
        </w:rPr>
        <w:t>5.3</w:t>
      </w:r>
      <w:r w:rsidR="008B26D0">
        <w:fldChar w:fldCharType="end"/>
      </w:r>
      <w:r w:rsidRPr="000B65DE">
        <w:rPr>
          <w:rFonts w:ascii="Bookman Old Style" w:hAnsi="Bookman Old Style"/>
          <w:lang w:val="es-ES_tradnl"/>
        </w:rPr>
        <w:t xml:space="preserve"> de esta Resolución.</w:t>
      </w:r>
      <w:r w:rsidR="00FF3646">
        <w:rPr>
          <w:rFonts w:ascii="Bookman Old Style" w:hAnsi="Bookman Old Style"/>
          <w:lang w:val="es-ES_tradnl"/>
        </w:rPr>
        <w:t xml:space="preserve"> </w:t>
      </w:r>
    </w:p>
    <w:p w:rsidR="000B65DE" w:rsidRPr="000B65DE" w:rsidRDefault="000B65DE" w:rsidP="000B65DE"/>
    <w:p w:rsidR="000B65DE" w:rsidRPr="000B65DE" w:rsidRDefault="000B65DE" w:rsidP="00382E27">
      <w:pPr>
        <w:numPr>
          <w:ilvl w:val="1"/>
          <w:numId w:val="6"/>
        </w:numPr>
        <w:overflowPunct w:val="0"/>
        <w:autoSpaceDE w:val="0"/>
        <w:autoSpaceDN w:val="0"/>
        <w:adjustRightInd w:val="0"/>
        <w:jc w:val="both"/>
        <w:textAlignment w:val="baseline"/>
        <w:outlineLvl w:val="1"/>
        <w:rPr>
          <w:rFonts w:ascii="Bookman Old Style" w:hAnsi="Bookman Old Style"/>
          <w:b/>
          <w:bCs/>
          <w:szCs w:val="20"/>
        </w:rPr>
      </w:pPr>
      <w:r w:rsidRPr="000B65DE">
        <w:rPr>
          <w:rFonts w:ascii="Bookman Old Style" w:hAnsi="Bookman Old Style"/>
          <w:b/>
          <w:bCs/>
          <w:szCs w:val="20"/>
        </w:rPr>
        <w:t>CRITERIOS PARA LA CONFORMACIÓN DE LOS MERCADOS RELEVANTES DE DISTRIBUCIÓN PARA EL SIGUIENTE PERÍODO TARIFARIO.</w:t>
      </w:r>
    </w:p>
    <w:p w:rsidR="000B65DE" w:rsidRPr="000B65DE" w:rsidRDefault="000B65DE" w:rsidP="000B65DE"/>
    <w:p w:rsidR="000B65DE" w:rsidRPr="000B65DE" w:rsidRDefault="000B65DE" w:rsidP="000B65DE">
      <w:pPr>
        <w:ind w:left="0"/>
        <w:jc w:val="both"/>
        <w:rPr>
          <w:rFonts w:ascii="Bookman Old Style" w:hAnsi="Bookman Old Style"/>
        </w:rPr>
      </w:pPr>
      <w:r w:rsidRPr="000B65DE">
        <w:rPr>
          <w:rFonts w:ascii="Bookman Old Style" w:hAnsi="Bookman Old Style"/>
        </w:rPr>
        <w:t xml:space="preserve">A partir de la entrada en vigencia de la presente resolución, los Distribuidores podrán acogerse a los siguientes criterios para la conformación de los Mercados Relevantes de Distribución para el Siguiente Período Tarifario y proceder a solicitar a la CREG la aprobación de los cargos correspondientes:  </w:t>
      </w:r>
    </w:p>
    <w:p w:rsidR="000B65DE" w:rsidRPr="000B65DE" w:rsidRDefault="000B65DE" w:rsidP="000B65DE">
      <w:pPr>
        <w:ind w:left="0"/>
        <w:jc w:val="both"/>
        <w:rPr>
          <w:rFonts w:ascii="Bookman Old Style" w:hAnsi="Bookman Old Style"/>
        </w:rPr>
      </w:pPr>
    </w:p>
    <w:p w:rsidR="00E33DD0" w:rsidRDefault="000B65DE" w:rsidP="00382E27">
      <w:pPr>
        <w:numPr>
          <w:ilvl w:val="0"/>
          <w:numId w:val="4"/>
        </w:numPr>
        <w:jc w:val="both"/>
        <w:rPr>
          <w:rFonts w:ascii="Bookman Old Style" w:hAnsi="Bookman Old Style"/>
          <w:lang w:val="es-ES_tradnl"/>
        </w:rPr>
      </w:pPr>
      <w:r w:rsidRPr="000B65DE">
        <w:rPr>
          <w:rFonts w:ascii="Bookman Old Style" w:hAnsi="Bookman Old Style"/>
          <w:b/>
          <w:lang w:val="es-ES_tradnl"/>
        </w:rPr>
        <w:t>Mercados Existentes de Distribución:</w:t>
      </w:r>
      <w:r w:rsidRPr="000B65DE">
        <w:rPr>
          <w:rFonts w:ascii="Bookman Old Style" w:hAnsi="Bookman Old Style"/>
          <w:lang w:val="es-ES_tradnl"/>
        </w:rPr>
        <w:t xml:space="preserve"> Constituir el Mercado Relevante de Distribución para el Siguiente Período Tarifario, manteniendo la estructura del Mercado Relevante de Distribución conformado según la </w:t>
      </w:r>
      <w:r w:rsidR="003A7E7A" w:rsidRPr="000B65DE">
        <w:rPr>
          <w:rFonts w:ascii="Bookman Old Style" w:hAnsi="Bookman Old Style"/>
          <w:lang w:val="es-ES_tradnl"/>
        </w:rPr>
        <w:t>metodología</w:t>
      </w:r>
      <w:r w:rsidRPr="000B65DE">
        <w:rPr>
          <w:rFonts w:ascii="Bookman Old Style" w:hAnsi="Bookman Old Style"/>
          <w:lang w:val="es-ES_tradnl"/>
        </w:rPr>
        <w:t xml:space="preserve"> tarifaria establecida en la Resolución CREG 011 de 2003.</w:t>
      </w:r>
      <w:r w:rsidR="005039C7">
        <w:rPr>
          <w:rFonts w:ascii="Bookman Old Style" w:hAnsi="Bookman Old Style"/>
          <w:lang w:val="es-ES_tradnl"/>
        </w:rPr>
        <w:t xml:space="preserve"> </w:t>
      </w:r>
    </w:p>
    <w:p w:rsidR="00E33DD0" w:rsidRDefault="00E33DD0" w:rsidP="00E33DD0">
      <w:pPr>
        <w:ind w:left="720"/>
        <w:jc w:val="both"/>
        <w:rPr>
          <w:rFonts w:ascii="Bookman Old Style" w:hAnsi="Bookman Old Style"/>
          <w:lang w:val="es-ES_tradnl"/>
        </w:rPr>
      </w:pPr>
    </w:p>
    <w:p w:rsidR="00E33DD0" w:rsidRDefault="005039C7" w:rsidP="005039C7">
      <w:pPr>
        <w:ind w:left="720"/>
        <w:jc w:val="both"/>
        <w:rPr>
          <w:rFonts w:ascii="Bookman Old Style" w:hAnsi="Bookman Old Style"/>
          <w:lang w:val="es-ES_tradnl"/>
        </w:rPr>
      </w:pPr>
      <w:r>
        <w:rPr>
          <w:rFonts w:ascii="Bookman Old Style" w:hAnsi="Bookman Old Style"/>
          <w:lang w:val="es-ES_tradnl"/>
        </w:rPr>
        <w:t>Para que un mercado sea considerado Mercado Existente de Distribución deberá  contener  todos los municipios que formaron parte del mercado conformado en vigencia de la Resolución CREG 011 de 2003.</w:t>
      </w:r>
      <w:r w:rsidR="00C651F3">
        <w:rPr>
          <w:rFonts w:ascii="Bookman Old Style" w:hAnsi="Bookman Old Style"/>
          <w:lang w:val="es-ES_tradnl"/>
        </w:rPr>
        <w:t xml:space="preserve"> </w:t>
      </w:r>
      <w:r>
        <w:rPr>
          <w:rFonts w:ascii="Bookman Old Style" w:hAnsi="Bookman Old Style"/>
          <w:lang w:val="es-ES_tradnl"/>
        </w:rPr>
        <w:t>Sólo se permitirá el retiro de municipios del Mercado Existente de Distribución si en este habiendo pasado más de un año de la aprobación del cargo no se ha iniciado la prestación del servicio.</w:t>
      </w:r>
    </w:p>
    <w:p w:rsidR="00416F0F" w:rsidRPr="000B65DE" w:rsidRDefault="00416F0F" w:rsidP="005039C7">
      <w:pPr>
        <w:ind w:left="720"/>
        <w:jc w:val="both"/>
        <w:rPr>
          <w:rFonts w:ascii="Bookman Old Style" w:hAnsi="Bookman Old Style"/>
          <w:lang w:val="es-ES_tradnl"/>
        </w:rPr>
      </w:pPr>
    </w:p>
    <w:p w:rsidR="003226D0" w:rsidRDefault="003226D0" w:rsidP="003226D0">
      <w:pPr>
        <w:ind w:left="720"/>
        <w:jc w:val="both"/>
        <w:rPr>
          <w:rFonts w:ascii="Bookman Old Style" w:hAnsi="Bookman Old Style"/>
          <w:lang w:val="es-ES_tradnl"/>
        </w:rPr>
      </w:pPr>
      <w:r>
        <w:rPr>
          <w:rFonts w:ascii="Bookman Old Style" w:hAnsi="Bookman Old Style"/>
          <w:lang w:val="es-ES_tradnl"/>
        </w:rPr>
        <w:t>También corresponderán a este tipo de Mercados Existentes de Distribución las zonas geográficas que hayan pertenecido a las Áreas de Servicio Exclusivo y donde se hayan culminado los contratos de concesión.</w:t>
      </w:r>
    </w:p>
    <w:p w:rsidR="000B65DE" w:rsidRPr="000B65DE" w:rsidRDefault="000B65DE" w:rsidP="000B65DE">
      <w:pPr>
        <w:ind w:left="0"/>
        <w:jc w:val="both"/>
        <w:rPr>
          <w:rFonts w:ascii="Bookman Old Style" w:hAnsi="Bookman Old Style"/>
          <w:lang w:val="es-ES_tradnl"/>
        </w:rPr>
      </w:pPr>
    </w:p>
    <w:p w:rsidR="000B65DE" w:rsidRPr="000B65DE" w:rsidRDefault="000B65DE" w:rsidP="00382E27">
      <w:pPr>
        <w:numPr>
          <w:ilvl w:val="0"/>
          <w:numId w:val="4"/>
        </w:numPr>
        <w:jc w:val="both"/>
        <w:rPr>
          <w:rFonts w:ascii="Bookman Old Style" w:hAnsi="Bookman Old Style"/>
          <w:lang w:val="es-ES_tradnl"/>
        </w:rPr>
      </w:pPr>
      <w:r w:rsidRPr="000B65DE">
        <w:rPr>
          <w:rFonts w:ascii="Bookman Old Style" w:hAnsi="Bookman Old Style"/>
          <w:b/>
          <w:lang w:val="es-ES_tradnl"/>
        </w:rPr>
        <w:t>Agregación de Mercados Existentes de Distribución:</w:t>
      </w:r>
      <w:r w:rsidRPr="000B65DE">
        <w:rPr>
          <w:rFonts w:ascii="Bookman Old Style" w:hAnsi="Bookman Old Style"/>
          <w:lang w:val="es-ES_tradnl"/>
        </w:rPr>
        <w:t xml:space="preserve"> Incorporar en un Mercado Relevante de Distribución para el Siguiente Período Tarifario dos o más Mercados Relevantes Existentes de Distribución o que fueron constituidos conforme a la metodología tarifaria establecida en la Resolución CREG 011 de 2003. </w:t>
      </w:r>
      <w:r w:rsidR="00147B69">
        <w:rPr>
          <w:rFonts w:ascii="Bookman Old Style" w:hAnsi="Bookman Old Style"/>
          <w:lang w:val="es-ES_tradnl"/>
        </w:rPr>
        <w:t xml:space="preserve">Esta agregación de Mercados Existentes solo se podrá </w:t>
      </w:r>
      <w:r w:rsidR="00373A0D">
        <w:rPr>
          <w:rFonts w:ascii="Bookman Old Style" w:hAnsi="Bookman Old Style"/>
          <w:lang w:val="es-ES_tradnl"/>
        </w:rPr>
        <w:t xml:space="preserve">realizar </w:t>
      </w:r>
      <w:r w:rsidR="00147B69">
        <w:rPr>
          <w:rFonts w:ascii="Bookman Old Style" w:hAnsi="Bookman Old Style"/>
          <w:lang w:val="es-ES_tradnl"/>
        </w:rPr>
        <w:t xml:space="preserve">siempre y cuando los mercados objeto de integración sean atendidos por un mismo distribuidor o cuando los distribuidores que prestan servicio en dichos </w:t>
      </w:r>
      <w:r w:rsidR="00CC038C">
        <w:rPr>
          <w:rFonts w:ascii="Bookman Old Style" w:hAnsi="Bookman Old Style"/>
          <w:lang w:val="es-ES_tradnl"/>
        </w:rPr>
        <w:t>M</w:t>
      </w:r>
      <w:r w:rsidR="00147B69">
        <w:rPr>
          <w:rFonts w:ascii="Bookman Old Style" w:hAnsi="Bookman Old Style"/>
          <w:lang w:val="es-ES_tradnl"/>
        </w:rPr>
        <w:t xml:space="preserve">ercados estén de acuerdo con </w:t>
      </w:r>
      <w:r w:rsidR="00373A0D">
        <w:rPr>
          <w:rFonts w:ascii="Bookman Old Style" w:hAnsi="Bookman Old Style"/>
          <w:lang w:val="es-ES_tradnl"/>
        </w:rPr>
        <w:t xml:space="preserve">la </w:t>
      </w:r>
      <w:r w:rsidR="00147B69">
        <w:rPr>
          <w:rFonts w:ascii="Bookman Old Style" w:hAnsi="Bookman Old Style"/>
          <w:lang w:val="es-ES_tradnl"/>
        </w:rPr>
        <w:t>integración.</w:t>
      </w:r>
    </w:p>
    <w:p w:rsidR="00B9245F" w:rsidRDefault="00B9245F" w:rsidP="003226D0">
      <w:pPr>
        <w:ind w:left="720"/>
        <w:jc w:val="both"/>
        <w:rPr>
          <w:rFonts w:ascii="Bookman Old Style" w:hAnsi="Bookman Old Style"/>
          <w:lang w:val="es-ES_tradnl"/>
        </w:rPr>
      </w:pPr>
    </w:p>
    <w:p w:rsidR="00E33DD0" w:rsidRDefault="00702466" w:rsidP="00702466">
      <w:pPr>
        <w:ind w:left="720"/>
        <w:jc w:val="both"/>
        <w:rPr>
          <w:rFonts w:ascii="Bookman Old Style" w:hAnsi="Bookman Old Style"/>
          <w:lang w:val="es-ES_tradnl"/>
        </w:rPr>
      </w:pPr>
      <w:r>
        <w:rPr>
          <w:rFonts w:ascii="Bookman Old Style" w:hAnsi="Bookman Old Style"/>
          <w:lang w:val="es-ES_tradnl"/>
        </w:rPr>
        <w:t>Adicionalmente, los</w:t>
      </w:r>
      <w:r w:rsidR="00E33DD0">
        <w:rPr>
          <w:rFonts w:ascii="Bookman Old Style" w:hAnsi="Bookman Old Style"/>
          <w:lang w:val="es-ES_tradnl"/>
        </w:rPr>
        <w:t xml:space="preserve"> </w:t>
      </w:r>
      <w:r w:rsidRPr="00702466">
        <w:rPr>
          <w:rFonts w:ascii="Bookman Old Style" w:hAnsi="Bookman Old Style"/>
          <w:lang w:val="es-ES_tradnl"/>
        </w:rPr>
        <w:t>Mercados Existentes de Distribución</w:t>
      </w:r>
      <w:r>
        <w:rPr>
          <w:rFonts w:ascii="Bookman Old Style" w:hAnsi="Bookman Old Style"/>
          <w:lang w:val="es-ES_tradnl"/>
        </w:rPr>
        <w:t xml:space="preserve"> que se agreguen deberán</w:t>
      </w:r>
      <w:r w:rsidR="00E33DD0">
        <w:rPr>
          <w:rFonts w:ascii="Bookman Old Style" w:hAnsi="Bookman Old Style"/>
          <w:lang w:val="es-ES_tradnl"/>
        </w:rPr>
        <w:t xml:space="preserve"> </w:t>
      </w:r>
      <w:r>
        <w:rPr>
          <w:rFonts w:ascii="Bookman Old Style" w:hAnsi="Bookman Old Style"/>
          <w:lang w:val="es-ES_tradnl"/>
        </w:rPr>
        <w:t xml:space="preserve">estar ubicados en </w:t>
      </w:r>
      <w:r w:rsidR="00E33DD0">
        <w:rPr>
          <w:rFonts w:ascii="Bookman Old Style" w:hAnsi="Bookman Old Style"/>
          <w:lang w:val="es-ES_tradnl"/>
        </w:rPr>
        <w:t>un mismo departa</w:t>
      </w:r>
      <w:r>
        <w:rPr>
          <w:rFonts w:ascii="Bookman Old Style" w:hAnsi="Bookman Old Style"/>
          <w:lang w:val="es-ES_tradnl"/>
        </w:rPr>
        <w:t xml:space="preserve">mento </w:t>
      </w:r>
      <w:r w:rsidR="00E33DD0">
        <w:rPr>
          <w:rFonts w:ascii="Bookman Old Style" w:hAnsi="Bookman Old Style"/>
          <w:lang w:val="es-ES_tradnl"/>
        </w:rPr>
        <w:t xml:space="preserve">o </w:t>
      </w:r>
      <w:r>
        <w:rPr>
          <w:rFonts w:ascii="Bookman Old Style" w:hAnsi="Bookman Old Style"/>
          <w:lang w:val="es-ES_tradnl"/>
        </w:rPr>
        <w:t xml:space="preserve">en </w:t>
      </w:r>
      <w:r w:rsidR="00E33DD0">
        <w:rPr>
          <w:rFonts w:ascii="Bookman Old Style" w:hAnsi="Bookman Old Style"/>
          <w:lang w:val="es-ES_tradnl"/>
        </w:rPr>
        <w:t xml:space="preserve">departamentos </w:t>
      </w:r>
      <w:r>
        <w:rPr>
          <w:rFonts w:ascii="Bookman Old Style" w:hAnsi="Bookman Old Style"/>
          <w:lang w:val="es-ES_tradnl"/>
        </w:rPr>
        <w:t>diferentes pero con alguno(s) de los municipios que los conforman con</w:t>
      </w:r>
      <w:r w:rsidR="00E33DD0">
        <w:rPr>
          <w:rFonts w:ascii="Bookman Old Style" w:hAnsi="Bookman Old Style"/>
          <w:lang w:val="es-ES_tradnl"/>
        </w:rPr>
        <w:t xml:space="preserve"> fronteras comunes.</w:t>
      </w:r>
    </w:p>
    <w:p w:rsidR="00E33DD0" w:rsidRDefault="00E33DD0" w:rsidP="003226D0">
      <w:pPr>
        <w:ind w:left="720"/>
        <w:jc w:val="both"/>
        <w:rPr>
          <w:rFonts w:ascii="Bookman Old Style" w:hAnsi="Bookman Old Style"/>
          <w:lang w:val="es-ES_tradnl"/>
        </w:rPr>
      </w:pPr>
    </w:p>
    <w:p w:rsidR="00E15760" w:rsidRDefault="00E15760" w:rsidP="003226D0">
      <w:pPr>
        <w:ind w:left="720"/>
        <w:jc w:val="both"/>
        <w:rPr>
          <w:rFonts w:ascii="Bookman Old Style" w:hAnsi="Bookman Old Style"/>
          <w:lang w:val="es-ES_tradnl"/>
        </w:rPr>
      </w:pPr>
      <w:r>
        <w:rPr>
          <w:rFonts w:ascii="Bookman Old Style" w:hAnsi="Bookman Old Style"/>
          <w:lang w:val="es-ES_tradnl"/>
        </w:rPr>
        <w:t>Podrán incluir mercados existentes de GNC que se conectarán a red física para lo cual se podrá incluir la infraestructura requerida como inversión existente.</w:t>
      </w:r>
    </w:p>
    <w:p w:rsidR="00E15760" w:rsidRDefault="00E15760" w:rsidP="003226D0">
      <w:pPr>
        <w:ind w:left="720"/>
        <w:jc w:val="both"/>
        <w:rPr>
          <w:rFonts w:ascii="Bookman Old Style" w:hAnsi="Bookman Old Style"/>
          <w:lang w:val="es-ES_tradnl"/>
        </w:rPr>
      </w:pPr>
    </w:p>
    <w:p w:rsidR="004860F4" w:rsidRDefault="000B65DE" w:rsidP="004860F4">
      <w:pPr>
        <w:numPr>
          <w:ilvl w:val="0"/>
          <w:numId w:val="4"/>
        </w:numPr>
        <w:jc w:val="both"/>
        <w:rPr>
          <w:rFonts w:ascii="Bookman Old Style" w:hAnsi="Bookman Old Style"/>
          <w:lang w:val="es-ES_tradnl"/>
        </w:rPr>
      </w:pPr>
      <w:r w:rsidRPr="000B65DE">
        <w:rPr>
          <w:rFonts w:ascii="Bookman Old Style" w:hAnsi="Bookman Old Style"/>
          <w:b/>
          <w:lang w:val="es-ES_tradnl"/>
        </w:rPr>
        <w:t>Anexar a Mercados Existentes de Distribución Municipios Nuevos:</w:t>
      </w:r>
      <w:r w:rsidRPr="000B65DE">
        <w:rPr>
          <w:rFonts w:ascii="Bookman Old Style" w:hAnsi="Bookman Old Style"/>
          <w:lang w:val="es-ES_tradnl"/>
        </w:rPr>
        <w:t xml:space="preserve"> Conformar el Mercado Relevante de Distribución para el Siguiente Período Tarifario con </w:t>
      </w:r>
      <w:r w:rsidR="00416F0F">
        <w:rPr>
          <w:rFonts w:ascii="Bookman Old Style" w:hAnsi="Bookman Old Style"/>
          <w:lang w:val="es-ES_tradnl"/>
        </w:rPr>
        <w:t>M</w:t>
      </w:r>
      <w:r w:rsidRPr="000B65DE">
        <w:rPr>
          <w:rFonts w:ascii="Bookman Old Style" w:hAnsi="Bookman Old Style"/>
          <w:lang w:val="es-ES_tradnl"/>
        </w:rPr>
        <w:t xml:space="preserve">ercado(s) </w:t>
      </w:r>
      <w:r w:rsidR="00416F0F">
        <w:rPr>
          <w:rFonts w:ascii="Bookman Old Style" w:hAnsi="Bookman Old Style"/>
          <w:lang w:val="es-ES_tradnl"/>
        </w:rPr>
        <w:t>E</w:t>
      </w:r>
      <w:r w:rsidRPr="000B65DE">
        <w:rPr>
          <w:rFonts w:ascii="Bookman Old Style" w:hAnsi="Bookman Old Style"/>
          <w:lang w:val="es-ES_tradnl"/>
        </w:rPr>
        <w:t>xistente(s) conformado(s) con las reglas de la Resolución CREG 011 de 2003 y  Municipio(s) Nuevo(s).</w:t>
      </w:r>
      <w:r w:rsidR="004860F4">
        <w:rPr>
          <w:rFonts w:ascii="Bookman Old Style" w:hAnsi="Bookman Old Style"/>
          <w:lang w:val="es-ES_tradnl"/>
        </w:rPr>
        <w:t xml:space="preserve"> Estos Municipio(s) Nuevo(s) solo podrán anexarse al Mercado Existente cuando </w:t>
      </w:r>
      <w:r w:rsidR="00416F0F">
        <w:rPr>
          <w:rFonts w:ascii="Bookman Old Style" w:hAnsi="Bookman Old Style"/>
          <w:lang w:val="es-ES_tradnl"/>
        </w:rPr>
        <w:t>estén</w:t>
      </w:r>
      <w:r w:rsidR="004860F4">
        <w:rPr>
          <w:rFonts w:ascii="Bookman Old Style" w:hAnsi="Bookman Old Style"/>
          <w:lang w:val="es-ES_tradnl"/>
        </w:rPr>
        <w:t xml:space="preserve"> ubicados en el mismo departamento o en departamento diferente pero con frontera común a alguno de los municipios que forman parte del Mercado Existente de Distribución.</w:t>
      </w:r>
    </w:p>
    <w:p w:rsidR="000B65DE" w:rsidRPr="000B65DE" w:rsidRDefault="000B65DE" w:rsidP="000B65DE">
      <w:pPr>
        <w:ind w:left="708"/>
        <w:jc w:val="both"/>
        <w:rPr>
          <w:rFonts w:ascii="Bookman Old Style" w:hAnsi="Bookman Old Style"/>
        </w:rPr>
      </w:pPr>
    </w:p>
    <w:p w:rsidR="000B65DE" w:rsidRPr="000B65DE" w:rsidRDefault="000B65DE" w:rsidP="00382E27">
      <w:pPr>
        <w:numPr>
          <w:ilvl w:val="0"/>
          <w:numId w:val="4"/>
        </w:numPr>
        <w:jc w:val="both"/>
        <w:rPr>
          <w:rFonts w:ascii="Bookman Old Style" w:hAnsi="Bookman Old Style"/>
          <w:lang w:val="es-ES_tradnl"/>
        </w:rPr>
      </w:pPr>
      <w:r w:rsidRPr="000B65DE">
        <w:rPr>
          <w:rFonts w:ascii="Bookman Old Style" w:hAnsi="Bookman Old Style"/>
          <w:b/>
          <w:lang w:val="es-ES_tradnl"/>
        </w:rPr>
        <w:lastRenderedPageBreak/>
        <w:t>Creación de Nuevos Mercados de Distribución:</w:t>
      </w:r>
      <w:r w:rsidRPr="000B65DE">
        <w:rPr>
          <w:rFonts w:ascii="Bookman Old Style" w:hAnsi="Bookman Old Style"/>
          <w:lang w:val="es-ES_tradnl"/>
        </w:rPr>
        <w:t xml:space="preserve"> Constituir Nuevos Mercados Relevantes de Distribución para el Siguiente Período Tarifario por Municipios Nuevos, bien sea que la infraestructura esté o no ejecutada. </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rPr>
        <w:t xml:space="preserve">Parágrafo 1. </w:t>
      </w:r>
      <w:r w:rsidRPr="000B65DE">
        <w:rPr>
          <w:rFonts w:ascii="Bookman Old Style" w:hAnsi="Bookman Old Style"/>
        </w:rPr>
        <w:t>La conformación de Mercados Relevantes de Distribución para el Siguiente Período Tarifario con las características establecidas en los numerales ii)</w:t>
      </w:r>
      <w:r w:rsidR="00147B69">
        <w:rPr>
          <w:rFonts w:ascii="Bookman Old Style" w:hAnsi="Bookman Old Style"/>
        </w:rPr>
        <w:t xml:space="preserve"> y</w:t>
      </w:r>
      <w:r w:rsidRPr="000B65DE">
        <w:rPr>
          <w:rFonts w:ascii="Bookman Old Style" w:hAnsi="Bookman Old Style"/>
        </w:rPr>
        <w:t xml:space="preserve">  iii) se permitirá, siempre y cuando e</w:t>
      </w:r>
      <w:r w:rsidRPr="000B65DE">
        <w:rPr>
          <w:rFonts w:ascii="Bookman Old Style" w:hAnsi="Bookman Old Style"/>
          <w:lang w:val="es-ES_tradnl"/>
        </w:rPr>
        <w:t xml:space="preserve">l costo unitario de Gas Combustible por redes de tubería a usuario final en cada Mercado Relevante </w:t>
      </w:r>
      <w:r w:rsidR="00147B69">
        <w:rPr>
          <w:rFonts w:ascii="Bookman Old Style" w:hAnsi="Bookman Old Style"/>
          <w:lang w:val="es-ES_tradnl"/>
        </w:rPr>
        <w:t xml:space="preserve">o Municipio Nuevo </w:t>
      </w:r>
      <w:r w:rsidRPr="000B65DE">
        <w:rPr>
          <w:rFonts w:ascii="Bookman Old Style" w:hAnsi="Bookman Old Style"/>
          <w:lang w:val="es-ES_tradnl"/>
        </w:rPr>
        <w:t>que se pretende fusionar no sea superior al costo unitario total a usuario final de GLP en cilindros portátiles para dicho mercado.</w:t>
      </w:r>
      <w:r w:rsidRPr="000B65DE" w:rsidDel="005A58AA">
        <w:rPr>
          <w:rFonts w:ascii="Bookman Old Style" w:hAnsi="Bookman Old Style"/>
          <w:lang w:val="es-ES_tradnl"/>
        </w:rPr>
        <w:t xml:space="preserve"> </w:t>
      </w:r>
    </w:p>
    <w:p w:rsidR="000B65DE" w:rsidRPr="000B65DE" w:rsidRDefault="000B65DE" w:rsidP="000B65DE">
      <w:pPr>
        <w:ind w:left="720"/>
        <w:jc w:val="both"/>
        <w:rPr>
          <w:rFonts w:ascii="Bookman Old Style" w:hAnsi="Bookman Old Style"/>
          <w:lang w:val="es-ES_tradnl"/>
        </w:rPr>
      </w:pPr>
    </w:p>
    <w:p w:rsidR="000B65DE" w:rsidRDefault="000B65DE" w:rsidP="000B65DE">
      <w:pPr>
        <w:ind w:left="0"/>
        <w:jc w:val="both"/>
        <w:rPr>
          <w:rFonts w:ascii="Bookman Old Style" w:hAnsi="Bookman Old Style"/>
          <w:lang w:val="es-ES_tradnl"/>
        </w:rPr>
      </w:pPr>
      <w:r w:rsidRPr="000B65DE">
        <w:rPr>
          <w:rFonts w:ascii="Bookman Old Style" w:hAnsi="Bookman Old Style"/>
          <w:b/>
        </w:rPr>
        <w:t xml:space="preserve">Parágrafo 2. </w:t>
      </w:r>
      <w:r w:rsidRPr="000B65DE">
        <w:rPr>
          <w:rFonts w:ascii="Bookman Old Style" w:hAnsi="Bookman Old Style"/>
          <w:lang w:val="es-ES_tradnl"/>
        </w:rPr>
        <w:t xml:space="preserve">Para establecer la comparación de los costos unitarios de Gas Combustible por redes y GLP, la Comisión utilizará los criterios establecidos en la Resolución CREG 141 de 2011, o aquella que la modifique, aclare o sustituya y determinará en la actuación administrativa correspondiente a la solicitud tarifaria si el costo de prestación del servicio de distribución de Gas Natural por red al usuario final, en cada Mercado Relevante de Distribución Existente o Municipio Nuevo, es igual o menor al costo unitario de prestación del servicio público domiciliario de Gas Licuado del Petróleo en cilindros portátiles al usuario final. </w:t>
      </w:r>
    </w:p>
    <w:p w:rsidR="000F22F8" w:rsidRDefault="000F22F8" w:rsidP="000B65DE">
      <w:pPr>
        <w:ind w:left="0"/>
        <w:jc w:val="both"/>
        <w:rPr>
          <w:rFonts w:ascii="Bookman Old Style" w:hAnsi="Bookman Old Style"/>
          <w:lang w:val="es-ES_tradnl"/>
        </w:rPr>
      </w:pPr>
    </w:p>
    <w:p w:rsidR="000F22F8" w:rsidRDefault="000F22F8" w:rsidP="000F22F8">
      <w:pPr>
        <w:ind w:left="0"/>
        <w:jc w:val="both"/>
        <w:rPr>
          <w:rFonts w:ascii="Bookman Old Style" w:hAnsi="Bookman Old Style"/>
          <w:lang w:val="es-ES_tradnl"/>
        </w:rPr>
      </w:pPr>
      <w:r w:rsidRPr="000F22F8">
        <w:rPr>
          <w:rFonts w:ascii="Bookman Old Style" w:hAnsi="Bookman Old Style"/>
          <w:b/>
          <w:lang w:val="es-ES_tradnl"/>
        </w:rPr>
        <w:t>Parágrafo 3.</w:t>
      </w:r>
      <w:r>
        <w:rPr>
          <w:rFonts w:ascii="Bookman Old Style" w:hAnsi="Bookman Old Style"/>
          <w:lang w:val="es-ES_tradnl"/>
        </w:rPr>
        <w:t xml:space="preserve"> En el caso en que los Mercados Existentes de </w:t>
      </w:r>
      <w:r w:rsidRPr="000B65DE">
        <w:rPr>
          <w:rFonts w:ascii="Bookman Old Style" w:hAnsi="Bookman Old Style"/>
        </w:rPr>
        <w:t>los numerales ii)</w:t>
      </w:r>
      <w:r>
        <w:rPr>
          <w:rFonts w:ascii="Bookman Old Style" w:hAnsi="Bookman Old Style"/>
        </w:rPr>
        <w:t xml:space="preserve"> y</w:t>
      </w:r>
      <w:r w:rsidRPr="000B65DE">
        <w:rPr>
          <w:rFonts w:ascii="Bookman Old Style" w:hAnsi="Bookman Old Style"/>
        </w:rPr>
        <w:t xml:space="preserve"> iii)</w:t>
      </w:r>
      <w:r>
        <w:rPr>
          <w:rFonts w:ascii="Bookman Old Style" w:hAnsi="Bookman Old Style"/>
        </w:rPr>
        <w:t xml:space="preserve"> se está prestando el servicio de GLP por redes de tubería se realizará la comparación del </w:t>
      </w:r>
      <w:r w:rsidRPr="000B65DE">
        <w:rPr>
          <w:rFonts w:ascii="Bookman Old Style" w:hAnsi="Bookman Old Style"/>
          <w:lang w:val="es-ES_tradnl"/>
        </w:rPr>
        <w:t xml:space="preserve">costo de prestación </w:t>
      </w:r>
      <w:r>
        <w:rPr>
          <w:rFonts w:ascii="Bookman Old Style" w:hAnsi="Bookman Old Style"/>
        </w:rPr>
        <w:t xml:space="preserve">de este servicio con el </w:t>
      </w:r>
      <w:r w:rsidRPr="000B65DE">
        <w:rPr>
          <w:rFonts w:ascii="Bookman Old Style" w:hAnsi="Bookman Old Style"/>
          <w:lang w:val="es-ES_tradnl"/>
        </w:rPr>
        <w:t xml:space="preserve">costo unitario de prestación del servicio público domiciliario de Gas Licuado del Petróleo en cilindros portátiles a usuario final. </w:t>
      </w:r>
    </w:p>
    <w:p w:rsidR="000F22F8" w:rsidRDefault="000F22F8"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b/>
        </w:rPr>
        <w:t xml:space="preserve">Parágrafo </w:t>
      </w:r>
      <w:r w:rsidR="000F22F8">
        <w:rPr>
          <w:rFonts w:ascii="Bookman Old Style" w:hAnsi="Bookman Old Style"/>
          <w:b/>
        </w:rPr>
        <w:t>4</w:t>
      </w:r>
      <w:r w:rsidRPr="000B65DE">
        <w:rPr>
          <w:rFonts w:ascii="Bookman Old Style" w:hAnsi="Bookman Old Style"/>
          <w:b/>
        </w:rPr>
        <w:t>.</w:t>
      </w:r>
      <w:r w:rsidRPr="000B65DE">
        <w:rPr>
          <w:rFonts w:ascii="Bookman Old Style" w:hAnsi="Bookman Old Style"/>
          <w:lang w:val="es-ES_tradnl"/>
        </w:rPr>
        <w:t xml:space="preserve"> Los Municipios o Mercados Relevantes de Distribución que cuenten con recursos públicos del Fondo Especial de Cuota de Fomento, del Fondo Nacional de Regalías, de las Alcaldías, Gobernaciones, entes territoriales u otros</w:t>
      </w:r>
      <w:r w:rsidR="009F12EC">
        <w:rPr>
          <w:rFonts w:ascii="Bookman Old Style" w:hAnsi="Bookman Old Style"/>
          <w:lang w:val="es-ES_tradnl"/>
        </w:rPr>
        <w:t xml:space="preserve"> y cuyo destino sea la infraestructura de distribución</w:t>
      </w:r>
      <w:r w:rsidRPr="000B65DE">
        <w:rPr>
          <w:rFonts w:ascii="Bookman Old Style" w:hAnsi="Bookman Old Style"/>
          <w:lang w:val="es-ES_tradnl"/>
        </w:rPr>
        <w:t>, deberán conservar la estructura del Mercado Relevante de Distribución, según se hayan aprobado los recursos para los distintos proyectos, es decir no podrán unirse con municipios que no cuentan con estos recursos, ni con aquellos municipios que no hicieron parte de los proyectos inicialmente aprobados por parte de los Fondos para el otorgamiento de recursos. Esta disposición no aplica para Mercados Relevantes de Distribución intervenidos por la Superintendencia de Servicios Públicos Domiciliarios para liquidación de prestador del servicio en dicho mercado</w:t>
      </w:r>
      <w:r w:rsidR="009F12EC">
        <w:rPr>
          <w:rFonts w:ascii="Bookman Old Style" w:hAnsi="Bookman Old Style"/>
          <w:lang w:val="es-ES_tradnl"/>
        </w:rPr>
        <w:t xml:space="preserve"> o para los mercados cuyos aportes</w:t>
      </w:r>
      <w:r w:rsidR="0006217D">
        <w:rPr>
          <w:rFonts w:ascii="Bookman Old Style" w:hAnsi="Bookman Old Style"/>
          <w:lang w:val="es-ES_tradnl"/>
        </w:rPr>
        <w:t xml:space="preserve"> públicos </w:t>
      </w:r>
      <w:r w:rsidR="009F12EC">
        <w:rPr>
          <w:rFonts w:ascii="Bookman Old Style" w:hAnsi="Bookman Old Style"/>
          <w:lang w:val="es-ES_tradnl"/>
        </w:rPr>
        <w:t>hayan sido</w:t>
      </w:r>
      <w:r w:rsidR="0006217D">
        <w:rPr>
          <w:rFonts w:ascii="Bookman Old Style" w:hAnsi="Bookman Old Style"/>
          <w:lang w:val="es-ES_tradnl"/>
        </w:rPr>
        <w:t xml:space="preserve"> </w:t>
      </w:r>
      <w:r w:rsidR="009F12EC">
        <w:rPr>
          <w:rFonts w:ascii="Bookman Old Style" w:hAnsi="Bookman Old Style"/>
          <w:lang w:val="es-ES_tradnl"/>
        </w:rPr>
        <w:t xml:space="preserve">destinados </w:t>
      </w:r>
      <w:r w:rsidR="00491D67">
        <w:rPr>
          <w:rFonts w:ascii="Bookman Old Style" w:hAnsi="Bookman Old Style"/>
          <w:lang w:val="es-ES_tradnl"/>
        </w:rPr>
        <w:t xml:space="preserve">únicamente </w:t>
      </w:r>
      <w:r w:rsidR="009F12EC">
        <w:rPr>
          <w:rFonts w:ascii="Bookman Old Style" w:hAnsi="Bookman Old Style"/>
          <w:lang w:val="es-ES_tradnl"/>
        </w:rPr>
        <w:t>para las conexiones de</w:t>
      </w:r>
      <w:r w:rsidR="0006217D">
        <w:rPr>
          <w:rFonts w:ascii="Bookman Old Style" w:hAnsi="Bookman Old Style"/>
          <w:lang w:val="es-ES_tradnl"/>
        </w:rPr>
        <w:t xml:space="preserve"> usuarios.</w:t>
      </w:r>
    </w:p>
    <w:p w:rsidR="000B65DE" w:rsidRPr="000B65DE" w:rsidRDefault="000B65DE" w:rsidP="000B65DE">
      <w:pPr>
        <w:ind w:left="0"/>
        <w:jc w:val="both"/>
        <w:rPr>
          <w:rFonts w:ascii="Bookman Old Style" w:hAnsi="Bookman Old Style"/>
          <w:lang w:val="es-ES_tradnl"/>
        </w:rPr>
      </w:pPr>
    </w:p>
    <w:p w:rsidR="000B65DE" w:rsidRPr="000B65DE" w:rsidRDefault="000B65DE" w:rsidP="00382E27">
      <w:pPr>
        <w:numPr>
          <w:ilvl w:val="1"/>
          <w:numId w:val="6"/>
        </w:numPr>
        <w:overflowPunct w:val="0"/>
        <w:autoSpaceDE w:val="0"/>
        <w:autoSpaceDN w:val="0"/>
        <w:adjustRightInd w:val="0"/>
        <w:jc w:val="both"/>
        <w:textAlignment w:val="baseline"/>
        <w:outlineLvl w:val="1"/>
        <w:rPr>
          <w:rFonts w:ascii="Bookman Old Style" w:hAnsi="Bookman Old Style"/>
          <w:b/>
          <w:bCs/>
          <w:szCs w:val="20"/>
        </w:rPr>
      </w:pPr>
      <w:bookmarkStart w:id="5" w:name="_Ref289436060"/>
      <w:r w:rsidRPr="000B65DE">
        <w:rPr>
          <w:rFonts w:ascii="Bookman Old Style" w:hAnsi="Bookman Old Style"/>
          <w:b/>
          <w:bCs/>
          <w:szCs w:val="20"/>
        </w:rPr>
        <w:t>MERCADO RELEVANTE DE DISTRIBUCIÓN ESPECIAL</w:t>
      </w:r>
      <w:bookmarkEnd w:id="5"/>
      <w:r w:rsidRPr="000B65DE">
        <w:rPr>
          <w:rFonts w:ascii="Bookman Old Style" w:hAnsi="Bookman Old Style"/>
          <w:b/>
          <w:bCs/>
          <w:szCs w:val="20"/>
        </w:rPr>
        <w:t xml:space="preserve"> PARA EL SIGUIENTE PERÍODO TARIFARIO.</w:t>
      </w:r>
    </w:p>
    <w:p w:rsidR="000B65DE" w:rsidRPr="000B65DE" w:rsidRDefault="000B65DE" w:rsidP="000B65DE">
      <w:pPr>
        <w:ind w:left="0"/>
        <w:jc w:val="both"/>
        <w:rPr>
          <w:rFonts w:ascii="Bookman Old Style" w:eastAsia="Calibri" w:hAnsi="Bookman Old Style"/>
        </w:rPr>
      </w:pPr>
    </w:p>
    <w:p w:rsidR="000B65DE" w:rsidRPr="000B65DE" w:rsidRDefault="000B65DE" w:rsidP="000B65DE">
      <w:pPr>
        <w:spacing w:after="200"/>
        <w:ind w:left="0"/>
        <w:jc w:val="both"/>
        <w:rPr>
          <w:rFonts w:ascii="Bookman Old Style" w:hAnsi="Bookman Old Style"/>
          <w:bCs/>
          <w:lang w:val="es-ES_tradnl"/>
        </w:rPr>
      </w:pPr>
      <w:r w:rsidRPr="000B65DE">
        <w:rPr>
          <w:rFonts w:ascii="Bookman Old Style" w:hAnsi="Bookman Old Style"/>
          <w:bCs/>
          <w:lang w:val="es-ES_tradnl"/>
        </w:rPr>
        <w:t xml:space="preserve">En los casos en los que centros poblados diferentes a </w:t>
      </w:r>
      <w:r w:rsidR="00870963">
        <w:rPr>
          <w:rFonts w:ascii="Bookman Old Style" w:hAnsi="Bookman Old Style"/>
          <w:bCs/>
          <w:lang w:val="es-ES_tradnl"/>
        </w:rPr>
        <w:t>la cabecera municipal</w:t>
      </w:r>
      <w:r w:rsidRPr="000B65DE">
        <w:rPr>
          <w:rFonts w:ascii="Bookman Old Style" w:hAnsi="Bookman Old Style"/>
          <w:bCs/>
          <w:lang w:val="es-ES_tradnl"/>
        </w:rPr>
        <w:t>, entendiéndose por estos los corregimientos, caseríos o inspecciones de policía, que forman parte de municipios que se encuentran conformando Mercados Relevantes</w:t>
      </w:r>
      <w:r w:rsidR="00870963">
        <w:rPr>
          <w:rFonts w:ascii="Bookman Old Style" w:hAnsi="Bookman Old Style"/>
          <w:bCs/>
          <w:lang w:val="es-ES_tradnl"/>
        </w:rPr>
        <w:t xml:space="preserve"> Existentes o Mercados Relevantes</w:t>
      </w:r>
      <w:r w:rsidRPr="000B65DE">
        <w:rPr>
          <w:rFonts w:ascii="Bookman Old Style" w:hAnsi="Bookman Old Style"/>
          <w:bCs/>
          <w:lang w:val="es-ES_tradnl"/>
        </w:rPr>
        <w:t xml:space="preserve"> para el Siguiente Período Tarifario con Cargos de  Distribución aprobados y que por razones de distancia a los Sistemas de Distribución no se encuentran incluidos dentro del plan de </w:t>
      </w:r>
      <w:r w:rsidRPr="000B65DE">
        <w:rPr>
          <w:rFonts w:ascii="Bookman Old Style" w:hAnsi="Bookman Old Style"/>
          <w:bCs/>
          <w:lang w:val="es-ES_tradnl"/>
        </w:rPr>
        <w:lastRenderedPageBreak/>
        <w:t xml:space="preserve">expansión por parte del Distribuidor que presta el servicio en dicho Mercado Relevante, podrán constituirse como un Mercado Relevante de Distribución Especial para el Siguiente </w:t>
      </w:r>
      <w:r w:rsidR="00870963">
        <w:rPr>
          <w:rFonts w:ascii="Bookman Old Style" w:hAnsi="Bookman Old Style"/>
          <w:bCs/>
          <w:lang w:val="es-ES_tradnl"/>
        </w:rPr>
        <w:t xml:space="preserve">Periodo </w:t>
      </w:r>
      <w:r w:rsidRPr="000B65DE">
        <w:rPr>
          <w:rFonts w:ascii="Bookman Old Style" w:hAnsi="Bookman Old Style"/>
          <w:bCs/>
          <w:lang w:val="es-ES_tradnl"/>
        </w:rPr>
        <w:t xml:space="preserve">Tarifario. Para el Mercado Relevante de Distribución Especial  para el Siguiente Período Tarifario se establece un cargo por uso del Sistema de Distribución, cumpliendo todas las condiciones establecidas en la presente resolución para </w:t>
      </w:r>
      <w:r w:rsidR="002F4E82">
        <w:rPr>
          <w:rFonts w:ascii="Bookman Old Style" w:hAnsi="Bookman Old Style"/>
          <w:bCs/>
          <w:lang w:val="es-ES_tradnl"/>
        </w:rPr>
        <w:t xml:space="preserve">Nuevos </w:t>
      </w:r>
      <w:r w:rsidRPr="00AC2A6A">
        <w:rPr>
          <w:rFonts w:ascii="Bookman Old Style" w:hAnsi="Bookman Old Style"/>
          <w:bCs/>
          <w:lang w:val="es-ES_tradnl"/>
        </w:rPr>
        <w:t xml:space="preserve">Mercados </w:t>
      </w:r>
      <w:r w:rsidR="002F4E82" w:rsidRPr="00AC2A6A">
        <w:rPr>
          <w:rFonts w:ascii="Bookman Old Style" w:hAnsi="Bookman Old Style"/>
          <w:bCs/>
          <w:lang w:val="es-ES_tradnl"/>
        </w:rPr>
        <w:t xml:space="preserve"> de Distribución</w:t>
      </w:r>
      <w:r w:rsidRPr="00AC2A6A">
        <w:rPr>
          <w:rFonts w:ascii="Bookman Old Style" w:hAnsi="Bookman Old Style"/>
          <w:bCs/>
          <w:lang w:val="es-ES_tradnl"/>
        </w:rPr>
        <w:t>.</w:t>
      </w:r>
      <w:r w:rsidRPr="000B65DE">
        <w:rPr>
          <w:rFonts w:ascii="Bookman Old Style" w:hAnsi="Bookman Old Style"/>
          <w:bCs/>
          <w:lang w:val="es-ES_tradnl"/>
        </w:rPr>
        <w:t xml:space="preserve"> Este cargo será aplicable únicamente a dicho centro poblado o Mercado Relevante de Distribución Especial para el Siguiente Período Tarifario.</w:t>
      </w:r>
    </w:p>
    <w:p w:rsidR="000B65DE" w:rsidRPr="000B65DE" w:rsidRDefault="000B65DE" w:rsidP="000B65DE">
      <w:pPr>
        <w:spacing w:after="200"/>
        <w:ind w:left="0"/>
        <w:jc w:val="both"/>
        <w:rPr>
          <w:rFonts w:ascii="Bookman Old Style" w:hAnsi="Bookman Old Style"/>
          <w:bCs/>
          <w:lang w:val="es-ES_tradnl"/>
        </w:rPr>
      </w:pPr>
      <w:r w:rsidRPr="000B65DE">
        <w:rPr>
          <w:rFonts w:ascii="Bookman Old Style" w:hAnsi="Bookman Old Style"/>
          <w:bCs/>
          <w:lang w:val="es-ES_tradnl"/>
        </w:rPr>
        <w:t>La Comisión evaluará en la actuación administrativa correspondiente a la solicitud tarifaria del Distribuidor interesado, si las condiciones del centro poblado ameritan su constitución como Mercado Relevante de Distribución Especial.</w:t>
      </w:r>
    </w:p>
    <w:p w:rsidR="000C7E06" w:rsidRDefault="000B65DE" w:rsidP="000B65DE">
      <w:pPr>
        <w:spacing w:after="200"/>
        <w:ind w:left="0"/>
        <w:jc w:val="both"/>
        <w:rPr>
          <w:rFonts w:ascii="Bookman Old Style" w:hAnsi="Bookman Old Style"/>
          <w:bCs/>
          <w:lang w:val="es-ES_tradnl"/>
        </w:rPr>
      </w:pPr>
      <w:r w:rsidRPr="000B65DE">
        <w:rPr>
          <w:rFonts w:ascii="Bookman Old Style" w:hAnsi="Bookman Old Style"/>
          <w:b/>
          <w:bCs/>
          <w:lang w:val="es-ES_tradnl"/>
        </w:rPr>
        <w:t>Parágrafo 1.</w:t>
      </w:r>
      <w:r w:rsidRPr="000B65DE">
        <w:rPr>
          <w:rFonts w:ascii="Bookman Old Style" w:hAnsi="Bookman Old Style"/>
          <w:bCs/>
          <w:lang w:val="es-ES_tradnl"/>
        </w:rPr>
        <w:t xml:space="preserve"> </w:t>
      </w:r>
      <w:r w:rsidR="000C7E06">
        <w:rPr>
          <w:rFonts w:ascii="Bookman Old Style" w:hAnsi="Bookman Old Style"/>
          <w:bCs/>
          <w:lang w:val="es-ES_tradnl"/>
        </w:rPr>
        <w:t xml:space="preserve">La empresa Distribuidora </w:t>
      </w:r>
      <w:r w:rsidR="00FE715A">
        <w:rPr>
          <w:rFonts w:ascii="Bookman Old Style" w:hAnsi="Bookman Old Style"/>
          <w:bCs/>
          <w:lang w:val="es-ES_tradnl"/>
        </w:rPr>
        <w:t xml:space="preserve">interesada en </w:t>
      </w:r>
      <w:r w:rsidR="000C7E06">
        <w:rPr>
          <w:rFonts w:ascii="Bookman Old Style" w:hAnsi="Bookman Old Style"/>
          <w:bCs/>
          <w:lang w:val="es-ES_tradnl"/>
        </w:rPr>
        <w:t>presentar solicitud de Cargos de Distribución a la CREG para la creación de un Mercados Relevante de Distribución</w:t>
      </w:r>
      <w:r w:rsidR="00FE715A">
        <w:rPr>
          <w:rFonts w:ascii="Bookman Old Style" w:hAnsi="Bookman Old Style"/>
          <w:bCs/>
          <w:lang w:val="es-ES_tradnl"/>
        </w:rPr>
        <w:t xml:space="preserve"> Especial para el Siguiente Periodo Tarifario,</w:t>
      </w:r>
      <w:r w:rsidR="000C7E06">
        <w:rPr>
          <w:rFonts w:ascii="Bookman Old Style" w:hAnsi="Bookman Old Style"/>
          <w:bCs/>
          <w:lang w:val="es-ES_tradnl"/>
        </w:rPr>
        <w:t xml:space="preserve"> deberá demostrar </w:t>
      </w:r>
      <w:r w:rsidR="00FE715A">
        <w:rPr>
          <w:rFonts w:ascii="Bookman Old Style" w:hAnsi="Bookman Old Style"/>
          <w:bCs/>
          <w:lang w:val="es-ES_tradnl"/>
        </w:rPr>
        <w:t xml:space="preserve">que </w:t>
      </w:r>
      <w:r w:rsidR="000C7E06">
        <w:rPr>
          <w:rFonts w:ascii="Bookman Old Style" w:hAnsi="Bookman Old Style"/>
          <w:bCs/>
          <w:lang w:val="es-ES_tradnl"/>
        </w:rPr>
        <w:t xml:space="preserve">al menos el 80% de los  usuarios potenciales </w:t>
      </w:r>
      <w:r w:rsidR="000C7E06" w:rsidRPr="000B65DE">
        <w:rPr>
          <w:rFonts w:ascii="Bookman Old Style" w:hAnsi="Bookman Old Style"/>
          <w:bCs/>
          <w:lang w:val="es-ES_tradnl"/>
        </w:rPr>
        <w:t>del servicio de gas</w:t>
      </w:r>
      <w:r w:rsidR="000C7E06">
        <w:rPr>
          <w:rFonts w:ascii="Bookman Old Style" w:hAnsi="Bookman Old Style"/>
          <w:bCs/>
          <w:lang w:val="es-ES_tradnl"/>
        </w:rPr>
        <w:t xml:space="preserve"> del centro poblado</w:t>
      </w:r>
      <w:r w:rsidR="00FE715A">
        <w:rPr>
          <w:rFonts w:ascii="Bookman Old Style" w:hAnsi="Bookman Old Style"/>
          <w:bCs/>
          <w:lang w:val="es-ES_tradnl"/>
        </w:rPr>
        <w:t>,</w:t>
      </w:r>
      <w:r w:rsidR="000C7E06">
        <w:rPr>
          <w:rFonts w:ascii="Bookman Old Style" w:hAnsi="Bookman Old Style"/>
          <w:bCs/>
          <w:lang w:val="es-ES_tradnl"/>
        </w:rPr>
        <w:t xml:space="preserve"> están interesados en contar con el servicio.</w:t>
      </w:r>
    </w:p>
    <w:p w:rsidR="000B65DE" w:rsidRDefault="000B65DE" w:rsidP="000B65DE">
      <w:pPr>
        <w:spacing w:after="200"/>
        <w:ind w:left="0"/>
        <w:jc w:val="both"/>
        <w:rPr>
          <w:rFonts w:ascii="Bookman Old Style" w:hAnsi="Bookman Old Style"/>
          <w:bCs/>
          <w:lang w:val="es-ES_tradnl"/>
        </w:rPr>
      </w:pPr>
      <w:r w:rsidRPr="000B65DE">
        <w:rPr>
          <w:rFonts w:ascii="Bookman Old Style" w:hAnsi="Bookman Old Style"/>
          <w:b/>
          <w:bCs/>
          <w:lang w:val="es-ES_tradnl"/>
        </w:rPr>
        <w:t xml:space="preserve">Parágrafo 2 </w:t>
      </w:r>
      <w:r w:rsidRPr="000B65DE">
        <w:rPr>
          <w:rFonts w:ascii="Bookman Old Style" w:hAnsi="Bookman Old Style"/>
          <w:bCs/>
          <w:lang w:val="es-ES_tradnl"/>
        </w:rPr>
        <w:t xml:space="preserve">Si transcurrido un (1) año de haberse aprobado Cargos de Distribución para el Mercado Relevante de Distribución Especial para el Siguiente Período Tarifario el Distribuidor no ha iniciado la prestación del servicio, </w:t>
      </w:r>
      <w:r w:rsidR="00FE715A">
        <w:rPr>
          <w:rFonts w:ascii="Bookman Old Style" w:hAnsi="Bookman Old Style"/>
          <w:bCs/>
          <w:lang w:val="es-ES_tradnl"/>
        </w:rPr>
        <w:t xml:space="preserve"> </w:t>
      </w:r>
      <w:r w:rsidR="000C7E06">
        <w:rPr>
          <w:rFonts w:ascii="Bookman Old Style" w:hAnsi="Bookman Old Style"/>
          <w:bCs/>
          <w:lang w:val="es-ES_tradnl"/>
        </w:rPr>
        <w:t xml:space="preserve">la resolución </w:t>
      </w:r>
      <w:r w:rsidR="00FE715A">
        <w:rPr>
          <w:rFonts w:ascii="Bookman Old Style" w:hAnsi="Bookman Old Style"/>
          <w:bCs/>
          <w:lang w:val="es-ES_tradnl"/>
        </w:rPr>
        <w:t xml:space="preserve">particular </w:t>
      </w:r>
      <w:r w:rsidR="000C7E06">
        <w:rPr>
          <w:rFonts w:ascii="Bookman Old Style" w:hAnsi="Bookman Old Style"/>
          <w:bCs/>
          <w:lang w:val="es-ES_tradnl"/>
        </w:rPr>
        <w:t xml:space="preserve">de </w:t>
      </w:r>
      <w:r w:rsidR="00FE715A">
        <w:rPr>
          <w:rFonts w:ascii="Bookman Old Style" w:hAnsi="Bookman Old Style"/>
          <w:bCs/>
          <w:lang w:val="es-ES_tradnl"/>
        </w:rPr>
        <w:t>aprobación</w:t>
      </w:r>
      <w:r w:rsidR="000C7E06">
        <w:rPr>
          <w:rFonts w:ascii="Bookman Old Style" w:hAnsi="Bookman Old Style"/>
          <w:bCs/>
          <w:lang w:val="es-ES_tradnl"/>
        </w:rPr>
        <w:t xml:space="preserve"> de cargos </w:t>
      </w:r>
      <w:r w:rsidR="00FE715A">
        <w:rPr>
          <w:rFonts w:ascii="Bookman Old Style" w:hAnsi="Bookman Old Style"/>
          <w:bCs/>
          <w:lang w:val="es-ES_tradnl"/>
        </w:rPr>
        <w:t xml:space="preserve">para dicho Mercado Relevante de Distribución Especial </w:t>
      </w:r>
      <w:r w:rsidR="000C7E06">
        <w:rPr>
          <w:rFonts w:ascii="Bookman Old Style" w:hAnsi="Bookman Old Style"/>
          <w:bCs/>
          <w:lang w:val="es-ES_tradnl"/>
        </w:rPr>
        <w:t>perderá su vigencia y</w:t>
      </w:r>
      <w:r w:rsidRPr="000B65DE">
        <w:rPr>
          <w:rFonts w:ascii="Bookman Old Style" w:hAnsi="Bookman Old Style"/>
          <w:bCs/>
          <w:lang w:val="es-ES_tradnl"/>
        </w:rPr>
        <w:t xml:space="preserve"> otro Distribuidor podrá soli</w:t>
      </w:r>
      <w:r w:rsidR="005F26AF">
        <w:rPr>
          <w:rFonts w:ascii="Bookman Old Style" w:hAnsi="Bookman Old Style"/>
          <w:bCs/>
          <w:lang w:val="es-ES_tradnl"/>
        </w:rPr>
        <w:t>citar un nuevo cargo para este, a</w:t>
      </w:r>
      <w:r w:rsidR="005F26AF">
        <w:rPr>
          <w:rFonts w:ascii="Bookman Old Style" w:hAnsi="Bookman Old Style"/>
        </w:rPr>
        <w:t xml:space="preserve">specto que deberá ser explícitamente incorporado en la resolución antes referida. </w:t>
      </w:r>
      <w:r w:rsidRPr="000B65DE">
        <w:rPr>
          <w:rFonts w:ascii="Bookman Old Style" w:hAnsi="Bookman Old Style"/>
          <w:bCs/>
          <w:lang w:val="es-ES_tradnl"/>
        </w:rPr>
        <w:t xml:space="preserve">Lo anterior, sin perjuicio de las sanciones o demás medidas que pueda imponer la Superintendencia de Servicios Públicos Domiciliaros en ejercicio de sus funciones.  </w:t>
      </w:r>
    </w:p>
    <w:p w:rsidR="000B65DE" w:rsidRPr="000B65DE" w:rsidRDefault="000B65DE" w:rsidP="00382E27">
      <w:pPr>
        <w:keepNext/>
        <w:numPr>
          <w:ilvl w:val="0"/>
          <w:numId w:val="2"/>
        </w:numPr>
        <w:tabs>
          <w:tab w:val="num" w:pos="1440"/>
        </w:tabs>
        <w:jc w:val="both"/>
        <w:outlineLvl w:val="0"/>
        <w:rPr>
          <w:rFonts w:ascii="Bookman Old Style" w:hAnsi="Bookman Old Style"/>
          <w:bCs/>
          <w:lang w:val="es-ES_tradnl"/>
        </w:rPr>
      </w:pPr>
      <w:r w:rsidRPr="000B65DE">
        <w:rPr>
          <w:rFonts w:ascii="Bookman Old Style" w:hAnsi="Bookman Old Style"/>
          <w:b/>
          <w:bCs/>
          <w:lang w:val="es-ES_tradnl"/>
        </w:rPr>
        <w:t xml:space="preserve">REGLAS PARA LA SOLICITUD Y APROBACIÓN DE CARGOS. </w:t>
      </w:r>
      <w:r w:rsidRPr="000B65DE">
        <w:rPr>
          <w:rFonts w:ascii="Bookman Old Style" w:hAnsi="Bookman Old Style"/>
          <w:bCs/>
          <w:lang w:val="es-ES_tradnl"/>
        </w:rPr>
        <w:t xml:space="preserve">A partir de la entrada en vigencia de la presente resolución, se tendrán en cuenta las siguientes reglas para la solicitud y aprobación de los Cargos de Distribución. </w:t>
      </w:r>
    </w:p>
    <w:p w:rsidR="00C7068E" w:rsidRPr="000B65DE" w:rsidRDefault="00C7068E" w:rsidP="000B65DE">
      <w:pPr>
        <w:ind w:left="0"/>
        <w:jc w:val="both"/>
        <w:rPr>
          <w:rFonts w:ascii="Bookman Old Style" w:hAnsi="Bookman Old Style"/>
        </w:rPr>
      </w:pPr>
    </w:p>
    <w:p w:rsidR="000B65DE" w:rsidRDefault="000B65DE" w:rsidP="00382E27">
      <w:pPr>
        <w:numPr>
          <w:ilvl w:val="1"/>
          <w:numId w:val="2"/>
        </w:numPr>
        <w:overflowPunct w:val="0"/>
        <w:autoSpaceDE w:val="0"/>
        <w:autoSpaceDN w:val="0"/>
        <w:adjustRightInd w:val="0"/>
        <w:ind w:left="567" w:hanging="567"/>
        <w:jc w:val="both"/>
        <w:textAlignment w:val="baseline"/>
        <w:outlineLvl w:val="1"/>
        <w:rPr>
          <w:rFonts w:ascii="Bookman Old Style" w:hAnsi="Bookman Old Style"/>
          <w:b/>
          <w:bCs/>
        </w:rPr>
      </w:pPr>
      <w:bookmarkStart w:id="6" w:name="_Ref289956116"/>
      <w:r w:rsidRPr="000B65DE">
        <w:rPr>
          <w:rFonts w:ascii="Bookman Old Style" w:hAnsi="Bookman Old Style"/>
          <w:b/>
          <w:bCs/>
        </w:rPr>
        <w:t xml:space="preserve">ACTUACIÓN PARA LA DEFINICIÓN DE LOS CARGOS DE DISTRIBUCIÓN.  </w:t>
      </w:r>
      <w:bookmarkEnd w:id="6"/>
    </w:p>
    <w:p w:rsidR="000B65DE" w:rsidRPr="000B65DE" w:rsidRDefault="000B65DE" w:rsidP="000B65DE">
      <w:pPr>
        <w:ind w:left="0"/>
        <w:jc w:val="both"/>
        <w:rPr>
          <w:rFonts w:ascii="Bookman Old Style" w:hAnsi="Bookman Old Style"/>
          <w:b/>
          <w:bCs/>
          <w:sz w:val="20"/>
          <w:szCs w:val="20"/>
        </w:rPr>
      </w:pPr>
    </w:p>
    <w:p w:rsidR="000B65DE" w:rsidRPr="000B65DE" w:rsidRDefault="000B65DE" w:rsidP="000B65DE">
      <w:pPr>
        <w:ind w:left="0"/>
        <w:jc w:val="both"/>
        <w:rPr>
          <w:rFonts w:ascii="Bookman Old Style" w:hAnsi="Bookman Old Style"/>
        </w:rPr>
      </w:pPr>
      <w:r w:rsidRPr="000B65DE">
        <w:rPr>
          <w:rFonts w:ascii="Bookman Old Style" w:hAnsi="Bookman Old Style"/>
          <w:bCs/>
          <w:szCs w:val="20"/>
        </w:rPr>
        <w:t>La</w:t>
      </w:r>
      <w:r w:rsidRPr="000B65DE">
        <w:rPr>
          <w:rFonts w:ascii="Bookman Old Style" w:hAnsi="Bookman Old Style"/>
        </w:rPr>
        <w:t xml:space="preserve"> empresa interesada solicitará a la CREG la aprobación del Cargo de Distribución Aplicable a Usuarios de Uso Residencial y el Cargo Promedio de Distribución Aplicable a Usuarios Diferentes a los de Uso  Residencial por uso del Sistema de Distribución del Mercado Relevante de Distribución para el Siguiente Período Tarifario, según lo establecido en el </w:t>
      </w:r>
      <w:r w:rsidR="00AF6018" w:rsidRPr="000B65DE">
        <w:rPr>
          <w:rFonts w:ascii="Bookman Old Style" w:hAnsi="Bookman Old Style"/>
          <w:highlight w:val="yellow"/>
        </w:rPr>
        <w:fldChar w:fldCharType="begin"/>
      </w:r>
      <w:r w:rsidRPr="000B65DE">
        <w:rPr>
          <w:rFonts w:ascii="Bookman Old Style" w:hAnsi="Bookman Old Style"/>
        </w:rPr>
        <w:instrText xml:space="preserve"> REF _Ref333485816 \r \h </w:instrText>
      </w:r>
      <w:r w:rsidR="00AF6018" w:rsidRPr="000B65DE">
        <w:rPr>
          <w:rFonts w:ascii="Bookman Old Style" w:hAnsi="Bookman Old Style"/>
          <w:highlight w:val="yellow"/>
        </w:rPr>
      </w:r>
      <w:r w:rsidR="00AF6018" w:rsidRPr="000B65DE">
        <w:rPr>
          <w:rFonts w:ascii="Bookman Old Style" w:hAnsi="Bookman Old Style"/>
          <w:highlight w:val="yellow"/>
        </w:rPr>
        <w:fldChar w:fldCharType="separate"/>
      </w:r>
      <w:r w:rsidR="004D5C18">
        <w:rPr>
          <w:rFonts w:ascii="Bookman Old Style" w:hAnsi="Bookman Old Style"/>
        </w:rPr>
        <w:t>Artículo 9</w:t>
      </w:r>
      <w:r w:rsidR="00AF6018" w:rsidRPr="000B65DE">
        <w:rPr>
          <w:rFonts w:ascii="Bookman Old Style" w:hAnsi="Bookman Old Style"/>
          <w:highlight w:val="yellow"/>
        </w:rPr>
        <w:fldChar w:fldCharType="end"/>
      </w:r>
      <w:r w:rsidRPr="000B65DE">
        <w:rPr>
          <w:rFonts w:ascii="Bookman Old Style" w:hAnsi="Bookman Old Style"/>
        </w:rPr>
        <w:t xml:space="preserve"> de la presente resolución y de acuerdo con lo siguiente: </w:t>
      </w:r>
    </w:p>
    <w:p w:rsidR="000B65DE" w:rsidRPr="000B65DE" w:rsidRDefault="000B65DE" w:rsidP="000B65DE">
      <w:pPr>
        <w:ind w:left="0"/>
        <w:jc w:val="both"/>
        <w:rPr>
          <w:rFonts w:ascii="Bookman Old Style" w:hAnsi="Bookman Old Style"/>
          <w:color w:val="000000"/>
          <w:spacing w:val="-3"/>
        </w:rPr>
      </w:pPr>
    </w:p>
    <w:p w:rsidR="000B65DE" w:rsidRDefault="000B65DE" w:rsidP="00382E27">
      <w:pPr>
        <w:numPr>
          <w:ilvl w:val="0"/>
          <w:numId w:val="3"/>
        </w:numPr>
        <w:tabs>
          <w:tab w:val="left" w:pos="-720"/>
        </w:tabs>
        <w:suppressAutoHyphens/>
        <w:jc w:val="both"/>
        <w:rPr>
          <w:rFonts w:ascii="Bookman Old Style" w:hAnsi="Bookman Old Style"/>
        </w:rPr>
      </w:pPr>
      <w:r w:rsidRPr="000B65DE">
        <w:rPr>
          <w:rFonts w:ascii="Bookman Old Style" w:hAnsi="Bookman Old Style"/>
        </w:rPr>
        <w:t xml:space="preserve">La empresa, a través de su representante legal, remitirá a la CREG la </w:t>
      </w:r>
      <w:r w:rsidR="000B7F6F">
        <w:rPr>
          <w:rFonts w:ascii="Bookman Old Style" w:hAnsi="Bookman Old Style"/>
        </w:rPr>
        <w:t xml:space="preserve">solicitud y la información conforme lo establecido </w:t>
      </w:r>
      <w:r w:rsidRPr="000B65DE">
        <w:rPr>
          <w:rFonts w:ascii="Bookman Old Style" w:hAnsi="Bookman Old Style"/>
        </w:rPr>
        <w:t>en el Artículo 16 de la Ley 1437 de 2011 o aquella que la aclare, modifique o sustituya, y la demás información requerida según esta Resolución.</w:t>
      </w:r>
    </w:p>
    <w:p w:rsidR="006A1BBA" w:rsidRPr="000B65DE" w:rsidRDefault="006A1BBA" w:rsidP="006A1BBA">
      <w:pPr>
        <w:tabs>
          <w:tab w:val="left" w:pos="-720"/>
        </w:tabs>
        <w:suppressAutoHyphens/>
        <w:ind w:left="454"/>
        <w:jc w:val="both"/>
        <w:rPr>
          <w:rFonts w:ascii="Bookman Old Style" w:hAnsi="Bookman Old Style"/>
        </w:rPr>
      </w:pPr>
    </w:p>
    <w:p w:rsidR="000B65DE" w:rsidRDefault="006A1BBA" w:rsidP="006A1BBA">
      <w:pPr>
        <w:numPr>
          <w:ilvl w:val="0"/>
          <w:numId w:val="3"/>
        </w:numPr>
        <w:tabs>
          <w:tab w:val="left" w:pos="-720"/>
        </w:tabs>
        <w:suppressAutoHyphens/>
        <w:jc w:val="both"/>
        <w:rPr>
          <w:rFonts w:ascii="Bookman Old Style" w:hAnsi="Bookman Old Style"/>
        </w:rPr>
      </w:pPr>
      <w:r>
        <w:rPr>
          <w:rFonts w:ascii="Bookman Old Style" w:hAnsi="Bookman Old Style"/>
        </w:rPr>
        <w:lastRenderedPageBreak/>
        <w:t>La CREG podrá solicitar el reporte de la información entregada en forma física a través del  aplicativo en formato web que diseñe para tal fin.</w:t>
      </w:r>
      <w:r w:rsidR="00EA0812">
        <w:rPr>
          <w:rFonts w:ascii="Bookman Old Style" w:hAnsi="Bookman Old Style"/>
        </w:rPr>
        <w:t xml:space="preserve"> Para lo cual la Dirección Ejecutiva en su momento expedirá y publicará en su página web una circular que contenga el procedimiento con instructivo para el cargue de esta información</w:t>
      </w:r>
      <w:r w:rsidR="00FE715A">
        <w:rPr>
          <w:rFonts w:ascii="Bookman Old Style" w:hAnsi="Bookman Old Style"/>
        </w:rPr>
        <w:t>. En caso de hacerlo las empresas estarán obligadas a presentar la información de sus solicitudes por este medio.</w:t>
      </w:r>
    </w:p>
    <w:p w:rsidR="006A1BBA" w:rsidRPr="006A1BBA" w:rsidRDefault="006A1BBA" w:rsidP="006A1BBA">
      <w:pPr>
        <w:tabs>
          <w:tab w:val="left" w:pos="-720"/>
        </w:tabs>
        <w:suppressAutoHyphens/>
        <w:ind w:left="454"/>
        <w:jc w:val="both"/>
        <w:rPr>
          <w:rFonts w:ascii="Bookman Old Style" w:hAnsi="Bookman Old Style"/>
        </w:rPr>
      </w:pPr>
    </w:p>
    <w:p w:rsidR="000B65DE" w:rsidRPr="000B65DE" w:rsidRDefault="000B65DE" w:rsidP="00382E27">
      <w:pPr>
        <w:numPr>
          <w:ilvl w:val="0"/>
          <w:numId w:val="3"/>
        </w:numPr>
        <w:tabs>
          <w:tab w:val="left" w:pos="-720"/>
        </w:tabs>
        <w:suppressAutoHyphens/>
        <w:jc w:val="both"/>
        <w:rPr>
          <w:rFonts w:ascii="Bookman Old Style" w:hAnsi="Bookman Old Style"/>
          <w:color w:val="000000"/>
          <w:spacing w:val="-3"/>
          <w:lang w:val="es-ES_tradnl"/>
        </w:rPr>
      </w:pPr>
      <w:r w:rsidRPr="000B65DE">
        <w:rPr>
          <w:rFonts w:ascii="Bookman Old Style" w:hAnsi="Bookman Old Style"/>
        </w:rPr>
        <w:t xml:space="preserve">Después de recibida la solicitud con el cumplimiento de todos los requerimientos de información solicitados por la CREG, se dará continuación a la actuación administrativa correspondiente y el Comité de Expertos de la CREG aplicará la metodología respectiva, definirá la propuesta de Cargos de Distribución por uso para cada Mercado Relevante para el Siguiente Período Tarifario y someterá a consideración, en sesión de CREG, la resolución definitiva, salvo que se requiera practicar pruebas, caso en el cual, el término de cinco meses para la aprobación de los Cargos de Distribución, establecido en el Artículo 111 de la Ley 142 de 1994, se suspenderá durante el trámite de las mismas. </w:t>
      </w:r>
    </w:p>
    <w:p w:rsidR="000B65DE" w:rsidRPr="000B65DE" w:rsidRDefault="000B65DE" w:rsidP="000B65DE">
      <w:pPr>
        <w:ind w:left="708"/>
        <w:rPr>
          <w:rFonts w:ascii="Bookman Old Style" w:hAnsi="Bookman Old Style"/>
          <w:color w:val="000000"/>
          <w:spacing w:val="-3"/>
          <w:sz w:val="20"/>
          <w:szCs w:val="20"/>
          <w:lang w:val="es-ES_tradnl"/>
        </w:rPr>
      </w:pPr>
    </w:p>
    <w:p w:rsidR="000B65DE" w:rsidRPr="000B65DE" w:rsidRDefault="000B65DE" w:rsidP="00382E27">
      <w:pPr>
        <w:numPr>
          <w:ilvl w:val="0"/>
          <w:numId w:val="3"/>
        </w:numPr>
        <w:tabs>
          <w:tab w:val="left" w:pos="-720"/>
        </w:tabs>
        <w:suppressAutoHyphens/>
        <w:jc w:val="both"/>
        <w:rPr>
          <w:rFonts w:ascii="Bookman Old Style" w:hAnsi="Bookman Old Style"/>
          <w:color w:val="000000"/>
          <w:spacing w:val="-3"/>
          <w:lang w:val="es-ES_tradnl"/>
        </w:rPr>
      </w:pPr>
      <w:r w:rsidRPr="000B65DE">
        <w:rPr>
          <w:rFonts w:ascii="Bookman Old Style" w:hAnsi="Bookman Old Style"/>
          <w:color w:val="000000"/>
          <w:spacing w:val="-3"/>
          <w:lang w:val="es-ES_tradnl"/>
        </w:rPr>
        <w:t xml:space="preserve">Cuando habiéndose radicado la solicitud, se constate que la solicitud está incompleta, pero que la actuación puede continuar sin oponerse a la ley, el Director Ejecutivo de la CREG requerirá a la empresa  completar la información en los términos establecidos en el artículo 17 de la Ley 1437 de 2011, o aquella que la modifique, aclare o sustituya. También se dará aplicación al </w:t>
      </w:r>
      <w:r w:rsidR="00940C7C">
        <w:rPr>
          <w:rFonts w:ascii="Bookman Old Style" w:hAnsi="Bookman Old Style"/>
          <w:color w:val="000000"/>
          <w:spacing w:val="-3"/>
          <w:lang w:val="es-ES_tradnl"/>
        </w:rPr>
        <w:t>A</w:t>
      </w:r>
      <w:r w:rsidR="00940C7C" w:rsidRPr="000B65DE">
        <w:rPr>
          <w:rFonts w:ascii="Bookman Old Style" w:hAnsi="Bookman Old Style"/>
          <w:color w:val="000000"/>
          <w:spacing w:val="-3"/>
          <w:lang w:val="es-ES_tradnl"/>
        </w:rPr>
        <w:t>rtículo</w:t>
      </w:r>
      <w:r w:rsidRPr="000B65DE">
        <w:rPr>
          <w:rFonts w:ascii="Bookman Old Style" w:hAnsi="Bookman Old Style"/>
          <w:color w:val="000000"/>
          <w:spacing w:val="-3"/>
          <w:lang w:val="es-ES_tradnl"/>
        </w:rPr>
        <w:t xml:space="preserve"> 17 de la Ley 1437 de 2011, o aquella que la modifique, aclare o sustituya, cuando la CREG advierta que la empresa debe realizar una gestión de trámite a su cargo, necesaria para la adopción de la decisión. </w:t>
      </w:r>
    </w:p>
    <w:p w:rsidR="000B65DE" w:rsidRPr="000B65DE" w:rsidRDefault="000B65DE" w:rsidP="000B65DE">
      <w:pPr>
        <w:ind w:left="708"/>
        <w:rPr>
          <w:rFonts w:ascii="Bookman Old Style" w:hAnsi="Bookman Old Style"/>
          <w:color w:val="000000"/>
          <w:spacing w:val="-3"/>
          <w:sz w:val="20"/>
          <w:szCs w:val="20"/>
          <w:lang w:val="es-ES_tradnl"/>
        </w:rPr>
      </w:pPr>
    </w:p>
    <w:p w:rsidR="000B65DE" w:rsidRPr="000B65DE" w:rsidRDefault="000B65DE" w:rsidP="00382E27">
      <w:pPr>
        <w:numPr>
          <w:ilvl w:val="0"/>
          <w:numId w:val="3"/>
        </w:numPr>
        <w:tabs>
          <w:tab w:val="left" w:pos="-720"/>
        </w:tabs>
        <w:suppressAutoHyphens/>
        <w:jc w:val="both"/>
        <w:rPr>
          <w:rFonts w:ascii="Bookman Old Style" w:hAnsi="Bookman Old Style"/>
          <w:sz w:val="20"/>
          <w:szCs w:val="20"/>
          <w:lang w:val="es-CO"/>
        </w:rPr>
      </w:pPr>
      <w:r w:rsidRPr="000B65DE">
        <w:rPr>
          <w:rFonts w:ascii="Bookman Old Style" w:hAnsi="Bookman Old Style"/>
          <w:lang w:val="es-CO"/>
        </w:rPr>
        <w:t xml:space="preserve">En caso de que una empresa considere que conforme a la Constitución y la Ley, alguna de la información incluida en la solicitud tarifaria tiene carácter reservado o confidencial, así lo manifestará junto con la justificación correspondiente y la indicación precisa de las disposiciones legales en que se fundamenta, con el fin de que se proceda, cuando así corresponda, a la formación del cuaderno separado en el expediente. En caso de que la empresa no haga manifestación alguna, se considerará que toda la información recibida es pública. </w:t>
      </w:r>
    </w:p>
    <w:p w:rsidR="00D14A65" w:rsidRDefault="00D14A65" w:rsidP="00D14A65">
      <w:pPr>
        <w:ind w:left="0"/>
        <w:jc w:val="both"/>
        <w:rPr>
          <w:rFonts w:ascii="Bookman Old Style" w:hAnsi="Bookman Old Style" w:cs="Arial"/>
          <w:highlight w:val="yellow"/>
          <w:lang w:val="es-CO" w:eastAsia="es-CO"/>
        </w:rPr>
      </w:pPr>
    </w:p>
    <w:p w:rsidR="00D14A65" w:rsidRPr="00D14A65" w:rsidRDefault="00D14A65" w:rsidP="00D14A65">
      <w:pPr>
        <w:ind w:left="0"/>
        <w:jc w:val="both"/>
        <w:rPr>
          <w:rFonts w:ascii="Bookman Old Style" w:hAnsi="Bookman Old Style" w:cs="Arial"/>
          <w:lang w:val="es-ES_tradnl" w:eastAsia="es-CO"/>
        </w:rPr>
      </w:pPr>
      <w:r w:rsidRPr="00D14A65">
        <w:rPr>
          <w:rFonts w:ascii="Bookman Old Style" w:hAnsi="Bookman Old Style" w:cs="Arial"/>
          <w:b/>
          <w:lang w:val="es-CO" w:eastAsia="es-CO"/>
        </w:rPr>
        <w:t>Parágrafo.</w:t>
      </w:r>
      <w:r w:rsidRPr="00D14A65">
        <w:rPr>
          <w:rFonts w:ascii="Bookman Old Style" w:hAnsi="Bookman Old Style" w:cs="Arial"/>
          <w:lang w:val="es-CO" w:eastAsia="es-CO"/>
        </w:rPr>
        <w:t xml:space="preserve"> </w:t>
      </w:r>
      <w:r w:rsidRPr="00D14A65">
        <w:rPr>
          <w:rFonts w:ascii="Bookman Old Style" w:hAnsi="Bookman Old Style" w:cs="Arial"/>
          <w:lang w:val="es-ES_tradnl" w:eastAsia="es-CO"/>
        </w:rPr>
        <w:t xml:space="preserve">Las empresas que presten el servicio en Mercados Relevantes Existentes que culminen el Período Tarifario entre los meses de enero y marzo, tendrán dos (2) meses adicionales para someter a la aprobación de la Comisión el estudio de los cargos aplicables para el Próximo Período Tarifario. </w:t>
      </w:r>
    </w:p>
    <w:p w:rsidR="000B65DE" w:rsidRPr="00D14A65" w:rsidRDefault="000B65DE" w:rsidP="000B65DE">
      <w:pPr>
        <w:tabs>
          <w:tab w:val="left" w:pos="-720"/>
        </w:tabs>
        <w:suppressAutoHyphens/>
        <w:ind w:left="0"/>
        <w:jc w:val="both"/>
        <w:rPr>
          <w:rFonts w:ascii="Bookman Old Style" w:hAnsi="Bookman Old Style"/>
          <w:color w:val="000000"/>
          <w:spacing w:val="-3"/>
          <w:lang w:val="es-ES_tradnl"/>
        </w:rPr>
      </w:pPr>
    </w:p>
    <w:p w:rsidR="00D14A65" w:rsidRPr="000B65DE" w:rsidRDefault="00D14A65" w:rsidP="000B65DE">
      <w:pPr>
        <w:tabs>
          <w:tab w:val="left" w:pos="-720"/>
        </w:tabs>
        <w:suppressAutoHyphens/>
        <w:ind w:left="0"/>
        <w:jc w:val="both"/>
        <w:rPr>
          <w:rFonts w:ascii="Bookman Old Style" w:hAnsi="Bookman Old Style"/>
          <w:color w:val="000000"/>
          <w:spacing w:val="-3"/>
          <w:lang w:val="es-CO"/>
        </w:rPr>
      </w:pPr>
    </w:p>
    <w:p w:rsidR="000B65DE" w:rsidRPr="000B65DE" w:rsidRDefault="000B65DE" w:rsidP="00382E27">
      <w:pPr>
        <w:numPr>
          <w:ilvl w:val="1"/>
          <w:numId w:val="2"/>
        </w:numPr>
        <w:overflowPunct w:val="0"/>
        <w:autoSpaceDE w:val="0"/>
        <w:autoSpaceDN w:val="0"/>
        <w:adjustRightInd w:val="0"/>
        <w:ind w:left="567" w:hanging="567"/>
        <w:jc w:val="both"/>
        <w:textAlignment w:val="baseline"/>
        <w:outlineLvl w:val="1"/>
        <w:rPr>
          <w:rFonts w:ascii="Bookman Old Style" w:hAnsi="Bookman Old Style"/>
          <w:b/>
          <w:bCs/>
        </w:rPr>
      </w:pPr>
      <w:bookmarkStart w:id="7" w:name="_Ref289956151"/>
      <w:r w:rsidRPr="000B65DE">
        <w:rPr>
          <w:rFonts w:ascii="Bookman Old Style" w:hAnsi="Bookman Old Style"/>
          <w:b/>
          <w:bCs/>
        </w:rPr>
        <w:t>INFORMACIÓN QUE DEBE CONTENER LA SOLICITUD.</w:t>
      </w:r>
      <w:bookmarkEnd w:id="7"/>
      <w:r w:rsidRPr="000B65DE">
        <w:rPr>
          <w:rFonts w:ascii="Bookman Old Style" w:hAnsi="Bookman Old Style"/>
          <w:b/>
          <w:bCs/>
        </w:rPr>
        <w:t xml:space="preserve"> </w:t>
      </w:r>
    </w:p>
    <w:p w:rsidR="000B65DE" w:rsidRPr="000B65DE" w:rsidRDefault="000B65DE" w:rsidP="000B65DE">
      <w:pPr>
        <w:ind w:left="0"/>
        <w:jc w:val="both"/>
        <w:rPr>
          <w:rFonts w:ascii="Bookman Old Style" w:hAnsi="Bookman Old Style"/>
          <w:bCs/>
          <w:sz w:val="20"/>
          <w:szCs w:val="20"/>
          <w:lang w:val="es-CO"/>
        </w:rPr>
      </w:pPr>
    </w:p>
    <w:p w:rsidR="000B65DE" w:rsidRPr="000B65DE" w:rsidRDefault="000B65DE" w:rsidP="000B65DE">
      <w:pPr>
        <w:ind w:left="0"/>
        <w:jc w:val="both"/>
        <w:rPr>
          <w:rFonts w:ascii="Bookman Old Style" w:hAnsi="Bookman Old Style"/>
          <w:color w:val="000000"/>
          <w:spacing w:val="-3"/>
          <w:lang w:val="es-ES_tradnl"/>
        </w:rPr>
      </w:pPr>
      <w:r w:rsidRPr="000B65DE">
        <w:rPr>
          <w:rFonts w:ascii="Bookman Old Style" w:hAnsi="Bookman Old Style"/>
          <w:bCs/>
          <w:lang w:val="es-CO"/>
        </w:rPr>
        <w:t>Los estudios tarifarios que</w:t>
      </w:r>
      <w:r w:rsidRPr="000B65DE">
        <w:rPr>
          <w:rFonts w:ascii="Bookman Old Style" w:hAnsi="Bookman Old Style"/>
          <w:lang w:val="es-CO"/>
        </w:rPr>
        <w:t xml:space="preserve"> se presenten a la Comisión deben contener la información especificada en los ANEXOS de esta Resolución y los respectivos archivos en medio magnético, los cuales deben contener los planos de todos los Sistemas de Distribución que conforman la(s) solicitud(es) tarifaria(s) junto con la información incluida en la solicitud y que sea factible de ser suministrada </w:t>
      </w:r>
      <w:r w:rsidRPr="000B65DE">
        <w:rPr>
          <w:rFonts w:ascii="Bookman Old Style" w:hAnsi="Bookman Old Style"/>
          <w:lang w:val="es-CO"/>
        </w:rPr>
        <w:lastRenderedPageBreak/>
        <w:t>por este medio. Sin embargo, la Comisión podrá solicitar otra información que considere relevante para el desempeño de sus funciones</w:t>
      </w:r>
      <w:r w:rsidRPr="000B65DE">
        <w:rPr>
          <w:rFonts w:ascii="Bookman Old Style" w:hAnsi="Bookman Old Style"/>
          <w:color w:val="000000"/>
          <w:spacing w:val="-3"/>
          <w:lang w:val="es-ES_tradnl"/>
        </w:rPr>
        <w:t>.</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r w:rsidRPr="000B65DE">
        <w:rPr>
          <w:rFonts w:ascii="Bookman Old Style" w:hAnsi="Bookman Old Style"/>
        </w:rPr>
        <w:t xml:space="preserve">El solicitante deberá indicar expresamente si cuenta o no con recursos públicos </w:t>
      </w:r>
      <w:r w:rsidR="00FE715A">
        <w:rPr>
          <w:rFonts w:ascii="Bookman Old Style" w:hAnsi="Bookman Old Style"/>
        </w:rPr>
        <w:t xml:space="preserve">para la financiación de infraestructura de distribución </w:t>
      </w:r>
      <w:r w:rsidRPr="000B65DE">
        <w:rPr>
          <w:rFonts w:ascii="Bookman Old Style" w:hAnsi="Bookman Old Style"/>
        </w:rPr>
        <w:t xml:space="preserve">y en caso afirmativo deberá indicar su procedencia, monto, destinación y deberá discriminar las inversiones que ejecutará con recursos propios y aquella que ejecutará con recursos públicos. </w:t>
      </w:r>
    </w:p>
    <w:p w:rsidR="000B65DE" w:rsidRPr="000B65DE" w:rsidRDefault="000B65DE" w:rsidP="000B65DE">
      <w:pPr>
        <w:ind w:left="0"/>
        <w:jc w:val="both"/>
        <w:rPr>
          <w:rFonts w:ascii="Bookman Old Style" w:hAnsi="Bookman Old Style"/>
        </w:rPr>
      </w:pPr>
    </w:p>
    <w:p w:rsidR="000B65DE" w:rsidRPr="000B65DE" w:rsidRDefault="000B65DE" w:rsidP="000B65DE">
      <w:pPr>
        <w:tabs>
          <w:tab w:val="left" w:pos="-720"/>
        </w:tabs>
        <w:suppressAutoHyphens/>
        <w:ind w:left="0"/>
        <w:jc w:val="both"/>
        <w:rPr>
          <w:rFonts w:ascii="Bookman Old Style" w:hAnsi="Bookman Old Style"/>
          <w:spacing w:val="-4"/>
        </w:rPr>
      </w:pPr>
      <w:r w:rsidRPr="000B65DE">
        <w:rPr>
          <w:rFonts w:ascii="Bookman Old Style" w:hAnsi="Bookman Old Style"/>
          <w:spacing w:val="-4"/>
        </w:rPr>
        <w:t xml:space="preserve">Con el propósito de comunicar la actuación administrativa a terceros, cada Distribuidor deberá incluir un resumen de la solicitud tarifaria presentada, que incluya, como mínimo, la información establecida en el </w:t>
      </w:r>
      <w:r w:rsidR="00AF6018" w:rsidRPr="000B65DE">
        <w:rPr>
          <w:rFonts w:ascii="Bookman Old Style" w:hAnsi="Bookman Old Style"/>
          <w:spacing w:val="-4"/>
        </w:rPr>
        <w:fldChar w:fldCharType="begin"/>
      </w:r>
      <w:r w:rsidRPr="000B65DE">
        <w:rPr>
          <w:rFonts w:ascii="Bookman Old Style" w:hAnsi="Bookman Old Style"/>
          <w:spacing w:val="-4"/>
        </w:rPr>
        <w:instrText xml:space="preserve"> REF _Ref289696998 \r \h </w:instrText>
      </w:r>
      <w:r w:rsidR="00AF6018" w:rsidRPr="000B65DE">
        <w:rPr>
          <w:rFonts w:ascii="Bookman Old Style" w:hAnsi="Bookman Old Style"/>
          <w:spacing w:val="-4"/>
        </w:rPr>
      </w:r>
      <w:r w:rsidR="00AF6018" w:rsidRPr="000B65DE">
        <w:rPr>
          <w:rFonts w:ascii="Bookman Old Style" w:hAnsi="Bookman Old Style"/>
          <w:spacing w:val="-4"/>
        </w:rPr>
        <w:fldChar w:fldCharType="separate"/>
      </w:r>
      <w:r w:rsidR="004D5C18">
        <w:rPr>
          <w:rFonts w:ascii="Bookman Old Style" w:hAnsi="Bookman Old Style"/>
          <w:spacing w:val="-4"/>
        </w:rPr>
        <w:t>ANEXO 2</w:t>
      </w:r>
      <w:r w:rsidR="00AF6018" w:rsidRPr="000B65DE">
        <w:rPr>
          <w:rFonts w:ascii="Bookman Old Style" w:hAnsi="Bookman Old Style"/>
          <w:spacing w:val="-4"/>
        </w:rPr>
        <w:fldChar w:fldCharType="end"/>
      </w:r>
      <w:r w:rsidRPr="000B65DE">
        <w:rPr>
          <w:rFonts w:ascii="Bookman Old Style" w:hAnsi="Bookman Old Style"/>
          <w:spacing w:val="-4"/>
        </w:rPr>
        <w:t xml:space="preserve"> de esta Resolución. Conforme al resumen remitido, se comunicará la actuación administrativa a los terceros, en los términos establecidos en la </w:t>
      </w:r>
      <w:r w:rsidRPr="000B65DE">
        <w:rPr>
          <w:rFonts w:ascii="Bookman Old Style" w:hAnsi="Bookman Old Style"/>
          <w:color w:val="000000"/>
          <w:spacing w:val="-3"/>
          <w:lang w:val="es-ES_tradnl"/>
        </w:rPr>
        <w:t>Ley 1437 de 2011, o aquella que la modifique, aclare o sustituya</w:t>
      </w:r>
      <w:r w:rsidRPr="000B65DE">
        <w:rPr>
          <w:rFonts w:ascii="Bookman Old Style" w:hAnsi="Bookman Old Style"/>
          <w:spacing w:val="-4"/>
        </w:rPr>
        <w:t xml:space="preserve">. </w:t>
      </w:r>
    </w:p>
    <w:p w:rsidR="00293D5F" w:rsidRDefault="00293D5F" w:rsidP="006A1BBA"/>
    <w:p w:rsidR="000B65DE" w:rsidRPr="000B65DE" w:rsidRDefault="000B65DE" w:rsidP="00382E27">
      <w:pPr>
        <w:numPr>
          <w:ilvl w:val="1"/>
          <w:numId w:val="2"/>
        </w:numPr>
        <w:overflowPunct w:val="0"/>
        <w:autoSpaceDE w:val="0"/>
        <w:autoSpaceDN w:val="0"/>
        <w:adjustRightInd w:val="0"/>
        <w:ind w:left="567" w:hanging="567"/>
        <w:jc w:val="both"/>
        <w:textAlignment w:val="baseline"/>
        <w:outlineLvl w:val="1"/>
        <w:rPr>
          <w:rFonts w:ascii="Bookman Old Style" w:hAnsi="Bookman Old Style"/>
          <w:b/>
          <w:bCs/>
        </w:rPr>
      </w:pPr>
      <w:r w:rsidRPr="000B65DE">
        <w:rPr>
          <w:rFonts w:ascii="Bookman Old Style" w:hAnsi="Bookman Old Style"/>
          <w:b/>
          <w:bCs/>
        </w:rPr>
        <w:t>VERIFICACIÓN SOBRE ACTIVOS REPORTADOS POR LAS EMPRESAS.</w:t>
      </w:r>
    </w:p>
    <w:p w:rsidR="000B65DE" w:rsidRPr="000B65DE" w:rsidRDefault="000B65DE" w:rsidP="000B65DE"/>
    <w:p w:rsidR="000B65DE" w:rsidRPr="000B65DE" w:rsidRDefault="000B65DE" w:rsidP="000B65DE">
      <w:pPr>
        <w:ind w:left="0"/>
        <w:jc w:val="both"/>
        <w:rPr>
          <w:rFonts w:ascii="Bookman Old Style" w:hAnsi="Bookman Old Style"/>
        </w:rPr>
      </w:pPr>
      <w:r w:rsidRPr="000B65DE">
        <w:rPr>
          <w:rFonts w:ascii="Bookman Old Style" w:hAnsi="Bookman Old Style"/>
        </w:rPr>
        <w:t xml:space="preserve">Teniendo en cuenta las distintas variables existentes para el reporte adecuado de la información, la CREG aplicará el mecanismo de verificaciones que se describe en el </w:t>
      </w:r>
      <w:r w:rsidR="008B26D0">
        <w:fldChar w:fldCharType="begin"/>
      </w:r>
      <w:r w:rsidR="008B26D0">
        <w:instrText xml:space="preserve"> REF _Ref291665114 \r \h  \* MERGEFORMAT </w:instrText>
      </w:r>
      <w:r w:rsidR="008B26D0">
        <w:fldChar w:fldCharType="separate"/>
      </w:r>
      <w:r w:rsidR="004D5C18" w:rsidRPr="004D5C18">
        <w:rPr>
          <w:rFonts w:ascii="Bookman Old Style" w:hAnsi="Bookman Old Style"/>
        </w:rPr>
        <w:t>ANEXO 3</w:t>
      </w:r>
      <w:r w:rsidR="008B26D0">
        <w:fldChar w:fldCharType="end"/>
      </w:r>
      <w:r w:rsidRPr="000B65DE">
        <w:rPr>
          <w:rFonts w:ascii="Bookman Old Style" w:hAnsi="Bookman Old Style"/>
        </w:rPr>
        <w:t xml:space="preserve"> de la presente resolución.</w:t>
      </w:r>
    </w:p>
    <w:p w:rsidR="000B65DE" w:rsidRPr="000B65DE" w:rsidRDefault="000B65DE" w:rsidP="000B65DE"/>
    <w:p w:rsidR="000B65DE" w:rsidRPr="000B65DE" w:rsidRDefault="000B65DE" w:rsidP="000B65DE">
      <w:pPr>
        <w:ind w:left="0"/>
        <w:jc w:val="both"/>
        <w:rPr>
          <w:rFonts w:ascii="Bookman Old Style" w:hAnsi="Bookman Old Style"/>
        </w:rPr>
      </w:pPr>
      <w:r w:rsidRPr="000B65DE">
        <w:rPr>
          <w:rFonts w:ascii="Bookman Old Style" w:hAnsi="Bookman Old Style"/>
        </w:rPr>
        <w:t>Sin perjuicio de lo anterior, si dentro del mes siguiente a la fecha en que se haga la publicación mediante la cual se divulguen los cargos que el Distribuidor propone aplicar, determinados según la metodología general aprobada por la Comisión en esta Resolución, y habiendo oído a los interesados que intervengan, si existen diferencias de información o de apreciación sobre aspectos que requieran conocimientos especializados, o si se considera necesario decretar pruebas, el Director Ejecutivo podrá ordenarlas, de acuerdo con lo establecido en el Artículo 108 de la Ley 142 de 1994.</w:t>
      </w:r>
    </w:p>
    <w:p w:rsidR="000B65DE" w:rsidRPr="000B65DE" w:rsidRDefault="000B65DE" w:rsidP="000B65DE">
      <w:pPr>
        <w:ind w:left="0"/>
        <w:jc w:val="both"/>
        <w:rPr>
          <w:rFonts w:ascii="Bookman Old Style" w:hAnsi="Bookman Old Style"/>
        </w:rPr>
      </w:pPr>
    </w:p>
    <w:p w:rsidR="000B65DE" w:rsidRPr="000B65DE" w:rsidRDefault="000B65DE" w:rsidP="00382E27">
      <w:pPr>
        <w:numPr>
          <w:ilvl w:val="1"/>
          <w:numId w:val="2"/>
        </w:numPr>
        <w:overflowPunct w:val="0"/>
        <w:autoSpaceDE w:val="0"/>
        <w:autoSpaceDN w:val="0"/>
        <w:adjustRightInd w:val="0"/>
        <w:ind w:left="567" w:hanging="567"/>
        <w:jc w:val="both"/>
        <w:textAlignment w:val="baseline"/>
        <w:outlineLvl w:val="1"/>
        <w:rPr>
          <w:rFonts w:ascii="Bookman Old Style" w:hAnsi="Bookman Old Style"/>
          <w:b/>
          <w:bCs/>
        </w:rPr>
      </w:pPr>
      <w:r w:rsidRPr="000B65DE">
        <w:rPr>
          <w:rFonts w:ascii="Bookman Old Style" w:hAnsi="Bookman Old Style"/>
          <w:b/>
          <w:bCs/>
        </w:rPr>
        <w:t xml:space="preserve">SOLICITUD TARIFARIA DE PERÍODOS TARIFARIOS CONCLUIDOS. </w:t>
      </w:r>
    </w:p>
    <w:p w:rsidR="000B65DE" w:rsidRPr="000B65DE" w:rsidRDefault="000B65DE" w:rsidP="000B65DE">
      <w:pPr>
        <w:ind w:left="0"/>
        <w:jc w:val="both"/>
        <w:rPr>
          <w:rFonts w:ascii="Bookman Old Style" w:hAnsi="Bookman Old Style"/>
        </w:rPr>
      </w:pPr>
    </w:p>
    <w:p w:rsidR="000B65DE" w:rsidRPr="000B65DE" w:rsidRDefault="009F6252" w:rsidP="000B65DE">
      <w:pPr>
        <w:ind w:left="0"/>
        <w:jc w:val="both"/>
        <w:rPr>
          <w:rFonts w:ascii="Bookman Old Style" w:hAnsi="Bookman Old Style"/>
        </w:rPr>
      </w:pPr>
      <w:r>
        <w:rPr>
          <w:rFonts w:ascii="Bookman Old Style" w:hAnsi="Bookman Old Style"/>
        </w:rPr>
        <w:t>Sólo l</w:t>
      </w:r>
      <w:r w:rsidR="000B65DE" w:rsidRPr="000B65DE">
        <w:rPr>
          <w:rFonts w:ascii="Bookman Old Style" w:hAnsi="Bookman Old Style"/>
        </w:rPr>
        <w:t xml:space="preserve">os Distribuidores que atienden usuarios en Mercados Existentes de Distribución que a la fecha de entrada en vigencia de la presente resolución </w:t>
      </w:r>
      <w:r w:rsidR="0074090D">
        <w:rPr>
          <w:rFonts w:ascii="Bookman Old Style" w:hAnsi="Bookman Old Style"/>
        </w:rPr>
        <w:t xml:space="preserve">y que </w:t>
      </w:r>
      <w:r w:rsidR="000B65DE" w:rsidRPr="000B65DE">
        <w:rPr>
          <w:rFonts w:ascii="Bookman Old Style" w:hAnsi="Bookman Old Style"/>
        </w:rPr>
        <w:t xml:space="preserve">hayan concluido el Período Tarifario, deberán someter a aprobación de la Comisión el estudio de los Cargos de Distribución aplicables para el Siguiente Período Tarifario, con sujeción a la metodología y demás criterios establecidos en la presente resolución, a más tardar, dentro de los </w:t>
      </w:r>
      <w:r w:rsidR="00252641">
        <w:rPr>
          <w:rFonts w:ascii="Bookman Old Style" w:hAnsi="Bookman Old Style"/>
        </w:rPr>
        <w:t>tres</w:t>
      </w:r>
      <w:r w:rsidR="000B65DE" w:rsidRPr="000B65DE">
        <w:rPr>
          <w:rFonts w:ascii="Bookman Old Style" w:hAnsi="Bookman Old Style"/>
        </w:rPr>
        <w:t xml:space="preserve"> (</w:t>
      </w:r>
      <w:r w:rsidR="00252641">
        <w:rPr>
          <w:rFonts w:ascii="Bookman Old Style" w:hAnsi="Bookman Old Style"/>
        </w:rPr>
        <w:t>3</w:t>
      </w:r>
      <w:r w:rsidR="000B65DE" w:rsidRPr="000B65DE">
        <w:rPr>
          <w:rFonts w:ascii="Bookman Old Style" w:hAnsi="Bookman Old Style"/>
        </w:rPr>
        <w:t>) meses siguientes a la entrada en vigencia de la presente resolución.</w:t>
      </w:r>
    </w:p>
    <w:p w:rsidR="000B65DE" w:rsidRPr="000B65DE" w:rsidRDefault="000B65DE" w:rsidP="000B65DE">
      <w:pPr>
        <w:ind w:left="0"/>
        <w:jc w:val="both"/>
        <w:rPr>
          <w:rFonts w:ascii="Bookman Old Style" w:hAnsi="Bookman Old Style"/>
        </w:rPr>
      </w:pPr>
    </w:p>
    <w:p w:rsidR="000B65DE" w:rsidRDefault="000B65DE" w:rsidP="009F6252">
      <w:pPr>
        <w:ind w:left="0"/>
        <w:jc w:val="both"/>
        <w:rPr>
          <w:rFonts w:ascii="Bookman Old Style" w:hAnsi="Bookman Old Style"/>
        </w:rPr>
      </w:pPr>
      <w:r w:rsidRPr="000B65DE">
        <w:rPr>
          <w:rFonts w:ascii="Bookman Old Style" w:hAnsi="Bookman Old Style"/>
        </w:rPr>
        <w:t xml:space="preserve">Si transcurridos los </w:t>
      </w:r>
      <w:r w:rsidR="00252641">
        <w:rPr>
          <w:rFonts w:ascii="Bookman Old Style" w:hAnsi="Bookman Old Style"/>
        </w:rPr>
        <w:t>tres</w:t>
      </w:r>
      <w:r w:rsidRPr="000B65DE">
        <w:rPr>
          <w:rFonts w:ascii="Bookman Old Style" w:hAnsi="Bookman Old Style"/>
        </w:rPr>
        <w:t xml:space="preserve"> (</w:t>
      </w:r>
      <w:r w:rsidR="00252641">
        <w:rPr>
          <w:rFonts w:ascii="Bookman Old Style" w:hAnsi="Bookman Old Style"/>
        </w:rPr>
        <w:t>3</w:t>
      </w:r>
      <w:r w:rsidRPr="000B65DE">
        <w:rPr>
          <w:rFonts w:ascii="Bookman Old Style" w:hAnsi="Bookman Old Style"/>
        </w:rPr>
        <w:t>) meses de que trata el presente artículo, los Distribuidores no han remitido su solicitud con la correspondiente información, la Comisión procederá de oficio, a determinar los Cargos de Distribución aplicables al Mercado Relevante de Distribución para el Siguiente Período Tarifario y corresponderá al noventa por ciento (90%) del Cargo de Distribución que sea más bajo entre los Cargos de Distribución vigentes a la entrada en vigencia de la presente resolución</w:t>
      </w:r>
      <w:r w:rsidR="009F6252">
        <w:rPr>
          <w:rFonts w:ascii="Bookman Old Style" w:hAnsi="Bookman Old Style"/>
        </w:rPr>
        <w:t>.</w:t>
      </w:r>
    </w:p>
    <w:p w:rsidR="009D40B8" w:rsidRDefault="009D40B8" w:rsidP="009F6252">
      <w:pPr>
        <w:ind w:left="0"/>
        <w:jc w:val="both"/>
        <w:rPr>
          <w:rFonts w:ascii="Bookman Old Style" w:hAnsi="Bookman Old Style"/>
        </w:rPr>
      </w:pPr>
    </w:p>
    <w:p w:rsidR="00E15760" w:rsidRPr="000B65DE" w:rsidRDefault="00E15760" w:rsidP="009F6252">
      <w:pPr>
        <w:ind w:left="0"/>
        <w:jc w:val="both"/>
        <w:rPr>
          <w:rFonts w:ascii="Bookman Old Style" w:hAnsi="Bookman Old Style"/>
        </w:rPr>
      </w:pPr>
      <w:r w:rsidRPr="009D40B8">
        <w:rPr>
          <w:rFonts w:ascii="Bookman Old Style" w:hAnsi="Bookman Old Style"/>
          <w:b/>
        </w:rPr>
        <w:t>Parágrafo.</w:t>
      </w:r>
      <w:r w:rsidR="00B352A8">
        <w:rPr>
          <w:rFonts w:ascii="Bookman Old Style" w:hAnsi="Bookman Old Style"/>
        </w:rPr>
        <w:t xml:space="preserve"> La CREG só</w:t>
      </w:r>
      <w:r>
        <w:rPr>
          <w:rFonts w:ascii="Bookman Old Style" w:hAnsi="Bookman Old Style"/>
        </w:rPr>
        <w:t>lo aprobará cargos presentados por el (los) Distribuidor(es) que estén prestando el servicio en el mercado existente.</w:t>
      </w:r>
    </w:p>
    <w:p w:rsidR="000B65DE" w:rsidRPr="000B65DE" w:rsidRDefault="000B65DE" w:rsidP="000B65DE">
      <w:pPr>
        <w:ind w:left="0"/>
        <w:jc w:val="both"/>
        <w:rPr>
          <w:rFonts w:ascii="Bookman Old Style" w:hAnsi="Bookman Old Style"/>
        </w:rPr>
      </w:pPr>
    </w:p>
    <w:p w:rsidR="000B65DE" w:rsidRPr="000B65DE" w:rsidRDefault="000B65DE" w:rsidP="00382E27">
      <w:pPr>
        <w:numPr>
          <w:ilvl w:val="1"/>
          <w:numId w:val="2"/>
        </w:numPr>
        <w:overflowPunct w:val="0"/>
        <w:autoSpaceDE w:val="0"/>
        <w:autoSpaceDN w:val="0"/>
        <w:adjustRightInd w:val="0"/>
        <w:ind w:left="567" w:hanging="567"/>
        <w:jc w:val="both"/>
        <w:textAlignment w:val="baseline"/>
        <w:outlineLvl w:val="1"/>
        <w:rPr>
          <w:rFonts w:ascii="Bookman Old Style" w:hAnsi="Bookman Old Style"/>
          <w:b/>
          <w:bCs/>
        </w:rPr>
      </w:pPr>
      <w:r w:rsidRPr="000B65DE">
        <w:rPr>
          <w:rFonts w:ascii="Bookman Old Style" w:hAnsi="Bookman Old Style"/>
          <w:b/>
          <w:bCs/>
        </w:rPr>
        <w:t xml:space="preserve">CARGOS PROMEDIOS DE DISTRIBUCIÓN QUE NO HAYAN ESTADO VIGENTES DURANTE CINCO (5) AÑOS. </w:t>
      </w:r>
    </w:p>
    <w:p w:rsidR="000B65DE" w:rsidRPr="000B65DE" w:rsidRDefault="000B65DE" w:rsidP="000B65DE">
      <w:pPr>
        <w:ind w:left="0"/>
        <w:jc w:val="both"/>
        <w:rPr>
          <w:rFonts w:ascii="Bookman Old Style" w:hAnsi="Bookman Old Style"/>
          <w:sz w:val="20"/>
          <w:szCs w:val="20"/>
          <w:lang w:val="es-CO"/>
        </w:rPr>
      </w:pPr>
    </w:p>
    <w:p w:rsidR="000B65DE" w:rsidRPr="000B65DE" w:rsidRDefault="000B65DE" w:rsidP="000B65DE">
      <w:pPr>
        <w:ind w:left="0"/>
        <w:jc w:val="both"/>
        <w:rPr>
          <w:rFonts w:ascii="Bookman Old Style" w:hAnsi="Bookman Old Style"/>
        </w:rPr>
      </w:pPr>
      <w:r w:rsidRPr="000B65DE">
        <w:rPr>
          <w:rFonts w:ascii="Bookman Old Style" w:hAnsi="Bookman Old Style"/>
        </w:rPr>
        <w:t xml:space="preserve">Los Distribuidores que se encuentren prestando el servicio en un Mercado Relevante Existente de Distribución </w:t>
      </w:r>
      <w:r w:rsidR="009F6252">
        <w:rPr>
          <w:rFonts w:ascii="Bookman Old Style" w:hAnsi="Bookman Old Style"/>
        </w:rPr>
        <w:t>con un</w:t>
      </w:r>
      <w:r w:rsidR="009F6252" w:rsidRPr="000B65DE">
        <w:rPr>
          <w:rFonts w:ascii="Bookman Old Style" w:hAnsi="Bookman Old Style"/>
        </w:rPr>
        <w:t xml:space="preserve"> </w:t>
      </w:r>
      <w:r w:rsidR="009F6252">
        <w:rPr>
          <w:rFonts w:ascii="Bookman Old Style" w:hAnsi="Bookman Old Style"/>
        </w:rPr>
        <w:t>C</w:t>
      </w:r>
      <w:r w:rsidR="009F6252" w:rsidRPr="000B65DE">
        <w:rPr>
          <w:rFonts w:ascii="Bookman Old Style" w:hAnsi="Bookman Old Style"/>
        </w:rPr>
        <w:t>argo</w:t>
      </w:r>
      <w:r w:rsidR="009F6252">
        <w:rPr>
          <w:rFonts w:ascii="Bookman Old Style" w:hAnsi="Bookman Old Style"/>
        </w:rPr>
        <w:t xml:space="preserve"> Promedio de Distribución que</w:t>
      </w:r>
      <w:r w:rsidRPr="000B65DE">
        <w:rPr>
          <w:rFonts w:ascii="Bookman Old Style" w:hAnsi="Bookman Old Style"/>
        </w:rPr>
        <w:t xml:space="preserve"> no haya estado vigente por cinco (5) años a la entrada en vigencia de la presente resolución, tendrán las siguientes opciones:</w:t>
      </w:r>
    </w:p>
    <w:p w:rsidR="000B65DE" w:rsidRPr="000B65DE" w:rsidRDefault="000B65DE" w:rsidP="000B65DE">
      <w:pPr>
        <w:ind w:left="0"/>
        <w:jc w:val="both"/>
        <w:rPr>
          <w:rFonts w:ascii="Bookman Old Style" w:hAnsi="Bookman Old Style"/>
        </w:rPr>
      </w:pPr>
    </w:p>
    <w:p w:rsidR="000B65DE" w:rsidRPr="000B65DE" w:rsidRDefault="000B65DE" w:rsidP="008F4D9F">
      <w:pPr>
        <w:numPr>
          <w:ilvl w:val="0"/>
          <w:numId w:val="15"/>
        </w:numPr>
        <w:ind w:left="284" w:hanging="284"/>
        <w:jc w:val="both"/>
        <w:rPr>
          <w:rFonts w:ascii="Bookman Old Style" w:hAnsi="Bookman Old Style"/>
          <w:sz w:val="20"/>
          <w:szCs w:val="20"/>
          <w:lang w:val="es-CO"/>
        </w:rPr>
      </w:pPr>
      <w:r w:rsidRPr="000B65DE">
        <w:rPr>
          <w:rFonts w:ascii="Bookman Old Style" w:hAnsi="Bookman Old Style"/>
          <w:b/>
          <w:lang w:val="es-CO"/>
        </w:rPr>
        <w:t>Presentar a la CREG una solicitud de aprobación de Cargos de Distribución una vez entre en vigencia esta Resolución</w:t>
      </w:r>
      <w:r w:rsidRPr="000B65DE">
        <w:rPr>
          <w:rFonts w:ascii="Bookman Old Style" w:hAnsi="Bookman Old Style"/>
          <w:lang w:val="es-CO"/>
        </w:rPr>
        <w:t xml:space="preserve">. En este caso, a más tardar dentro de los </w:t>
      </w:r>
      <w:r w:rsidR="00252641">
        <w:rPr>
          <w:rFonts w:ascii="Bookman Old Style" w:hAnsi="Bookman Old Style"/>
          <w:lang w:val="es-CO"/>
        </w:rPr>
        <w:t>tres</w:t>
      </w:r>
      <w:r w:rsidRPr="000B65DE">
        <w:rPr>
          <w:rFonts w:ascii="Bookman Old Style" w:hAnsi="Bookman Old Style"/>
          <w:lang w:val="es-CO"/>
        </w:rPr>
        <w:t xml:space="preserve"> (</w:t>
      </w:r>
      <w:r w:rsidR="00252641">
        <w:rPr>
          <w:rFonts w:ascii="Bookman Old Style" w:hAnsi="Bookman Old Style"/>
          <w:lang w:val="es-CO"/>
        </w:rPr>
        <w:t>3</w:t>
      </w:r>
      <w:r w:rsidRPr="000B65DE">
        <w:rPr>
          <w:rFonts w:ascii="Bookman Old Style" w:hAnsi="Bookman Old Style"/>
          <w:lang w:val="es-CO"/>
        </w:rPr>
        <w:t xml:space="preserve">) meses siguientes a la entrada en vigor del presente acto administrativo, </w:t>
      </w:r>
      <w:r w:rsidR="009F6252">
        <w:rPr>
          <w:rFonts w:ascii="Bookman Old Style" w:hAnsi="Bookman Old Style"/>
          <w:lang w:val="es-CO"/>
        </w:rPr>
        <w:t xml:space="preserve">sólo </w:t>
      </w:r>
      <w:r w:rsidRPr="000B65DE">
        <w:rPr>
          <w:rFonts w:ascii="Bookman Old Style" w:hAnsi="Bookman Old Style"/>
          <w:lang w:val="es-CO"/>
        </w:rPr>
        <w:t xml:space="preserve">el Distribuidor </w:t>
      </w:r>
      <w:r w:rsidR="009F6252">
        <w:rPr>
          <w:rFonts w:ascii="Bookman Old Style" w:hAnsi="Bookman Old Style"/>
          <w:lang w:val="es-CO"/>
        </w:rPr>
        <w:t xml:space="preserve">que está prestando el servicio en los Mercados Existentes de Distribución </w:t>
      </w:r>
      <w:r w:rsidRPr="000B65DE">
        <w:rPr>
          <w:rFonts w:ascii="Bookman Old Style" w:hAnsi="Bookman Old Style"/>
          <w:lang w:val="es-CO"/>
        </w:rPr>
        <w:t xml:space="preserve">deberá presentar a la CREG una solicitud de Cargos de Distribución en los términos de la presente resolución, manifestando que desea acogerse a la opción establecida en el presente numeral. Esta alternativa aplica para cualquiera de los criterios de conformación de los Mercados Relevantes de Distribución para el Siguiente Periodo Tarifario establecidas en el Artículo 5 de esta presente resolución. Los nuevos Cargos de Distribución aprobados como consecuencia del ejercicio de esta opción tendrán la vigencia establecida en el Artículo 7 del presente acto administrativo. </w:t>
      </w:r>
    </w:p>
    <w:p w:rsidR="000B65DE" w:rsidRPr="000B65DE" w:rsidRDefault="000B65DE" w:rsidP="000B65DE">
      <w:pPr>
        <w:ind w:left="0"/>
        <w:jc w:val="both"/>
        <w:rPr>
          <w:rFonts w:ascii="Bookman Old Style" w:hAnsi="Bookman Old Style"/>
          <w:lang w:val="es-CO"/>
        </w:rPr>
      </w:pPr>
    </w:p>
    <w:p w:rsidR="000B65DE" w:rsidRPr="000B65DE" w:rsidRDefault="000B65DE" w:rsidP="000B65DE">
      <w:pPr>
        <w:ind w:left="284"/>
        <w:jc w:val="both"/>
        <w:rPr>
          <w:rFonts w:ascii="Bookman Old Style" w:hAnsi="Bookman Old Style"/>
          <w:lang w:val="es-CO"/>
        </w:rPr>
      </w:pPr>
      <w:r w:rsidRPr="000B65DE">
        <w:rPr>
          <w:rFonts w:ascii="Bookman Old Style" w:hAnsi="Bookman Old Style"/>
          <w:lang w:val="es-CO"/>
        </w:rPr>
        <w:t>En caso de existir más de un Distribuidor atendiendo el mismo Mercado Relevante, todos los Distribuidores deberán renunciar a la vigencia del Cargo Promedio de Distribución aprobado según la metodología de la Resolución CREG 011 de 2003 y presentar cada uno su respectiva solicitud tarifaria en los términos de este numeral; de lo contario, no podrán acogerse a la opción aquí establecida.</w:t>
      </w:r>
    </w:p>
    <w:p w:rsidR="00954CA2" w:rsidRDefault="00954CA2" w:rsidP="000B65DE">
      <w:pPr>
        <w:ind w:left="284" w:hanging="284"/>
        <w:jc w:val="both"/>
        <w:rPr>
          <w:rFonts w:ascii="Bookman Old Style" w:hAnsi="Bookman Old Style"/>
          <w:sz w:val="20"/>
          <w:szCs w:val="20"/>
          <w:lang w:val="es-CO"/>
        </w:rPr>
      </w:pPr>
    </w:p>
    <w:p w:rsidR="000B752D" w:rsidRPr="000B752D" w:rsidRDefault="000B752D" w:rsidP="000B752D">
      <w:pPr>
        <w:ind w:left="284"/>
        <w:jc w:val="both"/>
        <w:rPr>
          <w:rFonts w:ascii="Bookman Old Style" w:hAnsi="Bookman Old Style"/>
          <w:lang w:val="es-CO"/>
        </w:rPr>
      </w:pPr>
      <w:r w:rsidRPr="000B752D">
        <w:rPr>
          <w:rFonts w:ascii="Bookman Old Style" w:hAnsi="Bookman Old Style"/>
          <w:lang w:val="es-CO"/>
        </w:rPr>
        <w:t>Los Mercados Relevantes de Distribución que tengan Cargo de Distribución aprobado según la metodología de la Resolución CREG 011 de 2003</w:t>
      </w:r>
      <w:r>
        <w:rPr>
          <w:rFonts w:ascii="Bookman Old Style" w:hAnsi="Bookman Old Style"/>
          <w:lang w:val="es-CO"/>
        </w:rPr>
        <w:t>,</w:t>
      </w:r>
      <w:r w:rsidRPr="000B752D">
        <w:rPr>
          <w:rFonts w:ascii="Bookman Old Style" w:hAnsi="Bookman Old Style"/>
          <w:lang w:val="es-CO"/>
        </w:rPr>
        <w:t xml:space="preserve"> </w:t>
      </w:r>
      <w:r>
        <w:rPr>
          <w:rFonts w:ascii="Bookman Old Style" w:hAnsi="Bookman Old Style"/>
          <w:lang w:val="es-CO"/>
        </w:rPr>
        <w:t xml:space="preserve">donde su </w:t>
      </w:r>
      <w:r w:rsidRPr="000B752D">
        <w:rPr>
          <w:rFonts w:ascii="Bookman Old Style" w:hAnsi="Bookman Old Style"/>
          <w:lang w:val="es-CO"/>
        </w:rPr>
        <w:t xml:space="preserve">vigencia sea inferior a un </w:t>
      </w:r>
      <w:r>
        <w:rPr>
          <w:rFonts w:ascii="Bookman Old Style" w:hAnsi="Bookman Old Style"/>
          <w:lang w:val="es-CO"/>
        </w:rPr>
        <w:t xml:space="preserve">(1) </w:t>
      </w:r>
      <w:r w:rsidRPr="000B752D">
        <w:rPr>
          <w:rFonts w:ascii="Bookman Old Style" w:hAnsi="Bookman Old Style"/>
          <w:lang w:val="es-CO"/>
        </w:rPr>
        <w:t>año</w:t>
      </w:r>
      <w:r>
        <w:rPr>
          <w:rFonts w:ascii="Bookman Old Style" w:hAnsi="Bookman Old Style"/>
          <w:lang w:val="es-CO"/>
        </w:rPr>
        <w:t xml:space="preserve"> y </w:t>
      </w:r>
      <w:r w:rsidRPr="000B752D">
        <w:rPr>
          <w:rFonts w:ascii="Bookman Old Style" w:hAnsi="Bookman Old Style"/>
          <w:lang w:val="es-CO"/>
        </w:rPr>
        <w:t xml:space="preserve"> en los cuales no se haya iniciado la prestación del servicio y decidan acogerse a lo establecido en este numeral, podrán solicitar </w:t>
      </w:r>
      <w:r>
        <w:rPr>
          <w:rFonts w:ascii="Bookman Old Style" w:hAnsi="Bookman Old Style"/>
          <w:lang w:val="es-CO"/>
        </w:rPr>
        <w:t xml:space="preserve">a la CREG </w:t>
      </w:r>
      <w:r w:rsidRPr="000B752D">
        <w:rPr>
          <w:rFonts w:ascii="Bookman Old Style" w:hAnsi="Bookman Old Style"/>
          <w:lang w:val="es-CO"/>
        </w:rPr>
        <w:t xml:space="preserve">que sean considerados como </w:t>
      </w:r>
      <w:r>
        <w:rPr>
          <w:rFonts w:ascii="Bookman Old Style" w:hAnsi="Bookman Old Style"/>
          <w:lang w:val="es-CO"/>
        </w:rPr>
        <w:t>N</w:t>
      </w:r>
      <w:r w:rsidRPr="000B752D">
        <w:rPr>
          <w:rFonts w:ascii="Bookman Old Style" w:hAnsi="Bookman Old Style"/>
          <w:lang w:val="es-CO"/>
        </w:rPr>
        <w:t xml:space="preserve">uevos </w:t>
      </w:r>
      <w:r>
        <w:rPr>
          <w:rFonts w:ascii="Bookman Old Style" w:hAnsi="Bookman Old Style"/>
          <w:lang w:val="es-CO"/>
        </w:rPr>
        <w:t>M</w:t>
      </w:r>
      <w:r w:rsidRPr="000B752D">
        <w:rPr>
          <w:rFonts w:ascii="Bookman Old Style" w:hAnsi="Bookman Old Style"/>
          <w:lang w:val="es-CO"/>
        </w:rPr>
        <w:t>ercados</w:t>
      </w:r>
      <w:r>
        <w:rPr>
          <w:rFonts w:ascii="Bookman Old Style" w:hAnsi="Bookman Old Style"/>
          <w:lang w:val="es-CO"/>
        </w:rPr>
        <w:t xml:space="preserve"> de Distribución</w:t>
      </w:r>
      <w:r w:rsidRPr="000B752D">
        <w:rPr>
          <w:rFonts w:ascii="Bookman Old Style" w:hAnsi="Bookman Old Style"/>
          <w:lang w:val="es-CO"/>
        </w:rPr>
        <w:t>.</w:t>
      </w:r>
    </w:p>
    <w:p w:rsidR="0074090D" w:rsidRPr="000B65DE" w:rsidRDefault="0074090D" w:rsidP="000B65DE">
      <w:pPr>
        <w:ind w:left="284" w:hanging="284"/>
        <w:jc w:val="both"/>
        <w:rPr>
          <w:rFonts w:ascii="Bookman Old Style" w:hAnsi="Bookman Old Style"/>
          <w:sz w:val="20"/>
          <w:szCs w:val="20"/>
          <w:lang w:val="es-CO"/>
        </w:rPr>
      </w:pPr>
    </w:p>
    <w:p w:rsidR="000B65DE" w:rsidRPr="000B65DE" w:rsidRDefault="000B65DE" w:rsidP="008F4D9F">
      <w:pPr>
        <w:numPr>
          <w:ilvl w:val="0"/>
          <w:numId w:val="15"/>
        </w:numPr>
        <w:ind w:left="284" w:hanging="426"/>
        <w:jc w:val="both"/>
        <w:rPr>
          <w:rFonts w:ascii="Bookman Old Style" w:hAnsi="Bookman Old Style" w:cs="Arial"/>
          <w:lang w:val="es-CO"/>
        </w:rPr>
      </w:pPr>
      <w:r w:rsidRPr="000B65DE">
        <w:rPr>
          <w:rFonts w:ascii="Bookman Old Style" w:hAnsi="Bookman Old Style"/>
          <w:b/>
          <w:lang w:val="es-CO"/>
        </w:rPr>
        <w:t>Mantener la vigencia de los cargos aprobados para el Mercado Relevante correspondiente, según la metodología de la Resolución CREG 011 de 2003.</w:t>
      </w:r>
      <w:r w:rsidRPr="000B65DE">
        <w:rPr>
          <w:rFonts w:ascii="Bookman Old Style" w:hAnsi="Bookman Old Style"/>
          <w:lang w:val="es-CO"/>
        </w:rPr>
        <w:t xml:space="preserve"> En este caso, y durante la vigencia del Cargo Promedio de Distribución, no podrá modificarse la conformación del Mercado Relevante  Existente. Una vez el Cargo de Distribución aprobado con base en la metodología establecida en la Resolución CREG 011 de 2003 cumpla su período de vigencia, el Distribuidor deberá dar aplicación a lo establecido en el numeral 6.4 del presente Artículo, de lo contrario, la CREG procederá de oficio a determinar los Cargos de Distribución Aplicables al Mercado Relevante de Distribución para el Siguiente Período Tarifario correspondiente y será equivalente al noventa por ciento (90%) del Cargo de Distribución que sea más </w:t>
      </w:r>
      <w:r w:rsidRPr="000B65DE">
        <w:rPr>
          <w:rFonts w:ascii="Bookman Old Style" w:hAnsi="Bookman Old Style" w:cs="Arial"/>
          <w:lang w:val="es-CO"/>
        </w:rPr>
        <w:t xml:space="preserve">bajo entre todos los Cargos de Distribución vigentes al cumplimiento de su período de vigencia. </w:t>
      </w:r>
    </w:p>
    <w:p w:rsidR="000B65DE" w:rsidRPr="000B65DE" w:rsidRDefault="000B65DE" w:rsidP="000B65DE">
      <w:pPr>
        <w:ind w:left="284"/>
        <w:jc w:val="both"/>
        <w:rPr>
          <w:rFonts w:ascii="Bookman Old Style" w:hAnsi="Bookman Old Style" w:cs="Arial"/>
          <w:b/>
          <w:lang w:val="es-CO"/>
        </w:rPr>
      </w:pPr>
    </w:p>
    <w:p w:rsidR="000B65DE" w:rsidRPr="000B65DE" w:rsidRDefault="000B65DE" w:rsidP="000B65DE">
      <w:pPr>
        <w:ind w:left="284"/>
        <w:jc w:val="both"/>
        <w:rPr>
          <w:rFonts w:ascii="Bookman Old Style" w:hAnsi="Bookman Old Style" w:cs="Arial"/>
          <w:lang w:val="es-CO"/>
        </w:rPr>
      </w:pPr>
      <w:r w:rsidRPr="000B65DE">
        <w:rPr>
          <w:rFonts w:ascii="Bookman Old Style" w:hAnsi="Bookman Old Style" w:cs="Arial"/>
          <w:color w:val="000000"/>
          <w:lang w:val="es-CO"/>
        </w:rPr>
        <w:lastRenderedPageBreak/>
        <w:t xml:space="preserve">De no presentarse la solicitud tarifaria tal y como se estableció en el párrafo anterior la CREG procederá de oficio a fijar los nuevos cargos, siempre y cuando el servicio se esté prestando en el Mercado Relevante Existente correspondiente. </w:t>
      </w:r>
    </w:p>
    <w:p w:rsidR="0074090D" w:rsidRDefault="0074090D" w:rsidP="000B65DE">
      <w:pPr>
        <w:ind w:left="0"/>
        <w:jc w:val="both"/>
        <w:rPr>
          <w:rFonts w:ascii="Bookman Old Style" w:hAnsi="Bookman Old Style"/>
          <w:b/>
        </w:rPr>
      </w:pPr>
    </w:p>
    <w:p w:rsidR="000B65DE" w:rsidRPr="000B65DE" w:rsidRDefault="000B65DE" w:rsidP="000B65DE">
      <w:pPr>
        <w:ind w:left="0"/>
        <w:jc w:val="both"/>
        <w:rPr>
          <w:rFonts w:ascii="Bookman Old Style" w:hAnsi="Bookman Old Style"/>
        </w:rPr>
      </w:pPr>
      <w:r w:rsidRPr="000B65DE">
        <w:rPr>
          <w:rFonts w:ascii="Bookman Old Style" w:hAnsi="Bookman Old Style"/>
          <w:b/>
        </w:rPr>
        <w:t>Parágrafo</w:t>
      </w:r>
      <w:r w:rsidR="0074090D">
        <w:rPr>
          <w:rFonts w:ascii="Bookman Old Style" w:hAnsi="Bookman Old Style"/>
          <w:b/>
        </w:rPr>
        <w:t>.</w:t>
      </w:r>
      <w:r w:rsidRPr="000B65DE">
        <w:rPr>
          <w:rFonts w:ascii="Bookman Old Style" w:hAnsi="Bookman Old Style"/>
          <w:b/>
        </w:rPr>
        <w:t xml:space="preserve"> </w:t>
      </w:r>
      <w:r w:rsidRPr="000B65DE">
        <w:rPr>
          <w:rFonts w:ascii="Bookman Old Style" w:hAnsi="Bookman Old Style"/>
        </w:rPr>
        <w:t xml:space="preserve"> En el caso de un Mercado Relevante Existente de Distribución</w:t>
      </w:r>
      <w:r w:rsidR="0088710A">
        <w:rPr>
          <w:rFonts w:ascii="Bookman Old Style" w:hAnsi="Bookman Old Style"/>
        </w:rPr>
        <w:t>,</w:t>
      </w:r>
      <w:r w:rsidRPr="000B65DE">
        <w:rPr>
          <w:rFonts w:ascii="Bookman Old Style" w:hAnsi="Bookman Old Style"/>
        </w:rPr>
        <w:t xml:space="preserve"> </w:t>
      </w:r>
      <w:r w:rsidR="000B752D">
        <w:rPr>
          <w:rFonts w:ascii="Bookman Old Style" w:hAnsi="Bookman Old Style"/>
        </w:rPr>
        <w:t>que cuente o no</w:t>
      </w:r>
      <w:r w:rsidR="0088710A">
        <w:rPr>
          <w:rFonts w:ascii="Bookman Old Style" w:hAnsi="Bookman Old Style"/>
        </w:rPr>
        <w:t>,</w:t>
      </w:r>
      <w:r w:rsidR="000B752D">
        <w:rPr>
          <w:rFonts w:ascii="Bookman Old Style" w:hAnsi="Bookman Old Style"/>
        </w:rPr>
        <w:t xml:space="preserve"> con recursos públicos </w:t>
      </w:r>
      <w:r w:rsidR="00A215B6">
        <w:rPr>
          <w:rFonts w:ascii="Bookman Old Style" w:hAnsi="Bookman Old Style"/>
        </w:rPr>
        <w:t xml:space="preserve">que este </w:t>
      </w:r>
      <w:r w:rsidRPr="000B65DE">
        <w:rPr>
          <w:rFonts w:ascii="Bookman Old Style" w:hAnsi="Bookman Old Style"/>
        </w:rPr>
        <w:t xml:space="preserve">conformado por varios municipios en el que no se esté prestando el servicio en la totalidad de los mismos y el prestador del servicio que presentó la solicitud de cargos ante la CREG esté siendo intervenido por la Superintendencia de Servicios Públicos Domiciliarios para liquidación del prestador del servicio en dicho mercado, se podrá entender como Mercado Relevante </w:t>
      </w:r>
      <w:r w:rsidRPr="000B752D">
        <w:rPr>
          <w:rFonts w:ascii="Bookman Old Style" w:hAnsi="Bookman Old Style"/>
        </w:rPr>
        <w:t>Existente</w:t>
      </w:r>
      <w:r w:rsidR="00A215B6">
        <w:rPr>
          <w:rFonts w:ascii="Bookman Old Style" w:hAnsi="Bookman Old Style"/>
        </w:rPr>
        <w:t xml:space="preserve"> </w:t>
      </w:r>
      <w:r w:rsidRPr="000B752D">
        <w:rPr>
          <w:rFonts w:ascii="Bookman Old Style" w:hAnsi="Bookman Old Style"/>
        </w:rPr>
        <w:t xml:space="preserve">de Distribución </w:t>
      </w:r>
      <w:r w:rsidR="00A215B6">
        <w:rPr>
          <w:rFonts w:ascii="Bookman Old Style" w:hAnsi="Bookman Old Style"/>
        </w:rPr>
        <w:t xml:space="preserve">con periodo tarifario concluido, </w:t>
      </w:r>
      <w:r w:rsidRPr="000B752D">
        <w:rPr>
          <w:rFonts w:ascii="Bookman Old Style" w:hAnsi="Bookman Old Style"/>
        </w:rPr>
        <w:t>el conformado por la totalidad de los municipios en que se esté prestando el servicio y para aquellos donde no se esté prestando el servicio, el cargo aprobado conforme a la Resolución CREG 011 de 2003 perderá su vigencia y se podrá considerar como Municipio Nuevo.</w:t>
      </w:r>
      <w:r w:rsidRPr="000B65DE">
        <w:rPr>
          <w:rFonts w:ascii="Bookman Old Style" w:hAnsi="Bookman Old Style"/>
        </w:rPr>
        <w:t xml:space="preserve">  </w:t>
      </w:r>
    </w:p>
    <w:p w:rsidR="000B65DE" w:rsidRPr="000B65DE" w:rsidRDefault="000B65DE" w:rsidP="000B65DE">
      <w:pPr>
        <w:ind w:left="284" w:hanging="284"/>
        <w:jc w:val="both"/>
        <w:rPr>
          <w:rFonts w:ascii="Bookman Old Style" w:hAnsi="Bookman Old Style" w:cs="Arial"/>
        </w:rPr>
      </w:pPr>
    </w:p>
    <w:p w:rsidR="000B65DE" w:rsidRPr="000B65DE" w:rsidRDefault="000B65DE" w:rsidP="00EC1D64">
      <w:pPr>
        <w:numPr>
          <w:ilvl w:val="1"/>
          <w:numId w:val="2"/>
        </w:numPr>
        <w:overflowPunct w:val="0"/>
        <w:autoSpaceDE w:val="0"/>
        <w:autoSpaceDN w:val="0"/>
        <w:adjustRightInd w:val="0"/>
        <w:ind w:left="567" w:hanging="567"/>
        <w:jc w:val="both"/>
        <w:textAlignment w:val="baseline"/>
        <w:outlineLvl w:val="1"/>
        <w:rPr>
          <w:rFonts w:ascii="Bookman Old Style" w:hAnsi="Bookman Old Style"/>
          <w:b/>
          <w:bCs/>
        </w:rPr>
      </w:pPr>
      <w:r w:rsidRPr="000B65DE">
        <w:rPr>
          <w:rFonts w:ascii="Bookman Old Style" w:hAnsi="Bookman Old Style"/>
          <w:b/>
          <w:bCs/>
        </w:rPr>
        <w:t xml:space="preserve">SOLICITUDES DE CARGOS TRAMITADOS PARALELAMENTE. </w:t>
      </w:r>
    </w:p>
    <w:p w:rsidR="000B65DE" w:rsidRPr="000B65DE" w:rsidRDefault="000B65DE" w:rsidP="000B65DE"/>
    <w:p w:rsidR="000B65DE" w:rsidRPr="000B65DE" w:rsidRDefault="000B65DE" w:rsidP="000B65DE">
      <w:pPr>
        <w:ind w:left="0"/>
        <w:jc w:val="both"/>
        <w:rPr>
          <w:rFonts w:ascii="Bookman Old Style" w:hAnsi="Bookman Old Style"/>
        </w:rPr>
      </w:pPr>
      <w:r w:rsidRPr="000B65DE">
        <w:rPr>
          <w:rFonts w:ascii="Bookman Old Style" w:hAnsi="Bookman Old Style"/>
        </w:rPr>
        <w:t xml:space="preserve">Cuando más de un Distribuidor presente solicitud de aprobación de Cargos de Distribución para un Mercado Relevante de Distribución para el Siguiente Período Tarifario que esté conformado por los mismos municipios o cuando se trate de Mercados Relevantes diferentes pero en los que coincida(n) algún o algunos municipios, la Comisión procederá de la siguiente forma: </w:t>
      </w:r>
    </w:p>
    <w:p w:rsidR="000B65DE" w:rsidRPr="000B65DE" w:rsidRDefault="000B65DE" w:rsidP="000B65DE">
      <w:pPr>
        <w:ind w:left="0"/>
        <w:jc w:val="both"/>
        <w:rPr>
          <w:rFonts w:ascii="Bookman Old Style" w:hAnsi="Bookman Old Style"/>
        </w:rPr>
      </w:pPr>
    </w:p>
    <w:p w:rsidR="000B65DE" w:rsidRPr="000B65DE" w:rsidRDefault="000B65DE" w:rsidP="00382E27">
      <w:pPr>
        <w:numPr>
          <w:ilvl w:val="0"/>
          <w:numId w:val="5"/>
        </w:numPr>
        <w:ind w:left="284" w:hanging="284"/>
        <w:jc w:val="both"/>
        <w:rPr>
          <w:rFonts w:ascii="Bookman Old Style" w:hAnsi="Bookman Old Style"/>
        </w:rPr>
      </w:pPr>
      <w:r w:rsidRPr="000B65DE">
        <w:rPr>
          <w:rFonts w:ascii="Bookman Old Style" w:hAnsi="Bookman Old Style"/>
        </w:rPr>
        <w:t>Mercados Relevantes  de Distribución para el Siguiente Período Tarifario que sean iguales:</w:t>
      </w:r>
    </w:p>
    <w:p w:rsidR="000B65DE" w:rsidRPr="000B65DE" w:rsidRDefault="000B65DE" w:rsidP="000B65DE">
      <w:pPr>
        <w:ind w:left="720"/>
        <w:jc w:val="both"/>
        <w:rPr>
          <w:rFonts w:ascii="Bookman Old Style" w:hAnsi="Bookman Old Style"/>
        </w:rPr>
      </w:pPr>
    </w:p>
    <w:p w:rsidR="000B65DE" w:rsidRPr="000B65DE" w:rsidRDefault="000B65DE" w:rsidP="00382E27">
      <w:pPr>
        <w:numPr>
          <w:ilvl w:val="2"/>
          <w:numId w:val="2"/>
        </w:numPr>
        <w:ind w:left="426" w:hanging="426"/>
        <w:jc w:val="both"/>
        <w:rPr>
          <w:rFonts w:ascii="Bookman Old Style" w:hAnsi="Bookman Old Style"/>
          <w:lang w:val="es-CO"/>
        </w:rPr>
      </w:pPr>
      <w:r w:rsidRPr="000B65DE">
        <w:rPr>
          <w:rFonts w:ascii="Bookman Old Style" w:hAnsi="Bookman Old Style"/>
          <w:lang w:val="es-CO"/>
        </w:rPr>
        <w:t>La CREG revisará la información de cada solicitud tarifaria y verificará el cumplimiento de los requisitos según lo establecido en esta Resolución.</w:t>
      </w:r>
    </w:p>
    <w:p w:rsidR="000B65DE" w:rsidRPr="000B65DE" w:rsidRDefault="000B65DE" w:rsidP="000B65DE">
      <w:pPr>
        <w:ind w:left="426" w:hanging="426"/>
        <w:jc w:val="both"/>
        <w:rPr>
          <w:rFonts w:ascii="Bookman Old Style" w:hAnsi="Bookman Old Style"/>
          <w:lang w:val="es-CO"/>
        </w:rPr>
      </w:pPr>
    </w:p>
    <w:p w:rsidR="000B65DE" w:rsidRPr="000B65DE" w:rsidRDefault="000B65DE" w:rsidP="00382E27">
      <w:pPr>
        <w:numPr>
          <w:ilvl w:val="2"/>
          <w:numId w:val="2"/>
        </w:numPr>
        <w:ind w:left="426" w:hanging="426"/>
        <w:jc w:val="both"/>
        <w:rPr>
          <w:rFonts w:ascii="Bookman Old Style" w:hAnsi="Bookman Old Style"/>
          <w:lang w:val="es-CO"/>
        </w:rPr>
      </w:pPr>
      <w:r w:rsidRPr="000B65DE">
        <w:rPr>
          <w:rFonts w:ascii="Bookman Old Style" w:hAnsi="Bookman Old Style"/>
          <w:lang w:val="es-CO"/>
        </w:rPr>
        <w:t>Posteriormente, la CREG enviará a cada Distribuidor un resumen de la otra solicitud con el propósito de recibir, dentro de los quince (15) días hábiles siguientes al envío de la comunicación, los comentarios sobre la misma.</w:t>
      </w:r>
    </w:p>
    <w:p w:rsidR="000B65DE" w:rsidRPr="000B65DE" w:rsidRDefault="000B65DE" w:rsidP="000B65DE">
      <w:pPr>
        <w:ind w:left="426" w:hanging="426"/>
        <w:jc w:val="both"/>
        <w:rPr>
          <w:rFonts w:ascii="Bookman Old Style" w:hAnsi="Bookman Old Style"/>
          <w:lang w:val="es-CO"/>
        </w:rPr>
      </w:pPr>
    </w:p>
    <w:p w:rsidR="00BC3448" w:rsidRDefault="000B65DE" w:rsidP="00382E27">
      <w:pPr>
        <w:numPr>
          <w:ilvl w:val="2"/>
          <w:numId w:val="2"/>
        </w:numPr>
        <w:ind w:left="426" w:hanging="426"/>
        <w:jc w:val="both"/>
        <w:rPr>
          <w:rFonts w:ascii="Bookman Old Style" w:hAnsi="Bookman Old Style"/>
          <w:lang w:val="es-CO"/>
        </w:rPr>
      </w:pPr>
      <w:r w:rsidRPr="000B65DE">
        <w:rPr>
          <w:rFonts w:ascii="Bookman Old Style" w:hAnsi="Bookman Old Style"/>
          <w:lang w:val="es-CO"/>
        </w:rPr>
        <w:t>Vencido lo anterior</w:t>
      </w:r>
      <w:r w:rsidR="008942AD">
        <w:rPr>
          <w:rFonts w:ascii="Bookman Old Style" w:hAnsi="Bookman Old Style"/>
          <w:lang w:val="es-CO"/>
        </w:rPr>
        <w:t xml:space="preserve"> y e</w:t>
      </w:r>
      <w:r w:rsidR="008942AD" w:rsidRPr="000B65DE">
        <w:rPr>
          <w:rFonts w:ascii="Bookman Old Style" w:hAnsi="Bookman Old Style"/>
          <w:lang w:val="es-CO"/>
        </w:rPr>
        <w:t>n caso de Municipios Nuevos para el Mercado Relevante de Distribución para el Siguiente Período Tarifario</w:t>
      </w:r>
      <w:r w:rsidRPr="000B65DE">
        <w:rPr>
          <w:rFonts w:ascii="Bookman Old Style" w:hAnsi="Bookman Old Style"/>
          <w:lang w:val="es-CO"/>
        </w:rPr>
        <w:t>, la CREG evaluará las dos solicitudes tarifarias y se aprobarán los Cargos de Distribución con base en la información de aquella solicitud que cumpla con los mejores indicadores en relación con los costos</w:t>
      </w:r>
      <w:r w:rsidR="00BC3448">
        <w:rPr>
          <w:rFonts w:ascii="Bookman Old Style" w:hAnsi="Bookman Old Style"/>
          <w:lang w:val="es-CO"/>
        </w:rPr>
        <w:t xml:space="preserve"> totales de prestación de servicio al usuario</w:t>
      </w:r>
      <w:r w:rsidR="000B4AC2">
        <w:rPr>
          <w:rFonts w:ascii="Bookman Old Style" w:hAnsi="Bookman Old Style"/>
          <w:lang w:val="es-CO"/>
        </w:rPr>
        <w:t xml:space="preserve"> y cobertura</w:t>
      </w:r>
      <w:r w:rsidR="00BC3448">
        <w:rPr>
          <w:rFonts w:ascii="Bookman Old Style" w:hAnsi="Bookman Old Style"/>
          <w:lang w:val="es-CO"/>
        </w:rPr>
        <w:t>.</w:t>
      </w:r>
    </w:p>
    <w:p w:rsidR="000B65DE" w:rsidRPr="000B65DE" w:rsidRDefault="000B65DE" w:rsidP="000B65DE">
      <w:pPr>
        <w:ind w:left="708"/>
        <w:rPr>
          <w:rFonts w:ascii="Bookman Old Style" w:hAnsi="Bookman Old Style"/>
          <w:lang w:val="es-CO"/>
        </w:rPr>
      </w:pPr>
    </w:p>
    <w:p w:rsidR="000B65DE" w:rsidRPr="000B65DE" w:rsidRDefault="000B4AC2" w:rsidP="00382E27">
      <w:pPr>
        <w:numPr>
          <w:ilvl w:val="2"/>
          <w:numId w:val="2"/>
        </w:numPr>
        <w:ind w:left="426" w:hanging="426"/>
        <w:jc w:val="both"/>
        <w:rPr>
          <w:rFonts w:ascii="Bookman Old Style" w:hAnsi="Bookman Old Style"/>
          <w:lang w:val="es-CO"/>
        </w:rPr>
      </w:pPr>
      <w:r>
        <w:rPr>
          <w:rFonts w:ascii="Bookman Old Style" w:hAnsi="Bookman Old Style"/>
          <w:lang w:val="es-CO"/>
        </w:rPr>
        <w:t>E</w:t>
      </w:r>
      <w:r w:rsidRPr="000B65DE">
        <w:rPr>
          <w:rFonts w:ascii="Bookman Old Style" w:hAnsi="Bookman Old Style"/>
          <w:lang w:val="es-CO"/>
        </w:rPr>
        <w:t>n caso de municipios con prestación del servicio</w:t>
      </w:r>
      <w:r>
        <w:rPr>
          <w:rFonts w:ascii="Bookman Old Style" w:hAnsi="Bookman Old Style"/>
          <w:lang w:val="es-CO"/>
        </w:rPr>
        <w:t xml:space="preserve"> l</w:t>
      </w:r>
      <w:r w:rsidR="000B65DE" w:rsidRPr="000B65DE">
        <w:rPr>
          <w:rFonts w:ascii="Bookman Old Style" w:hAnsi="Bookman Old Style"/>
          <w:lang w:val="es-CO"/>
        </w:rPr>
        <w:t>a CREG evaluará las dos solicitudes tarifarias y se aprobarán los Cargos de Distribución considerando sólo las Unidades Constructivas mínimas requeridas para la prestación del servicio</w:t>
      </w:r>
      <w:r w:rsidR="009D40B8">
        <w:rPr>
          <w:rFonts w:ascii="Bookman Old Style" w:hAnsi="Bookman Old Style"/>
          <w:lang w:val="es-CO"/>
        </w:rPr>
        <w:t>.</w:t>
      </w:r>
      <w:r w:rsidR="000B65DE" w:rsidRPr="000B65DE">
        <w:rPr>
          <w:rFonts w:ascii="Bookman Old Style" w:hAnsi="Bookman Old Style"/>
          <w:lang w:val="es-CO"/>
        </w:rPr>
        <w:t xml:space="preserve"> </w:t>
      </w:r>
    </w:p>
    <w:p w:rsidR="000B65DE" w:rsidRPr="000B65DE" w:rsidRDefault="000B65DE" w:rsidP="000B65DE">
      <w:pPr>
        <w:ind w:left="720"/>
        <w:jc w:val="both"/>
        <w:rPr>
          <w:rFonts w:ascii="Bookman Old Style" w:hAnsi="Bookman Old Style"/>
          <w:lang w:val="es-CO"/>
        </w:rPr>
      </w:pPr>
    </w:p>
    <w:p w:rsidR="000B65DE" w:rsidRPr="000B65DE" w:rsidRDefault="000B65DE" w:rsidP="00382E27">
      <w:pPr>
        <w:numPr>
          <w:ilvl w:val="0"/>
          <w:numId w:val="5"/>
        </w:numPr>
        <w:ind w:left="426" w:hanging="426"/>
        <w:jc w:val="both"/>
        <w:rPr>
          <w:rFonts w:ascii="Bookman Old Style" w:hAnsi="Bookman Old Style"/>
        </w:rPr>
      </w:pPr>
      <w:r w:rsidRPr="000B65DE">
        <w:rPr>
          <w:rFonts w:ascii="Bookman Old Style" w:hAnsi="Bookman Old Style"/>
        </w:rPr>
        <w:t xml:space="preserve">Municipios incorporados en más de un Mercado Relevante  de Distribución para el Siguiente Período Tarifario. </w:t>
      </w:r>
    </w:p>
    <w:p w:rsidR="000B65DE" w:rsidRPr="000B65DE" w:rsidRDefault="000B65DE" w:rsidP="000B65DE">
      <w:pPr>
        <w:ind w:left="284"/>
        <w:jc w:val="both"/>
        <w:rPr>
          <w:rFonts w:ascii="Bookman Old Style" w:hAnsi="Bookman Old Style"/>
          <w:lang w:val="es-CO"/>
        </w:rPr>
      </w:pPr>
    </w:p>
    <w:p w:rsidR="000B65DE" w:rsidRPr="000B65DE" w:rsidRDefault="000B65DE" w:rsidP="008F4D9F">
      <w:pPr>
        <w:numPr>
          <w:ilvl w:val="0"/>
          <w:numId w:val="18"/>
        </w:numPr>
        <w:ind w:left="426" w:hanging="426"/>
        <w:jc w:val="both"/>
        <w:rPr>
          <w:rFonts w:ascii="Bookman Old Style" w:hAnsi="Bookman Old Style"/>
          <w:lang w:val="es-CO"/>
        </w:rPr>
      </w:pPr>
      <w:r w:rsidRPr="000B65DE">
        <w:rPr>
          <w:rFonts w:ascii="Bookman Old Style" w:hAnsi="Bookman Old Style"/>
          <w:lang w:val="es-CO"/>
        </w:rPr>
        <w:lastRenderedPageBreak/>
        <w:t>La CREG revisará la información de cada solicitud tarifaria y verificará el cumplimiento de los requisitos según lo establecido en esta Resolución.</w:t>
      </w:r>
    </w:p>
    <w:p w:rsidR="000B65DE" w:rsidRPr="000B65DE" w:rsidRDefault="000B65DE" w:rsidP="000B65DE">
      <w:pPr>
        <w:ind w:left="426" w:hanging="644"/>
        <w:jc w:val="both"/>
        <w:rPr>
          <w:rFonts w:ascii="Bookman Old Style" w:hAnsi="Bookman Old Style"/>
          <w:lang w:val="es-CO"/>
        </w:rPr>
      </w:pPr>
    </w:p>
    <w:p w:rsidR="000B65DE" w:rsidRPr="000B65DE" w:rsidRDefault="000B65DE" w:rsidP="008F4D9F">
      <w:pPr>
        <w:numPr>
          <w:ilvl w:val="0"/>
          <w:numId w:val="18"/>
        </w:numPr>
        <w:ind w:left="426" w:hanging="426"/>
        <w:jc w:val="both"/>
        <w:rPr>
          <w:rFonts w:ascii="Bookman Old Style" w:hAnsi="Bookman Old Style"/>
          <w:lang w:val="es-CO"/>
        </w:rPr>
      </w:pPr>
      <w:r w:rsidRPr="000B65DE">
        <w:rPr>
          <w:rFonts w:ascii="Bookman Old Style" w:hAnsi="Bookman Old Style"/>
          <w:lang w:val="es-CO"/>
        </w:rPr>
        <w:t>Posteriormente, la CREG enviará a cada Distribuidor un resumen de la otra solicitud con el propósito de recibir, dentro de los quince (15) días hábiles siguientes al envío de la comunicación, los comentarios sobre la misma o acuerdos sobre la conformación del Mercado Relevante de Distribución.</w:t>
      </w:r>
    </w:p>
    <w:p w:rsidR="000B65DE" w:rsidRPr="000B65DE" w:rsidRDefault="000B65DE" w:rsidP="000B65DE">
      <w:pPr>
        <w:ind w:left="426"/>
        <w:jc w:val="both"/>
        <w:rPr>
          <w:rFonts w:ascii="Bookman Old Style" w:hAnsi="Bookman Old Style"/>
          <w:lang w:val="es-CO"/>
        </w:rPr>
      </w:pPr>
    </w:p>
    <w:p w:rsidR="000B65DE" w:rsidRPr="000B65DE" w:rsidRDefault="000B65DE" w:rsidP="008F4D9F">
      <w:pPr>
        <w:numPr>
          <w:ilvl w:val="0"/>
          <w:numId w:val="18"/>
        </w:numPr>
        <w:ind w:left="426" w:hanging="426"/>
        <w:jc w:val="both"/>
        <w:rPr>
          <w:rFonts w:ascii="Bookman Old Style" w:hAnsi="Bookman Old Style"/>
          <w:lang w:val="es-CO"/>
        </w:rPr>
      </w:pPr>
      <w:r w:rsidRPr="000B65DE">
        <w:rPr>
          <w:rFonts w:ascii="Bookman Old Style" w:hAnsi="Bookman Old Style"/>
          <w:lang w:val="es-CO"/>
        </w:rPr>
        <w:t>Vencido lo anterior, la Comisión evaluará la conveniencia de extraer los municipios comunes de las dos solicitudes tarifarias para que conformen un Mercado Relevante de Distribución independiente.</w:t>
      </w:r>
    </w:p>
    <w:p w:rsidR="000B65DE" w:rsidRPr="000B65DE" w:rsidRDefault="000B65DE" w:rsidP="000B65DE">
      <w:pPr>
        <w:ind w:left="708"/>
        <w:rPr>
          <w:rFonts w:ascii="Bookman Old Style" w:hAnsi="Bookman Old Style"/>
          <w:lang w:val="es-CO"/>
        </w:rPr>
      </w:pPr>
    </w:p>
    <w:p w:rsidR="000B65DE" w:rsidRPr="000B65DE" w:rsidRDefault="000B65DE" w:rsidP="008F4D9F">
      <w:pPr>
        <w:numPr>
          <w:ilvl w:val="0"/>
          <w:numId w:val="18"/>
        </w:numPr>
        <w:ind w:left="426" w:hanging="426"/>
        <w:jc w:val="both"/>
        <w:rPr>
          <w:rFonts w:ascii="Bookman Old Style" w:hAnsi="Bookman Old Style"/>
          <w:lang w:val="es-CO"/>
        </w:rPr>
      </w:pPr>
      <w:r w:rsidRPr="000B65DE">
        <w:rPr>
          <w:rFonts w:ascii="Bookman Old Style" w:hAnsi="Bookman Old Style"/>
          <w:lang w:val="es-CO"/>
        </w:rPr>
        <w:t xml:space="preserve">En caso contrario, la CREG evaluará la solicitud que cumpla de mejor manera los indicadores en relación con los costos </w:t>
      </w:r>
      <w:r w:rsidR="000B4AC2">
        <w:rPr>
          <w:rFonts w:ascii="Bookman Old Style" w:hAnsi="Bookman Old Style"/>
          <w:lang w:val="es-CO"/>
        </w:rPr>
        <w:t xml:space="preserve">totales de prestación del servicio al usuario </w:t>
      </w:r>
      <w:r w:rsidRPr="000B65DE">
        <w:rPr>
          <w:rFonts w:ascii="Bookman Old Style" w:hAnsi="Bookman Old Style"/>
          <w:lang w:val="es-CO"/>
        </w:rPr>
        <w:t xml:space="preserve">y la cobertura en caso de Municipios Nuevos, para el Mercado Relevante de Distribución y con base en esta aprobará los cargos. </w:t>
      </w:r>
    </w:p>
    <w:p w:rsidR="000B65DE" w:rsidRPr="000B65DE" w:rsidRDefault="000B65DE" w:rsidP="000B65DE">
      <w:pPr>
        <w:ind w:left="0"/>
        <w:rPr>
          <w:rFonts w:ascii="Bookman Old Style" w:hAnsi="Bookman Old Style"/>
        </w:rPr>
      </w:pPr>
    </w:p>
    <w:p w:rsidR="00491D67" w:rsidRDefault="00491D67" w:rsidP="00D67391">
      <w:pPr>
        <w:numPr>
          <w:ilvl w:val="1"/>
          <w:numId w:val="2"/>
        </w:numPr>
        <w:overflowPunct w:val="0"/>
        <w:autoSpaceDE w:val="0"/>
        <w:autoSpaceDN w:val="0"/>
        <w:adjustRightInd w:val="0"/>
        <w:ind w:left="567" w:hanging="567"/>
        <w:jc w:val="both"/>
        <w:textAlignment w:val="baseline"/>
        <w:outlineLvl w:val="1"/>
        <w:rPr>
          <w:rFonts w:ascii="Bookman Old Style" w:hAnsi="Bookman Old Style"/>
          <w:b/>
          <w:bCs/>
        </w:rPr>
      </w:pPr>
      <w:r>
        <w:rPr>
          <w:rFonts w:ascii="Bookman Old Style" w:hAnsi="Bookman Old Style"/>
          <w:b/>
          <w:bCs/>
        </w:rPr>
        <w:t xml:space="preserve">SOLICITUDES DE CARGOS DE DISTRIBUCIÓN PARA EL SIGUIENTE PERIODO TARIFARIO EN </w:t>
      </w:r>
      <w:r w:rsidR="000B4AC2">
        <w:rPr>
          <w:rFonts w:ascii="Bookman Old Style" w:hAnsi="Bookman Old Style"/>
          <w:b/>
          <w:bCs/>
        </w:rPr>
        <w:t xml:space="preserve">NUEVOS </w:t>
      </w:r>
      <w:r>
        <w:rPr>
          <w:rFonts w:ascii="Bookman Old Style" w:hAnsi="Bookman Old Style"/>
          <w:b/>
          <w:bCs/>
        </w:rPr>
        <w:t xml:space="preserve">MERCADOS </w:t>
      </w:r>
      <w:r w:rsidR="00D67391">
        <w:rPr>
          <w:rFonts w:ascii="Bookman Old Style" w:hAnsi="Bookman Old Style"/>
          <w:b/>
          <w:bCs/>
        </w:rPr>
        <w:t xml:space="preserve">RELEVANTES </w:t>
      </w:r>
      <w:r>
        <w:rPr>
          <w:rFonts w:ascii="Bookman Old Style" w:hAnsi="Bookman Old Style"/>
          <w:b/>
          <w:bCs/>
        </w:rPr>
        <w:t>DE DISTRIBUCIÓN QUE CUENTAN CON RECURSOS PUBLICOS.</w:t>
      </w:r>
    </w:p>
    <w:p w:rsidR="00491D67" w:rsidRDefault="00491D67" w:rsidP="005F547A"/>
    <w:p w:rsidR="00E96C30" w:rsidRDefault="00491D67" w:rsidP="00D67391">
      <w:pPr>
        <w:ind w:left="0"/>
        <w:jc w:val="both"/>
        <w:rPr>
          <w:rFonts w:ascii="Bookman Old Style" w:hAnsi="Bookman Old Style"/>
        </w:rPr>
      </w:pPr>
      <w:r w:rsidRPr="00D67391">
        <w:rPr>
          <w:rFonts w:ascii="Bookman Old Style" w:hAnsi="Bookman Old Style"/>
        </w:rPr>
        <w:t xml:space="preserve">Para la aprobación de </w:t>
      </w:r>
      <w:r>
        <w:rPr>
          <w:rFonts w:ascii="Bookman Old Style" w:hAnsi="Bookman Old Style"/>
        </w:rPr>
        <w:t>C</w:t>
      </w:r>
      <w:r w:rsidRPr="00D67391">
        <w:rPr>
          <w:rFonts w:ascii="Bookman Old Style" w:hAnsi="Bookman Old Style"/>
        </w:rPr>
        <w:t xml:space="preserve">argos de </w:t>
      </w:r>
      <w:r>
        <w:rPr>
          <w:rFonts w:ascii="Bookman Old Style" w:hAnsi="Bookman Old Style"/>
        </w:rPr>
        <w:t>D</w:t>
      </w:r>
      <w:r w:rsidRPr="00D67391">
        <w:rPr>
          <w:rFonts w:ascii="Bookman Old Style" w:hAnsi="Bookman Old Style"/>
        </w:rPr>
        <w:t xml:space="preserve">istribución para el siguiente periodo tarifario en Mercados </w:t>
      </w:r>
      <w:r w:rsidR="00D67391">
        <w:rPr>
          <w:rFonts w:ascii="Bookman Old Style" w:hAnsi="Bookman Old Style"/>
        </w:rPr>
        <w:t>Relevantes d</w:t>
      </w:r>
      <w:r w:rsidRPr="00491D67">
        <w:rPr>
          <w:rFonts w:ascii="Bookman Old Style" w:hAnsi="Bookman Old Style"/>
        </w:rPr>
        <w:t>e Distribución</w:t>
      </w:r>
      <w:r w:rsidR="00D67391">
        <w:rPr>
          <w:rFonts w:ascii="Bookman Old Style" w:hAnsi="Bookman Old Style"/>
        </w:rPr>
        <w:t xml:space="preserve"> que cuentan con recursos públicos</w:t>
      </w:r>
      <w:r>
        <w:rPr>
          <w:rFonts w:ascii="Bookman Old Style" w:hAnsi="Bookman Old Style"/>
        </w:rPr>
        <w:t xml:space="preserve">, </w:t>
      </w:r>
      <w:r w:rsidR="00D67391">
        <w:rPr>
          <w:rFonts w:ascii="Bookman Old Style" w:hAnsi="Bookman Old Style"/>
        </w:rPr>
        <w:t xml:space="preserve">los distribuidores deberán discriminar claramente los activos que se realizarán con </w:t>
      </w:r>
      <w:r w:rsidR="00B7048B">
        <w:rPr>
          <w:rFonts w:ascii="Bookman Old Style" w:hAnsi="Bookman Old Style"/>
        </w:rPr>
        <w:t xml:space="preserve">estos </w:t>
      </w:r>
      <w:r w:rsidR="00D67391">
        <w:rPr>
          <w:rFonts w:ascii="Bookman Old Style" w:hAnsi="Bookman Old Style"/>
        </w:rPr>
        <w:t xml:space="preserve">recursos públicos y los que se harán con </w:t>
      </w:r>
      <w:r w:rsidR="00E96C30">
        <w:rPr>
          <w:rFonts w:ascii="Bookman Old Style" w:hAnsi="Bookman Old Style"/>
        </w:rPr>
        <w:t xml:space="preserve">dineros </w:t>
      </w:r>
      <w:r w:rsidR="00B7048B">
        <w:rPr>
          <w:rFonts w:ascii="Bookman Old Style" w:hAnsi="Bookman Old Style"/>
        </w:rPr>
        <w:t xml:space="preserve">propios de la empresa. </w:t>
      </w:r>
    </w:p>
    <w:p w:rsidR="00E96C30" w:rsidRDefault="00E96C30" w:rsidP="00D67391">
      <w:pPr>
        <w:ind w:left="0"/>
        <w:jc w:val="both"/>
        <w:rPr>
          <w:rFonts w:ascii="Bookman Old Style" w:hAnsi="Bookman Old Style"/>
        </w:rPr>
      </w:pPr>
    </w:p>
    <w:p w:rsidR="00EC1D64" w:rsidRDefault="00E96C30" w:rsidP="00D67391">
      <w:pPr>
        <w:ind w:left="0"/>
        <w:jc w:val="both"/>
        <w:rPr>
          <w:rFonts w:ascii="Bookman Old Style" w:hAnsi="Bookman Old Style"/>
        </w:rPr>
      </w:pPr>
      <w:r>
        <w:rPr>
          <w:rFonts w:ascii="Bookman Old Style" w:hAnsi="Bookman Old Style"/>
        </w:rPr>
        <w:t xml:space="preserve">La CREG en las resoluciones particulares </w:t>
      </w:r>
      <w:r w:rsidR="00EC1D64">
        <w:rPr>
          <w:rFonts w:ascii="Bookman Old Style" w:hAnsi="Bookman Old Style"/>
        </w:rPr>
        <w:t>desagregará</w:t>
      </w:r>
      <w:r>
        <w:rPr>
          <w:rFonts w:ascii="Bookman Old Style" w:hAnsi="Bookman Old Style"/>
        </w:rPr>
        <w:t xml:space="preserve"> los cargos de distribución</w:t>
      </w:r>
      <w:r w:rsidR="00EC1D64">
        <w:rPr>
          <w:rFonts w:ascii="Bookman Old Style" w:hAnsi="Bookman Old Style"/>
        </w:rPr>
        <w:t xml:space="preserve"> resultantes</w:t>
      </w:r>
      <w:r>
        <w:rPr>
          <w:rFonts w:ascii="Bookman Old Style" w:hAnsi="Bookman Old Style"/>
        </w:rPr>
        <w:t xml:space="preserve"> </w:t>
      </w:r>
      <w:r w:rsidR="00EC1D64">
        <w:rPr>
          <w:rFonts w:ascii="Bookman Old Style" w:hAnsi="Bookman Old Style"/>
        </w:rPr>
        <w:t xml:space="preserve">del cálculo tarifario </w:t>
      </w:r>
      <w:r>
        <w:rPr>
          <w:rFonts w:ascii="Bookman Old Style" w:hAnsi="Bookman Old Style"/>
        </w:rPr>
        <w:t>en</w:t>
      </w:r>
      <w:r w:rsidR="00EC1D64">
        <w:rPr>
          <w:rFonts w:ascii="Bookman Old Style" w:hAnsi="Bookman Old Style"/>
        </w:rPr>
        <w:t>: (i)</w:t>
      </w:r>
      <w:r>
        <w:rPr>
          <w:rFonts w:ascii="Bookman Old Style" w:hAnsi="Bookman Old Style"/>
        </w:rPr>
        <w:t xml:space="preserve"> </w:t>
      </w:r>
      <w:r w:rsidR="00EC1D64">
        <w:rPr>
          <w:rFonts w:ascii="Bookman Old Style" w:hAnsi="Bookman Old Style"/>
        </w:rPr>
        <w:t xml:space="preserve">componente de inversión pagada con </w:t>
      </w:r>
      <w:r>
        <w:rPr>
          <w:rFonts w:ascii="Bookman Old Style" w:hAnsi="Bookman Old Style"/>
        </w:rPr>
        <w:t>recursos públicos</w:t>
      </w:r>
      <w:r w:rsidR="007D792C">
        <w:rPr>
          <w:rFonts w:ascii="Bookman Old Style" w:hAnsi="Bookman Old Style"/>
        </w:rPr>
        <w:t xml:space="preserve">; </w:t>
      </w:r>
      <w:r w:rsidR="00EC1D64">
        <w:rPr>
          <w:rFonts w:ascii="Bookman Old Style" w:hAnsi="Bookman Old Style"/>
        </w:rPr>
        <w:t xml:space="preserve">(ii) componente de inversión pagada con </w:t>
      </w:r>
      <w:r>
        <w:rPr>
          <w:rFonts w:ascii="Bookman Old Style" w:hAnsi="Bookman Old Style"/>
        </w:rPr>
        <w:t xml:space="preserve">recursos de la empresa y </w:t>
      </w:r>
      <w:r w:rsidR="00EC1D64">
        <w:rPr>
          <w:rFonts w:ascii="Bookman Old Style" w:hAnsi="Bookman Old Style"/>
        </w:rPr>
        <w:t>(iii)</w:t>
      </w:r>
      <w:r>
        <w:rPr>
          <w:rFonts w:ascii="Bookman Old Style" w:hAnsi="Bookman Old Style"/>
        </w:rPr>
        <w:t xml:space="preserve"> componente </w:t>
      </w:r>
      <w:r w:rsidR="00EC1D64">
        <w:rPr>
          <w:rFonts w:ascii="Bookman Old Style" w:hAnsi="Bookman Old Style"/>
        </w:rPr>
        <w:t>que remunera</w:t>
      </w:r>
      <w:r>
        <w:rPr>
          <w:rFonts w:ascii="Bookman Old Style" w:hAnsi="Bookman Old Style"/>
        </w:rPr>
        <w:t xml:space="preserve"> gastos de administración, operación y mantenimiento – AOM. </w:t>
      </w:r>
    </w:p>
    <w:p w:rsidR="00EC1D64" w:rsidRDefault="00EC1D64" w:rsidP="00D67391">
      <w:pPr>
        <w:ind w:left="0"/>
        <w:jc w:val="both"/>
        <w:rPr>
          <w:rFonts w:ascii="Bookman Old Style" w:hAnsi="Bookman Old Style"/>
        </w:rPr>
      </w:pPr>
    </w:p>
    <w:p w:rsidR="00EC1D64" w:rsidRDefault="00E96C30" w:rsidP="00D67391">
      <w:pPr>
        <w:ind w:left="0"/>
        <w:jc w:val="both"/>
        <w:rPr>
          <w:rFonts w:ascii="Bookman Old Style" w:hAnsi="Bookman Old Style"/>
        </w:rPr>
      </w:pPr>
      <w:r>
        <w:rPr>
          <w:rFonts w:ascii="Bookman Old Style" w:hAnsi="Bookman Old Style"/>
        </w:rPr>
        <w:t>E</w:t>
      </w:r>
      <w:r w:rsidR="00B7048B">
        <w:rPr>
          <w:rFonts w:ascii="Bookman Old Style" w:hAnsi="Bookman Old Style"/>
        </w:rPr>
        <w:t xml:space="preserve">l componente </w:t>
      </w:r>
      <w:r w:rsidR="00EC1D64">
        <w:rPr>
          <w:rFonts w:ascii="Bookman Old Style" w:hAnsi="Bookman Old Style"/>
        </w:rPr>
        <w:t>de</w:t>
      </w:r>
      <w:r>
        <w:rPr>
          <w:rFonts w:ascii="Bookman Old Style" w:hAnsi="Bookman Old Style"/>
        </w:rPr>
        <w:t xml:space="preserve"> </w:t>
      </w:r>
      <w:r w:rsidR="00B7048B">
        <w:rPr>
          <w:rFonts w:ascii="Bookman Old Style" w:hAnsi="Bookman Old Style"/>
        </w:rPr>
        <w:t>inversi</w:t>
      </w:r>
      <w:r>
        <w:rPr>
          <w:rFonts w:ascii="Bookman Old Style" w:hAnsi="Bookman Old Style"/>
        </w:rPr>
        <w:t xml:space="preserve">ón </w:t>
      </w:r>
      <w:r w:rsidR="00EC1D64">
        <w:rPr>
          <w:rFonts w:ascii="Bookman Old Style" w:hAnsi="Bookman Old Style"/>
        </w:rPr>
        <w:t>correspondiente a</w:t>
      </w:r>
      <w:r w:rsidR="00B7048B">
        <w:rPr>
          <w:rFonts w:ascii="Bookman Old Style" w:hAnsi="Bookman Old Style"/>
        </w:rPr>
        <w:t xml:space="preserve"> </w:t>
      </w:r>
      <w:r w:rsidR="00EC1D64">
        <w:rPr>
          <w:rFonts w:ascii="Bookman Old Style" w:hAnsi="Bookman Old Style"/>
        </w:rPr>
        <w:t xml:space="preserve">recursos de </w:t>
      </w:r>
      <w:r w:rsidR="00B7048B">
        <w:rPr>
          <w:rFonts w:ascii="Bookman Old Style" w:hAnsi="Bookman Old Style"/>
        </w:rPr>
        <w:t xml:space="preserve">la empresa </w:t>
      </w:r>
      <w:r>
        <w:rPr>
          <w:rFonts w:ascii="Bookman Old Style" w:hAnsi="Bookman Old Style"/>
        </w:rPr>
        <w:t>s</w:t>
      </w:r>
      <w:r w:rsidR="00EC1D64">
        <w:rPr>
          <w:rFonts w:ascii="Bookman Old Style" w:hAnsi="Bookman Old Style"/>
        </w:rPr>
        <w:t>ó</w:t>
      </w:r>
      <w:r>
        <w:rPr>
          <w:rFonts w:ascii="Bookman Old Style" w:hAnsi="Bookman Old Style"/>
        </w:rPr>
        <w:t xml:space="preserve">lo podrá </w:t>
      </w:r>
      <w:r w:rsidR="00EC1D64">
        <w:rPr>
          <w:rFonts w:ascii="Bookman Old Style" w:hAnsi="Bookman Old Style"/>
        </w:rPr>
        <w:t xml:space="preserve">iniciar su </w:t>
      </w:r>
      <w:r>
        <w:rPr>
          <w:rFonts w:ascii="Bookman Old Style" w:hAnsi="Bookman Old Style"/>
        </w:rPr>
        <w:t>cobr</w:t>
      </w:r>
      <w:r w:rsidR="00EC1D64">
        <w:rPr>
          <w:rFonts w:ascii="Bookman Old Style" w:hAnsi="Bookman Old Style"/>
        </w:rPr>
        <w:t>o</w:t>
      </w:r>
      <w:r>
        <w:rPr>
          <w:rFonts w:ascii="Bookman Old Style" w:hAnsi="Bookman Old Style"/>
        </w:rPr>
        <w:t xml:space="preserve"> al usuario</w:t>
      </w:r>
      <w:r w:rsidR="00EC1D64">
        <w:rPr>
          <w:rFonts w:ascii="Bookman Old Style" w:hAnsi="Bookman Old Style"/>
        </w:rPr>
        <w:t>,</w:t>
      </w:r>
      <w:r>
        <w:rPr>
          <w:rFonts w:ascii="Bookman Old Style" w:hAnsi="Bookman Old Style"/>
        </w:rPr>
        <w:t xml:space="preserve"> </w:t>
      </w:r>
      <w:r w:rsidR="005B3E20">
        <w:rPr>
          <w:rFonts w:ascii="Bookman Old Style" w:hAnsi="Bookman Old Style"/>
        </w:rPr>
        <w:t>al mes siguiente de que la</w:t>
      </w:r>
      <w:r>
        <w:rPr>
          <w:rFonts w:ascii="Bookman Old Style" w:hAnsi="Bookman Old Style"/>
        </w:rPr>
        <w:t xml:space="preserve"> </w:t>
      </w:r>
      <w:r w:rsidR="00B7048B">
        <w:rPr>
          <w:rFonts w:ascii="Bookman Old Style" w:hAnsi="Bookman Old Style"/>
        </w:rPr>
        <w:t xml:space="preserve">distribuidora haya </w:t>
      </w:r>
      <w:r w:rsidR="00BA73DD">
        <w:rPr>
          <w:rFonts w:ascii="Bookman Old Style" w:hAnsi="Bookman Old Style"/>
        </w:rPr>
        <w:t xml:space="preserve">finalizado </w:t>
      </w:r>
      <w:r>
        <w:rPr>
          <w:rFonts w:ascii="Bookman Old Style" w:hAnsi="Bookman Old Style"/>
        </w:rPr>
        <w:t xml:space="preserve">la </w:t>
      </w:r>
      <w:r w:rsidR="00B7048B">
        <w:rPr>
          <w:rFonts w:ascii="Bookman Old Style" w:hAnsi="Bookman Old Style"/>
        </w:rPr>
        <w:t>constru</w:t>
      </w:r>
      <w:r>
        <w:rPr>
          <w:rFonts w:ascii="Bookman Old Style" w:hAnsi="Bookman Old Style"/>
        </w:rPr>
        <w:t xml:space="preserve">cción de </w:t>
      </w:r>
      <w:r w:rsidR="00B7048B">
        <w:rPr>
          <w:rFonts w:ascii="Bookman Old Style" w:hAnsi="Bookman Old Style"/>
        </w:rPr>
        <w:t>todos los activos</w:t>
      </w:r>
      <w:r>
        <w:rPr>
          <w:rFonts w:ascii="Bookman Old Style" w:hAnsi="Bookman Old Style"/>
        </w:rPr>
        <w:t xml:space="preserve"> </w:t>
      </w:r>
      <w:r w:rsidR="00C6679E">
        <w:rPr>
          <w:rFonts w:ascii="Bookman Old Style" w:hAnsi="Bookman Old Style"/>
        </w:rPr>
        <w:t>que fueron reconocidos en los Cargos de Distribución aprobados.</w:t>
      </w:r>
    </w:p>
    <w:p w:rsidR="00BA73DD" w:rsidRDefault="00BA73DD" w:rsidP="00D67391">
      <w:pPr>
        <w:ind w:left="0"/>
        <w:jc w:val="both"/>
        <w:rPr>
          <w:rFonts w:ascii="Bookman Old Style" w:hAnsi="Bookman Old Style"/>
        </w:rPr>
      </w:pPr>
    </w:p>
    <w:p w:rsidR="00B7048B" w:rsidRDefault="00BA73DD" w:rsidP="00D67391">
      <w:pPr>
        <w:ind w:left="0"/>
        <w:jc w:val="both"/>
        <w:rPr>
          <w:rFonts w:ascii="Bookman Old Style" w:hAnsi="Bookman Old Style"/>
        </w:rPr>
      </w:pPr>
      <w:r>
        <w:rPr>
          <w:rFonts w:ascii="Bookman Old Style" w:hAnsi="Bookman Old Style"/>
        </w:rPr>
        <w:t>Para esto l</w:t>
      </w:r>
      <w:r w:rsidR="00EC1D64">
        <w:rPr>
          <w:rFonts w:ascii="Bookman Old Style" w:hAnsi="Bookman Old Style"/>
        </w:rPr>
        <w:t xml:space="preserve">a empresa </w:t>
      </w:r>
      <w:r>
        <w:rPr>
          <w:rFonts w:ascii="Bookman Old Style" w:hAnsi="Bookman Old Style"/>
        </w:rPr>
        <w:t xml:space="preserve">deberá enviar a la Superintendencia de Servicios Públicos las correspondientes </w:t>
      </w:r>
      <w:r w:rsidR="005B3E20">
        <w:rPr>
          <w:rFonts w:ascii="Bookman Old Style" w:hAnsi="Bookman Old Style"/>
        </w:rPr>
        <w:t xml:space="preserve">certificaciones </w:t>
      </w:r>
      <w:r>
        <w:rPr>
          <w:rFonts w:ascii="Bookman Old Style" w:hAnsi="Bookman Old Style"/>
        </w:rPr>
        <w:t xml:space="preserve">expedidas por </w:t>
      </w:r>
      <w:r w:rsidR="00E96C30">
        <w:rPr>
          <w:rFonts w:ascii="Bookman Old Style" w:hAnsi="Bookman Old Style"/>
        </w:rPr>
        <w:t xml:space="preserve">los fondos o los entes territoriales </w:t>
      </w:r>
      <w:r>
        <w:rPr>
          <w:rFonts w:ascii="Bookman Old Style" w:hAnsi="Bookman Old Style"/>
        </w:rPr>
        <w:t>que hayan aportado los</w:t>
      </w:r>
      <w:r w:rsidR="00EC1D64">
        <w:rPr>
          <w:rFonts w:ascii="Bookman Old Style" w:hAnsi="Bookman Old Style"/>
        </w:rPr>
        <w:t xml:space="preserve"> </w:t>
      </w:r>
      <w:r w:rsidR="00E96C30">
        <w:rPr>
          <w:rFonts w:ascii="Bookman Old Style" w:hAnsi="Bookman Old Style"/>
        </w:rPr>
        <w:t>recursos públicos.</w:t>
      </w:r>
      <w:r w:rsidR="005B3E20">
        <w:rPr>
          <w:rFonts w:ascii="Bookman Old Style" w:hAnsi="Bookman Old Style"/>
        </w:rPr>
        <w:t xml:space="preserve"> </w:t>
      </w:r>
    </w:p>
    <w:p w:rsidR="00491D67" w:rsidRDefault="00491D67" w:rsidP="005F547A"/>
    <w:p w:rsidR="000B65DE" w:rsidRPr="000B65DE" w:rsidRDefault="000B65DE" w:rsidP="00B7048B">
      <w:pPr>
        <w:numPr>
          <w:ilvl w:val="1"/>
          <w:numId w:val="2"/>
        </w:numPr>
        <w:overflowPunct w:val="0"/>
        <w:autoSpaceDE w:val="0"/>
        <w:autoSpaceDN w:val="0"/>
        <w:adjustRightInd w:val="0"/>
        <w:ind w:left="567" w:hanging="567"/>
        <w:jc w:val="both"/>
        <w:textAlignment w:val="baseline"/>
        <w:outlineLvl w:val="1"/>
        <w:rPr>
          <w:rFonts w:ascii="Bookman Old Style" w:hAnsi="Bookman Old Style"/>
          <w:b/>
          <w:bCs/>
        </w:rPr>
      </w:pPr>
      <w:r w:rsidRPr="000B65DE">
        <w:rPr>
          <w:rFonts w:ascii="Bookman Old Style" w:hAnsi="Bookman Old Style"/>
          <w:b/>
          <w:bCs/>
        </w:rPr>
        <w:t>SOLICITUDES DE CARGOS DE DISTRIBUCIÓN PARA EL SIGUIENTE PERÍODO TARIFARIO EN MERCADOS EXISTENTES DE DISTRIBUCIÓN QUE CUENTEN CON INVERSIONES EJECUTADAS PERO EN LOS QUE NO SE ESTÉ PRESTANDO EL SERVICIO.</w:t>
      </w:r>
    </w:p>
    <w:p w:rsidR="000B65DE" w:rsidRPr="000B65DE" w:rsidRDefault="000B65DE" w:rsidP="000B65DE">
      <w:pPr>
        <w:ind w:left="0"/>
        <w:jc w:val="both"/>
        <w:rPr>
          <w:rFonts w:ascii="Bookman Old Style" w:hAnsi="Bookman Old Style"/>
          <w:b/>
        </w:rPr>
      </w:pPr>
    </w:p>
    <w:p w:rsidR="000B65DE" w:rsidRPr="000B65DE" w:rsidRDefault="000B65DE" w:rsidP="000B65DE">
      <w:pPr>
        <w:ind w:left="0"/>
        <w:jc w:val="both"/>
        <w:rPr>
          <w:rFonts w:ascii="Bookman Old Style" w:hAnsi="Bookman Old Style"/>
          <w:b/>
        </w:rPr>
      </w:pPr>
      <w:r w:rsidRPr="000B65DE">
        <w:rPr>
          <w:rFonts w:ascii="Bookman Old Style" w:hAnsi="Bookman Old Style"/>
        </w:rPr>
        <w:t xml:space="preserve">Aquellos Mercados Existentes de Distribución que cuenten con inversiones ejecutadas pero no se esté prestando el servicio y cuyos Cargos de Distribución hayan estado vigentes por cinco (5) años o más, </w:t>
      </w:r>
      <w:r w:rsidR="00DE2140">
        <w:rPr>
          <w:rFonts w:ascii="Bookman Old Style" w:hAnsi="Bookman Old Style"/>
        </w:rPr>
        <w:t xml:space="preserve">el cargo perderá </w:t>
      </w:r>
      <w:r w:rsidR="00F35954">
        <w:rPr>
          <w:rFonts w:ascii="Bookman Old Style" w:hAnsi="Bookman Old Style"/>
        </w:rPr>
        <w:t xml:space="preserve">su vigencia y </w:t>
      </w:r>
      <w:r w:rsidRPr="000B65DE">
        <w:rPr>
          <w:rFonts w:ascii="Bookman Old Style" w:hAnsi="Bookman Old Style"/>
        </w:rPr>
        <w:lastRenderedPageBreak/>
        <w:t xml:space="preserve">podrán ser objeto de solicitud de cargos para el Siguiente Período Tarifario </w:t>
      </w:r>
      <w:r w:rsidR="00F35954">
        <w:rPr>
          <w:rFonts w:ascii="Bookman Old Style" w:hAnsi="Bookman Old Style"/>
        </w:rPr>
        <w:t>por parte de cualquier Distribuidor como Nuevos Mercados de Distribución</w:t>
      </w:r>
      <w:r w:rsidRPr="000B65DE">
        <w:rPr>
          <w:rFonts w:ascii="Bookman Old Style" w:hAnsi="Bookman Old Style"/>
        </w:rPr>
        <w:t xml:space="preserve">. </w:t>
      </w:r>
    </w:p>
    <w:p w:rsidR="000B65DE" w:rsidRPr="000B65DE" w:rsidRDefault="000B65DE" w:rsidP="000B65DE">
      <w:pPr>
        <w:ind w:left="0"/>
        <w:jc w:val="both"/>
        <w:rPr>
          <w:rFonts w:ascii="Bookman Old Style" w:hAnsi="Bookman Old Style"/>
          <w:b/>
        </w:rPr>
      </w:pPr>
    </w:p>
    <w:p w:rsidR="000B65DE" w:rsidRPr="000B65DE" w:rsidRDefault="000B65DE" w:rsidP="000B65DE">
      <w:pPr>
        <w:ind w:left="0"/>
        <w:jc w:val="both"/>
        <w:rPr>
          <w:rFonts w:ascii="Bookman Old Style" w:hAnsi="Bookman Old Style"/>
        </w:rPr>
      </w:pPr>
      <w:r w:rsidRPr="000B65DE">
        <w:rPr>
          <w:rFonts w:ascii="Bookman Old Style" w:hAnsi="Bookman Old Style"/>
          <w:b/>
          <w:lang w:val="es-CO"/>
        </w:rPr>
        <w:t xml:space="preserve">Parágrafo. </w:t>
      </w:r>
      <w:r w:rsidRPr="000B65DE">
        <w:rPr>
          <w:rFonts w:ascii="Bookman Old Style" w:hAnsi="Bookman Old Style"/>
          <w:lang w:val="es-CO"/>
        </w:rPr>
        <w:t xml:space="preserve">Todas </w:t>
      </w:r>
      <w:r w:rsidRPr="000B65DE">
        <w:rPr>
          <w:rFonts w:ascii="Bookman Old Style" w:hAnsi="Bookman Old Style"/>
        </w:rPr>
        <w:t xml:space="preserve">las solicitudes tarifarias que se presenten a la CREG deberán acogerse a los criterios para la conformación de los Mercados Relevantes de Distribución para el Siguiente Período Tarifario establecidos en la presente resolución. </w:t>
      </w:r>
    </w:p>
    <w:p w:rsidR="000B65DE" w:rsidRPr="000B65DE" w:rsidRDefault="000B65DE" w:rsidP="00382E27">
      <w:pPr>
        <w:keepNext/>
        <w:numPr>
          <w:ilvl w:val="0"/>
          <w:numId w:val="2"/>
        </w:numPr>
        <w:spacing w:before="240" w:after="60"/>
        <w:jc w:val="both"/>
        <w:outlineLvl w:val="0"/>
        <w:rPr>
          <w:rFonts w:ascii="Bookman Old Style" w:hAnsi="Bookman Old Style"/>
          <w:bCs/>
        </w:rPr>
      </w:pPr>
      <w:r w:rsidRPr="000B65DE">
        <w:rPr>
          <w:rFonts w:ascii="Bookman Old Style" w:hAnsi="Bookman Old Style"/>
          <w:b/>
          <w:bCs/>
        </w:rPr>
        <w:t xml:space="preserve">VIGENCIA DE LOS NUEVOS CARGOS. </w:t>
      </w:r>
      <w:r w:rsidRPr="000B65DE">
        <w:rPr>
          <w:rFonts w:ascii="Bookman Old Style" w:hAnsi="Bookman Old Style"/>
          <w:bCs/>
        </w:rPr>
        <w:t xml:space="preserve">Los Cargos de Distribución aprobados con base en la presente resolución estarán vigentes desde la fecha en que quede en firme la resolución que los apruebe y hasta cuando se cumplan cinco (5) años desde la entrada en vigencia de la presente resolución, sin perjuicio de las actualizaciones a que haya lugar. Vencido el período de vigencia de los cargos regulados, estos continuarán rigiendo hasta que la Comisión apruebe los nuevos. </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r w:rsidRPr="000B65DE">
        <w:rPr>
          <w:rFonts w:ascii="Bookman Old Style" w:hAnsi="Bookman Old Style"/>
          <w:b/>
        </w:rPr>
        <w:t xml:space="preserve">Parágrafo. </w:t>
      </w:r>
      <w:r w:rsidRPr="000B65DE">
        <w:rPr>
          <w:rFonts w:ascii="Bookman Old Style" w:hAnsi="Bookman Old Style"/>
        </w:rPr>
        <w:t xml:space="preserve">Sin perjuicio de las competencias atribuidas a la Superintendencia de Servicios Públicos Domiciliarios, si transcurridos doce (12) meses desde que haya quedado en firme la aprobación de los cargos regulados, el Distribuidor no ha iniciado la construcción del respectivo Sistema de Distribución, </w:t>
      </w:r>
      <w:r w:rsidR="00F35954">
        <w:rPr>
          <w:rFonts w:ascii="Bookman Old Style" w:hAnsi="Bookman Old Style"/>
        </w:rPr>
        <w:t>perderá la vigencia</w:t>
      </w:r>
      <w:r w:rsidRPr="000B65DE">
        <w:rPr>
          <w:rFonts w:ascii="Bookman Old Style" w:hAnsi="Bookman Old Style"/>
        </w:rPr>
        <w:t xml:space="preserve"> la resolución mediante la cual se aprobó </w:t>
      </w:r>
      <w:r w:rsidR="00F35954">
        <w:rPr>
          <w:rFonts w:ascii="Bookman Old Style" w:hAnsi="Bookman Old Style"/>
        </w:rPr>
        <w:t>los</w:t>
      </w:r>
      <w:r w:rsidR="00F35954" w:rsidRPr="000B65DE">
        <w:rPr>
          <w:rFonts w:ascii="Bookman Old Style" w:hAnsi="Bookman Old Style"/>
        </w:rPr>
        <w:t xml:space="preserve"> </w:t>
      </w:r>
      <w:r w:rsidRPr="000B65DE">
        <w:rPr>
          <w:rFonts w:ascii="Bookman Old Style" w:hAnsi="Bookman Old Style"/>
        </w:rPr>
        <w:t>Cargo</w:t>
      </w:r>
      <w:r w:rsidR="00F35954">
        <w:rPr>
          <w:rFonts w:ascii="Bookman Old Style" w:hAnsi="Bookman Old Style"/>
        </w:rPr>
        <w:t>s</w:t>
      </w:r>
      <w:r w:rsidRPr="000B65DE">
        <w:rPr>
          <w:rFonts w:ascii="Bookman Old Style" w:hAnsi="Bookman Old Style"/>
        </w:rPr>
        <w:t xml:space="preserve"> de Distribución,</w:t>
      </w:r>
      <w:r w:rsidR="005F26AF">
        <w:rPr>
          <w:rFonts w:ascii="Bookman Old Style" w:hAnsi="Bookman Old Style"/>
        </w:rPr>
        <w:t xml:space="preserve"> aspecto que deberá ser explícitamente incorporado en </w:t>
      </w:r>
      <w:r w:rsidR="007D792C">
        <w:rPr>
          <w:rFonts w:ascii="Bookman Old Style" w:hAnsi="Bookman Old Style"/>
        </w:rPr>
        <w:t>el acto administrativo</w:t>
      </w:r>
      <w:r w:rsidR="005F26AF">
        <w:rPr>
          <w:rFonts w:ascii="Bookman Old Style" w:hAnsi="Bookman Old Style"/>
        </w:rPr>
        <w:t xml:space="preserve"> antes referid</w:t>
      </w:r>
      <w:r w:rsidR="007D792C">
        <w:rPr>
          <w:rFonts w:ascii="Bookman Old Style" w:hAnsi="Bookman Old Style"/>
        </w:rPr>
        <w:t>o</w:t>
      </w:r>
      <w:r w:rsidR="005F26AF">
        <w:rPr>
          <w:rFonts w:ascii="Bookman Old Style" w:hAnsi="Bookman Old Style"/>
        </w:rPr>
        <w:t>,</w:t>
      </w:r>
      <w:r w:rsidRPr="000B65DE">
        <w:rPr>
          <w:rFonts w:ascii="Bookman Old Style" w:hAnsi="Bookman Old Style"/>
        </w:rPr>
        <w:t xml:space="preserve"> salvo que el agente demuestre que no inició la construcción por no haber sido expedidas las licencias o permisos de que trata el artículo 26 de la Ley 142 de 1994 por razones ajenas al Distribuidor. </w:t>
      </w:r>
    </w:p>
    <w:p w:rsidR="000B65DE" w:rsidRPr="000B65DE" w:rsidRDefault="000B65DE" w:rsidP="000B65DE">
      <w:pPr>
        <w:ind w:left="0"/>
        <w:jc w:val="both"/>
        <w:rPr>
          <w:rFonts w:ascii="Bookman Old Style" w:hAnsi="Bookman Old Style"/>
        </w:rPr>
      </w:pPr>
    </w:p>
    <w:p w:rsidR="009D40B8" w:rsidRDefault="000B65DE" w:rsidP="000B65DE">
      <w:pPr>
        <w:ind w:left="0"/>
        <w:jc w:val="both"/>
        <w:rPr>
          <w:rFonts w:ascii="Bookman Old Style" w:hAnsi="Bookman Old Style"/>
        </w:rPr>
      </w:pPr>
      <w:r w:rsidRPr="000B65DE">
        <w:rPr>
          <w:rFonts w:ascii="Bookman Old Style" w:hAnsi="Bookman Old Style"/>
        </w:rPr>
        <w:t>Se entenderá que el Distribuidor no ha iniciado la construcción del respectivo Sistema de Distribución doce (12) meses después de que haya quedado en firme la aprobación de los Cargos de Distribución regulados, si al finalizar este plazo no ha ejecutado al menos un 50% las inversiones propuestas para el primer año de inversión</w:t>
      </w:r>
      <w:r w:rsidR="00F35954">
        <w:rPr>
          <w:rFonts w:ascii="Bookman Old Style" w:hAnsi="Bookman Old Style"/>
        </w:rPr>
        <w:t>.</w:t>
      </w:r>
    </w:p>
    <w:p w:rsidR="000B65DE" w:rsidRPr="000B65DE" w:rsidRDefault="000B65DE" w:rsidP="000B65DE">
      <w:pPr>
        <w:ind w:left="0"/>
        <w:jc w:val="both"/>
        <w:rPr>
          <w:rFonts w:ascii="Bookman Old Style" w:hAnsi="Bookman Old Style"/>
          <w:sz w:val="36"/>
        </w:rPr>
      </w:pPr>
      <w:r w:rsidRPr="000B65DE">
        <w:rPr>
          <w:rFonts w:ascii="Bookman Old Style" w:hAnsi="Bookman Old Style"/>
        </w:rPr>
        <w:t xml:space="preserve"> </w:t>
      </w:r>
    </w:p>
    <w:p w:rsidR="000B65DE" w:rsidRPr="005F547A" w:rsidRDefault="000B65DE" w:rsidP="005F547A">
      <w:pPr>
        <w:keepNext/>
        <w:tabs>
          <w:tab w:val="num" w:pos="1843"/>
        </w:tabs>
        <w:spacing w:before="240" w:after="60"/>
        <w:ind w:left="0"/>
        <w:jc w:val="center"/>
        <w:outlineLvl w:val="0"/>
        <w:rPr>
          <w:rFonts w:ascii="Bookman Old Style" w:hAnsi="Bookman Old Style"/>
          <w:b/>
          <w:bCs/>
          <w:lang w:val="es-CO"/>
        </w:rPr>
      </w:pPr>
      <w:r w:rsidRPr="005F547A">
        <w:rPr>
          <w:rFonts w:ascii="Bookman Old Style" w:hAnsi="Bookman Old Style"/>
          <w:b/>
          <w:bCs/>
          <w:lang w:val="es-CO"/>
        </w:rPr>
        <w:t>CAPÍTULO III. METODOLOGÍA PARA LA REMUNERACIÓN DE LA ACTIVIDAD DE DISTRIBUCIÓN DE GAS COMBUSTIBLE POR REDES DE TUBERÍA</w:t>
      </w:r>
    </w:p>
    <w:p w:rsidR="000B65DE" w:rsidRPr="000B65DE" w:rsidRDefault="000B65DE" w:rsidP="000B65DE">
      <w:pPr>
        <w:ind w:left="0"/>
        <w:jc w:val="center"/>
        <w:rPr>
          <w:rFonts w:ascii="Bookman Old Style" w:hAnsi="Bookman Old Style"/>
          <w:b/>
          <w:bCs/>
          <w:sz w:val="36"/>
        </w:rPr>
      </w:pPr>
    </w:p>
    <w:p w:rsidR="000B65DE" w:rsidRPr="000B65DE" w:rsidRDefault="000B65DE" w:rsidP="00382E27">
      <w:pPr>
        <w:keepNext/>
        <w:numPr>
          <w:ilvl w:val="0"/>
          <w:numId w:val="2"/>
        </w:numPr>
        <w:spacing w:before="240" w:after="60"/>
        <w:jc w:val="both"/>
        <w:outlineLvl w:val="0"/>
        <w:rPr>
          <w:rFonts w:ascii="Bookman Old Style" w:hAnsi="Bookman Old Style"/>
          <w:b/>
          <w:bCs/>
        </w:rPr>
      </w:pPr>
      <w:r w:rsidRPr="000B65DE">
        <w:rPr>
          <w:rFonts w:ascii="Bookman Old Style" w:hAnsi="Bookman Old Style"/>
          <w:b/>
          <w:bCs/>
        </w:rPr>
        <w:t xml:space="preserve">METODOLOGÍA DE REMUNERACIÓN DE LA ACTIVIDAD DE DISTRIBUCIÓN DE GAS COMBUSTIBLE POR REDES DE TUBERÍA. </w:t>
      </w:r>
      <w:r w:rsidRPr="000B65DE">
        <w:rPr>
          <w:rFonts w:ascii="Bookman Old Style" w:hAnsi="Bookman Old Style"/>
          <w:bCs/>
        </w:rPr>
        <w:t xml:space="preserve">La actividad de Distribución de Gas Combustible por redes de tubería se remunerará usando los cargos por uso aplicables a Usuarios de Uso Residencial y a Usuarios Diferentes a los de Uso Residencial aprobados por la CREG calculados a partir de costos medios </w:t>
      </w:r>
      <w:r w:rsidR="00416F0F">
        <w:rPr>
          <w:rFonts w:ascii="Bookman Old Style" w:hAnsi="Bookman Old Style"/>
          <w:bCs/>
        </w:rPr>
        <w:t xml:space="preserve">históricos </w:t>
      </w:r>
      <w:r w:rsidRPr="000B65DE">
        <w:rPr>
          <w:rFonts w:ascii="Bookman Old Style" w:hAnsi="Bookman Old Style"/>
          <w:bCs/>
        </w:rPr>
        <w:t>y costos medios de mediano plazo.</w:t>
      </w:r>
      <w:r w:rsidRPr="000B65DE">
        <w:rPr>
          <w:rFonts w:ascii="Bookman Old Style" w:hAnsi="Bookman Old Style"/>
          <w:b/>
          <w:bCs/>
        </w:rPr>
        <w:t xml:space="preserve"> </w:t>
      </w:r>
      <w:bookmarkStart w:id="8" w:name="_Ref30425014"/>
      <w:bookmarkStart w:id="9" w:name="_Ref289959618"/>
    </w:p>
    <w:p w:rsidR="000B65DE" w:rsidRPr="00C7068E" w:rsidRDefault="000B65DE" w:rsidP="000B65DE">
      <w:pPr>
        <w:rPr>
          <w:sz w:val="10"/>
          <w:lang w:val="es-ES_tradnl"/>
        </w:rPr>
      </w:pPr>
    </w:p>
    <w:p w:rsidR="000B65DE" w:rsidRPr="000B65DE" w:rsidRDefault="000B65DE" w:rsidP="00382E27">
      <w:pPr>
        <w:keepNext/>
        <w:numPr>
          <w:ilvl w:val="0"/>
          <w:numId w:val="2"/>
        </w:numPr>
        <w:spacing w:before="240" w:after="60"/>
        <w:jc w:val="both"/>
        <w:outlineLvl w:val="0"/>
        <w:rPr>
          <w:rFonts w:ascii="Bookman Old Style" w:hAnsi="Bookman Old Style"/>
          <w:bCs/>
        </w:rPr>
      </w:pPr>
      <w:bookmarkStart w:id="10" w:name="_Ref333485816"/>
      <w:r w:rsidRPr="000B65DE">
        <w:rPr>
          <w:rFonts w:ascii="Bookman Old Style" w:hAnsi="Bookman Old Style"/>
          <w:b/>
          <w:bCs/>
        </w:rPr>
        <w:t xml:space="preserve">METODOLOGÍA PARA EL CÁLCULO DE LOS CARGOS DE DISTRIBUCION A PARTIR DE LOS COSTOS MEDIOS </w:t>
      </w:r>
      <w:r w:rsidR="00416F0F">
        <w:rPr>
          <w:rFonts w:ascii="Bookman Old Style" w:hAnsi="Bookman Old Style"/>
          <w:b/>
          <w:bCs/>
        </w:rPr>
        <w:t xml:space="preserve">HISTÓRICOS </w:t>
      </w:r>
      <w:r w:rsidRPr="000B65DE">
        <w:rPr>
          <w:rFonts w:ascii="Bookman Old Style" w:hAnsi="Bookman Old Style"/>
          <w:b/>
          <w:bCs/>
        </w:rPr>
        <w:t xml:space="preserve">O COSTOS MEDIOS DE MEDIANO PLAZO. </w:t>
      </w:r>
      <w:r w:rsidRPr="000B65DE">
        <w:rPr>
          <w:rFonts w:ascii="Bookman Old Style" w:hAnsi="Bookman Old Style"/>
          <w:bCs/>
        </w:rPr>
        <w:t xml:space="preserve">Los costos medios </w:t>
      </w:r>
      <w:r w:rsidR="00416F0F">
        <w:rPr>
          <w:rFonts w:ascii="Bookman Old Style" w:hAnsi="Bookman Old Style"/>
          <w:bCs/>
        </w:rPr>
        <w:t xml:space="preserve">históricos </w:t>
      </w:r>
      <w:r w:rsidRPr="000B65DE">
        <w:rPr>
          <w:rFonts w:ascii="Bookman Old Style" w:hAnsi="Bookman Old Style"/>
          <w:bCs/>
        </w:rPr>
        <w:t xml:space="preserve">y/o los </w:t>
      </w:r>
      <w:r w:rsidRPr="000B65DE">
        <w:rPr>
          <w:rFonts w:ascii="Bookman Old Style" w:hAnsi="Bookman Old Style"/>
          <w:bCs/>
        </w:rPr>
        <w:lastRenderedPageBreak/>
        <w:t>costos medios de mediano plazo, para el Mercado Relevante de Distribución para el Siguiente Período Tarifario, se calculan con la Valoración de la Inversión Base, los gastos de Administración, Operación y Mantenimiento (AOM), la Demanda de Volumen del mercado correspondiente y la tasa de retorno, aplicando los criterios tarifarios establecidos en la Ley 142 de 1994</w:t>
      </w:r>
      <w:bookmarkEnd w:id="8"/>
      <w:r w:rsidRPr="000B65DE">
        <w:rPr>
          <w:rFonts w:ascii="Bookman Old Style" w:hAnsi="Bookman Old Style"/>
          <w:bCs/>
        </w:rPr>
        <w:t xml:space="preserve"> y de acuerdo a la conformación del Mercado Relevante</w:t>
      </w:r>
      <w:r w:rsidR="00416F0F">
        <w:rPr>
          <w:rFonts w:ascii="Bookman Old Style" w:hAnsi="Bookman Old Style"/>
          <w:bCs/>
        </w:rPr>
        <w:t xml:space="preserve"> de Distribución</w:t>
      </w:r>
      <w:r w:rsidRPr="000B65DE">
        <w:rPr>
          <w:rFonts w:ascii="Bookman Old Style" w:hAnsi="Bookman Old Style"/>
          <w:bCs/>
        </w:rPr>
        <w:t>.</w:t>
      </w:r>
      <w:bookmarkEnd w:id="9"/>
      <w:bookmarkEnd w:id="10"/>
    </w:p>
    <w:p w:rsidR="000B65DE" w:rsidRPr="000B65DE" w:rsidRDefault="000B65DE" w:rsidP="008F4D9F">
      <w:pPr>
        <w:keepNext/>
        <w:numPr>
          <w:ilvl w:val="1"/>
          <w:numId w:val="16"/>
        </w:numPr>
        <w:spacing w:before="240" w:after="60"/>
        <w:ind w:left="567" w:hanging="567"/>
        <w:jc w:val="both"/>
        <w:outlineLvl w:val="0"/>
        <w:rPr>
          <w:rFonts w:ascii="Bookman Old Style" w:hAnsi="Bookman Old Style"/>
          <w:b/>
          <w:bCs/>
          <w:szCs w:val="20"/>
          <w:lang w:val="es-ES_tradnl"/>
        </w:rPr>
      </w:pPr>
      <w:r w:rsidRPr="000B65DE">
        <w:rPr>
          <w:rFonts w:ascii="Bookman Old Style" w:hAnsi="Bookman Old Style"/>
          <w:b/>
          <w:bCs/>
          <w:szCs w:val="20"/>
          <w:lang w:val="es-ES_tradnl"/>
        </w:rPr>
        <w:t xml:space="preserve">CALCULO DEL CARGO DE DISTRIBUCIÓN APLICABLE A LOS USUARIOS DE USO RESIDENCIAL </w:t>
      </w:r>
    </w:p>
    <w:p w:rsidR="00C7068E" w:rsidRDefault="00C7068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La CREG aprobará para cada Mercado Relevante de Distribución para el Siguiente Período Tarifario, el Cargo de Distribución Aplicable a los Usuarios de Uso Residencial y que podrá cobrarse como máximo a este tipo de usuarios. Este cargo se establece como los costos medios</w:t>
      </w:r>
      <w:r w:rsidR="00566770">
        <w:rPr>
          <w:rFonts w:ascii="Bookman Old Style" w:hAnsi="Bookman Old Style"/>
          <w:lang w:val="es-ES_tradnl"/>
        </w:rPr>
        <w:t xml:space="preserve"> históricos</w:t>
      </w:r>
      <w:r w:rsidRPr="000B65DE">
        <w:rPr>
          <w:rFonts w:ascii="Bookman Old Style" w:hAnsi="Bookman Old Style"/>
          <w:lang w:val="es-ES_tradnl"/>
        </w:rPr>
        <w:t xml:space="preserve">, a la Fecha de Corte, para Mercados Relevantes de Distribución para el Siguiente Período Tarifario conformados por Mercados Existentes de Distribución o Agregación de Mercados Existentes de Distribución y costos medios de mediano plazo, a la Fecha Base, para Mercados Relevantes de Distribución para el Siguiente Período Tarifario que se conformen con Municipios Nuevos, que no cuentan con servicio de Gas Combustible por redes de tubería. </w:t>
      </w:r>
    </w:p>
    <w:p w:rsidR="000B65DE" w:rsidRPr="000B65DE" w:rsidRDefault="000B65DE" w:rsidP="000B65DE">
      <w:pPr>
        <w:ind w:left="0"/>
        <w:jc w:val="both"/>
        <w:rPr>
          <w:rFonts w:ascii="Bookman Old Style" w:hAnsi="Bookman Old Style"/>
          <w:lang w:val="es-ES_tradnl"/>
        </w:rPr>
      </w:pPr>
    </w:p>
    <w:p w:rsid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Cuando el Mercado Relevante de Distribución para el Siguiente Período Tarifario sea una combinación de Mercados Existentes de Distribución y Municipios Nuevos se utilizarán los dos mecanismos de cálculo tal y como se indica en la presente resolución.</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 xml:space="preserve">Los costos medios </w:t>
      </w:r>
      <w:r w:rsidR="00566770">
        <w:rPr>
          <w:rFonts w:ascii="Bookman Old Style" w:hAnsi="Bookman Old Style"/>
          <w:lang w:val="es-ES_tradnl"/>
        </w:rPr>
        <w:t xml:space="preserve">históricos </w:t>
      </w:r>
      <w:r w:rsidRPr="000B65DE">
        <w:rPr>
          <w:rFonts w:ascii="Bookman Old Style" w:hAnsi="Bookman Old Style"/>
          <w:lang w:val="es-ES_tradnl"/>
        </w:rPr>
        <w:t xml:space="preserve">y los costos medios de mediano plazo remuneran la Inversión Base, y los gastos de Administración, Operación y Mantenimiento (AOM) correspondientes al Sistema de Distribución del Mercado Relevante de Distribución para el Siguiente Período Tarifario, tal y como se establece en la presente resolución. </w:t>
      </w:r>
    </w:p>
    <w:p w:rsidR="000B65DE" w:rsidRPr="000B65DE" w:rsidRDefault="000B65DE" w:rsidP="000B65DE">
      <w:pPr>
        <w:ind w:left="0"/>
        <w:jc w:val="both"/>
        <w:rPr>
          <w:rFonts w:ascii="Bookman Old Style" w:hAnsi="Bookman Old Style"/>
          <w:lang w:val="es-ES_tradnl"/>
        </w:rPr>
      </w:pPr>
    </w:p>
    <w:p w:rsidR="000B65DE" w:rsidRPr="0092172B" w:rsidRDefault="00364E59" w:rsidP="000B65DE">
      <w:pPr>
        <w:ind w:left="0"/>
        <w:jc w:val="center"/>
        <w:rPr>
          <w:rFonts w:ascii="Bookman Old Style" w:hAnsi="Bookman Old Style"/>
          <w:lang w:val="es-ES_tradnl"/>
        </w:rPr>
      </w:pPr>
      <m:oMathPara>
        <m:oMath>
          <m:sSub>
            <m:sSubPr>
              <m:ctrlPr>
                <w:rPr>
                  <w:rFonts w:ascii="Cambria Math" w:hAnsi="Cambria Math" w:cs="Arial"/>
                  <w:lang w:val="es-ES_tradnl"/>
                </w:rPr>
              </m:ctrlPr>
            </m:sSubPr>
            <m:e>
              <m:r>
                <m:rPr>
                  <m:sty m:val="p"/>
                </m:rPr>
                <w:rPr>
                  <w:rFonts w:ascii="Cambria Math" w:hAnsi="Cambria Math" w:cs="Arial"/>
                  <w:lang w:val="es-ES_tradnl"/>
                </w:rPr>
                <m:t>D</m:t>
              </m:r>
            </m:e>
            <m:sub>
              <m:r>
                <m:rPr>
                  <m:sty m:val="p"/>
                </m:rPr>
                <w:rPr>
                  <w:rFonts w:ascii="Cambria Math" w:hAnsi="Cambria Math" w:cs="Arial"/>
                  <w:lang w:val="es-ES_tradnl"/>
                </w:rPr>
                <m:t>(AUR)k</m:t>
              </m:r>
            </m:sub>
          </m:sSub>
          <m:r>
            <m:rPr>
              <m:sty m:val="p"/>
            </m:rPr>
            <w:rPr>
              <w:rFonts w:ascii="Cambria Math" w:hAnsi="Cambria Math" w:cs="Arial"/>
              <w:lang w:val="es-ES_tradnl"/>
            </w:rPr>
            <m:t xml:space="preserve">= </m:t>
          </m:r>
          <m:sSub>
            <m:sSubPr>
              <m:ctrlPr>
                <w:rPr>
                  <w:rFonts w:ascii="Cambria Math" w:hAnsi="Cambria Math" w:cs="Arial"/>
                  <w:lang w:val="es-ES_tradnl"/>
                </w:rPr>
              </m:ctrlPr>
            </m:sSubPr>
            <m:e>
              <m:r>
                <m:rPr>
                  <m:sty m:val="p"/>
                </m:rPr>
                <w:rPr>
                  <w:rFonts w:ascii="Cambria Math" w:hAnsi="Cambria Math" w:cs="Arial"/>
                  <w:lang w:val="es-ES_tradnl"/>
                </w:rPr>
                <m:t>D</m:t>
              </m:r>
            </m:e>
            <m:sub>
              <m:r>
                <m:rPr>
                  <m:sty m:val="p"/>
                </m:rPr>
                <w:rPr>
                  <w:rFonts w:ascii="Cambria Math" w:hAnsi="Cambria Math" w:cs="Arial"/>
                  <w:lang w:val="es-ES_tradnl"/>
                </w:rPr>
                <m:t>inv(AUR)k</m:t>
              </m:r>
            </m:sub>
          </m:sSub>
          <m:r>
            <m:rPr>
              <m:sty m:val="p"/>
            </m:rPr>
            <w:rPr>
              <w:rFonts w:ascii="Cambria Math" w:hAnsi="Cambria Math" w:cs="Arial"/>
              <w:lang w:val="es-ES_tradnl"/>
            </w:rPr>
            <m:t>+</m:t>
          </m:r>
          <m:sSub>
            <m:sSubPr>
              <m:ctrlPr>
                <w:rPr>
                  <w:rFonts w:ascii="Cambria Math" w:hAnsi="Cambria Math" w:cs="Arial"/>
                  <w:lang w:val="es-ES_tradnl"/>
                </w:rPr>
              </m:ctrlPr>
            </m:sSubPr>
            <m:e>
              <m:r>
                <m:rPr>
                  <m:sty m:val="p"/>
                </m:rPr>
                <w:rPr>
                  <w:rFonts w:ascii="Cambria Math" w:hAnsi="Cambria Math" w:cs="Arial"/>
                  <w:lang w:val="es-ES_tradnl"/>
                </w:rPr>
                <m:t>D</m:t>
              </m:r>
            </m:e>
            <m:sub>
              <m:r>
                <m:rPr>
                  <m:sty m:val="p"/>
                </m:rPr>
                <w:rPr>
                  <w:rFonts w:ascii="Cambria Math" w:hAnsi="Cambria Math" w:cs="Arial"/>
                  <w:lang w:val="es-ES_tradnl"/>
                </w:rPr>
                <m:t>AOM(AUR)k</m:t>
              </m:r>
            </m:sub>
          </m:sSub>
        </m:oMath>
      </m:oMathPara>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Donde:</w:t>
      </w:r>
    </w:p>
    <w:p w:rsidR="000B65DE" w:rsidRPr="000B65DE" w:rsidRDefault="000B65DE" w:rsidP="000B65DE">
      <w:pPr>
        <w:ind w:left="0"/>
        <w:jc w:val="both"/>
        <w:rPr>
          <w:rFonts w:ascii="Bookman Old Style" w:hAnsi="Bookman Old Style"/>
          <w:lang w:val="es-ES_tradnl"/>
        </w:rPr>
      </w:pPr>
    </w:p>
    <w:tbl>
      <w:tblPr>
        <w:tblW w:w="0" w:type="auto"/>
        <w:tblInd w:w="959" w:type="dxa"/>
        <w:tblLook w:val="04A0" w:firstRow="1" w:lastRow="0" w:firstColumn="1" w:lastColumn="0" w:noHBand="0" w:noVBand="1"/>
      </w:tblPr>
      <w:tblGrid>
        <w:gridCol w:w="1984"/>
        <w:gridCol w:w="6602"/>
      </w:tblGrid>
      <w:tr w:rsidR="000B65DE" w:rsidRPr="000B65DE" w:rsidTr="00382E27">
        <w:tc>
          <w:tcPr>
            <w:tcW w:w="1984" w:type="dxa"/>
          </w:tcPr>
          <w:p w:rsidR="000B65DE" w:rsidRPr="0092172B" w:rsidRDefault="00364E59" w:rsidP="000B65DE">
            <w:pPr>
              <w:ind w:left="0"/>
              <w:jc w:val="both"/>
              <w:rPr>
                <w:rFonts w:ascii="Bookman Old Style" w:hAnsi="Bookman Old Style"/>
                <w:lang w:val="es-ES_tradnl"/>
              </w:rPr>
            </w:pPr>
            <m:oMathPara>
              <m:oMathParaPr>
                <m:jc m:val="left"/>
              </m:oMathParaPr>
              <m:oMath>
                <m:sSub>
                  <m:sSubPr>
                    <m:ctrlPr>
                      <w:rPr>
                        <w:rFonts w:ascii="Cambria Math" w:hAnsi="Cambria Math" w:cs="Arial"/>
                        <w:lang w:val="es-ES_tradnl"/>
                      </w:rPr>
                    </m:ctrlPr>
                  </m:sSubPr>
                  <m:e>
                    <m:r>
                      <m:rPr>
                        <m:sty m:val="p"/>
                      </m:rPr>
                      <w:rPr>
                        <w:rFonts w:ascii="Cambria Math" w:hAnsi="Cambria Math" w:cs="Arial"/>
                        <w:lang w:val="es-ES_tradnl"/>
                      </w:rPr>
                      <m:t>D</m:t>
                    </m:r>
                  </m:e>
                  <m:sub>
                    <m:r>
                      <m:rPr>
                        <m:sty m:val="p"/>
                      </m:rPr>
                      <w:rPr>
                        <w:rFonts w:ascii="Cambria Math" w:hAnsi="Cambria Math" w:cs="Arial"/>
                        <w:lang w:val="es-ES_tradnl"/>
                      </w:rPr>
                      <m:t>(AUR)k</m:t>
                    </m:r>
                  </m:sub>
                </m:sSub>
              </m:oMath>
            </m:oMathPara>
          </w:p>
        </w:tc>
        <w:tc>
          <w:tcPr>
            <w:tcW w:w="6602" w:type="dxa"/>
          </w:tcPr>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 xml:space="preserve">Cargo de Distribución aplicable a Usuarios de Uso Residencial </w:t>
            </w:r>
            <w:r w:rsidRPr="000B65DE">
              <w:rPr>
                <w:rFonts w:ascii="Bookman Old Style" w:hAnsi="Bookman Old Style"/>
                <w:bCs/>
              </w:rPr>
              <w:t>del Mercado Relevante de Distribución para el Siguiente Período Tarifario k</w:t>
            </w:r>
            <w:r w:rsidRPr="000B65DE">
              <w:rPr>
                <w:rFonts w:ascii="Bookman Old Style" w:hAnsi="Bookman Old Style"/>
                <w:lang w:val="es-ES_tradnl"/>
              </w:rPr>
              <w:t xml:space="preserve">. Expresado en pesos de la Fecha Base por metro cúbico. Este se determinará </w:t>
            </w:r>
            <w:r w:rsidR="00566770">
              <w:rPr>
                <w:rFonts w:ascii="Bookman Old Style" w:hAnsi="Bookman Old Style"/>
                <w:lang w:val="es-ES_tradnl"/>
              </w:rPr>
              <w:t>de acuerdo</w:t>
            </w:r>
            <w:r w:rsidRPr="000B65DE">
              <w:rPr>
                <w:rFonts w:ascii="Bookman Old Style" w:hAnsi="Bookman Old Style"/>
                <w:lang w:val="es-ES_tradnl"/>
              </w:rPr>
              <w:t xml:space="preserve"> a como se conforme el Mercado Relevante de Distribución para el Siguiente Período Tarifario.</w:t>
            </w:r>
          </w:p>
          <w:p w:rsidR="000B65DE" w:rsidRPr="000B65DE" w:rsidRDefault="000B65DE" w:rsidP="000B65DE">
            <w:pPr>
              <w:ind w:left="0"/>
              <w:jc w:val="both"/>
              <w:rPr>
                <w:rFonts w:ascii="Bookman Old Style" w:hAnsi="Bookman Old Style"/>
                <w:lang w:val="es-ES_tradnl"/>
              </w:rPr>
            </w:pPr>
          </w:p>
        </w:tc>
      </w:tr>
      <w:tr w:rsidR="000B65DE" w:rsidRPr="000B65DE" w:rsidTr="00382E27">
        <w:tc>
          <w:tcPr>
            <w:tcW w:w="1984" w:type="dxa"/>
          </w:tcPr>
          <w:p w:rsidR="000B65DE" w:rsidRPr="0092172B" w:rsidRDefault="00364E59" w:rsidP="000B65DE">
            <w:pPr>
              <w:ind w:left="0"/>
              <w:jc w:val="both"/>
              <w:rPr>
                <w:rFonts w:ascii="Bookman Old Style" w:hAnsi="Bookman Old Style"/>
                <w:lang w:val="es-ES_tradnl"/>
              </w:rPr>
            </w:pPr>
            <m:oMathPara>
              <m:oMathParaPr>
                <m:jc m:val="left"/>
              </m:oMathParaPr>
              <m:oMath>
                <m:sSub>
                  <m:sSubPr>
                    <m:ctrlPr>
                      <w:rPr>
                        <w:rFonts w:ascii="Cambria Math" w:hAnsi="Cambria Math" w:cs="Arial"/>
                        <w:lang w:val="es-ES_tradnl"/>
                      </w:rPr>
                    </m:ctrlPr>
                  </m:sSubPr>
                  <m:e>
                    <m:r>
                      <m:rPr>
                        <m:sty m:val="p"/>
                      </m:rPr>
                      <w:rPr>
                        <w:rFonts w:ascii="Cambria Math" w:hAnsi="Cambria Math" w:cs="Arial"/>
                        <w:lang w:val="es-ES_tradnl"/>
                      </w:rPr>
                      <m:t>D</m:t>
                    </m:r>
                  </m:e>
                  <m:sub>
                    <m:r>
                      <m:rPr>
                        <m:sty m:val="p"/>
                      </m:rPr>
                      <w:rPr>
                        <w:rFonts w:ascii="Cambria Math" w:hAnsi="Cambria Math" w:cs="Arial"/>
                        <w:lang w:val="es-ES_tradnl"/>
                      </w:rPr>
                      <m:t>inv(AUR)k</m:t>
                    </m:r>
                  </m:sub>
                </m:sSub>
              </m:oMath>
            </m:oMathPara>
          </w:p>
        </w:tc>
        <w:tc>
          <w:tcPr>
            <w:tcW w:w="6602" w:type="dxa"/>
          </w:tcPr>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 xml:space="preserve">Componente que remunera la Inversión Base en distribución </w:t>
            </w:r>
            <w:r w:rsidRPr="005A5989">
              <w:rPr>
                <w:rFonts w:ascii="Bookman Old Style" w:hAnsi="Bookman Old Style"/>
                <w:lang w:val="es-ES_tradnl"/>
              </w:rPr>
              <w:t>del</w:t>
            </w:r>
            <w:r w:rsidRPr="000B65DE">
              <w:rPr>
                <w:rFonts w:ascii="Bookman Old Style" w:hAnsi="Bookman Old Style"/>
                <w:lang w:val="es-ES_tradnl"/>
              </w:rPr>
              <w:t xml:space="preserve"> </w:t>
            </w:r>
            <w:r w:rsidRPr="000B65DE">
              <w:rPr>
                <w:rFonts w:ascii="Bookman Old Style" w:hAnsi="Bookman Old Style"/>
                <w:bCs/>
              </w:rPr>
              <w:t>Mercado Relevante de Distribución para el Siguiente Período Tarifario k</w:t>
            </w:r>
            <w:r w:rsidRPr="000B65DE">
              <w:rPr>
                <w:rFonts w:ascii="Bookman Old Style" w:hAnsi="Bookman Old Style"/>
                <w:lang w:val="es-ES_tradnl"/>
              </w:rPr>
              <w:t xml:space="preserve">. Expresado en pesos de la Fecha Base, por metro cúbico. Este se determinará según la conformación del Mercado Relevante de Distribución para el Siguiente Período </w:t>
            </w:r>
            <w:r w:rsidRPr="000B65DE">
              <w:rPr>
                <w:rFonts w:ascii="Bookman Old Style" w:hAnsi="Bookman Old Style"/>
                <w:lang w:val="es-ES_tradnl"/>
              </w:rPr>
              <w:lastRenderedPageBreak/>
              <w:t xml:space="preserve">Tarifario. </w:t>
            </w:r>
          </w:p>
          <w:p w:rsidR="000B65DE" w:rsidRPr="000B65DE" w:rsidRDefault="000B65DE" w:rsidP="000B65DE">
            <w:pPr>
              <w:ind w:left="0"/>
              <w:jc w:val="both"/>
              <w:rPr>
                <w:rFonts w:ascii="Bookman Old Style" w:hAnsi="Bookman Old Style"/>
                <w:lang w:val="es-ES_tradnl"/>
              </w:rPr>
            </w:pPr>
          </w:p>
        </w:tc>
      </w:tr>
      <w:tr w:rsidR="000B65DE" w:rsidRPr="000B65DE" w:rsidTr="00382E27">
        <w:tc>
          <w:tcPr>
            <w:tcW w:w="1984" w:type="dxa"/>
          </w:tcPr>
          <w:p w:rsidR="000B65DE" w:rsidRPr="0092172B" w:rsidRDefault="00364E59" w:rsidP="000B65DE">
            <w:pPr>
              <w:ind w:left="0"/>
              <w:jc w:val="both"/>
              <w:rPr>
                <w:rFonts w:ascii="Bookman Old Style" w:hAnsi="Bookman Old Style"/>
                <w:lang w:val="es-ES_tradnl"/>
              </w:rPr>
            </w:pPr>
            <m:oMathPara>
              <m:oMathParaPr>
                <m:jc m:val="left"/>
              </m:oMathParaPr>
              <m:oMath>
                <m:sSub>
                  <m:sSubPr>
                    <m:ctrlPr>
                      <w:rPr>
                        <w:rFonts w:ascii="Cambria Math" w:hAnsi="Cambria Math" w:cs="Arial"/>
                        <w:lang w:val="es-ES_tradnl"/>
                      </w:rPr>
                    </m:ctrlPr>
                  </m:sSubPr>
                  <m:e>
                    <m:r>
                      <m:rPr>
                        <m:sty m:val="p"/>
                      </m:rPr>
                      <w:rPr>
                        <w:rFonts w:ascii="Cambria Math" w:hAnsi="Cambria Math" w:cs="Arial"/>
                        <w:lang w:val="es-ES_tradnl"/>
                      </w:rPr>
                      <m:t>D</m:t>
                    </m:r>
                  </m:e>
                  <m:sub>
                    <m:r>
                      <m:rPr>
                        <m:sty m:val="p"/>
                      </m:rPr>
                      <w:rPr>
                        <w:rFonts w:ascii="Cambria Math" w:hAnsi="Cambria Math" w:cs="Arial"/>
                        <w:lang w:val="es-ES_tradnl"/>
                      </w:rPr>
                      <m:t>AOM(AUR)k</m:t>
                    </m:r>
                  </m:sub>
                </m:sSub>
              </m:oMath>
            </m:oMathPara>
          </w:p>
        </w:tc>
        <w:tc>
          <w:tcPr>
            <w:tcW w:w="6602" w:type="dxa"/>
          </w:tcPr>
          <w:p w:rsid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Componente que remunera los gastos de Administración, Operación y Mantenimiento de la actividad de distribución del Mercado Relevante de Distribución para el Siguiente Período Tarifario k. Expresado en pesos de la Fecha Base, por metro cúbico.</w:t>
            </w:r>
          </w:p>
          <w:p w:rsidR="000547C2" w:rsidRPr="000B65DE" w:rsidRDefault="000547C2" w:rsidP="000B65DE">
            <w:pPr>
              <w:ind w:left="0"/>
              <w:jc w:val="both"/>
              <w:rPr>
                <w:rFonts w:ascii="Bookman Old Style" w:hAnsi="Bookman Old Style"/>
                <w:lang w:val="es-ES_tradnl"/>
              </w:rPr>
            </w:pPr>
          </w:p>
        </w:tc>
      </w:tr>
    </w:tbl>
    <w:p w:rsidR="000B65DE" w:rsidRPr="000B65DE" w:rsidRDefault="000B65DE" w:rsidP="008F4D9F">
      <w:pPr>
        <w:numPr>
          <w:ilvl w:val="2"/>
          <w:numId w:val="16"/>
        </w:numPr>
        <w:overflowPunct w:val="0"/>
        <w:autoSpaceDE w:val="0"/>
        <w:autoSpaceDN w:val="0"/>
        <w:adjustRightInd w:val="0"/>
        <w:ind w:left="1134" w:hanging="1134"/>
        <w:jc w:val="both"/>
        <w:textAlignment w:val="baseline"/>
        <w:outlineLvl w:val="1"/>
        <w:rPr>
          <w:rFonts w:ascii="Bookman Old Style" w:hAnsi="Bookman Old Style"/>
          <w:b/>
          <w:bCs/>
          <w:lang w:val="es-CO"/>
        </w:rPr>
      </w:pPr>
      <w:r w:rsidRPr="000B65DE">
        <w:rPr>
          <w:rFonts w:ascii="Bookman Old Style" w:hAnsi="Bookman Old Style"/>
          <w:b/>
          <w:bCs/>
          <w:lang w:val="es-CO"/>
        </w:rPr>
        <w:t>Determinación de Cada Componente Según Conformación del Mercado Relevante de Distribución para el Siguiente Período Tarifario</w:t>
      </w:r>
    </w:p>
    <w:p w:rsidR="000B65DE" w:rsidRPr="000B65DE" w:rsidRDefault="000B65DE" w:rsidP="000B65DE">
      <w:pPr>
        <w:ind w:left="0"/>
        <w:jc w:val="both"/>
        <w:rPr>
          <w:rFonts w:ascii="Bookman Old Style" w:hAnsi="Bookman Old Style"/>
          <w:lang w:val="es-CO"/>
        </w:rPr>
      </w:pPr>
    </w:p>
    <w:p w:rsidR="000B65DE" w:rsidRPr="000B65DE" w:rsidRDefault="000B65DE" w:rsidP="008F4D9F">
      <w:pPr>
        <w:numPr>
          <w:ilvl w:val="3"/>
          <w:numId w:val="16"/>
        </w:numPr>
        <w:overflowPunct w:val="0"/>
        <w:autoSpaceDE w:val="0"/>
        <w:autoSpaceDN w:val="0"/>
        <w:adjustRightInd w:val="0"/>
        <w:ind w:left="1134" w:hanging="1134"/>
        <w:jc w:val="both"/>
        <w:textAlignment w:val="baseline"/>
        <w:outlineLvl w:val="1"/>
        <w:rPr>
          <w:rFonts w:ascii="Bookman Old Style" w:hAnsi="Bookman Old Style"/>
          <w:b/>
          <w:bCs/>
          <w:lang w:val="es-CO"/>
        </w:rPr>
      </w:pPr>
      <w:r w:rsidRPr="000B65DE">
        <w:rPr>
          <w:rFonts w:ascii="Bookman Old Style" w:hAnsi="Bookman Old Style"/>
          <w:b/>
          <w:bCs/>
          <w:lang w:val="es-CO"/>
        </w:rPr>
        <w:t>Mercados Relevantes de Distribución para el Siguiente Período Tarifario conformados a partir de Mercados Existentes de Distribución o Agregación de Mercados Existentes de Distribución</w:t>
      </w:r>
    </w:p>
    <w:p w:rsidR="000B65DE" w:rsidRPr="000B65DE" w:rsidRDefault="000B65DE" w:rsidP="000B65DE">
      <w:pPr>
        <w:ind w:left="0"/>
        <w:jc w:val="both"/>
        <w:rPr>
          <w:rFonts w:ascii="Bookman Old Style" w:hAnsi="Bookman Old Style"/>
        </w:rPr>
      </w:pPr>
    </w:p>
    <w:p w:rsidR="000B65DE" w:rsidRPr="0092172B" w:rsidRDefault="00364E59" w:rsidP="000B65DE">
      <w:pPr>
        <w:tabs>
          <w:tab w:val="left" w:pos="426"/>
        </w:tabs>
        <w:ind w:left="0"/>
        <w:jc w:val="center"/>
        <w:rPr>
          <w:rFonts w:ascii="Bookman Old Style" w:hAnsi="Bookman Old Style" w:cs="Arial"/>
          <w:lang w:val="es-ES_tradnl"/>
        </w:rPr>
      </w:pPr>
      <m:oMathPara>
        <m:oMath>
          <m:sSub>
            <m:sSubPr>
              <m:ctrlPr>
                <w:rPr>
                  <w:rFonts w:ascii="Cambria Math" w:hAnsi="Cambria Math" w:cs="Arial"/>
                  <w:lang w:val="es-ES_tradnl"/>
                </w:rPr>
              </m:ctrlPr>
            </m:sSubPr>
            <m:e>
              <m:r>
                <m:rPr>
                  <m:sty m:val="p"/>
                </m:rPr>
                <w:rPr>
                  <w:rFonts w:ascii="Cambria Math" w:hAnsi="Cambria Math" w:cs="Arial"/>
                  <w:lang w:val="es-ES_tradnl"/>
                </w:rPr>
                <m:t>D</m:t>
              </m:r>
            </m:e>
            <m:sub>
              <m:r>
                <m:rPr>
                  <m:sty m:val="p"/>
                </m:rPr>
                <w:rPr>
                  <w:rFonts w:ascii="Cambria Math" w:hAnsi="Cambria Math" w:cs="Arial"/>
                  <w:lang w:val="es-ES_tradnl"/>
                </w:rPr>
                <m:t>inv(AUR)k</m:t>
              </m:r>
            </m:sub>
          </m:sSub>
          <m:r>
            <m:rPr>
              <m:sty m:val="p"/>
            </m:rPr>
            <w:rPr>
              <w:rFonts w:ascii="Cambria Math" w:hAnsi="Cambria Math" w:cs="Arial"/>
              <w:lang w:val="es-ES_tradnl"/>
            </w:rPr>
            <m:t xml:space="preserve">= </m:t>
          </m:r>
          <m:f>
            <m:fPr>
              <m:ctrlPr>
                <w:rPr>
                  <w:rFonts w:ascii="Cambria Math" w:hAnsi="Cambria Math" w:cs="Arial"/>
                  <w:lang w:val="es-ES_tradnl"/>
                </w:rPr>
              </m:ctrlPr>
            </m:fPr>
            <m:num>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IBME</m:t>
                  </m:r>
                </m:e>
                <m:sub>
                  <m:r>
                    <m:rPr>
                      <m:sty m:val="p"/>
                    </m:rPr>
                    <w:rPr>
                      <w:rFonts w:ascii="Cambria Math" w:eastAsia="Calibri" w:hAnsi="Cambria Math" w:cs="Arial"/>
                      <w:lang w:val="es-CO" w:eastAsia="en-US"/>
                    </w:rPr>
                    <m:t>RPk</m:t>
                  </m:r>
                </m:sub>
              </m:sSub>
            </m:num>
            <m:den>
              <m:sSub>
                <m:sSubPr>
                  <m:ctrlPr>
                    <w:rPr>
                      <w:rFonts w:ascii="Cambria Math" w:hAnsi="Cambria Math" w:cs="Arial"/>
                      <w:lang w:val="es-ES_tradnl"/>
                    </w:rPr>
                  </m:ctrlPr>
                </m:sSubPr>
                <m:e>
                  <m:r>
                    <m:rPr>
                      <m:sty m:val="p"/>
                    </m:rPr>
                    <w:rPr>
                      <w:rFonts w:ascii="Cambria Math" w:hAnsi="Cambria Math" w:cs="Arial"/>
                      <w:lang w:val="es-ES_tradnl"/>
                    </w:rPr>
                    <m:t>Q</m:t>
                  </m:r>
                </m:e>
                <m:sub>
                  <m:r>
                    <m:rPr>
                      <m:sty m:val="p"/>
                    </m:rPr>
                    <w:rPr>
                      <w:rFonts w:ascii="Cambria Math" w:hAnsi="Cambria Math" w:cs="Arial"/>
                      <w:lang w:val="es-ES_tradnl"/>
                    </w:rPr>
                    <m:t>Tk</m:t>
                  </m:r>
                </m:sub>
              </m:sSub>
            </m:den>
          </m:f>
          <m:r>
            <w:rPr>
              <w:rFonts w:ascii="Cambria Math" w:hAnsi="Cambria Math" w:cs="Arial"/>
              <w:lang w:val="es-ES_tradnl"/>
            </w:rPr>
            <m:t>+</m:t>
          </m:r>
          <m:f>
            <m:fPr>
              <m:ctrlPr>
                <w:rPr>
                  <w:rFonts w:ascii="Cambria Math" w:hAnsi="Cambria Math" w:cs="Arial"/>
                  <w:lang w:val="es-ES_tradnl"/>
                </w:rPr>
              </m:ctrlPr>
            </m:fPr>
            <m:num>
              <m:sSub>
                <m:sSubPr>
                  <m:ctrlPr>
                    <w:rPr>
                      <w:rFonts w:ascii="Cambria Math" w:hAnsi="Cambria Math" w:cs="Arial"/>
                      <w:lang w:val="es-ES_tradnl"/>
                    </w:rPr>
                  </m:ctrlPr>
                </m:sSubPr>
                <m:e>
                  <m:r>
                    <m:rPr>
                      <m:sty m:val="p"/>
                    </m:rPr>
                    <w:rPr>
                      <w:rFonts w:ascii="Cambria Math" w:hAnsi="Cambria Math" w:cs="Arial"/>
                      <w:lang w:val="es-ES_tradnl"/>
                    </w:rPr>
                    <m:t>IBME</m:t>
                  </m:r>
                </m:e>
                <m:sub>
                  <m:r>
                    <m:rPr>
                      <m:sty m:val="p"/>
                    </m:rPr>
                    <w:rPr>
                      <w:rFonts w:ascii="Cambria Math" w:hAnsi="Cambria Math" w:cs="Arial"/>
                      <w:lang w:val="es-ES_tradnl"/>
                    </w:rPr>
                    <m:t>RSk</m:t>
                  </m:r>
                </m:sub>
              </m:sSub>
            </m:num>
            <m:den>
              <m:sSub>
                <m:sSubPr>
                  <m:ctrlPr>
                    <w:rPr>
                      <w:rFonts w:ascii="Cambria Math" w:hAnsi="Cambria Math" w:cs="Arial"/>
                      <w:lang w:val="es-ES_tradnl"/>
                    </w:rPr>
                  </m:ctrlPr>
                </m:sSubPr>
                <m:e>
                  <m:r>
                    <m:rPr>
                      <m:sty m:val="p"/>
                    </m:rPr>
                    <w:rPr>
                      <w:rFonts w:ascii="Cambria Math" w:hAnsi="Cambria Math" w:cs="Arial"/>
                      <w:lang w:val="es-ES_tradnl"/>
                    </w:rPr>
                    <m:t>(Q</m:t>
                  </m:r>
                </m:e>
                <m:sub>
                  <m:r>
                    <m:rPr>
                      <m:sty m:val="p"/>
                    </m:rPr>
                    <w:rPr>
                      <w:rFonts w:ascii="Cambria Math" w:hAnsi="Cambria Math" w:cs="Arial"/>
                      <w:lang w:val="es-ES_tradnl"/>
                    </w:rPr>
                    <m:t>NoResRSk</m:t>
                  </m:r>
                </m:sub>
              </m:sSub>
              <m:r>
                <m:rPr>
                  <m:sty m:val="p"/>
                </m:rPr>
                <w:rPr>
                  <w:rFonts w:ascii="Cambria Math" w:hAnsi="Cambria Math" w:cs="Arial"/>
                  <w:lang w:val="es-ES_tradnl"/>
                </w:rPr>
                <m:t>+</m:t>
              </m:r>
              <m:sSub>
                <m:sSubPr>
                  <m:ctrlPr>
                    <w:rPr>
                      <w:rFonts w:ascii="Cambria Math" w:hAnsi="Cambria Math" w:cs="Arial"/>
                      <w:lang w:val="es-ES_tradnl"/>
                    </w:rPr>
                  </m:ctrlPr>
                </m:sSubPr>
                <m:e>
                  <m:r>
                    <m:rPr>
                      <m:sty m:val="p"/>
                    </m:rPr>
                    <w:rPr>
                      <w:rFonts w:ascii="Cambria Math" w:hAnsi="Cambria Math" w:cs="Arial"/>
                      <w:lang w:val="es-ES_tradnl"/>
                    </w:rPr>
                    <m:t>Q</m:t>
                  </m:r>
                </m:e>
                <m:sub>
                  <m:r>
                    <m:rPr>
                      <m:sty m:val="p"/>
                    </m:rPr>
                    <w:rPr>
                      <w:rFonts w:ascii="Cambria Math" w:hAnsi="Cambria Math" w:cs="Arial"/>
                      <w:lang w:val="es-ES_tradnl"/>
                    </w:rPr>
                    <m:t>Resk</m:t>
                  </m:r>
                </m:sub>
              </m:sSub>
              <m:r>
                <w:rPr>
                  <w:rFonts w:ascii="Cambria Math" w:hAnsi="Cambria Math" w:cs="Arial"/>
                  <w:lang w:val="es-ES_tradnl"/>
                </w:rPr>
                <m:t>)</m:t>
              </m:r>
            </m:den>
          </m:f>
        </m:oMath>
      </m:oMathPara>
    </w:p>
    <w:p w:rsidR="000B65DE" w:rsidRPr="000B65DE" w:rsidRDefault="000B65DE" w:rsidP="000B65DE">
      <w:pPr>
        <w:tabs>
          <w:tab w:val="left" w:pos="426"/>
        </w:tabs>
        <w:ind w:left="0"/>
        <w:jc w:val="both"/>
        <w:rPr>
          <w:rFonts w:ascii="Bookman Old Style" w:hAnsi="Bookman Old Style" w:cs="Arial"/>
          <w:lang w:val="es-ES_tradnl"/>
        </w:rPr>
      </w:pPr>
    </w:p>
    <w:p w:rsidR="000B65DE" w:rsidRPr="000B65DE" w:rsidRDefault="000B65DE" w:rsidP="000B65DE">
      <w:pPr>
        <w:ind w:left="284" w:hanging="284"/>
        <w:jc w:val="both"/>
        <w:rPr>
          <w:rFonts w:ascii="Bookman Old Style" w:hAnsi="Bookman Old Style"/>
        </w:rPr>
      </w:pPr>
    </w:p>
    <w:p w:rsidR="000B65DE" w:rsidRPr="0092172B" w:rsidRDefault="00364E59" w:rsidP="000B65DE">
      <w:pPr>
        <w:tabs>
          <w:tab w:val="left" w:pos="426"/>
        </w:tabs>
        <w:ind w:left="0"/>
        <w:jc w:val="center"/>
        <w:rPr>
          <w:rFonts w:ascii="Bookman Old Style" w:hAnsi="Bookman Old Style" w:cs="Arial"/>
          <w:lang w:val="es-ES_tradnl"/>
        </w:rPr>
      </w:pPr>
      <m:oMathPara>
        <m:oMath>
          <m:sSub>
            <m:sSubPr>
              <m:ctrlPr>
                <w:rPr>
                  <w:rFonts w:ascii="Cambria Math" w:hAnsi="Cambria Math" w:cs="Arial"/>
                  <w:lang w:val="es-ES_tradnl"/>
                </w:rPr>
              </m:ctrlPr>
            </m:sSubPr>
            <m:e>
              <m:r>
                <m:rPr>
                  <m:sty m:val="p"/>
                </m:rPr>
                <w:rPr>
                  <w:rFonts w:ascii="Cambria Math" w:hAnsi="Cambria Math" w:cs="Arial"/>
                  <w:lang w:val="es-ES_tradnl"/>
                </w:rPr>
                <m:t>D</m:t>
              </m:r>
            </m:e>
            <m:sub>
              <m:r>
                <m:rPr>
                  <m:sty m:val="p"/>
                </m:rPr>
                <w:rPr>
                  <w:rFonts w:ascii="Cambria Math" w:hAnsi="Cambria Math" w:cs="Arial"/>
                  <w:lang w:val="es-ES_tradnl"/>
                </w:rPr>
                <m:t>AOM(AUR)k</m:t>
              </m:r>
            </m:sub>
          </m:sSub>
          <m:r>
            <m:rPr>
              <m:sty m:val="p"/>
            </m:rPr>
            <w:rPr>
              <w:rFonts w:ascii="Cambria Math" w:hAnsi="Cambria Math" w:cs="Arial"/>
              <w:lang w:val="es-ES_tradnl"/>
            </w:rPr>
            <m:t xml:space="preserve">= </m:t>
          </m:r>
          <m:f>
            <m:fPr>
              <m:ctrlPr>
                <w:rPr>
                  <w:rFonts w:ascii="Cambria Math" w:hAnsi="Cambria Math" w:cs="Arial"/>
                  <w:lang w:val="es-ES_tradnl"/>
                </w:rPr>
              </m:ctrlPr>
            </m:fPr>
            <m:num>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AOM</m:t>
                  </m:r>
                </m:e>
                <m:sub>
                  <m:r>
                    <m:rPr>
                      <m:sty m:val="p"/>
                    </m:rPr>
                    <w:rPr>
                      <w:rFonts w:ascii="Cambria Math" w:eastAsia="Calibri" w:hAnsi="Cambria Math" w:cs="Arial"/>
                      <w:lang w:val="es-CO" w:eastAsia="en-US"/>
                    </w:rPr>
                    <m:t>RPk</m:t>
                  </m:r>
                </m:sub>
              </m:sSub>
            </m:num>
            <m:den>
              <m:sSub>
                <m:sSubPr>
                  <m:ctrlPr>
                    <w:rPr>
                      <w:rFonts w:ascii="Cambria Math" w:hAnsi="Cambria Math" w:cs="Arial"/>
                      <w:lang w:val="es-ES_tradnl"/>
                    </w:rPr>
                  </m:ctrlPr>
                </m:sSubPr>
                <m:e>
                  <m:r>
                    <m:rPr>
                      <m:sty m:val="p"/>
                    </m:rPr>
                    <w:rPr>
                      <w:rFonts w:ascii="Cambria Math" w:hAnsi="Cambria Math" w:cs="Arial"/>
                      <w:lang w:val="es-ES_tradnl"/>
                    </w:rPr>
                    <m:t>Q</m:t>
                  </m:r>
                </m:e>
                <m:sub>
                  <m:r>
                    <m:rPr>
                      <m:sty m:val="p"/>
                    </m:rPr>
                    <w:rPr>
                      <w:rFonts w:ascii="Cambria Math" w:hAnsi="Cambria Math" w:cs="Arial"/>
                      <w:lang w:val="es-ES_tradnl"/>
                    </w:rPr>
                    <m:t>Tk</m:t>
                  </m:r>
                </m:sub>
              </m:sSub>
            </m:den>
          </m:f>
          <m:r>
            <w:rPr>
              <w:rFonts w:ascii="Cambria Math" w:hAnsi="Cambria Math" w:cs="Arial"/>
              <w:lang w:val="es-ES_tradnl"/>
            </w:rPr>
            <m:t>+</m:t>
          </m:r>
          <m:f>
            <m:fPr>
              <m:ctrlPr>
                <w:rPr>
                  <w:rFonts w:ascii="Cambria Math" w:hAnsi="Cambria Math" w:cs="Arial"/>
                  <w:lang w:val="es-ES_tradnl"/>
                </w:rPr>
              </m:ctrlPr>
            </m:fPr>
            <m:num>
              <m:sSub>
                <m:sSubPr>
                  <m:ctrlPr>
                    <w:rPr>
                      <w:rFonts w:ascii="Cambria Math" w:hAnsi="Cambria Math" w:cs="Arial"/>
                      <w:lang w:val="es-ES_tradnl"/>
                    </w:rPr>
                  </m:ctrlPr>
                </m:sSubPr>
                <m:e>
                  <m:r>
                    <m:rPr>
                      <m:sty m:val="p"/>
                    </m:rPr>
                    <w:rPr>
                      <w:rFonts w:ascii="Cambria Math" w:hAnsi="Cambria Math" w:cs="Arial"/>
                      <w:lang w:val="es-ES_tradnl"/>
                    </w:rPr>
                    <m:t>AOM</m:t>
                  </m:r>
                </m:e>
                <m:sub>
                  <m:r>
                    <m:rPr>
                      <m:sty m:val="p"/>
                    </m:rPr>
                    <w:rPr>
                      <w:rFonts w:ascii="Cambria Math" w:hAnsi="Cambria Math" w:cs="Arial"/>
                      <w:lang w:val="es-ES_tradnl"/>
                    </w:rPr>
                    <m:t>RSk</m:t>
                  </m:r>
                </m:sub>
              </m:sSub>
            </m:num>
            <m:den>
              <m:sSub>
                <m:sSubPr>
                  <m:ctrlPr>
                    <w:rPr>
                      <w:rFonts w:ascii="Cambria Math" w:hAnsi="Cambria Math" w:cs="Arial"/>
                      <w:lang w:val="es-ES_tradnl"/>
                    </w:rPr>
                  </m:ctrlPr>
                </m:sSubPr>
                <m:e>
                  <m:r>
                    <m:rPr>
                      <m:sty m:val="p"/>
                    </m:rPr>
                    <w:rPr>
                      <w:rFonts w:ascii="Cambria Math" w:hAnsi="Cambria Math" w:cs="Arial"/>
                      <w:lang w:val="es-ES_tradnl"/>
                    </w:rPr>
                    <m:t>(Q</m:t>
                  </m:r>
                </m:e>
                <m:sub>
                  <m:r>
                    <m:rPr>
                      <m:sty m:val="p"/>
                    </m:rPr>
                    <w:rPr>
                      <w:rFonts w:ascii="Cambria Math" w:hAnsi="Cambria Math" w:cs="Arial"/>
                      <w:lang w:val="es-ES_tradnl"/>
                    </w:rPr>
                    <m:t>NoResRSk</m:t>
                  </m:r>
                </m:sub>
              </m:sSub>
              <m:r>
                <m:rPr>
                  <m:sty m:val="p"/>
                </m:rPr>
                <w:rPr>
                  <w:rFonts w:ascii="Cambria Math" w:hAnsi="Cambria Math" w:cs="Arial"/>
                  <w:lang w:val="es-ES_tradnl"/>
                </w:rPr>
                <m:t>+</m:t>
              </m:r>
              <m:sSub>
                <m:sSubPr>
                  <m:ctrlPr>
                    <w:rPr>
                      <w:rFonts w:ascii="Cambria Math" w:hAnsi="Cambria Math" w:cs="Arial"/>
                      <w:lang w:val="es-ES_tradnl"/>
                    </w:rPr>
                  </m:ctrlPr>
                </m:sSubPr>
                <m:e>
                  <m:r>
                    <m:rPr>
                      <m:sty m:val="p"/>
                    </m:rPr>
                    <w:rPr>
                      <w:rFonts w:ascii="Cambria Math" w:hAnsi="Cambria Math" w:cs="Arial"/>
                      <w:lang w:val="es-ES_tradnl"/>
                    </w:rPr>
                    <m:t>Q</m:t>
                  </m:r>
                </m:e>
                <m:sub>
                  <m:r>
                    <m:rPr>
                      <m:sty m:val="p"/>
                    </m:rPr>
                    <w:rPr>
                      <w:rFonts w:ascii="Cambria Math" w:hAnsi="Cambria Math" w:cs="Arial"/>
                      <w:lang w:val="es-ES_tradnl"/>
                    </w:rPr>
                    <m:t>Resk</m:t>
                  </m:r>
                </m:sub>
              </m:sSub>
              <m:r>
                <w:rPr>
                  <w:rFonts w:ascii="Cambria Math" w:hAnsi="Cambria Math" w:cs="Arial"/>
                  <w:lang w:val="es-ES_tradnl"/>
                </w:rPr>
                <m:t>)</m:t>
              </m:r>
            </m:den>
          </m:f>
        </m:oMath>
      </m:oMathPara>
    </w:p>
    <w:p w:rsidR="000B65DE" w:rsidRPr="000B65DE" w:rsidRDefault="000B65DE" w:rsidP="000B65DE">
      <w:pPr>
        <w:ind w:left="0"/>
        <w:jc w:val="both"/>
        <w:rPr>
          <w:rFonts w:ascii="Bookman Old Style" w:hAnsi="Bookman Old Style"/>
        </w:rPr>
      </w:pPr>
    </w:p>
    <w:p w:rsidR="000B65DE" w:rsidRPr="000B65DE" w:rsidRDefault="000B65DE" w:rsidP="000B65DE">
      <w:pPr>
        <w:tabs>
          <w:tab w:val="left" w:pos="426"/>
        </w:tabs>
        <w:ind w:left="0"/>
        <w:jc w:val="both"/>
        <w:rPr>
          <w:rFonts w:ascii="Bookman Old Style" w:hAnsi="Bookman Old Style" w:cs="Arial"/>
          <w:lang w:val="es-ES_tradnl"/>
        </w:rPr>
      </w:pPr>
      <w:r w:rsidRPr="000B65DE">
        <w:rPr>
          <w:rFonts w:ascii="Bookman Old Style" w:hAnsi="Bookman Old Style" w:cs="Arial"/>
          <w:lang w:val="es-ES_tradnl"/>
        </w:rPr>
        <w:t>Donde:</w:t>
      </w:r>
    </w:p>
    <w:p w:rsidR="000B65DE" w:rsidRPr="000B65DE" w:rsidRDefault="000B65DE" w:rsidP="000B65DE">
      <w:pPr>
        <w:tabs>
          <w:tab w:val="left" w:pos="426"/>
        </w:tabs>
        <w:ind w:left="0"/>
        <w:jc w:val="both"/>
        <w:rPr>
          <w:rFonts w:ascii="Bookman Old Style" w:hAnsi="Bookman Old Style" w:cs="Arial"/>
          <w:lang w:val="es-ES_tradnl"/>
        </w:rPr>
      </w:pPr>
    </w:p>
    <w:tbl>
      <w:tblPr>
        <w:tblW w:w="8870" w:type="dxa"/>
        <w:tblInd w:w="250" w:type="dxa"/>
        <w:tblLook w:val="04A0" w:firstRow="1" w:lastRow="0" w:firstColumn="1" w:lastColumn="0" w:noHBand="0" w:noVBand="1"/>
      </w:tblPr>
      <w:tblGrid>
        <w:gridCol w:w="2268"/>
        <w:gridCol w:w="6602"/>
      </w:tblGrid>
      <w:tr w:rsidR="000B65DE" w:rsidRPr="000B65DE" w:rsidTr="00382E27">
        <w:tc>
          <w:tcPr>
            <w:tcW w:w="2268" w:type="dxa"/>
          </w:tcPr>
          <w:p w:rsidR="000B65DE" w:rsidRPr="0092172B" w:rsidRDefault="00364E59" w:rsidP="000B65DE">
            <w:pPr>
              <w:tabs>
                <w:tab w:val="left" w:pos="426"/>
              </w:tabs>
              <w:ind w:left="0" w:hanging="817"/>
              <w:jc w:val="both"/>
              <w:rPr>
                <w:rFonts w:ascii="Bookman Old Style" w:hAnsi="Bookman Old Style" w:cs="Arial"/>
                <w:lang w:val="es-ES_tradnl"/>
              </w:rPr>
            </w:pPr>
            <m:oMathPara>
              <m:oMathParaPr>
                <m:jc m:val="left"/>
              </m:oMathParaPr>
              <m:oMath>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IBME</m:t>
                    </m:r>
                  </m:e>
                  <m:sub>
                    <m:r>
                      <m:rPr>
                        <m:sty m:val="p"/>
                      </m:rPr>
                      <w:rPr>
                        <w:rFonts w:ascii="Cambria Math" w:eastAsia="Calibri" w:hAnsi="Cambria Math" w:cs="Arial"/>
                        <w:lang w:val="es-CO" w:eastAsia="en-US"/>
                      </w:rPr>
                      <m:t>RPk</m:t>
                    </m:r>
                  </m:sub>
                </m:sSub>
              </m:oMath>
            </m:oMathPara>
          </w:p>
        </w:tc>
        <w:tc>
          <w:tcPr>
            <w:tcW w:w="6602" w:type="dxa"/>
          </w:tcPr>
          <w:p w:rsidR="000B65DE" w:rsidRPr="000B65DE" w:rsidRDefault="000B65DE" w:rsidP="000B65DE">
            <w:pPr>
              <w:spacing w:after="200"/>
              <w:ind w:left="0"/>
              <w:contextualSpacing/>
              <w:jc w:val="both"/>
              <w:rPr>
                <w:rFonts w:ascii="Bookman Old Style" w:hAnsi="Bookman Old Style" w:cs="Arial"/>
                <w:lang w:val="es-CO" w:eastAsia="en-US"/>
              </w:rPr>
            </w:pPr>
            <w:r w:rsidRPr="000B65DE">
              <w:rPr>
                <w:rFonts w:ascii="Bookman Old Style" w:hAnsi="Bookman Old Style" w:cs="Arial"/>
                <w:lang w:val="es-CO" w:eastAsia="en-US"/>
              </w:rPr>
              <w:t>Inversión Base correspondiente a la Red Primaria del Mercado Relevante de Distribución para el Siguiente Período Tarifario k conformado a partir de Mercado</w:t>
            </w:r>
            <w:r w:rsidR="00760173">
              <w:rPr>
                <w:rFonts w:ascii="Bookman Old Style" w:hAnsi="Bookman Old Style" w:cs="Arial"/>
                <w:lang w:val="es-CO" w:eastAsia="en-US"/>
              </w:rPr>
              <w:t>s</w:t>
            </w:r>
            <w:r w:rsidRPr="000B65DE">
              <w:rPr>
                <w:rFonts w:ascii="Bookman Old Style" w:hAnsi="Bookman Old Style" w:cs="Arial"/>
                <w:lang w:val="es-CO" w:eastAsia="en-US"/>
              </w:rPr>
              <w:t xml:space="preserve"> Existente</w:t>
            </w:r>
            <w:r w:rsidR="00760173">
              <w:rPr>
                <w:rFonts w:ascii="Bookman Old Style" w:hAnsi="Bookman Old Style" w:cs="Arial"/>
                <w:lang w:val="es-CO" w:eastAsia="en-US"/>
              </w:rPr>
              <w:t>s</w:t>
            </w:r>
            <w:r w:rsidRPr="000B65DE">
              <w:rPr>
                <w:rFonts w:ascii="Bookman Old Style" w:hAnsi="Bookman Old Style" w:cs="Arial"/>
                <w:lang w:val="es-CO" w:eastAsia="en-US"/>
              </w:rPr>
              <w:t xml:space="preserve"> de Distribución o de la Agregación de Mercados </w:t>
            </w:r>
            <w:r w:rsidR="00760173">
              <w:rPr>
                <w:rFonts w:ascii="Bookman Old Style" w:hAnsi="Bookman Old Style" w:cs="Arial"/>
                <w:lang w:val="es-CO" w:eastAsia="en-US"/>
              </w:rPr>
              <w:t>Existentes</w:t>
            </w:r>
            <w:r w:rsidRPr="000B65DE">
              <w:rPr>
                <w:rFonts w:ascii="Bookman Old Style" w:hAnsi="Bookman Old Style" w:cs="Arial"/>
                <w:lang w:val="es-CO" w:eastAsia="en-US"/>
              </w:rPr>
              <w:t xml:space="preserve"> de Distribución,  expresada en pesos de la Fecha Base. Esta se determina como se indica en el numeral </w:t>
            </w:r>
            <w:r w:rsidR="008B26D0">
              <w:fldChar w:fldCharType="begin"/>
            </w:r>
            <w:r w:rsidR="008B26D0">
              <w:instrText xml:space="preserve"> REF _Ref289353052 \r \h  \* MERGEFORMAT </w:instrText>
            </w:r>
            <w:r w:rsidR="008B26D0">
              <w:fldChar w:fldCharType="separate"/>
            </w:r>
            <w:r w:rsidR="004D5C18" w:rsidRPr="004D5C18">
              <w:rPr>
                <w:rFonts w:ascii="Bookman Old Style" w:hAnsi="Bookman Old Style" w:cs="Arial"/>
                <w:lang w:val="es-CO" w:eastAsia="en-US"/>
              </w:rPr>
              <w:t>9.5.1</w:t>
            </w:r>
            <w:r w:rsidR="008B26D0">
              <w:fldChar w:fldCharType="end"/>
            </w:r>
            <w:r w:rsidRPr="000B65DE">
              <w:rPr>
                <w:rFonts w:ascii="Bookman Old Style" w:hAnsi="Bookman Old Style" w:cs="Arial"/>
                <w:lang w:val="es-CO" w:eastAsia="en-US"/>
              </w:rPr>
              <w:t xml:space="preserve"> de esta Resolución. </w:t>
            </w:r>
          </w:p>
          <w:p w:rsidR="000B65DE" w:rsidRPr="000B65DE" w:rsidRDefault="000B65DE" w:rsidP="000B65DE">
            <w:pPr>
              <w:spacing w:after="200"/>
              <w:ind w:left="0"/>
              <w:contextualSpacing/>
              <w:jc w:val="both"/>
              <w:rPr>
                <w:rFonts w:ascii="Bookman Old Style" w:hAnsi="Bookman Old Style" w:cs="Arial"/>
                <w:lang w:val="es-CO"/>
              </w:rPr>
            </w:pPr>
          </w:p>
        </w:tc>
      </w:tr>
      <w:tr w:rsidR="000B65DE" w:rsidRPr="000B65DE" w:rsidTr="00382E27">
        <w:tc>
          <w:tcPr>
            <w:tcW w:w="2268" w:type="dxa"/>
          </w:tcPr>
          <w:p w:rsidR="000B65DE" w:rsidRPr="0092172B" w:rsidRDefault="00364E59" w:rsidP="000B65DE">
            <w:pPr>
              <w:tabs>
                <w:tab w:val="left" w:pos="426"/>
              </w:tabs>
              <w:ind w:left="0" w:hanging="817"/>
              <w:jc w:val="both"/>
              <w:rPr>
                <w:lang w:val="es-CO" w:eastAsia="en-US"/>
              </w:rPr>
            </w:pPr>
            <m:oMathPara>
              <m:oMathParaPr>
                <m:jc m:val="left"/>
              </m:oMathParaPr>
              <m:oMath>
                <m:sSub>
                  <m:sSubPr>
                    <m:ctrlPr>
                      <w:rPr>
                        <w:rFonts w:ascii="Cambria Math" w:hAnsi="Cambria Math" w:cs="Arial"/>
                        <w:lang w:val="es-ES_tradnl"/>
                      </w:rPr>
                    </m:ctrlPr>
                  </m:sSubPr>
                  <m:e>
                    <m:r>
                      <m:rPr>
                        <m:sty m:val="p"/>
                      </m:rPr>
                      <w:rPr>
                        <w:rFonts w:ascii="Cambria Math" w:hAnsi="Cambria Math" w:cs="Arial"/>
                        <w:lang w:val="es-ES_tradnl"/>
                      </w:rPr>
                      <m:t>IBME</m:t>
                    </m:r>
                  </m:e>
                  <m:sub>
                    <m:r>
                      <m:rPr>
                        <m:sty m:val="p"/>
                      </m:rPr>
                      <w:rPr>
                        <w:rFonts w:ascii="Cambria Math" w:hAnsi="Cambria Math" w:cs="Arial"/>
                        <w:lang w:val="es-ES_tradnl"/>
                      </w:rPr>
                      <m:t>RSk</m:t>
                    </m:r>
                  </m:sub>
                </m:sSub>
              </m:oMath>
            </m:oMathPara>
          </w:p>
        </w:tc>
        <w:tc>
          <w:tcPr>
            <w:tcW w:w="6602" w:type="dxa"/>
          </w:tcPr>
          <w:p w:rsidR="000B65DE" w:rsidRPr="000B65DE" w:rsidRDefault="000B65DE" w:rsidP="000B65DE">
            <w:pPr>
              <w:tabs>
                <w:tab w:val="left" w:pos="426"/>
              </w:tabs>
              <w:ind w:left="0"/>
              <w:jc w:val="both"/>
              <w:rPr>
                <w:rFonts w:ascii="Bookman Old Style" w:hAnsi="Bookman Old Style" w:cs="Arial"/>
                <w:lang w:val="es-CO" w:eastAsia="en-US"/>
              </w:rPr>
            </w:pPr>
            <w:r w:rsidRPr="000B65DE">
              <w:rPr>
                <w:rFonts w:ascii="Bookman Old Style" w:hAnsi="Bookman Old Style" w:cs="Arial"/>
                <w:lang w:val="es-CO" w:eastAsia="en-US"/>
              </w:rPr>
              <w:t>Inversión Base de  la Red Secundaria del Mercado Relevante de Distribución para el Siguiente Periodo Tarifario k conformado a partir de Mercado</w:t>
            </w:r>
            <w:r w:rsidR="00760173">
              <w:rPr>
                <w:rFonts w:ascii="Bookman Old Style" w:hAnsi="Bookman Old Style" w:cs="Arial"/>
                <w:lang w:val="es-CO" w:eastAsia="en-US"/>
              </w:rPr>
              <w:t>s</w:t>
            </w:r>
            <w:r w:rsidRPr="000B65DE">
              <w:rPr>
                <w:rFonts w:ascii="Bookman Old Style" w:hAnsi="Bookman Old Style" w:cs="Arial"/>
                <w:lang w:val="es-CO" w:eastAsia="en-US"/>
              </w:rPr>
              <w:t xml:space="preserve"> Existente</w:t>
            </w:r>
            <w:r w:rsidR="00760173">
              <w:rPr>
                <w:rFonts w:ascii="Bookman Old Style" w:hAnsi="Bookman Old Style" w:cs="Arial"/>
                <w:lang w:val="es-CO" w:eastAsia="en-US"/>
              </w:rPr>
              <w:t>s</w:t>
            </w:r>
            <w:r w:rsidRPr="000B65DE">
              <w:rPr>
                <w:rFonts w:ascii="Bookman Old Style" w:hAnsi="Bookman Old Style" w:cs="Arial"/>
                <w:lang w:val="es-CO" w:eastAsia="en-US"/>
              </w:rPr>
              <w:t xml:space="preserve"> de Distribución o de la Agregación de Mercados </w:t>
            </w:r>
            <w:r w:rsidR="00760173">
              <w:rPr>
                <w:rFonts w:ascii="Bookman Old Style" w:hAnsi="Bookman Old Style" w:cs="Arial"/>
                <w:lang w:val="es-CO" w:eastAsia="en-US"/>
              </w:rPr>
              <w:t xml:space="preserve">Existentes </w:t>
            </w:r>
            <w:r w:rsidRPr="000B65DE">
              <w:rPr>
                <w:rFonts w:ascii="Bookman Old Style" w:hAnsi="Bookman Old Style" w:cs="Arial"/>
                <w:lang w:val="es-CO" w:eastAsia="en-US"/>
              </w:rPr>
              <w:t xml:space="preserve">de Distribución,  expresada en pesos de la Fecha Base. Esta se determina como se indica en el numeral </w:t>
            </w:r>
            <w:r w:rsidR="008B26D0">
              <w:fldChar w:fldCharType="begin"/>
            </w:r>
            <w:r w:rsidR="008B26D0">
              <w:instrText xml:space="preserve"> REF _Ref289353052 \r \h  \* MERGEFORMAT </w:instrText>
            </w:r>
            <w:r w:rsidR="008B26D0">
              <w:fldChar w:fldCharType="separate"/>
            </w:r>
            <w:r w:rsidR="004D5C18" w:rsidRPr="004D5C18">
              <w:rPr>
                <w:rFonts w:ascii="Bookman Old Style" w:hAnsi="Bookman Old Style" w:cs="Arial"/>
                <w:lang w:val="es-CO" w:eastAsia="en-US"/>
              </w:rPr>
              <w:t>9.5.1</w:t>
            </w:r>
            <w:r w:rsidR="008B26D0">
              <w:fldChar w:fldCharType="end"/>
            </w:r>
            <w:r w:rsidRPr="000B65DE">
              <w:rPr>
                <w:rFonts w:ascii="Bookman Old Style" w:hAnsi="Bookman Old Style" w:cs="Arial"/>
                <w:lang w:val="es-CO" w:eastAsia="en-US"/>
              </w:rPr>
              <w:t xml:space="preserve"> de esta Resolución.</w:t>
            </w:r>
          </w:p>
          <w:p w:rsidR="000B65DE" w:rsidRPr="000B65DE" w:rsidRDefault="000B65DE" w:rsidP="000B65DE">
            <w:pPr>
              <w:tabs>
                <w:tab w:val="left" w:pos="426"/>
              </w:tabs>
              <w:ind w:left="0"/>
              <w:jc w:val="both"/>
              <w:rPr>
                <w:rFonts w:ascii="Bookman Old Style" w:hAnsi="Bookman Old Style" w:cs="Arial"/>
                <w:lang w:val="es-ES_tradnl"/>
              </w:rPr>
            </w:pPr>
          </w:p>
        </w:tc>
      </w:tr>
      <w:tr w:rsidR="000B65DE" w:rsidRPr="000B65DE" w:rsidTr="00382E27">
        <w:tc>
          <w:tcPr>
            <w:tcW w:w="2268" w:type="dxa"/>
          </w:tcPr>
          <w:p w:rsidR="000B65DE" w:rsidRPr="0092172B" w:rsidRDefault="00364E59" w:rsidP="000B65DE">
            <w:pPr>
              <w:tabs>
                <w:tab w:val="left" w:pos="426"/>
              </w:tabs>
              <w:ind w:left="0" w:hanging="817"/>
              <w:jc w:val="both"/>
              <w:rPr>
                <w:rFonts w:ascii="Bookman Old Style" w:hAnsi="Bookman Old Style" w:cs="Arial"/>
                <w:lang w:val="es-ES_tradnl"/>
              </w:rPr>
            </w:pPr>
            <m:oMathPara>
              <m:oMathParaPr>
                <m:jc m:val="left"/>
              </m:oMathParaPr>
              <m:oMath>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AOM</m:t>
                    </m:r>
                  </m:e>
                  <m:sub>
                    <m:r>
                      <m:rPr>
                        <m:sty m:val="p"/>
                      </m:rPr>
                      <w:rPr>
                        <w:rFonts w:ascii="Cambria Math" w:eastAsia="Calibri" w:hAnsi="Cambria Math" w:cs="Arial"/>
                        <w:lang w:val="es-CO" w:eastAsia="en-US"/>
                      </w:rPr>
                      <m:t>RPk</m:t>
                    </m:r>
                  </m:sub>
                </m:sSub>
              </m:oMath>
            </m:oMathPara>
          </w:p>
        </w:tc>
        <w:tc>
          <w:tcPr>
            <w:tcW w:w="6602" w:type="dxa"/>
          </w:tcPr>
          <w:p w:rsidR="000B65DE" w:rsidRPr="000B65DE" w:rsidRDefault="000B65DE" w:rsidP="000B65DE">
            <w:pPr>
              <w:tabs>
                <w:tab w:val="left" w:pos="426"/>
              </w:tabs>
              <w:ind w:left="0"/>
              <w:jc w:val="both"/>
              <w:rPr>
                <w:rFonts w:ascii="Bookman Old Style" w:hAnsi="Bookman Old Style" w:cs="Arial"/>
                <w:lang w:val="es-ES_tradnl"/>
              </w:rPr>
            </w:pPr>
            <w:r w:rsidRPr="000B65DE">
              <w:rPr>
                <w:rFonts w:ascii="Bookman Old Style" w:hAnsi="Bookman Old Style" w:cs="Arial"/>
                <w:lang w:val="es-ES_tradnl"/>
              </w:rPr>
              <w:t xml:space="preserve">Gastos anuales eficientes de Administración, Operación y Mantenimiento para el </w:t>
            </w:r>
            <w:r w:rsidRPr="000B65DE">
              <w:rPr>
                <w:rFonts w:ascii="Bookman Old Style" w:hAnsi="Bookman Old Style" w:cs="Arial"/>
                <w:lang w:val="es-CO" w:eastAsia="en-US"/>
              </w:rPr>
              <w:t>Mercado Relevante de Distribución para el Siguiente Período Tarifario</w:t>
            </w:r>
            <w:r w:rsidRPr="000B65DE">
              <w:rPr>
                <w:rFonts w:ascii="Bookman Old Style" w:hAnsi="Bookman Old Style" w:cs="Arial"/>
                <w:lang w:val="es-ES_tradnl"/>
              </w:rPr>
              <w:t xml:space="preserve"> k </w:t>
            </w:r>
            <w:r w:rsidR="00760173" w:rsidRPr="000B65DE">
              <w:rPr>
                <w:rFonts w:ascii="Bookman Old Style" w:hAnsi="Bookman Old Style" w:cs="Arial"/>
                <w:lang w:val="es-CO" w:eastAsia="en-US"/>
              </w:rPr>
              <w:t>conformado a partir de Mercado</w:t>
            </w:r>
            <w:r w:rsidR="00760173">
              <w:rPr>
                <w:rFonts w:ascii="Bookman Old Style" w:hAnsi="Bookman Old Style" w:cs="Arial"/>
                <w:lang w:val="es-CO" w:eastAsia="en-US"/>
              </w:rPr>
              <w:t>s</w:t>
            </w:r>
            <w:r w:rsidR="00760173" w:rsidRPr="000B65DE">
              <w:rPr>
                <w:rFonts w:ascii="Bookman Old Style" w:hAnsi="Bookman Old Style" w:cs="Arial"/>
                <w:lang w:val="es-CO" w:eastAsia="en-US"/>
              </w:rPr>
              <w:t xml:space="preserve"> Existente</w:t>
            </w:r>
            <w:r w:rsidR="00760173">
              <w:rPr>
                <w:rFonts w:ascii="Bookman Old Style" w:hAnsi="Bookman Old Style" w:cs="Arial"/>
                <w:lang w:val="es-CO" w:eastAsia="en-US"/>
              </w:rPr>
              <w:t>s</w:t>
            </w:r>
            <w:r w:rsidR="00760173" w:rsidRPr="000B65DE">
              <w:rPr>
                <w:rFonts w:ascii="Bookman Old Style" w:hAnsi="Bookman Old Style" w:cs="Arial"/>
                <w:lang w:val="es-CO" w:eastAsia="en-US"/>
              </w:rPr>
              <w:t xml:space="preserve"> de Distribución o de la Agregación de Mercados </w:t>
            </w:r>
            <w:r w:rsidR="00760173">
              <w:rPr>
                <w:rFonts w:ascii="Bookman Old Style" w:hAnsi="Bookman Old Style" w:cs="Arial"/>
                <w:lang w:val="es-CO" w:eastAsia="en-US"/>
              </w:rPr>
              <w:t xml:space="preserve">Existentes </w:t>
            </w:r>
            <w:r w:rsidR="00760173" w:rsidRPr="000B65DE">
              <w:rPr>
                <w:rFonts w:ascii="Bookman Old Style" w:hAnsi="Bookman Old Style" w:cs="Arial"/>
                <w:lang w:val="es-CO" w:eastAsia="en-US"/>
              </w:rPr>
              <w:t>de Distribución</w:t>
            </w:r>
            <w:r w:rsidR="00760173" w:rsidRPr="000B65DE">
              <w:rPr>
                <w:rFonts w:ascii="Bookman Old Style" w:hAnsi="Bookman Old Style" w:cs="Arial"/>
                <w:lang w:val="es-ES_tradnl"/>
              </w:rPr>
              <w:t xml:space="preserve"> </w:t>
            </w:r>
            <w:r w:rsidRPr="000B65DE">
              <w:rPr>
                <w:rFonts w:ascii="Bookman Old Style" w:hAnsi="Bookman Old Style" w:cs="Arial"/>
                <w:lang w:val="es-ES_tradnl"/>
              </w:rPr>
              <w:t xml:space="preserve">para la Red Primaria, expresados en pesos de la Fecha Base. Los </w:t>
            </w:r>
            <w:r w:rsidRPr="000B65DE">
              <w:rPr>
                <w:rFonts w:ascii="Bookman Old Style" w:hAnsi="Bookman Old Style" w:cs="Arial"/>
                <w:lang w:val="es-ES_tradnl"/>
              </w:rPr>
              <w:lastRenderedPageBreak/>
              <w:t>gastos de AOM eficientes para la Red Primaria, se determinarán de acuerdo con el promedio de las relaciones de  kilómetros de la Red Primaria sobre los kilómetros red total del Sistema de Distribución y la Inversión Base correspondiente a la Red Primaria de Distribución sobre la Inversión Base Total del Sistema de Distribución.</w:t>
            </w:r>
          </w:p>
          <w:p w:rsidR="000B65DE" w:rsidRPr="000B65DE" w:rsidRDefault="000B65DE" w:rsidP="000B65DE">
            <w:pPr>
              <w:tabs>
                <w:tab w:val="left" w:pos="426"/>
              </w:tabs>
              <w:ind w:left="0"/>
              <w:jc w:val="both"/>
              <w:rPr>
                <w:rFonts w:ascii="Bookman Old Style" w:hAnsi="Bookman Old Style" w:cs="Arial"/>
                <w:lang w:val="es-ES_tradnl"/>
              </w:rPr>
            </w:pPr>
          </w:p>
        </w:tc>
      </w:tr>
      <w:tr w:rsidR="000B65DE" w:rsidRPr="000B65DE" w:rsidTr="00382E27">
        <w:tc>
          <w:tcPr>
            <w:tcW w:w="2268" w:type="dxa"/>
          </w:tcPr>
          <w:p w:rsidR="000B65DE" w:rsidRPr="0092172B" w:rsidRDefault="00364E59" w:rsidP="000B65DE">
            <w:pPr>
              <w:tabs>
                <w:tab w:val="left" w:pos="426"/>
              </w:tabs>
              <w:ind w:left="0" w:hanging="817"/>
              <w:jc w:val="both"/>
              <w:rPr>
                <w:lang w:val="es-CO" w:eastAsia="en-US"/>
              </w:rPr>
            </w:pPr>
            <m:oMathPara>
              <m:oMathParaPr>
                <m:jc m:val="left"/>
              </m:oMathParaPr>
              <m:oMath>
                <m:sSub>
                  <m:sSubPr>
                    <m:ctrlPr>
                      <w:rPr>
                        <w:rFonts w:ascii="Cambria Math" w:hAnsi="Cambria Math" w:cs="Arial"/>
                        <w:lang w:val="es-ES_tradnl"/>
                      </w:rPr>
                    </m:ctrlPr>
                  </m:sSubPr>
                  <m:e>
                    <m:r>
                      <m:rPr>
                        <m:sty m:val="p"/>
                      </m:rPr>
                      <w:rPr>
                        <w:rFonts w:ascii="Cambria Math" w:hAnsi="Cambria Math" w:cs="Arial"/>
                        <w:lang w:val="es-ES_tradnl"/>
                      </w:rPr>
                      <m:t>AOM</m:t>
                    </m:r>
                  </m:e>
                  <m:sub>
                    <m:r>
                      <m:rPr>
                        <m:sty m:val="p"/>
                      </m:rPr>
                      <w:rPr>
                        <w:rFonts w:ascii="Cambria Math" w:hAnsi="Cambria Math" w:cs="Arial"/>
                        <w:lang w:val="es-ES_tradnl"/>
                      </w:rPr>
                      <m:t>RSk</m:t>
                    </m:r>
                  </m:sub>
                </m:sSub>
              </m:oMath>
            </m:oMathPara>
          </w:p>
        </w:tc>
        <w:tc>
          <w:tcPr>
            <w:tcW w:w="6602" w:type="dxa"/>
          </w:tcPr>
          <w:p w:rsidR="000B65DE" w:rsidRPr="000B65DE" w:rsidRDefault="000B65DE" w:rsidP="000B65DE">
            <w:pPr>
              <w:tabs>
                <w:tab w:val="left" w:pos="426"/>
              </w:tabs>
              <w:ind w:left="0"/>
              <w:jc w:val="both"/>
              <w:rPr>
                <w:rFonts w:ascii="Bookman Old Style" w:hAnsi="Bookman Old Style" w:cs="Arial"/>
                <w:lang w:val="es-ES_tradnl"/>
              </w:rPr>
            </w:pPr>
            <w:r w:rsidRPr="000B65DE">
              <w:rPr>
                <w:rFonts w:ascii="Bookman Old Style" w:hAnsi="Bookman Old Style" w:cs="Arial"/>
                <w:lang w:val="es-ES_tradnl"/>
              </w:rPr>
              <w:t xml:space="preserve">Gastos anuales eficientes de Administración, Operación y Mantenimiento para el </w:t>
            </w:r>
            <w:r w:rsidRPr="000B65DE">
              <w:rPr>
                <w:rFonts w:ascii="Bookman Old Style" w:hAnsi="Bookman Old Style" w:cs="Arial"/>
                <w:lang w:val="es-CO" w:eastAsia="en-US"/>
              </w:rPr>
              <w:t xml:space="preserve">Mercado Relevante de Distribución para el Siguiente Período Tarifario </w:t>
            </w:r>
            <w:r w:rsidRPr="000B65DE">
              <w:rPr>
                <w:rFonts w:ascii="Bookman Old Style" w:hAnsi="Bookman Old Style" w:cs="Arial"/>
                <w:lang w:val="es-ES_tradnl"/>
              </w:rPr>
              <w:t xml:space="preserve">k </w:t>
            </w:r>
            <w:r w:rsidR="00760173" w:rsidRPr="000B65DE">
              <w:rPr>
                <w:rFonts w:ascii="Bookman Old Style" w:hAnsi="Bookman Old Style" w:cs="Arial"/>
                <w:lang w:val="es-CO" w:eastAsia="en-US"/>
              </w:rPr>
              <w:t>conformado a partir de Mercado</w:t>
            </w:r>
            <w:r w:rsidR="00760173">
              <w:rPr>
                <w:rFonts w:ascii="Bookman Old Style" w:hAnsi="Bookman Old Style" w:cs="Arial"/>
                <w:lang w:val="es-CO" w:eastAsia="en-US"/>
              </w:rPr>
              <w:t>s</w:t>
            </w:r>
            <w:r w:rsidR="00760173" w:rsidRPr="000B65DE">
              <w:rPr>
                <w:rFonts w:ascii="Bookman Old Style" w:hAnsi="Bookman Old Style" w:cs="Arial"/>
                <w:lang w:val="es-CO" w:eastAsia="en-US"/>
              </w:rPr>
              <w:t xml:space="preserve"> Existente</w:t>
            </w:r>
            <w:r w:rsidR="00760173">
              <w:rPr>
                <w:rFonts w:ascii="Bookman Old Style" w:hAnsi="Bookman Old Style" w:cs="Arial"/>
                <w:lang w:val="es-CO" w:eastAsia="en-US"/>
              </w:rPr>
              <w:t>s</w:t>
            </w:r>
            <w:r w:rsidR="00760173" w:rsidRPr="000B65DE">
              <w:rPr>
                <w:rFonts w:ascii="Bookman Old Style" w:hAnsi="Bookman Old Style" w:cs="Arial"/>
                <w:lang w:val="es-CO" w:eastAsia="en-US"/>
              </w:rPr>
              <w:t xml:space="preserve"> de Distribución o de la Agregación de Mercados </w:t>
            </w:r>
            <w:r w:rsidR="00760173">
              <w:rPr>
                <w:rFonts w:ascii="Bookman Old Style" w:hAnsi="Bookman Old Style" w:cs="Arial"/>
                <w:lang w:val="es-CO" w:eastAsia="en-US"/>
              </w:rPr>
              <w:t xml:space="preserve">Existentes </w:t>
            </w:r>
            <w:r w:rsidR="00760173" w:rsidRPr="000B65DE">
              <w:rPr>
                <w:rFonts w:ascii="Bookman Old Style" w:hAnsi="Bookman Old Style" w:cs="Arial"/>
                <w:lang w:val="es-CO" w:eastAsia="en-US"/>
              </w:rPr>
              <w:t>de Distribución</w:t>
            </w:r>
            <w:r w:rsidR="00760173" w:rsidRPr="000B65DE">
              <w:rPr>
                <w:rFonts w:ascii="Bookman Old Style" w:hAnsi="Bookman Old Style" w:cs="Arial"/>
                <w:lang w:val="es-ES_tradnl"/>
              </w:rPr>
              <w:t xml:space="preserve"> </w:t>
            </w:r>
            <w:r w:rsidRPr="000B65DE">
              <w:rPr>
                <w:rFonts w:ascii="Bookman Old Style" w:hAnsi="Bookman Old Style" w:cs="Arial"/>
                <w:lang w:val="es-ES_tradnl"/>
              </w:rPr>
              <w:t>para la Red Secundaria, expresados en pesos de la Fecha Base. Los gastos de AOM eficientes para la Red Secundaria, se determinarán de acuerdo con el promedio de las relaciones de kilómetros de la Red Secundaria sobre los kilómetros red total del Sistema de Distribución y la Inversión Base correspondiente a la Red Secundaria de Distribución sobre la Inversión Base Total del Sistema de Distribución.</w:t>
            </w:r>
          </w:p>
          <w:p w:rsidR="000B65DE" w:rsidRPr="000B65DE" w:rsidRDefault="000B65DE" w:rsidP="000B65DE">
            <w:pPr>
              <w:ind w:left="0"/>
              <w:jc w:val="both"/>
              <w:rPr>
                <w:rFonts w:ascii="Bookman Old Style" w:hAnsi="Bookman Old Style" w:cs="Arial"/>
                <w:lang w:val="es-ES_tradnl"/>
              </w:rPr>
            </w:pPr>
          </w:p>
        </w:tc>
      </w:tr>
      <w:tr w:rsidR="000B65DE" w:rsidRPr="000B65DE" w:rsidTr="00382E27">
        <w:tc>
          <w:tcPr>
            <w:tcW w:w="2268" w:type="dxa"/>
          </w:tcPr>
          <w:p w:rsidR="000B65DE" w:rsidRPr="0092172B" w:rsidRDefault="00364E59" w:rsidP="000B65DE">
            <w:pPr>
              <w:tabs>
                <w:tab w:val="left" w:pos="426"/>
              </w:tabs>
              <w:ind w:left="0" w:hanging="817"/>
              <w:jc w:val="both"/>
              <w:rPr>
                <w:rFonts w:ascii="Bookman Old Style" w:hAnsi="Bookman Old Style" w:cs="Arial"/>
                <w:lang w:val="es-ES_tradnl"/>
              </w:rPr>
            </w:pPr>
            <m:oMathPara>
              <m:oMathParaPr>
                <m:jc m:val="left"/>
              </m:oMathParaPr>
              <m:oMath>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Q</m:t>
                    </m:r>
                  </m:e>
                  <m:sub>
                    <m:r>
                      <m:rPr>
                        <m:sty m:val="p"/>
                      </m:rPr>
                      <w:rPr>
                        <w:rFonts w:ascii="Cambria Math" w:eastAsia="Calibri" w:hAnsi="Cambria Math" w:cs="Arial"/>
                        <w:lang w:val="es-CO" w:eastAsia="en-US"/>
                      </w:rPr>
                      <m:t>Tk</m:t>
                    </m:r>
                  </m:sub>
                </m:sSub>
              </m:oMath>
            </m:oMathPara>
          </w:p>
        </w:tc>
        <w:tc>
          <w:tcPr>
            <w:tcW w:w="6602" w:type="dxa"/>
          </w:tcPr>
          <w:p w:rsidR="00DB0A73" w:rsidRDefault="000B65DE" w:rsidP="000B65DE">
            <w:pPr>
              <w:ind w:left="0"/>
              <w:jc w:val="both"/>
              <w:rPr>
                <w:rFonts w:ascii="Bookman Old Style" w:hAnsi="Bookman Old Style" w:cs="Arial"/>
                <w:lang w:val="es-ES_tradnl"/>
              </w:rPr>
            </w:pPr>
            <w:r w:rsidRPr="000B65DE">
              <w:rPr>
                <w:rFonts w:ascii="Bookman Old Style" w:hAnsi="Bookman Old Style" w:cs="Arial"/>
                <w:lang w:val="es-ES_tradnl"/>
              </w:rPr>
              <w:t>Demanda real total</w:t>
            </w:r>
            <w:r w:rsidR="0096095F">
              <w:rPr>
                <w:rFonts w:ascii="Bookman Old Style" w:hAnsi="Bookman Old Style" w:cs="Arial"/>
                <w:lang w:val="es-ES_tradnl"/>
              </w:rPr>
              <w:t xml:space="preserve"> anual</w:t>
            </w:r>
            <w:r w:rsidRPr="000B65DE">
              <w:rPr>
                <w:rFonts w:ascii="Bookman Old Style" w:hAnsi="Bookman Old Style" w:cs="Arial"/>
                <w:lang w:val="es-ES_tradnl"/>
              </w:rPr>
              <w:t xml:space="preserve"> del </w:t>
            </w:r>
            <w:r w:rsidRPr="000B65DE">
              <w:rPr>
                <w:rFonts w:ascii="Bookman Old Style" w:hAnsi="Bookman Old Style" w:cs="Arial"/>
                <w:lang w:val="es-CO" w:eastAsia="en-US"/>
              </w:rPr>
              <w:t>Mercado Relevante de Distribución para el Siguiente Período Tarifario</w:t>
            </w:r>
            <w:r w:rsidRPr="000B65DE">
              <w:rPr>
                <w:rFonts w:ascii="Bookman Old Style" w:hAnsi="Bookman Old Style" w:cs="Arial"/>
                <w:lang w:val="es-ES_tradnl"/>
              </w:rPr>
              <w:t xml:space="preserve"> k obtenida en la Fecha de Corte, expresada en metros cúbicos (m</w:t>
            </w:r>
            <w:r w:rsidRPr="000B65DE">
              <w:rPr>
                <w:rFonts w:ascii="Bookman Old Style" w:hAnsi="Bookman Old Style" w:cs="Arial"/>
                <w:vertAlign w:val="superscript"/>
                <w:lang w:val="es-ES_tradnl"/>
              </w:rPr>
              <w:t>3</w:t>
            </w:r>
            <w:r w:rsidRPr="000B65DE">
              <w:rPr>
                <w:rFonts w:ascii="Bookman Old Style" w:hAnsi="Bookman Old Style" w:cs="Arial"/>
                <w:lang w:val="es-ES_tradnl"/>
              </w:rPr>
              <w:t xml:space="preserve">). </w:t>
            </w:r>
          </w:p>
          <w:p w:rsidR="00DB0A73" w:rsidRPr="00357C9C" w:rsidRDefault="00364E59" w:rsidP="000B65DE">
            <w:pPr>
              <w:ind w:left="0"/>
              <w:jc w:val="both"/>
              <w:rPr>
                <w:rFonts w:ascii="Bookman Old Style" w:hAnsi="Bookman Old Style" w:cs="Arial"/>
                <w:lang w:val="es-ES_tradnl"/>
              </w:rPr>
            </w:pPr>
            <m:oMathPara>
              <m:oMath>
                <m:sSub>
                  <m:sSubPr>
                    <m:ctrlPr>
                      <w:rPr>
                        <w:rFonts w:ascii="Cambria Math" w:hAnsi="Cambria Math" w:cs="Arial"/>
                        <w:lang w:val="es-ES_tradnl"/>
                      </w:rPr>
                    </m:ctrlPr>
                  </m:sSubPr>
                  <m:e>
                    <m:r>
                      <m:rPr>
                        <m:sty m:val="p"/>
                      </m:rPr>
                      <w:rPr>
                        <w:rFonts w:ascii="Cambria Math" w:hAnsi="Cambria Math" w:cs="Arial"/>
                        <w:lang w:val="es-ES_tradnl"/>
                      </w:rPr>
                      <m:t>Q</m:t>
                    </m:r>
                  </m:e>
                  <m:sub>
                    <m:r>
                      <m:rPr>
                        <m:sty m:val="p"/>
                      </m:rPr>
                      <w:rPr>
                        <w:rFonts w:ascii="Cambria Math" w:hAnsi="Cambria Math" w:cs="Arial"/>
                        <w:lang w:val="es-ES_tradnl"/>
                      </w:rPr>
                      <m:t>Tk</m:t>
                    </m:r>
                  </m:sub>
                </m:sSub>
                <m:r>
                  <m:rPr>
                    <m:sty m:val="p"/>
                  </m:rPr>
                  <w:rPr>
                    <w:rFonts w:ascii="Cambria Math" w:hAnsi="Cambria Math" w:cs="Arial"/>
                    <w:lang w:val="es-ES_tradnl"/>
                  </w:rPr>
                  <m:t>=</m:t>
                </m:r>
                <m:nary>
                  <m:naryPr>
                    <m:chr m:val="∑"/>
                    <m:limLoc m:val="undOvr"/>
                    <m:ctrlPr>
                      <w:rPr>
                        <w:rFonts w:ascii="Cambria Math" w:hAnsi="Cambria Math" w:cs="Arial"/>
                        <w:lang w:val="es-ES_tradnl"/>
                      </w:rPr>
                    </m:ctrlPr>
                  </m:naryPr>
                  <m:sub>
                    <m:r>
                      <m:rPr>
                        <m:sty m:val="p"/>
                      </m:rPr>
                      <w:rPr>
                        <w:rFonts w:ascii="Cambria Math" w:hAnsi="Cambria Math" w:cs="Arial"/>
                        <w:lang w:val="es-ES_tradnl"/>
                      </w:rPr>
                      <m:t>i=1</m:t>
                    </m:r>
                  </m:sub>
                  <m:sup>
                    <m:r>
                      <m:rPr>
                        <m:sty m:val="p"/>
                      </m:rPr>
                      <w:rPr>
                        <w:rFonts w:ascii="Cambria Math" w:hAnsi="Cambria Math" w:cs="Arial"/>
                        <w:lang w:val="es-ES_tradnl"/>
                      </w:rPr>
                      <m:t>n</m:t>
                    </m:r>
                  </m:sup>
                  <m:e>
                    <m:sSub>
                      <m:sSubPr>
                        <m:ctrlPr>
                          <w:rPr>
                            <w:rFonts w:ascii="Cambria Math" w:hAnsi="Cambria Math" w:cs="Arial"/>
                            <w:lang w:val="es-ES_tradnl"/>
                          </w:rPr>
                        </m:ctrlPr>
                      </m:sSubPr>
                      <m:e>
                        <m:r>
                          <m:rPr>
                            <m:sty m:val="p"/>
                          </m:rPr>
                          <w:rPr>
                            <w:rFonts w:ascii="Cambria Math" w:hAnsi="Cambria Math" w:cs="Arial"/>
                            <w:lang w:val="es-ES_tradnl"/>
                          </w:rPr>
                          <m:t>V</m:t>
                        </m:r>
                      </m:e>
                      <m:sub>
                        <m:r>
                          <m:rPr>
                            <m:sty m:val="p"/>
                          </m:rPr>
                          <w:rPr>
                            <w:rFonts w:ascii="Cambria Math" w:hAnsi="Cambria Math" w:cs="Arial"/>
                            <w:lang w:val="es-ES_tradnl"/>
                          </w:rPr>
                          <m:t>i</m:t>
                        </m:r>
                      </m:sub>
                    </m:sSub>
                  </m:e>
                </m:nary>
                <m:r>
                  <m:rPr>
                    <m:sty m:val="p"/>
                  </m:rPr>
                  <w:rPr>
                    <w:rFonts w:ascii="Cambria Math" w:hAnsi="Cambria Math" w:cs="Arial"/>
                    <w:lang w:val="es-ES_tradnl"/>
                  </w:rPr>
                  <m:t>×(1-p)</m:t>
                </m:r>
              </m:oMath>
            </m:oMathPara>
          </w:p>
          <w:p w:rsidR="00DB0A73" w:rsidRPr="000B65DE" w:rsidRDefault="00DB0A73" w:rsidP="000B65DE">
            <w:pPr>
              <w:ind w:left="0"/>
              <w:jc w:val="both"/>
              <w:rPr>
                <w:rFonts w:ascii="Bookman Old Style" w:hAnsi="Bookman Old Style" w:cs="Arial"/>
                <w:lang w:val="es-ES_tradnl"/>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6"/>
              <w:gridCol w:w="4925"/>
            </w:tblGrid>
            <w:tr w:rsidR="00DB0A73" w:rsidTr="00DB0A73">
              <w:tc>
                <w:tcPr>
                  <w:tcW w:w="1446" w:type="dxa"/>
                </w:tcPr>
                <w:p w:rsidR="00DB0A73" w:rsidRPr="00DB0A73" w:rsidRDefault="00364E59" w:rsidP="00DB0A73">
                  <w:pPr>
                    <w:ind w:left="0"/>
                    <w:rPr>
                      <w:rFonts w:ascii="Bookman Old Style" w:hAnsi="Bookman Old Style" w:cs="Arial"/>
                      <w:i/>
                      <w:lang w:val="es-ES_tradnl"/>
                    </w:rPr>
                  </w:pPr>
                  <m:oMathPara>
                    <m:oMathParaPr>
                      <m:jc m:val="left"/>
                    </m:oMathParaPr>
                    <m:oMath>
                      <m:sSub>
                        <m:sSubPr>
                          <m:ctrlPr>
                            <w:rPr>
                              <w:rFonts w:ascii="Cambria Math" w:hAnsi="Cambria Math" w:cs="Arial"/>
                              <w:i/>
                              <w:lang w:val="es-ES_tradnl"/>
                            </w:rPr>
                          </m:ctrlPr>
                        </m:sSubPr>
                        <m:e>
                          <m:r>
                            <w:rPr>
                              <w:rFonts w:ascii="Cambria Math" w:hAnsi="Cambria Math" w:cs="Arial"/>
                              <w:lang w:val="es-ES_tradnl"/>
                            </w:rPr>
                            <m:t>V</m:t>
                          </m:r>
                        </m:e>
                        <m:sub>
                          <m:r>
                            <w:rPr>
                              <w:rFonts w:ascii="Cambria Math" w:hAnsi="Cambria Math" w:cs="Arial"/>
                              <w:lang w:val="es-ES_tradnl"/>
                            </w:rPr>
                            <m:t>i</m:t>
                          </m:r>
                        </m:sub>
                      </m:sSub>
                    </m:oMath>
                  </m:oMathPara>
                </w:p>
              </w:tc>
              <w:tc>
                <w:tcPr>
                  <w:tcW w:w="4925" w:type="dxa"/>
                </w:tcPr>
                <w:p w:rsidR="00DB0A73" w:rsidRDefault="00DB0A73" w:rsidP="000B65DE">
                  <w:pPr>
                    <w:ind w:left="0"/>
                    <w:jc w:val="both"/>
                    <w:rPr>
                      <w:rFonts w:ascii="Bookman Old Style" w:hAnsi="Bookman Old Style" w:cs="Arial"/>
                      <w:lang w:val="es-ES_tradnl"/>
                    </w:rPr>
                  </w:pPr>
                  <w:r>
                    <w:rPr>
                      <w:rFonts w:ascii="Bookman Old Style" w:hAnsi="Bookman Old Style" w:cs="Arial"/>
                      <w:lang w:val="es-ES_tradnl"/>
                    </w:rPr>
                    <w:t>Volumen anual medido en m3 en la fecha de corte en el punto de inyección</w:t>
                  </w:r>
                  <w:r w:rsidR="00E124B0">
                    <w:rPr>
                      <w:rFonts w:ascii="Bookman Old Style" w:hAnsi="Bookman Old Style" w:cs="Arial"/>
                      <w:lang w:val="es-ES_tradnl"/>
                    </w:rPr>
                    <w:t xml:space="preserve"> </w:t>
                  </w:r>
                  <w:r w:rsidR="00E124B0">
                    <w:rPr>
                      <w:rFonts w:ascii="Bookman Old Style" w:hAnsi="Bookman Old Style" w:cs="Arial"/>
                      <w:i/>
                      <w:lang w:val="es-ES_tradnl"/>
                    </w:rPr>
                    <w:t>i</w:t>
                  </w:r>
                  <w:r>
                    <w:rPr>
                      <w:rFonts w:ascii="Bookman Old Style" w:hAnsi="Bookman Old Style" w:cs="Arial"/>
                      <w:lang w:val="es-ES_tradnl"/>
                    </w:rPr>
                    <w:t xml:space="preserve"> al </w:t>
                  </w:r>
                  <w:r w:rsidR="0095297C">
                    <w:rPr>
                      <w:rFonts w:ascii="Bookman Old Style" w:hAnsi="Bookman Old Style" w:cs="Arial"/>
                      <w:lang w:val="es-ES_tradnl"/>
                    </w:rPr>
                    <w:t>Mercado Relevante</w:t>
                  </w:r>
                  <w:r>
                    <w:rPr>
                      <w:rFonts w:ascii="Bookman Old Style" w:hAnsi="Bookman Old Style" w:cs="Arial"/>
                      <w:lang w:val="es-ES_tradnl"/>
                    </w:rPr>
                    <w:t xml:space="preserve"> de distribución </w:t>
                  </w:r>
                  <w:r w:rsidR="0095297C">
                    <w:rPr>
                      <w:rFonts w:ascii="Bookman Old Style" w:hAnsi="Bookman Old Style" w:cs="Arial"/>
                      <w:i/>
                      <w:lang w:val="es-ES_tradnl"/>
                    </w:rPr>
                    <w:t>k</w:t>
                  </w:r>
                  <w:r>
                    <w:rPr>
                      <w:rFonts w:ascii="Bookman Old Style" w:hAnsi="Bookman Old Style" w:cs="Arial"/>
                      <w:lang w:val="es-ES_tradnl"/>
                    </w:rPr>
                    <w:t>.</w:t>
                  </w:r>
                </w:p>
                <w:p w:rsidR="00DB0A73" w:rsidRDefault="00DB0A73" w:rsidP="000B65DE">
                  <w:pPr>
                    <w:ind w:left="0"/>
                    <w:jc w:val="both"/>
                    <w:rPr>
                      <w:rFonts w:ascii="Bookman Old Style" w:hAnsi="Bookman Old Style" w:cs="Arial"/>
                      <w:lang w:val="es-ES_tradnl"/>
                    </w:rPr>
                  </w:pPr>
                </w:p>
              </w:tc>
            </w:tr>
            <w:tr w:rsidR="00DB0A73" w:rsidTr="00DB0A73">
              <w:tc>
                <w:tcPr>
                  <w:tcW w:w="1446" w:type="dxa"/>
                </w:tcPr>
                <w:p w:rsidR="00DB0A73" w:rsidRPr="00DB0A73" w:rsidRDefault="00DB0A73" w:rsidP="00DB0A73">
                  <w:pPr>
                    <w:ind w:left="0"/>
                    <w:rPr>
                      <w:rFonts w:ascii="Bookman Old Style" w:hAnsi="Bookman Old Style" w:cs="Arial"/>
                      <w:i/>
                      <w:lang w:val="es-ES_tradnl"/>
                    </w:rPr>
                  </w:pPr>
                  <w:r w:rsidRPr="00DB0A73">
                    <w:rPr>
                      <w:rFonts w:ascii="Bookman Old Style" w:hAnsi="Bookman Old Style" w:cs="Arial"/>
                      <w:i/>
                      <w:lang w:val="es-ES_tradnl"/>
                    </w:rPr>
                    <w:t>n</w:t>
                  </w:r>
                </w:p>
              </w:tc>
              <w:tc>
                <w:tcPr>
                  <w:tcW w:w="4925" w:type="dxa"/>
                </w:tcPr>
                <w:p w:rsidR="00DB0A73" w:rsidRDefault="00DB0A73" w:rsidP="000B65DE">
                  <w:pPr>
                    <w:ind w:left="0"/>
                    <w:jc w:val="both"/>
                    <w:rPr>
                      <w:rFonts w:ascii="Bookman Old Style" w:hAnsi="Bookman Old Style" w:cs="Arial"/>
                      <w:lang w:val="es-ES_tradnl"/>
                    </w:rPr>
                  </w:pPr>
                  <w:r>
                    <w:rPr>
                      <w:rFonts w:ascii="Bookman Old Style" w:hAnsi="Bookman Old Style" w:cs="Arial"/>
                      <w:lang w:val="es-ES_tradnl"/>
                    </w:rPr>
                    <w:t>Número total de puntos de inye</w:t>
                  </w:r>
                  <w:r w:rsidR="0095297C">
                    <w:rPr>
                      <w:rFonts w:ascii="Bookman Old Style" w:hAnsi="Bookman Old Style" w:cs="Arial"/>
                      <w:lang w:val="es-ES_tradnl"/>
                    </w:rPr>
                    <w:t xml:space="preserve">cción al </w:t>
                  </w:r>
                  <w:r>
                    <w:rPr>
                      <w:rFonts w:ascii="Bookman Old Style" w:hAnsi="Bookman Old Style" w:cs="Arial"/>
                      <w:lang w:val="es-ES_tradnl"/>
                    </w:rPr>
                    <w:t xml:space="preserve"> </w:t>
                  </w:r>
                  <w:r w:rsidR="0095297C">
                    <w:rPr>
                      <w:rFonts w:ascii="Bookman Old Style" w:hAnsi="Bookman Old Style" w:cs="Arial"/>
                      <w:lang w:val="es-ES_tradnl"/>
                    </w:rPr>
                    <w:t>Mercado Relevante de distribución</w:t>
                  </w:r>
                  <w:r>
                    <w:rPr>
                      <w:rFonts w:ascii="Bookman Old Style" w:hAnsi="Bookman Old Style" w:cs="Arial"/>
                      <w:lang w:val="es-ES_tradnl"/>
                    </w:rPr>
                    <w:t xml:space="preserve"> k</w:t>
                  </w:r>
                </w:p>
                <w:p w:rsidR="00DB0A73" w:rsidRDefault="00DB0A73" w:rsidP="000B65DE">
                  <w:pPr>
                    <w:ind w:left="0"/>
                    <w:jc w:val="both"/>
                    <w:rPr>
                      <w:rFonts w:ascii="Bookman Old Style" w:hAnsi="Bookman Old Style" w:cs="Arial"/>
                      <w:lang w:val="es-ES_tradnl"/>
                    </w:rPr>
                  </w:pPr>
                </w:p>
              </w:tc>
            </w:tr>
            <w:tr w:rsidR="00DB0A73" w:rsidTr="00DB0A73">
              <w:tc>
                <w:tcPr>
                  <w:tcW w:w="1446" w:type="dxa"/>
                </w:tcPr>
                <w:p w:rsidR="00DB0A73" w:rsidRPr="00DB0A73" w:rsidRDefault="00DB0A73" w:rsidP="00DB0A73">
                  <w:pPr>
                    <w:ind w:left="0"/>
                    <w:rPr>
                      <w:rFonts w:ascii="Bookman Old Style" w:hAnsi="Bookman Old Style" w:cs="Arial"/>
                      <w:i/>
                      <w:lang w:val="es-ES_tradnl"/>
                    </w:rPr>
                  </w:pPr>
                  <w:r w:rsidRPr="00DB0A73">
                    <w:rPr>
                      <w:rFonts w:ascii="Bookman Old Style" w:hAnsi="Bookman Old Style" w:cs="Arial"/>
                      <w:i/>
                      <w:lang w:val="es-ES_tradnl"/>
                    </w:rPr>
                    <w:t>p</w:t>
                  </w:r>
                </w:p>
              </w:tc>
              <w:tc>
                <w:tcPr>
                  <w:tcW w:w="4925" w:type="dxa"/>
                </w:tcPr>
                <w:p w:rsidR="00DB0A73" w:rsidRDefault="0095297C" w:rsidP="000B65DE">
                  <w:pPr>
                    <w:ind w:left="0"/>
                    <w:jc w:val="both"/>
                    <w:rPr>
                      <w:rFonts w:ascii="Bookman Old Style" w:hAnsi="Bookman Old Style" w:cs="Arial"/>
                      <w:lang w:val="es-ES_tradnl"/>
                    </w:rPr>
                  </w:pPr>
                  <w:r>
                    <w:rPr>
                      <w:rFonts w:ascii="Bookman Old Style" w:hAnsi="Bookman Old Style" w:cs="Arial"/>
                      <w:lang w:val="es-ES_tradnl"/>
                    </w:rPr>
                    <w:t>Porcentaje máximo de pérdidas</w:t>
                  </w:r>
                  <w:r w:rsidR="00DB0A73">
                    <w:rPr>
                      <w:rFonts w:ascii="Bookman Old Style" w:hAnsi="Bookman Old Style" w:cs="Arial"/>
                      <w:lang w:val="es-ES_tradnl"/>
                    </w:rPr>
                    <w:t xml:space="preserve"> conforme a lo establecido en la Resolución CREG 127 de 2013 o aquellas que la modifiquen o sustituyan.</w:t>
                  </w:r>
                </w:p>
                <w:p w:rsidR="0095297C" w:rsidRDefault="0095297C" w:rsidP="000B65DE">
                  <w:pPr>
                    <w:ind w:left="0"/>
                    <w:jc w:val="both"/>
                    <w:rPr>
                      <w:rFonts w:ascii="Bookman Old Style" w:hAnsi="Bookman Old Style" w:cs="Arial"/>
                      <w:lang w:val="es-ES_tradnl"/>
                    </w:rPr>
                  </w:pPr>
                </w:p>
                <w:p w:rsidR="0095297C" w:rsidRDefault="0095297C" w:rsidP="000B65DE">
                  <w:pPr>
                    <w:ind w:left="0"/>
                    <w:jc w:val="both"/>
                    <w:rPr>
                      <w:rFonts w:ascii="Bookman Old Style" w:hAnsi="Bookman Old Style" w:cs="Arial"/>
                      <w:lang w:val="es-ES_tradnl"/>
                    </w:rPr>
                  </w:pPr>
                </w:p>
              </w:tc>
            </w:tr>
          </w:tbl>
          <w:p w:rsidR="000B65DE" w:rsidRPr="000B65DE" w:rsidRDefault="000B65DE" w:rsidP="000B65DE">
            <w:pPr>
              <w:ind w:left="0"/>
              <w:jc w:val="both"/>
              <w:rPr>
                <w:rFonts w:ascii="Bookman Old Style" w:hAnsi="Bookman Old Style" w:cs="Arial"/>
                <w:lang w:val="es-ES_tradnl"/>
              </w:rPr>
            </w:pPr>
          </w:p>
        </w:tc>
      </w:tr>
      <w:tr w:rsidR="000B65DE" w:rsidRPr="000B65DE" w:rsidTr="00382E27">
        <w:tc>
          <w:tcPr>
            <w:tcW w:w="2268" w:type="dxa"/>
          </w:tcPr>
          <w:p w:rsidR="000B65DE" w:rsidRPr="0092172B" w:rsidRDefault="00364E59" w:rsidP="006C39C1">
            <w:pPr>
              <w:tabs>
                <w:tab w:val="left" w:pos="426"/>
              </w:tabs>
              <w:ind w:left="0" w:firstLine="34"/>
              <w:jc w:val="both"/>
              <w:rPr>
                <w:lang w:val="es-CO" w:eastAsia="en-US"/>
              </w:rPr>
            </w:pPr>
            <m:oMathPara>
              <m:oMathParaPr>
                <m:jc m:val="left"/>
              </m:oMathParaPr>
              <m:oMath>
                <m:sSub>
                  <m:sSubPr>
                    <m:ctrlPr>
                      <w:rPr>
                        <w:rFonts w:ascii="Cambria Math" w:hAnsi="Cambria Math" w:cs="Arial"/>
                        <w:lang w:val="es-ES_tradnl"/>
                      </w:rPr>
                    </m:ctrlPr>
                  </m:sSubPr>
                  <m:e>
                    <m:r>
                      <m:rPr>
                        <m:sty m:val="p"/>
                      </m:rPr>
                      <w:rPr>
                        <w:rFonts w:ascii="Cambria Math" w:hAnsi="Cambria Math" w:cs="Arial"/>
                        <w:lang w:val="es-ES_tradnl"/>
                      </w:rPr>
                      <m:t>Q</m:t>
                    </m:r>
                  </m:e>
                  <m:sub>
                    <m:r>
                      <m:rPr>
                        <m:sty m:val="p"/>
                      </m:rPr>
                      <w:rPr>
                        <w:rFonts w:ascii="Cambria Math" w:hAnsi="Cambria Math" w:cs="Arial"/>
                        <w:lang w:val="es-ES_tradnl"/>
                      </w:rPr>
                      <m:t>Resk</m:t>
                    </m:r>
                  </m:sub>
                </m:sSub>
              </m:oMath>
            </m:oMathPara>
          </w:p>
        </w:tc>
        <w:tc>
          <w:tcPr>
            <w:tcW w:w="6602" w:type="dxa"/>
          </w:tcPr>
          <w:p w:rsidR="004149DF" w:rsidRDefault="000B65DE" w:rsidP="004149DF">
            <w:pPr>
              <w:ind w:left="0"/>
              <w:jc w:val="both"/>
              <w:rPr>
                <w:rFonts w:ascii="Bookman Old Style" w:hAnsi="Bookman Old Style" w:cs="Arial"/>
                <w:lang w:val="es-ES_tradnl"/>
              </w:rPr>
            </w:pPr>
            <w:r w:rsidRPr="000B65DE">
              <w:rPr>
                <w:rFonts w:ascii="Bookman Old Style" w:hAnsi="Bookman Old Style" w:cs="Arial"/>
                <w:lang w:val="es-ES_tradnl"/>
              </w:rPr>
              <w:t xml:space="preserve">Demanda real </w:t>
            </w:r>
            <w:r w:rsidR="0096095F">
              <w:rPr>
                <w:rFonts w:ascii="Bookman Old Style" w:hAnsi="Bookman Old Style" w:cs="Arial"/>
                <w:lang w:val="es-ES_tradnl"/>
              </w:rPr>
              <w:t xml:space="preserve">anual </w:t>
            </w:r>
            <w:r w:rsidRPr="000B65DE">
              <w:rPr>
                <w:rFonts w:ascii="Bookman Old Style" w:hAnsi="Bookman Old Style" w:cs="Arial"/>
                <w:lang w:val="es-ES_tradnl"/>
              </w:rPr>
              <w:t xml:space="preserve">correspondiente al tipo de usuarios Residencial del </w:t>
            </w:r>
            <w:r w:rsidRPr="000B65DE">
              <w:rPr>
                <w:rFonts w:ascii="Bookman Old Style" w:hAnsi="Bookman Old Style" w:cs="Arial"/>
                <w:lang w:val="es-CO" w:eastAsia="en-US"/>
              </w:rPr>
              <w:t xml:space="preserve">Mercado Relevante de Distribución para el Siguiente </w:t>
            </w:r>
            <w:r w:rsidRPr="006C3460">
              <w:rPr>
                <w:rFonts w:ascii="Bookman Old Style" w:hAnsi="Bookman Old Style" w:cs="Arial"/>
                <w:lang w:val="es-CO" w:eastAsia="en-US"/>
              </w:rPr>
              <w:t>Período Tarifario</w:t>
            </w:r>
            <w:r w:rsidRPr="006C3460">
              <w:rPr>
                <w:rFonts w:ascii="Bookman Old Style" w:hAnsi="Bookman Old Style" w:cs="Arial"/>
                <w:lang w:val="es-ES_tradnl"/>
              </w:rPr>
              <w:t xml:space="preserve"> k</w:t>
            </w:r>
            <w:r w:rsidRPr="000B65DE">
              <w:rPr>
                <w:rFonts w:ascii="Bookman Old Style" w:hAnsi="Bookman Old Style" w:cs="Arial"/>
                <w:lang w:val="es-ES_tradnl"/>
              </w:rPr>
              <w:t xml:space="preserve"> </w:t>
            </w:r>
            <w:r w:rsidR="00760173" w:rsidRPr="000B65DE">
              <w:rPr>
                <w:rFonts w:ascii="Bookman Old Style" w:hAnsi="Bookman Old Style" w:cs="Arial"/>
                <w:lang w:val="es-CO" w:eastAsia="en-US"/>
              </w:rPr>
              <w:t>conformado a partir de Mercado</w:t>
            </w:r>
            <w:r w:rsidR="00760173">
              <w:rPr>
                <w:rFonts w:ascii="Bookman Old Style" w:hAnsi="Bookman Old Style" w:cs="Arial"/>
                <w:lang w:val="es-CO" w:eastAsia="en-US"/>
              </w:rPr>
              <w:t>s</w:t>
            </w:r>
            <w:r w:rsidR="00760173" w:rsidRPr="000B65DE">
              <w:rPr>
                <w:rFonts w:ascii="Bookman Old Style" w:hAnsi="Bookman Old Style" w:cs="Arial"/>
                <w:lang w:val="es-CO" w:eastAsia="en-US"/>
              </w:rPr>
              <w:t xml:space="preserve"> Existente</w:t>
            </w:r>
            <w:r w:rsidR="00760173">
              <w:rPr>
                <w:rFonts w:ascii="Bookman Old Style" w:hAnsi="Bookman Old Style" w:cs="Arial"/>
                <w:lang w:val="es-CO" w:eastAsia="en-US"/>
              </w:rPr>
              <w:t>s</w:t>
            </w:r>
            <w:r w:rsidR="00760173" w:rsidRPr="000B65DE">
              <w:rPr>
                <w:rFonts w:ascii="Bookman Old Style" w:hAnsi="Bookman Old Style" w:cs="Arial"/>
                <w:lang w:val="es-CO" w:eastAsia="en-US"/>
              </w:rPr>
              <w:t xml:space="preserve"> de Distribución o de la Agregación de Mercados </w:t>
            </w:r>
            <w:r w:rsidR="00760173">
              <w:rPr>
                <w:rFonts w:ascii="Bookman Old Style" w:hAnsi="Bookman Old Style" w:cs="Arial"/>
                <w:lang w:val="es-CO" w:eastAsia="en-US"/>
              </w:rPr>
              <w:t xml:space="preserve">Existentes </w:t>
            </w:r>
            <w:r w:rsidR="00760173" w:rsidRPr="000B65DE">
              <w:rPr>
                <w:rFonts w:ascii="Bookman Old Style" w:hAnsi="Bookman Old Style" w:cs="Arial"/>
                <w:lang w:val="es-CO" w:eastAsia="en-US"/>
              </w:rPr>
              <w:t>de Distribución</w:t>
            </w:r>
            <w:r w:rsidR="00760173" w:rsidRPr="000B65DE">
              <w:rPr>
                <w:rFonts w:ascii="Bookman Old Style" w:hAnsi="Bookman Old Style" w:cs="Arial"/>
                <w:lang w:val="es-ES_tradnl"/>
              </w:rPr>
              <w:t xml:space="preserve"> </w:t>
            </w:r>
            <w:r w:rsidRPr="000B65DE">
              <w:rPr>
                <w:rFonts w:ascii="Bookman Old Style" w:hAnsi="Bookman Old Style" w:cs="Arial"/>
                <w:lang w:val="es-ES_tradnl"/>
              </w:rPr>
              <w:t xml:space="preserve">obtenida en la Fecha de </w:t>
            </w:r>
            <w:r w:rsidRPr="000B65DE">
              <w:rPr>
                <w:rFonts w:ascii="Bookman Old Style" w:hAnsi="Bookman Old Style" w:cs="Arial"/>
                <w:lang w:val="es-ES_tradnl"/>
              </w:rPr>
              <w:lastRenderedPageBreak/>
              <w:t>Corte, expresada en metros cúbicos (m</w:t>
            </w:r>
            <w:r w:rsidRPr="000B65DE">
              <w:rPr>
                <w:rFonts w:ascii="Bookman Old Style" w:hAnsi="Bookman Old Style" w:cs="Arial"/>
                <w:vertAlign w:val="superscript"/>
                <w:lang w:val="es-ES_tradnl"/>
              </w:rPr>
              <w:t>3</w:t>
            </w:r>
            <w:r w:rsidRPr="000B65DE">
              <w:rPr>
                <w:rFonts w:ascii="Bookman Old Style" w:hAnsi="Bookman Old Style" w:cs="Arial"/>
                <w:lang w:val="es-ES_tradnl"/>
              </w:rPr>
              <w:t xml:space="preserve">). </w:t>
            </w:r>
            <w:r w:rsidR="004149DF">
              <w:rPr>
                <w:rFonts w:ascii="Bookman Old Style" w:hAnsi="Bookman Old Style" w:cs="Arial"/>
                <w:lang w:val="es-ES_tradnl"/>
              </w:rPr>
              <w:t>Se entiende por demanda real la medida en el medidor del usuario solo afectada por Kp y Kt definidos en la Resolución CREG 127 de 2013 o aquellas que la modifiquen o sustituyan.</w:t>
            </w:r>
          </w:p>
          <w:p w:rsidR="000B65DE" w:rsidRPr="000B65DE" w:rsidRDefault="000B65DE" w:rsidP="00760173">
            <w:pPr>
              <w:ind w:left="0"/>
              <w:jc w:val="both"/>
              <w:rPr>
                <w:rFonts w:ascii="Bookman Old Style" w:hAnsi="Bookman Old Style" w:cs="Arial"/>
                <w:lang w:val="es-ES_tradnl"/>
              </w:rPr>
            </w:pPr>
          </w:p>
        </w:tc>
      </w:tr>
      <w:tr w:rsidR="000B65DE" w:rsidRPr="000B65DE" w:rsidTr="00382E27">
        <w:tc>
          <w:tcPr>
            <w:tcW w:w="2268" w:type="dxa"/>
          </w:tcPr>
          <w:p w:rsidR="000B65DE" w:rsidRPr="0092172B" w:rsidRDefault="00364E59" w:rsidP="000B65DE">
            <w:pPr>
              <w:tabs>
                <w:tab w:val="left" w:pos="426"/>
              </w:tabs>
              <w:ind w:left="0" w:firstLine="34"/>
              <w:jc w:val="both"/>
              <w:rPr>
                <w:lang w:val="es-CO" w:eastAsia="en-US"/>
              </w:rPr>
            </w:pPr>
            <m:oMathPara>
              <m:oMathParaPr>
                <m:jc m:val="left"/>
              </m:oMathParaPr>
              <m:oMath>
                <m:sSub>
                  <m:sSubPr>
                    <m:ctrlPr>
                      <w:rPr>
                        <w:rFonts w:ascii="Cambria Math" w:hAnsi="Cambria Math" w:cs="Arial"/>
                        <w:lang w:val="es-ES_tradnl"/>
                      </w:rPr>
                    </m:ctrlPr>
                  </m:sSubPr>
                  <m:e>
                    <m:r>
                      <m:rPr>
                        <m:sty m:val="p"/>
                      </m:rPr>
                      <w:rPr>
                        <w:rFonts w:ascii="Cambria Math" w:hAnsi="Cambria Math" w:cs="Arial"/>
                        <w:lang w:val="es-ES_tradnl"/>
                      </w:rPr>
                      <m:t>Q</m:t>
                    </m:r>
                  </m:e>
                  <m:sub>
                    <m:r>
                      <m:rPr>
                        <m:sty m:val="p"/>
                      </m:rPr>
                      <w:rPr>
                        <w:rFonts w:ascii="Cambria Math" w:hAnsi="Cambria Math" w:cs="Arial"/>
                        <w:lang w:val="es-ES_tradnl"/>
                      </w:rPr>
                      <m:t>NoResRSk</m:t>
                    </m:r>
                  </m:sub>
                </m:sSub>
              </m:oMath>
            </m:oMathPara>
          </w:p>
        </w:tc>
        <w:tc>
          <w:tcPr>
            <w:tcW w:w="6602" w:type="dxa"/>
          </w:tcPr>
          <w:p w:rsidR="00B352A8" w:rsidRDefault="000B65DE" w:rsidP="00B352A8">
            <w:pPr>
              <w:ind w:left="0"/>
              <w:jc w:val="both"/>
              <w:rPr>
                <w:rFonts w:ascii="Bookman Old Style" w:hAnsi="Bookman Old Style" w:cs="Arial"/>
                <w:lang w:val="es-ES_tradnl"/>
              </w:rPr>
            </w:pPr>
            <w:r w:rsidRPr="000B65DE">
              <w:rPr>
                <w:rFonts w:ascii="Bookman Old Style" w:hAnsi="Bookman Old Style" w:cs="Arial"/>
                <w:lang w:val="es-ES_tradnl"/>
              </w:rPr>
              <w:t xml:space="preserve">Demanda </w:t>
            </w:r>
            <w:r w:rsidR="0096095F">
              <w:rPr>
                <w:rFonts w:ascii="Bookman Old Style" w:hAnsi="Bookman Old Style" w:cs="Arial"/>
                <w:lang w:val="es-ES_tradnl"/>
              </w:rPr>
              <w:t>r</w:t>
            </w:r>
            <w:r w:rsidR="0096095F" w:rsidRPr="000B65DE">
              <w:rPr>
                <w:rFonts w:ascii="Bookman Old Style" w:hAnsi="Bookman Old Style" w:cs="Arial"/>
                <w:lang w:val="es-ES_tradnl"/>
              </w:rPr>
              <w:t xml:space="preserve">eal </w:t>
            </w:r>
            <w:r w:rsidR="0096095F">
              <w:rPr>
                <w:rFonts w:ascii="Bookman Old Style" w:hAnsi="Bookman Old Style" w:cs="Arial"/>
                <w:lang w:val="es-ES_tradnl"/>
              </w:rPr>
              <w:t xml:space="preserve">anual </w:t>
            </w:r>
            <w:r w:rsidRPr="000B65DE">
              <w:rPr>
                <w:rFonts w:ascii="Bookman Old Style" w:hAnsi="Bookman Old Style" w:cs="Arial"/>
                <w:lang w:val="es-ES_tradnl"/>
              </w:rPr>
              <w:t xml:space="preserve">de usuarios No Residenciales, la cual está conectada a la Red Secundaria </w:t>
            </w:r>
            <w:r w:rsidRPr="000B65DE">
              <w:rPr>
                <w:rFonts w:ascii="Bookman Old Style" w:hAnsi="Bookman Old Style" w:cs="Arial"/>
                <w:lang w:val="es-CO" w:eastAsia="en-US"/>
              </w:rPr>
              <w:t>del Mercado Relevante de Distribución para el Siguiente Período Tarifario k conformado a partir de Mercado</w:t>
            </w:r>
            <w:r w:rsidR="00760173">
              <w:rPr>
                <w:rFonts w:ascii="Bookman Old Style" w:hAnsi="Bookman Old Style" w:cs="Arial"/>
                <w:lang w:val="es-CO" w:eastAsia="en-US"/>
              </w:rPr>
              <w:t>s</w:t>
            </w:r>
            <w:r w:rsidRPr="000B65DE">
              <w:rPr>
                <w:rFonts w:ascii="Bookman Old Style" w:hAnsi="Bookman Old Style" w:cs="Arial"/>
                <w:lang w:val="es-CO" w:eastAsia="en-US"/>
              </w:rPr>
              <w:t xml:space="preserve"> Existente</w:t>
            </w:r>
            <w:r w:rsidR="00760173">
              <w:rPr>
                <w:rFonts w:ascii="Bookman Old Style" w:hAnsi="Bookman Old Style" w:cs="Arial"/>
                <w:lang w:val="es-CO" w:eastAsia="en-US"/>
              </w:rPr>
              <w:t>s</w:t>
            </w:r>
            <w:r w:rsidRPr="000B65DE">
              <w:rPr>
                <w:rFonts w:ascii="Bookman Old Style" w:hAnsi="Bookman Old Style" w:cs="Arial"/>
                <w:lang w:val="es-CO" w:eastAsia="en-US"/>
              </w:rPr>
              <w:t xml:space="preserve"> de Distribución o de la Agregación de Mercados </w:t>
            </w:r>
            <w:r w:rsidR="00760173">
              <w:rPr>
                <w:rFonts w:ascii="Bookman Old Style" w:hAnsi="Bookman Old Style" w:cs="Arial"/>
                <w:lang w:val="es-CO" w:eastAsia="en-US"/>
              </w:rPr>
              <w:t>Existentes</w:t>
            </w:r>
            <w:r w:rsidRPr="000B65DE">
              <w:rPr>
                <w:rFonts w:ascii="Bookman Old Style" w:hAnsi="Bookman Old Style" w:cs="Arial"/>
                <w:lang w:val="es-CO" w:eastAsia="en-US"/>
              </w:rPr>
              <w:t xml:space="preserve"> de Distribución. Expresada en metros cúbicos </w:t>
            </w:r>
            <w:r w:rsidRPr="000B65DE">
              <w:rPr>
                <w:rFonts w:ascii="Bookman Old Style" w:hAnsi="Bookman Old Style" w:cs="Arial"/>
                <w:lang w:val="es-ES_tradnl"/>
              </w:rPr>
              <w:t>(m</w:t>
            </w:r>
            <w:r w:rsidRPr="000B65DE">
              <w:rPr>
                <w:rFonts w:ascii="Bookman Old Style" w:hAnsi="Bookman Old Style" w:cs="Arial"/>
                <w:vertAlign w:val="superscript"/>
                <w:lang w:val="es-ES_tradnl"/>
              </w:rPr>
              <w:t>3</w:t>
            </w:r>
            <w:r w:rsidRPr="000B65DE">
              <w:rPr>
                <w:rFonts w:ascii="Bookman Old Style" w:hAnsi="Bookman Old Style" w:cs="Arial"/>
                <w:lang w:val="es-ES_tradnl"/>
              </w:rPr>
              <w:t>)</w:t>
            </w:r>
            <w:r w:rsidRPr="000B65DE">
              <w:rPr>
                <w:rFonts w:ascii="Bookman Old Style" w:hAnsi="Bookman Old Style" w:cs="Arial"/>
                <w:lang w:val="es-CO" w:eastAsia="en-US"/>
              </w:rPr>
              <w:t>.</w:t>
            </w:r>
            <w:r w:rsidR="00B352A8">
              <w:rPr>
                <w:rFonts w:ascii="Bookman Old Style" w:hAnsi="Bookman Old Style" w:cs="Arial"/>
                <w:lang w:val="es-ES_tradnl"/>
              </w:rPr>
              <w:t xml:space="preserve"> Se entiende por demanda real la medida en el medidor del usuario solo afectada por Kp y Kt definidos en la Resolución CREG 127 de 2013 o aquellas que la modifiquen o sustituyan.</w:t>
            </w:r>
          </w:p>
          <w:p w:rsidR="000B65DE" w:rsidRPr="000B65DE" w:rsidRDefault="000B65DE" w:rsidP="0096095F">
            <w:pPr>
              <w:ind w:left="0"/>
              <w:jc w:val="both"/>
              <w:rPr>
                <w:rFonts w:ascii="Bookman Old Style" w:hAnsi="Bookman Old Style" w:cs="Arial"/>
                <w:lang w:val="es-ES_tradnl"/>
              </w:rPr>
            </w:pPr>
          </w:p>
        </w:tc>
      </w:tr>
    </w:tbl>
    <w:p w:rsidR="000B65DE" w:rsidRPr="000B65DE" w:rsidRDefault="000B65DE" w:rsidP="000B65DE"/>
    <w:p w:rsidR="000B65DE" w:rsidRPr="000B65DE" w:rsidRDefault="000B65DE" w:rsidP="008F4D9F">
      <w:pPr>
        <w:numPr>
          <w:ilvl w:val="3"/>
          <w:numId w:val="16"/>
        </w:numPr>
        <w:overflowPunct w:val="0"/>
        <w:autoSpaceDE w:val="0"/>
        <w:autoSpaceDN w:val="0"/>
        <w:adjustRightInd w:val="0"/>
        <w:ind w:left="1134" w:hanging="1134"/>
        <w:jc w:val="both"/>
        <w:textAlignment w:val="baseline"/>
        <w:outlineLvl w:val="1"/>
        <w:rPr>
          <w:rFonts w:ascii="Bookman Old Style" w:hAnsi="Bookman Old Style"/>
          <w:b/>
          <w:bCs/>
          <w:lang w:val="es-CO"/>
        </w:rPr>
      </w:pPr>
      <w:r w:rsidRPr="000B65DE">
        <w:rPr>
          <w:rFonts w:ascii="Bookman Old Style" w:hAnsi="Bookman Old Style"/>
          <w:b/>
          <w:bCs/>
          <w:lang w:val="es-CO"/>
        </w:rPr>
        <w:t xml:space="preserve">Mercados Relevantes de Distribución para el Siguiente Período Tarifario conformados a partir de Anexar a Mercados Existentes de Distribución Municipios Nuevos </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cs="Arial"/>
          <w:lang w:val="es-ES_tradnl"/>
        </w:rPr>
      </w:pPr>
    </w:p>
    <w:p w:rsidR="000B65DE" w:rsidRPr="0092172B" w:rsidRDefault="00364E59" w:rsidP="000B65DE">
      <w:pPr>
        <w:tabs>
          <w:tab w:val="left" w:pos="426"/>
        </w:tabs>
        <w:ind w:left="0"/>
        <w:jc w:val="center"/>
        <w:rPr>
          <w:rFonts w:ascii="Bookman Old Style" w:hAnsi="Bookman Old Style" w:cs="Arial"/>
          <w:sz w:val="18"/>
          <w:szCs w:val="16"/>
          <w:lang w:val="es-ES_tradnl"/>
        </w:rPr>
      </w:pPr>
      <m:oMathPara>
        <m:oMath>
          <m:sSub>
            <m:sSubPr>
              <m:ctrlPr>
                <w:rPr>
                  <w:rFonts w:ascii="Cambria Math" w:hAnsi="Cambria Math" w:cs="Arial"/>
                  <w:sz w:val="18"/>
                  <w:szCs w:val="16"/>
                  <w:lang w:val="es-ES_tradnl"/>
                </w:rPr>
              </m:ctrlPr>
            </m:sSubPr>
            <m:e>
              <m:r>
                <m:rPr>
                  <m:sty m:val="p"/>
                </m:rPr>
                <w:rPr>
                  <w:rFonts w:ascii="Cambria Math" w:hAnsi="Cambria Math" w:cs="Arial"/>
                  <w:sz w:val="18"/>
                  <w:szCs w:val="16"/>
                  <w:lang w:val="es-ES_tradnl"/>
                </w:rPr>
                <m:t>D</m:t>
              </m:r>
            </m:e>
            <m:sub>
              <m:r>
                <m:rPr>
                  <m:sty m:val="p"/>
                </m:rPr>
                <w:rPr>
                  <w:rFonts w:ascii="Cambria Math" w:hAnsi="Cambria Math" w:cs="Arial"/>
                  <w:sz w:val="18"/>
                  <w:szCs w:val="16"/>
                  <w:lang w:val="es-ES_tradnl"/>
                </w:rPr>
                <m:t>inv(AUR)k</m:t>
              </m:r>
            </m:sub>
          </m:sSub>
          <m:r>
            <m:rPr>
              <m:sty m:val="p"/>
            </m:rPr>
            <w:rPr>
              <w:rFonts w:ascii="Cambria Math" w:hAnsi="Cambria Math" w:cs="Arial"/>
              <w:sz w:val="18"/>
              <w:szCs w:val="16"/>
              <w:lang w:val="es-ES_tradnl"/>
            </w:rPr>
            <m:t xml:space="preserve">= </m:t>
          </m:r>
          <m:d>
            <m:dPr>
              <m:begChr m:val="["/>
              <m:endChr m:val="]"/>
              <m:ctrlPr>
                <w:rPr>
                  <w:rFonts w:ascii="Cambria Math" w:hAnsi="Cambria Math" w:cs="Arial"/>
                  <w:sz w:val="18"/>
                  <w:szCs w:val="16"/>
                  <w:lang w:val="es-ES_tradnl"/>
                </w:rPr>
              </m:ctrlPr>
            </m:dPr>
            <m:e>
              <m:f>
                <m:fPr>
                  <m:ctrlPr>
                    <w:rPr>
                      <w:rFonts w:ascii="Cambria Math" w:hAnsi="Cambria Math" w:cs="Arial"/>
                      <w:sz w:val="18"/>
                      <w:szCs w:val="16"/>
                      <w:lang w:val="es-ES_tradnl"/>
                    </w:rPr>
                  </m:ctrlPr>
                </m:fPr>
                <m:num>
                  <m:sSub>
                    <m:sSubPr>
                      <m:ctrlPr>
                        <w:rPr>
                          <w:rFonts w:ascii="Cambria Math" w:eastAsia="Calibri" w:hAnsi="Cambria Math" w:cs="Arial"/>
                          <w:sz w:val="18"/>
                          <w:szCs w:val="16"/>
                          <w:lang w:val="es-CO" w:eastAsia="en-US"/>
                        </w:rPr>
                      </m:ctrlPr>
                    </m:sSubPr>
                    <m:e>
                      <m:r>
                        <m:rPr>
                          <m:sty m:val="p"/>
                        </m:rPr>
                        <w:rPr>
                          <w:rFonts w:ascii="Cambria Math" w:eastAsia="Calibri" w:hAnsi="Cambria Math" w:cs="Arial"/>
                          <w:sz w:val="18"/>
                          <w:szCs w:val="16"/>
                          <w:lang w:val="es-CO" w:eastAsia="en-US"/>
                        </w:rPr>
                        <m:t>IBME</m:t>
                      </m:r>
                    </m:e>
                    <m:sub>
                      <m:r>
                        <m:rPr>
                          <m:sty m:val="p"/>
                        </m:rPr>
                        <w:rPr>
                          <w:rFonts w:ascii="Cambria Math" w:eastAsia="Calibri" w:hAnsi="Cambria Math" w:cs="Arial"/>
                          <w:sz w:val="18"/>
                          <w:szCs w:val="16"/>
                          <w:lang w:val="es-CO" w:eastAsia="en-US"/>
                        </w:rPr>
                        <m:t>RPme</m:t>
                      </m:r>
                    </m:sub>
                  </m:sSub>
                  <m:r>
                    <w:rPr>
                      <w:rFonts w:ascii="Cambria Math" w:eastAsia="Calibri" w:hAnsi="Cambria Math" w:cs="Arial"/>
                      <w:sz w:val="18"/>
                      <w:szCs w:val="16"/>
                      <w:lang w:val="es-CO" w:eastAsia="en-US"/>
                    </w:rPr>
                    <m:t>+</m:t>
                  </m:r>
                  <m:sSub>
                    <m:sSubPr>
                      <m:ctrlPr>
                        <w:rPr>
                          <w:rFonts w:ascii="Cambria Math" w:hAnsi="Cambria Math" w:cs="Arial"/>
                          <w:sz w:val="18"/>
                          <w:szCs w:val="16"/>
                          <w:lang w:val="es-ES_tradnl"/>
                        </w:rPr>
                      </m:ctrlPr>
                    </m:sSubPr>
                    <m:e>
                      <m:r>
                        <m:rPr>
                          <m:sty m:val="p"/>
                        </m:rPr>
                        <w:rPr>
                          <w:rFonts w:ascii="Cambria Math" w:hAnsi="Cambria Math" w:cs="Arial"/>
                          <w:sz w:val="18"/>
                          <w:szCs w:val="16"/>
                          <w:lang w:val="es-ES_tradnl"/>
                        </w:rPr>
                        <m:t>IBMEN</m:t>
                      </m:r>
                    </m:e>
                    <m:sub>
                      <m:r>
                        <m:rPr>
                          <m:sty m:val="p"/>
                        </m:rPr>
                        <w:rPr>
                          <w:rFonts w:ascii="Cambria Math" w:hAnsi="Cambria Math" w:cs="Arial"/>
                          <w:sz w:val="18"/>
                          <w:szCs w:val="16"/>
                          <w:lang w:val="es-ES_tradnl"/>
                        </w:rPr>
                        <m:t>RPmn</m:t>
                      </m:r>
                    </m:sub>
                  </m:sSub>
                </m:num>
                <m:den>
                  <m:sSub>
                    <m:sSubPr>
                      <m:ctrlPr>
                        <w:rPr>
                          <w:rFonts w:ascii="Cambria Math" w:hAnsi="Cambria Math" w:cs="Arial"/>
                          <w:sz w:val="18"/>
                          <w:szCs w:val="16"/>
                          <w:lang w:val="es-ES_tradnl"/>
                        </w:rPr>
                      </m:ctrlPr>
                    </m:sSubPr>
                    <m:e>
                      <m:r>
                        <m:rPr>
                          <m:sty m:val="p"/>
                        </m:rPr>
                        <w:rPr>
                          <w:rFonts w:ascii="Cambria Math" w:hAnsi="Cambria Math" w:cs="Arial"/>
                          <w:sz w:val="18"/>
                          <w:szCs w:val="16"/>
                          <w:lang w:val="es-ES_tradnl"/>
                        </w:rPr>
                        <m:t>Q</m:t>
                      </m:r>
                    </m:e>
                    <m:sub>
                      <m:r>
                        <m:rPr>
                          <m:sty m:val="p"/>
                        </m:rPr>
                        <w:rPr>
                          <w:rFonts w:ascii="Cambria Math" w:hAnsi="Cambria Math" w:cs="Arial"/>
                          <w:sz w:val="18"/>
                          <w:szCs w:val="16"/>
                          <w:lang w:val="es-ES_tradnl"/>
                        </w:rPr>
                        <m:t>Tme</m:t>
                      </m:r>
                    </m:sub>
                  </m:sSub>
                  <m:r>
                    <m:rPr>
                      <m:sty m:val="p"/>
                    </m:rPr>
                    <w:rPr>
                      <w:rFonts w:ascii="Cambria Math" w:hAnsi="Cambria Math" w:cs="Arial"/>
                      <w:sz w:val="18"/>
                      <w:szCs w:val="16"/>
                      <w:lang w:val="es-ES_tradnl"/>
                    </w:rPr>
                    <m:t>+VAE (VP</m:t>
                  </m:r>
                  <m:d>
                    <m:dPr>
                      <m:ctrlPr>
                        <w:rPr>
                          <w:rFonts w:ascii="Cambria Math" w:hAnsi="Cambria Math" w:cs="Arial"/>
                          <w:sz w:val="18"/>
                          <w:szCs w:val="16"/>
                          <w:lang w:val="es-ES_tradnl"/>
                        </w:rPr>
                      </m:ctrlPr>
                    </m:dPr>
                    <m:e>
                      <m:sSub>
                        <m:sSubPr>
                          <m:ctrlPr>
                            <w:rPr>
                              <w:rFonts w:ascii="Cambria Math" w:hAnsi="Cambria Math" w:cs="Arial"/>
                              <w:sz w:val="18"/>
                              <w:szCs w:val="16"/>
                              <w:lang w:val="es-ES_tradnl"/>
                            </w:rPr>
                          </m:ctrlPr>
                        </m:sSubPr>
                        <m:e>
                          <m:r>
                            <m:rPr>
                              <m:sty m:val="p"/>
                            </m:rPr>
                            <w:rPr>
                              <w:rFonts w:ascii="Cambria Math" w:hAnsi="Cambria Math" w:cs="Arial"/>
                              <w:sz w:val="18"/>
                              <w:szCs w:val="16"/>
                              <w:lang w:val="es-ES_tradnl"/>
                            </w:rPr>
                            <m:t>Q(PR)</m:t>
                          </m:r>
                        </m:e>
                        <m:sub>
                          <m:r>
                            <m:rPr>
                              <m:sty m:val="p"/>
                            </m:rPr>
                            <w:rPr>
                              <w:rFonts w:ascii="Cambria Math" w:hAnsi="Cambria Math" w:cs="Arial"/>
                              <w:sz w:val="18"/>
                              <w:szCs w:val="16"/>
                              <w:lang w:val="es-ES_tradnl"/>
                            </w:rPr>
                            <m:t>Tmn</m:t>
                          </m:r>
                        </m:sub>
                      </m:sSub>
                    </m:e>
                  </m:d>
                  <m:r>
                    <m:rPr>
                      <m:sty m:val="p"/>
                    </m:rPr>
                    <w:rPr>
                      <w:rFonts w:ascii="Cambria Math" w:hAnsi="Cambria Math" w:cs="Arial"/>
                      <w:sz w:val="18"/>
                      <w:szCs w:val="16"/>
                      <w:lang w:val="es-ES_tradnl"/>
                    </w:rPr>
                    <m:t>)</m:t>
                  </m:r>
                </m:den>
              </m:f>
            </m:e>
          </m:d>
          <m:r>
            <w:rPr>
              <w:rFonts w:ascii="Cambria Math" w:hAnsi="Cambria Math" w:cs="Arial"/>
              <w:sz w:val="18"/>
              <w:szCs w:val="16"/>
              <w:lang w:val="es-ES_tradnl"/>
            </w:rPr>
            <m:t>+</m:t>
          </m:r>
          <m:d>
            <m:dPr>
              <m:begChr m:val="["/>
              <m:endChr m:val="]"/>
              <m:ctrlPr>
                <w:rPr>
                  <w:rFonts w:ascii="Cambria Math" w:hAnsi="Cambria Math" w:cs="Arial"/>
                  <w:sz w:val="18"/>
                  <w:szCs w:val="16"/>
                  <w:lang w:val="es-ES_tradnl"/>
                </w:rPr>
              </m:ctrlPr>
            </m:dPr>
            <m:e>
              <m:f>
                <m:fPr>
                  <m:ctrlPr>
                    <w:rPr>
                      <w:rFonts w:ascii="Cambria Math" w:hAnsi="Cambria Math" w:cs="Arial"/>
                      <w:sz w:val="18"/>
                      <w:szCs w:val="16"/>
                      <w:lang w:val="es-ES_tradnl"/>
                    </w:rPr>
                  </m:ctrlPr>
                </m:fPr>
                <m:num>
                  <m:sSub>
                    <m:sSubPr>
                      <m:ctrlPr>
                        <w:rPr>
                          <w:rFonts w:ascii="Cambria Math" w:hAnsi="Cambria Math" w:cs="Arial"/>
                          <w:sz w:val="18"/>
                          <w:szCs w:val="16"/>
                          <w:lang w:val="es-ES_tradnl"/>
                        </w:rPr>
                      </m:ctrlPr>
                    </m:sSubPr>
                    <m:e>
                      <m:r>
                        <m:rPr>
                          <m:sty m:val="p"/>
                        </m:rPr>
                        <w:rPr>
                          <w:rFonts w:ascii="Cambria Math" w:hAnsi="Cambria Math" w:cs="Arial"/>
                          <w:sz w:val="18"/>
                          <w:szCs w:val="16"/>
                          <w:lang w:val="es-ES_tradnl"/>
                        </w:rPr>
                        <m:t>IBME</m:t>
                      </m:r>
                    </m:e>
                    <m:sub>
                      <m:r>
                        <m:rPr>
                          <m:sty m:val="p"/>
                        </m:rPr>
                        <w:rPr>
                          <w:rFonts w:ascii="Cambria Math" w:hAnsi="Cambria Math" w:cs="Arial"/>
                          <w:sz w:val="18"/>
                          <w:szCs w:val="16"/>
                          <w:lang w:val="es-ES_tradnl"/>
                        </w:rPr>
                        <m:t>RSme</m:t>
                      </m:r>
                    </m:sub>
                  </m:sSub>
                  <m:r>
                    <w:rPr>
                      <w:rFonts w:ascii="Cambria Math" w:hAnsi="Cambria Math" w:cs="Arial"/>
                      <w:sz w:val="18"/>
                      <w:szCs w:val="16"/>
                      <w:lang w:val="es-ES_tradnl"/>
                    </w:rPr>
                    <m:t>+</m:t>
                  </m:r>
                  <m:sSub>
                    <m:sSubPr>
                      <m:ctrlPr>
                        <w:rPr>
                          <w:rFonts w:ascii="Cambria Math" w:hAnsi="Cambria Math" w:cs="Arial"/>
                          <w:sz w:val="18"/>
                          <w:szCs w:val="16"/>
                          <w:lang w:val="es-ES_tradnl"/>
                        </w:rPr>
                      </m:ctrlPr>
                    </m:sSubPr>
                    <m:e>
                      <m:r>
                        <m:rPr>
                          <m:sty m:val="p"/>
                        </m:rPr>
                        <w:rPr>
                          <w:rFonts w:ascii="Cambria Math" w:hAnsi="Cambria Math" w:cs="Arial"/>
                          <w:sz w:val="18"/>
                          <w:szCs w:val="16"/>
                          <w:lang w:val="es-ES_tradnl"/>
                        </w:rPr>
                        <m:t>IBMEN</m:t>
                      </m:r>
                    </m:e>
                    <m:sub>
                      <m:r>
                        <m:rPr>
                          <m:sty m:val="p"/>
                        </m:rPr>
                        <w:rPr>
                          <w:rFonts w:ascii="Cambria Math" w:hAnsi="Cambria Math" w:cs="Arial"/>
                          <w:sz w:val="18"/>
                          <w:szCs w:val="16"/>
                          <w:lang w:val="es-ES_tradnl"/>
                        </w:rPr>
                        <m:t>RSmn</m:t>
                      </m:r>
                    </m:sub>
                  </m:sSub>
                </m:num>
                <m:den>
                  <m:sSub>
                    <m:sSubPr>
                      <m:ctrlPr>
                        <w:rPr>
                          <w:rFonts w:ascii="Cambria Math" w:hAnsi="Cambria Math" w:cs="Arial"/>
                          <w:sz w:val="18"/>
                          <w:szCs w:val="16"/>
                          <w:lang w:val="es-ES_tradnl"/>
                        </w:rPr>
                      </m:ctrlPr>
                    </m:sSubPr>
                    <m:e>
                      <m:sSub>
                        <m:sSubPr>
                          <m:ctrlPr>
                            <w:rPr>
                              <w:rFonts w:ascii="Cambria Math" w:hAnsi="Cambria Math" w:cs="Arial"/>
                              <w:sz w:val="18"/>
                              <w:szCs w:val="16"/>
                              <w:lang w:val="es-ES_tradnl"/>
                            </w:rPr>
                          </m:ctrlPr>
                        </m:sSubPr>
                        <m:e>
                          <m:r>
                            <m:rPr>
                              <m:sty m:val="p"/>
                            </m:rPr>
                            <w:rPr>
                              <w:rFonts w:ascii="Cambria Math" w:hAnsi="Cambria Math" w:cs="Arial"/>
                              <w:sz w:val="18"/>
                              <w:szCs w:val="16"/>
                              <w:lang w:val="es-ES_tradnl"/>
                            </w:rPr>
                            <m:t>(Q</m:t>
                          </m:r>
                        </m:e>
                        <m:sub>
                          <m:r>
                            <m:rPr>
                              <m:sty m:val="p"/>
                            </m:rPr>
                            <w:rPr>
                              <w:rFonts w:ascii="Cambria Math" w:hAnsi="Cambria Math" w:cs="Arial"/>
                              <w:sz w:val="18"/>
                              <w:szCs w:val="16"/>
                              <w:lang w:val="es-ES_tradnl"/>
                            </w:rPr>
                            <m:t>NoResRS</m:t>
                          </m:r>
                        </m:sub>
                      </m:sSub>
                      <m:r>
                        <m:rPr>
                          <m:sty m:val="p"/>
                        </m:rPr>
                        <w:rPr>
                          <w:rFonts w:ascii="Cambria Math" w:hAnsi="Cambria Math" w:cs="Arial"/>
                          <w:sz w:val="18"/>
                          <w:szCs w:val="16"/>
                          <w:lang w:val="es-ES_tradnl"/>
                        </w:rPr>
                        <m:t>+</m:t>
                      </m:r>
                      <m:sSub>
                        <m:sSubPr>
                          <m:ctrlPr>
                            <w:rPr>
                              <w:rFonts w:ascii="Cambria Math" w:hAnsi="Cambria Math" w:cs="Arial"/>
                              <w:sz w:val="18"/>
                              <w:szCs w:val="16"/>
                              <w:lang w:val="es-ES_tradnl"/>
                            </w:rPr>
                          </m:ctrlPr>
                        </m:sSubPr>
                        <m:e>
                          <m:r>
                            <m:rPr>
                              <m:sty m:val="p"/>
                            </m:rPr>
                            <w:rPr>
                              <w:rFonts w:ascii="Cambria Math" w:hAnsi="Cambria Math" w:cs="Arial"/>
                              <w:sz w:val="18"/>
                              <w:szCs w:val="16"/>
                              <w:lang w:val="es-ES_tradnl"/>
                            </w:rPr>
                            <m:t>Q</m:t>
                          </m:r>
                        </m:e>
                        <m:sub>
                          <m:r>
                            <m:rPr>
                              <m:sty m:val="p"/>
                            </m:rPr>
                            <w:rPr>
                              <w:rFonts w:ascii="Cambria Math" w:hAnsi="Cambria Math" w:cs="Arial"/>
                              <w:sz w:val="18"/>
                              <w:szCs w:val="16"/>
                              <w:lang w:val="es-ES_tradnl"/>
                            </w:rPr>
                            <m:t xml:space="preserve">Res </m:t>
                          </m:r>
                        </m:sub>
                      </m:sSub>
                      <m:r>
                        <w:rPr>
                          <w:rFonts w:ascii="Cambria Math" w:hAnsi="Cambria Math" w:cs="Arial"/>
                          <w:sz w:val="18"/>
                          <w:szCs w:val="16"/>
                          <w:lang w:val="es-ES_tradnl"/>
                        </w:rPr>
                        <m:t>)</m:t>
                      </m:r>
                    </m:e>
                    <m:sub>
                      <m:r>
                        <m:rPr>
                          <m:sty m:val="p"/>
                        </m:rPr>
                        <w:rPr>
                          <w:rFonts w:ascii="Cambria Math" w:hAnsi="Cambria Math" w:cs="Arial"/>
                          <w:sz w:val="18"/>
                          <w:szCs w:val="16"/>
                          <w:lang w:val="es-ES_tradnl"/>
                        </w:rPr>
                        <m:t>me</m:t>
                      </m:r>
                    </m:sub>
                  </m:sSub>
                  <m:r>
                    <w:rPr>
                      <w:rFonts w:ascii="Cambria Math" w:hAnsi="Cambria Math" w:cs="Arial"/>
                      <w:sz w:val="18"/>
                      <w:szCs w:val="16"/>
                      <w:lang w:val="es-ES_tradnl"/>
                    </w:rPr>
                    <m:t>+</m:t>
                  </m:r>
                  <m:sSub>
                    <m:sSubPr>
                      <m:ctrlPr>
                        <w:rPr>
                          <w:rFonts w:ascii="Cambria Math" w:hAnsi="Cambria Math" w:cs="Arial"/>
                          <w:sz w:val="18"/>
                          <w:szCs w:val="16"/>
                          <w:lang w:val="es-ES_tradnl"/>
                        </w:rPr>
                      </m:ctrlPr>
                    </m:sSubPr>
                    <m:e>
                      <m:sSub>
                        <m:sSubPr>
                          <m:ctrlPr>
                            <w:rPr>
                              <w:rFonts w:ascii="Cambria Math" w:hAnsi="Cambria Math" w:cs="Arial"/>
                              <w:sz w:val="18"/>
                              <w:szCs w:val="16"/>
                              <w:lang w:val="es-ES_tradnl"/>
                            </w:rPr>
                          </m:ctrlPr>
                        </m:sSubPr>
                        <m:e>
                          <m:r>
                            <m:rPr>
                              <m:sty m:val="p"/>
                            </m:rPr>
                            <w:rPr>
                              <w:rFonts w:ascii="Cambria Math" w:hAnsi="Cambria Math" w:cs="Arial"/>
                              <w:sz w:val="18"/>
                              <w:szCs w:val="16"/>
                              <w:lang w:val="es-ES_tradnl"/>
                            </w:rPr>
                            <m:t>VAE(VP(Q(PR)</m:t>
                          </m:r>
                        </m:e>
                        <m:sub>
                          <m:r>
                            <m:rPr>
                              <m:sty m:val="p"/>
                            </m:rPr>
                            <w:rPr>
                              <w:rFonts w:ascii="Cambria Math" w:hAnsi="Cambria Math" w:cs="Arial"/>
                              <w:sz w:val="18"/>
                              <w:szCs w:val="16"/>
                              <w:lang w:val="es-ES_tradnl"/>
                            </w:rPr>
                            <m:t>NoResRS</m:t>
                          </m:r>
                        </m:sub>
                      </m:sSub>
                      <m:r>
                        <m:rPr>
                          <m:sty m:val="p"/>
                        </m:rPr>
                        <w:rPr>
                          <w:rFonts w:ascii="Cambria Math" w:hAnsi="Cambria Math" w:cs="Arial"/>
                          <w:sz w:val="18"/>
                          <w:szCs w:val="16"/>
                          <w:lang w:val="es-ES_tradnl"/>
                        </w:rPr>
                        <m:t>+</m:t>
                      </m:r>
                      <m:sSub>
                        <m:sSubPr>
                          <m:ctrlPr>
                            <w:rPr>
                              <w:rFonts w:ascii="Cambria Math" w:hAnsi="Cambria Math" w:cs="Arial"/>
                              <w:sz w:val="18"/>
                              <w:szCs w:val="16"/>
                              <w:lang w:val="es-ES_tradnl"/>
                            </w:rPr>
                          </m:ctrlPr>
                        </m:sSubPr>
                        <m:e>
                          <m:r>
                            <m:rPr>
                              <m:sty m:val="p"/>
                            </m:rPr>
                            <w:rPr>
                              <w:rFonts w:ascii="Cambria Math" w:hAnsi="Cambria Math" w:cs="Arial"/>
                              <w:sz w:val="18"/>
                              <w:szCs w:val="16"/>
                              <w:lang w:val="es-ES_tradnl"/>
                            </w:rPr>
                            <m:t>Q(PR)</m:t>
                          </m:r>
                        </m:e>
                        <m:sub>
                          <m:r>
                            <m:rPr>
                              <m:sty m:val="p"/>
                            </m:rPr>
                            <w:rPr>
                              <w:rFonts w:ascii="Cambria Math" w:hAnsi="Cambria Math" w:cs="Arial"/>
                              <w:sz w:val="18"/>
                              <w:szCs w:val="16"/>
                              <w:lang w:val="es-ES_tradnl"/>
                            </w:rPr>
                            <m:t>Res</m:t>
                          </m:r>
                        </m:sub>
                      </m:sSub>
                      <m:r>
                        <w:rPr>
                          <w:rFonts w:ascii="Cambria Math" w:hAnsi="Cambria Math" w:cs="Arial"/>
                          <w:sz w:val="18"/>
                          <w:szCs w:val="16"/>
                          <w:lang w:val="es-ES_tradnl"/>
                        </w:rPr>
                        <m:t>))</m:t>
                      </m:r>
                    </m:e>
                    <m:sub>
                      <m:r>
                        <m:rPr>
                          <m:sty m:val="p"/>
                        </m:rPr>
                        <w:rPr>
                          <w:rFonts w:ascii="Cambria Math" w:hAnsi="Cambria Math" w:cs="Arial"/>
                          <w:sz w:val="18"/>
                          <w:szCs w:val="16"/>
                          <w:lang w:val="es-ES_tradnl"/>
                        </w:rPr>
                        <m:t>mn</m:t>
                      </m:r>
                    </m:sub>
                  </m:sSub>
                </m:den>
              </m:f>
            </m:e>
          </m:d>
        </m:oMath>
      </m:oMathPara>
    </w:p>
    <w:p w:rsidR="000B65DE" w:rsidRPr="000B65DE" w:rsidRDefault="000B65DE" w:rsidP="000B65DE">
      <w:pPr>
        <w:tabs>
          <w:tab w:val="left" w:pos="426"/>
        </w:tabs>
        <w:ind w:left="0"/>
        <w:jc w:val="both"/>
        <w:rPr>
          <w:rFonts w:ascii="Bookman Old Style" w:hAnsi="Bookman Old Style" w:cs="Arial"/>
          <w:sz w:val="20"/>
          <w:lang w:val="es-ES_tradnl"/>
        </w:rPr>
      </w:pPr>
    </w:p>
    <w:p w:rsidR="000B65DE" w:rsidRPr="000B65DE" w:rsidRDefault="000B65DE" w:rsidP="000B65DE">
      <w:pPr>
        <w:tabs>
          <w:tab w:val="left" w:pos="426"/>
        </w:tabs>
        <w:ind w:left="0"/>
        <w:jc w:val="both"/>
        <w:rPr>
          <w:rFonts w:ascii="Bookman Old Style" w:hAnsi="Bookman Old Style" w:cs="Arial"/>
          <w:sz w:val="20"/>
          <w:szCs w:val="22"/>
          <w:lang w:val="es-ES_tradnl"/>
        </w:rPr>
      </w:pPr>
    </w:p>
    <w:p w:rsidR="000B65DE" w:rsidRPr="000B65DE" w:rsidRDefault="000B65DE" w:rsidP="000B65DE">
      <w:pPr>
        <w:tabs>
          <w:tab w:val="left" w:pos="426"/>
        </w:tabs>
        <w:ind w:left="0"/>
        <w:jc w:val="both"/>
        <w:rPr>
          <w:rFonts w:ascii="Bookman Old Style" w:hAnsi="Bookman Old Style" w:cs="Arial"/>
          <w:sz w:val="18"/>
          <w:szCs w:val="22"/>
          <w:lang w:val="es-ES_tradnl"/>
        </w:rPr>
      </w:pPr>
    </w:p>
    <w:p w:rsidR="000B65DE" w:rsidRPr="000B65DE" w:rsidRDefault="000B65DE" w:rsidP="000B65DE">
      <w:pPr>
        <w:tabs>
          <w:tab w:val="left" w:pos="426"/>
        </w:tabs>
        <w:ind w:left="0"/>
        <w:jc w:val="both"/>
        <w:rPr>
          <w:rFonts w:ascii="Bookman Old Style" w:hAnsi="Bookman Old Style" w:cs="Arial"/>
          <w:sz w:val="16"/>
          <w:lang w:val="es-ES_tradnl"/>
        </w:rPr>
      </w:pPr>
    </w:p>
    <w:p w:rsidR="000B65DE" w:rsidRPr="0092172B" w:rsidRDefault="00364E59" w:rsidP="000B65DE">
      <w:pPr>
        <w:tabs>
          <w:tab w:val="left" w:pos="426"/>
        </w:tabs>
        <w:ind w:left="0"/>
        <w:jc w:val="center"/>
        <w:rPr>
          <w:rFonts w:ascii="Bookman Old Style" w:hAnsi="Bookman Old Style" w:cs="Arial"/>
          <w:sz w:val="17"/>
          <w:szCs w:val="17"/>
          <w:lang w:val="es-ES_tradnl"/>
        </w:rPr>
      </w:pPr>
      <m:oMathPara>
        <m:oMath>
          <m:sSub>
            <m:sSubPr>
              <m:ctrlPr>
                <w:rPr>
                  <w:rFonts w:ascii="Cambria Math" w:hAnsi="Cambria Math" w:cs="Arial"/>
                  <w:sz w:val="17"/>
                  <w:szCs w:val="17"/>
                  <w:lang w:val="es-ES_tradnl"/>
                </w:rPr>
              </m:ctrlPr>
            </m:sSubPr>
            <m:e>
              <m:r>
                <m:rPr>
                  <m:sty m:val="p"/>
                </m:rPr>
                <w:rPr>
                  <w:rFonts w:ascii="Cambria Math" w:hAnsi="Cambria Math" w:cs="Arial"/>
                  <w:sz w:val="17"/>
                  <w:szCs w:val="17"/>
                  <w:lang w:val="es-ES_tradnl"/>
                </w:rPr>
                <m:t>D</m:t>
              </m:r>
            </m:e>
            <m:sub>
              <m:r>
                <m:rPr>
                  <m:sty m:val="p"/>
                </m:rPr>
                <w:rPr>
                  <w:rFonts w:ascii="Cambria Math" w:hAnsi="Cambria Math" w:cs="Arial"/>
                  <w:sz w:val="17"/>
                  <w:szCs w:val="17"/>
                  <w:lang w:val="es-ES_tradnl"/>
                </w:rPr>
                <m:t>AOM(AUR)k</m:t>
              </m:r>
            </m:sub>
          </m:sSub>
          <m:r>
            <m:rPr>
              <m:sty m:val="p"/>
            </m:rPr>
            <w:rPr>
              <w:rFonts w:ascii="Cambria Math" w:hAnsi="Cambria Math" w:cs="Arial"/>
              <w:sz w:val="17"/>
              <w:szCs w:val="17"/>
              <w:lang w:val="es-ES_tradnl"/>
            </w:rPr>
            <m:t xml:space="preserve">= </m:t>
          </m:r>
          <m:d>
            <m:dPr>
              <m:begChr m:val="["/>
              <m:endChr m:val="]"/>
              <m:ctrlPr>
                <w:rPr>
                  <w:rFonts w:ascii="Cambria Math" w:hAnsi="Cambria Math" w:cs="Arial"/>
                  <w:sz w:val="17"/>
                  <w:szCs w:val="17"/>
                  <w:lang w:val="es-ES_tradnl"/>
                </w:rPr>
              </m:ctrlPr>
            </m:dPr>
            <m:e>
              <m:f>
                <m:fPr>
                  <m:ctrlPr>
                    <w:rPr>
                      <w:rFonts w:ascii="Cambria Math" w:hAnsi="Cambria Math" w:cs="Arial"/>
                      <w:sz w:val="17"/>
                      <w:szCs w:val="17"/>
                      <w:lang w:val="es-ES_tradnl"/>
                    </w:rPr>
                  </m:ctrlPr>
                </m:fPr>
                <m:num>
                  <m:sSub>
                    <m:sSubPr>
                      <m:ctrlPr>
                        <w:rPr>
                          <w:rFonts w:ascii="Cambria Math" w:hAnsi="Cambria Math" w:cs="Arial"/>
                          <w:sz w:val="17"/>
                          <w:szCs w:val="17"/>
                          <w:lang w:val="es-ES_tradnl"/>
                        </w:rPr>
                      </m:ctrlPr>
                    </m:sSubPr>
                    <m:e>
                      <m:r>
                        <m:rPr>
                          <m:sty m:val="p"/>
                        </m:rPr>
                        <w:rPr>
                          <w:rFonts w:ascii="Cambria Math" w:hAnsi="Cambria Math" w:cs="Arial"/>
                          <w:sz w:val="17"/>
                          <w:szCs w:val="17"/>
                          <w:lang w:val="es-ES_tradnl"/>
                        </w:rPr>
                        <m:t>AOM</m:t>
                      </m:r>
                    </m:e>
                    <m:sub>
                      <m:r>
                        <m:rPr>
                          <m:sty m:val="p"/>
                        </m:rPr>
                        <w:rPr>
                          <w:rFonts w:ascii="Cambria Math" w:hAnsi="Cambria Math" w:cs="Arial"/>
                          <w:sz w:val="17"/>
                          <w:szCs w:val="17"/>
                          <w:lang w:val="es-ES_tradnl"/>
                        </w:rPr>
                        <m:t>RPme</m:t>
                      </m:r>
                    </m:sub>
                  </m:sSub>
                  <m:r>
                    <m:rPr>
                      <m:sty m:val="p"/>
                    </m:rPr>
                    <w:rPr>
                      <w:rFonts w:ascii="Cambria Math" w:hAnsi="Cambria Math" w:cs="Arial"/>
                      <w:sz w:val="17"/>
                      <w:szCs w:val="17"/>
                      <w:lang w:val="es-ES_tradnl"/>
                    </w:rPr>
                    <m:t>+</m:t>
                  </m:r>
                  <m:sSub>
                    <m:sSubPr>
                      <m:ctrlPr>
                        <w:rPr>
                          <w:rFonts w:ascii="Cambria Math" w:hAnsi="Cambria Math" w:cs="Arial"/>
                          <w:sz w:val="17"/>
                          <w:szCs w:val="17"/>
                          <w:lang w:val="es-ES_tradnl"/>
                        </w:rPr>
                      </m:ctrlPr>
                    </m:sSubPr>
                    <m:e>
                      <m:r>
                        <m:rPr>
                          <m:sty m:val="p"/>
                        </m:rPr>
                        <w:rPr>
                          <w:rFonts w:ascii="Cambria Math" w:hAnsi="Cambria Math" w:cs="Arial"/>
                          <w:sz w:val="17"/>
                          <w:szCs w:val="17"/>
                          <w:lang w:val="es-ES_tradnl"/>
                        </w:rPr>
                        <m:t>CAE(VP(AOM(PR)</m:t>
                      </m:r>
                    </m:e>
                    <m:sub>
                      <m:r>
                        <m:rPr>
                          <m:sty m:val="p"/>
                        </m:rPr>
                        <w:rPr>
                          <w:rFonts w:ascii="Cambria Math" w:hAnsi="Cambria Math" w:cs="Arial"/>
                          <w:sz w:val="17"/>
                          <w:szCs w:val="17"/>
                          <w:lang w:val="es-ES_tradnl"/>
                        </w:rPr>
                        <m:t>RPmn</m:t>
                      </m:r>
                    </m:sub>
                  </m:sSub>
                  <m:r>
                    <m:rPr>
                      <m:sty m:val="p"/>
                    </m:rPr>
                    <w:rPr>
                      <w:rFonts w:ascii="Cambria Math" w:hAnsi="Cambria Math" w:cs="Arial"/>
                      <w:sz w:val="17"/>
                      <w:szCs w:val="17"/>
                      <w:lang w:val="es-ES_tradnl"/>
                    </w:rPr>
                    <m:t>))</m:t>
                  </m:r>
                </m:num>
                <m:den>
                  <m:sSub>
                    <m:sSubPr>
                      <m:ctrlPr>
                        <w:rPr>
                          <w:rFonts w:ascii="Cambria Math" w:hAnsi="Cambria Math" w:cs="Arial"/>
                          <w:sz w:val="17"/>
                          <w:szCs w:val="17"/>
                          <w:lang w:val="es-ES_tradnl"/>
                        </w:rPr>
                      </m:ctrlPr>
                    </m:sSubPr>
                    <m:e>
                      <m:r>
                        <m:rPr>
                          <m:sty m:val="p"/>
                        </m:rPr>
                        <w:rPr>
                          <w:rFonts w:ascii="Cambria Math" w:hAnsi="Cambria Math" w:cs="Arial"/>
                          <w:sz w:val="17"/>
                          <w:szCs w:val="17"/>
                          <w:lang w:val="es-ES_tradnl"/>
                        </w:rPr>
                        <m:t>Q</m:t>
                      </m:r>
                    </m:e>
                    <m:sub>
                      <m:r>
                        <m:rPr>
                          <m:sty m:val="p"/>
                        </m:rPr>
                        <w:rPr>
                          <w:rFonts w:ascii="Cambria Math" w:hAnsi="Cambria Math" w:cs="Arial"/>
                          <w:sz w:val="17"/>
                          <w:szCs w:val="17"/>
                          <w:lang w:val="es-ES_tradnl"/>
                        </w:rPr>
                        <m:t>Tme</m:t>
                      </m:r>
                    </m:sub>
                  </m:sSub>
                  <m:r>
                    <m:rPr>
                      <m:sty m:val="p"/>
                    </m:rPr>
                    <w:rPr>
                      <w:rFonts w:ascii="Cambria Math" w:hAnsi="Cambria Math" w:cs="Arial"/>
                      <w:sz w:val="17"/>
                      <w:szCs w:val="17"/>
                      <w:lang w:val="es-ES_tradnl"/>
                    </w:rPr>
                    <m:t>+VAE (VP</m:t>
                  </m:r>
                  <m:d>
                    <m:dPr>
                      <m:ctrlPr>
                        <w:rPr>
                          <w:rFonts w:ascii="Cambria Math" w:hAnsi="Cambria Math" w:cs="Arial"/>
                          <w:sz w:val="17"/>
                          <w:szCs w:val="17"/>
                          <w:lang w:val="es-ES_tradnl"/>
                        </w:rPr>
                      </m:ctrlPr>
                    </m:dPr>
                    <m:e>
                      <m:sSub>
                        <m:sSubPr>
                          <m:ctrlPr>
                            <w:rPr>
                              <w:rFonts w:ascii="Cambria Math" w:hAnsi="Cambria Math" w:cs="Arial"/>
                              <w:sz w:val="17"/>
                              <w:szCs w:val="17"/>
                              <w:lang w:val="es-ES_tradnl"/>
                            </w:rPr>
                          </m:ctrlPr>
                        </m:sSubPr>
                        <m:e>
                          <m:r>
                            <m:rPr>
                              <m:sty m:val="p"/>
                            </m:rPr>
                            <w:rPr>
                              <w:rFonts w:ascii="Cambria Math" w:hAnsi="Cambria Math" w:cs="Arial"/>
                              <w:sz w:val="17"/>
                              <w:szCs w:val="17"/>
                              <w:lang w:val="es-ES_tradnl"/>
                            </w:rPr>
                            <m:t>Q(PR)</m:t>
                          </m:r>
                        </m:e>
                        <m:sub>
                          <m:r>
                            <m:rPr>
                              <m:sty m:val="p"/>
                            </m:rPr>
                            <w:rPr>
                              <w:rFonts w:ascii="Cambria Math" w:hAnsi="Cambria Math" w:cs="Arial"/>
                              <w:sz w:val="17"/>
                              <w:szCs w:val="17"/>
                              <w:lang w:val="es-ES_tradnl"/>
                            </w:rPr>
                            <m:t>Tmn</m:t>
                          </m:r>
                        </m:sub>
                      </m:sSub>
                    </m:e>
                  </m:d>
                  <m:r>
                    <m:rPr>
                      <m:sty m:val="p"/>
                    </m:rPr>
                    <w:rPr>
                      <w:rFonts w:ascii="Cambria Math" w:hAnsi="Cambria Math" w:cs="Arial"/>
                      <w:sz w:val="17"/>
                      <w:szCs w:val="17"/>
                      <w:lang w:val="es-ES_tradnl"/>
                    </w:rPr>
                    <m:t>)</m:t>
                  </m:r>
                </m:den>
              </m:f>
            </m:e>
          </m:d>
          <m:r>
            <w:rPr>
              <w:rFonts w:ascii="Cambria Math" w:hAnsi="Cambria Math" w:cs="Arial"/>
              <w:sz w:val="17"/>
              <w:szCs w:val="17"/>
              <w:lang w:val="es-ES_tradnl"/>
            </w:rPr>
            <m:t>+</m:t>
          </m:r>
          <m:d>
            <m:dPr>
              <m:begChr m:val="["/>
              <m:endChr m:val="]"/>
              <m:ctrlPr>
                <w:rPr>
                  <w:rFonts w:ascii="Cambria Math" w:hAnsi="Cambria Math" w:cs="Arial"/>
                  <w:sz w:val="17"/>
                  <w:szCs w:val="17"/>
                  <w:lang w:val="es-ES_tradnl"/>
                </w:rPr>
              </m:ctrlPr>
            </m:dPr>
            <m:e>
              <m:f>
                <m:fPr>
                  <m:ctrlPr>
                    <w:rPr>
                      <w:rFonts w:ascii="Cambria Math" w:hAnsi="Cambria Math" w:cs="Arial"/>
                      <w:sz w:val="17"/>
                      <w:szCs w:val="17"/>
                      <w:lang w:val="es-ES_tradnl"/>
                    </w:rPr>
                  </m:ctrlPr>
                </m:fPr>
                <m:num>
                  <m:sSub>
                    <m:sSubPr>
                      <m:ctrlPr>
                        <w:rPr>
                          <w:rFonts w:ascii="Cambria Math" w:hAnsi="Cambria Math" w:cs="Arial"/>
                          <w:sz w:val="17"/>
                          <w:szCs w:val="17"/>
                          <w:lang w:val="es-ES_tradnl"/>
                        </w:rPr>
                      </m:ctrlPr>
                    </m:sSubPr>
                    <m:e>
                      <m:r>
                        <m:rPr>
                          <m:sty m:val="p"/>
                        </m:rPr>
                        <w:rPr>
                          <w:rFonts w:ascii="Cambria Math" w:hAnsi="Cambria Math" w:cs="Arial"/>
                          <w:sz w:val="17"/>
                          <w:szCs w:val="17"/>
                          <w:lang w:val="es-ES_tradnl"/>
                        </w:rPr>
                        <m:t>AOM</m:t>
                      </m:r>
                    </m:e>
                    <m:sub>
                      <m:r>
                        <m:rPr>
                          <m:sty m:val="p"/>
                        </m:rPr>
                        <w:rPr>
                          <w:rFonts w:ascii="Cambria Math" w:hAnsi="Cambria Math" w:cs="Arial"/>
                          <w:sz w:val="17"/>
                          <w:szCs w:val="17"/>
                          <w:lang w:val="es-ES_tradnl"/>
                        </w:rPr>
                        <m:t>RSme</m:t>
                      </m:r>
                    </m:sub>
                  </m:sSub>
                  <m:r>
                    <m:rPr>
                      <m:sty m:val="p"/>
                    </m:rPr>
                    <w:rPr>
                      <w:rFonts w:ascii="Cambria Math" w:hAnsi="Cambria Math" w:cs="Arial"/>
                      <w:sz w:val="17"/>
                      <w:szCs w:val="17"/>
                      <w:lang w:val="es-ES_tradnl"/>
                    </w:rPr>
                    <m:t>+</m:t>
                  </m:r>
                  <m:sSub>
                    <m:sSubPr>
                      <m:ctrlPr>
                        <w:rPr>
                          <w:rFonts w:ascii="Cambria Math" w:hAnsi="Cambria Math" w:cs="Arial"/>
                          <w:sz w:val="17"/>
                          <w:szCs w:val="17"/>
                          <w:lang w:val="es-ES_tradnl"/>
                        </w:rPr>
                      </m:ctrlPr>
                    </m:sSubPr>
                    <m:e>
                      <m:r>
                        <m:rPr>
                          <m:sty m:val="p"/>
                        </m:rPr>
                        <w:rPr>
                          <w:rFonts w:ascii="Cambria Math" w:hAnsi="Cambria Math" w:cs="Arial"/>
                          <w:sz w:val="17"/>
                          <w:szCs w:val="17"/>
                          <w:lang w:val="es-ES_tradnl"/>
                        </w:rPr>
                        <m:t>CAE(VP(AOM(PR)</m:t>
                      </m:r>
                    </m:e>
                    <m:sub>
                      <m:r>
                        <m:rPr>
                          <m:sty m:val="p"/>
                        </m:rPr>
                        <w:rPr>
                          <w:rFonts w:ascii="Cambria Math" w:hAnsi="Cambria Math" w:cs="Arial"/>
                          <w:sz w:val="17"/>
                          <w:szCs w:val="17"/>
                          <w:lang w:val="es-ES_tradnl"/>
                        </w:rPr>
                        <m:t>RSmn</m:t>
                      </m:r>
                    </m:sub>
                  </m:sSub>
                  <m:r>
                    <m:rPr>
                      <m:sty m:val="p"/>
                    </m:rPr>
                    <w:rPr>
                      <w:rFonts w:ascii="Cambria Math" w:hAnsi="Cambria Math" w:cs="Arial"/>
                      <w:sz w:val="17"/>
                      <w:szCs w:val="17"/>
                      <w:lang w:val="es-ES_tradnl"/>
                    </w:rPr>
                    <m:t>))</m:t>
                  </m:r>
                </m:num>
                <m:den>
                  <m:sSub>
                    <m:sSubPr>
                      <m:ctrlPr>
                        <w:rPr>
                          <w:rFonts w:ascii="Cambria Math" w:hAnsi="Cambria Math" w:cs="Arial"/>
                          <w:sz w:val="17"/>
                          <w:szCs w:val="17"/>
                          <w:lang w:val="es-ES_tradnl"/>
                        </w:rPr>
                      </m:ctrlPr>
                    </m:sSubPr>
                    <m:e>
                      <m:sSub>
                        <m:sSubPr>
                          <m:ctrlPr>
                            <w:rPr>
                              <w:rFonts w:ascii="Cambria Math" w:hAnsi="Cambria Math" w:cs="Arial"/>
                              <w:sz w:val="17"/>
                              <w:szCs w:val="17"/>
                              <w:lang w:val="es-ES_tradnl"/>
                            </w:rPr>
                          </m:ctrlPr>
                        </m:sSubPr>
                        <m:e>
                          <m:r>
                            <m:rPr>
                              <m:sty m:val="p"/>
                            </m:rPr>
                            <w:rPr>
                              <w:rFonts w:ascii="Cambria Math" w:hAnsi="Cambria Math" w:cs="Arial"/>
                              <w:sz w:val="17"/>
                              <w:szCs w:val="17"/>
                              <w:lang w:val="es-ES_tradnl"/>
                            </w:rPr>
                            <m:t>(Q</m:t>
                          </m:r>
                        </m:e>
                        <m:sub>
                          <m:r>
                            <m:rPr>
                              <m:sty m:val="p"/>
                            </m:rPr>
                            <w:rPr>
                              <w:rFonts w:ascii="Cambria Math" w:hAnsi="Cambria Math" w:cs="Arial"/>
                              <w:sz w:val="17"/>
                              <w:szCs w:val="17"/>
                              <w:lang w:val="es-ES_tradnl"/>
                            </w:rPr>
                            <m:t>NoResRS</m:t>
                          </m:r>
                        </m:sub>
                      </m:sSub>
                      <m:r>
                        <m:rPr>
                          <m:sty m:val="p"/>
                        </m:rPr>
                        <w:rPr>
                          <w:rFonts w:ascii="Cambria Math" w:hAnsi="Cambria Math" w:cs="Arial"/>
                          <w:sz w:val="17"/>
                          <w:szCs w:val="17"/>
                          <w:lang w:val="es-ES_tradnl"/>
                        </w:rPr>
                        <m:t>+</m:t>
                      </m:r>
                      <m:sSub>
                        <m:sSubPr>
                          <m:ctrlPr>
                            <w:rPr>
                              <w:rFonts w:ascii="Cambria Math" w:hAnsi="Cambria Math" w:cs="Arial"/>
                              <w:sz w:val="17"/>
                              <w:szCs w:val="17"/>
                              <w:lang w:val="es-ES_tradnl"/>
                            </w:rPr>
                          </m:ctrlPr>
                        </m:sSubPr>
                        <m:e>
                          <m:r>
                            <m:rPr>
                              <m:sty m:val="p"/>
                            </m:rPr>
                            <w:rPr>
                              <w:rFonts w:ascii="Cambria Math" w:hAnsi="Cambria Math" w:cs="Arial"/>
                              <w:sz w:val="17"/>
                              <w:szCs w:val="17"/>
                              <w:lang w:val="es-ES_tradnl"/>
                            </w:rPr>
                            <m:t>Q</m:t>
                          </m:r>
                        </m:e>
                        <m:sub>
                          <m:r>
                            <m:rPr>
                              <m:sty m:val="p"/>
                            </m:rPr>
                            <w:rPr>
                              <w:rFonts w:ascii="Cambria Math" w:hAnsi="Cambria Math" w:cs="Arial"/>
                              <w:sz w:val="17"/>
                              <w:szCs w:val="17"/>
                              <w:lang w:val="es-ES_tradnl"/>
                            </w:rPr>
                            <m:t>Res</m:t>
                          </m:r>
                        </m:sub>
                      </m:sSub>
                      <m:r>
                        <w:rPr>
                          <w:rFonts w:ascii="Cambria Math" w:hAnsi="Cambria Math" w:cs="Arial"/>
                          <w:sz w:val="17"/>
                          <w:szCs w:val="17"/>
                          <w:lang w:val="es-ES_tradnl"/>
                        </w:rPr>
                        <m:t>)</m:t>
                      </m:r>
                    </m:e>
                    <m:sub>
                      <m:r>
                        <m:rPr>
                          <m:sty m:val="p"/>
                        </m:rPr>
                        <w:rPr>
                          <w:rFonts w:ascii="Cambria Math" w:hAnsi="Cambria Math" w:cs="Arial"/>
                          <w:sz w:val="17"/>
                          <w:szCs w:val="17"/>
                          <w:lang w:val="es-ES_tradnl"/>
                        </w:rPr>
                        <m:t>me</m:t>
                      </m:r>
                    </m:sub>
                  </m:sSub>
                  <m:r>
                    <w:rPr>
                      <w:rFonts w:ascii="Cambria Math" w:hAnsi="Cambria Math" w:cs="Arial"/>
                      <w:sz w:val="17"/>
                      <w:szCs w:val="17"/>
                      <w:lang w:val="es-ES_tradnl"/>
                    </w:rPr>
                    <m:t>+</m:t>
                  </m:r>
                  <m:sSub>
                    <m:sSubPr>
                      <m:ctrlPr>
                        <w:rPr>
                          <w:rFonts w:ascii="Cambria Math" w:hAnsi="Cambria Math" w:cs="Arial"/>
                          <w:sz w:val="17"/>
                          <w:szCs w:val="17"/>
                          <w:lang w:val="es-ES_tradnl"/>
                        </w:rPr>
                      </m:ctrlPr>
                    </m:sSubPr>
                    <m:e>
                      <m:sSub>
                        <m:sSubPr>
                          <m:ctrlPr>
                            <w:rPr>
                              <w:rFonts w:ascii="Cambria Math" w:hAnsi="Cambria Math" w:cs="Arial"/>
                              <w:sz w:val="17"/>
                              <w:szCs w:val="17"/>
                              <w:lang w:val="es-ES_tradnl"/>
                            </w:rPr>
                          </m:ctrlPr>
                        </m:sSubPr>
                        <m:e>
                          <m:r>
                            <m:rPr>
                              <m:sty m:val="p"/>
                            </m:rPr>
                            <w:rPr>
                              <w:rFonts w:ascii="Cambria Math" w:hAnsi="Cambria Math" w:cs="Arial"/>
                              <w:sz w:val="17"/>
                              <w:szCs w:val="17"/>
                              <w:lang w:val="es-ES_tradnl"/>
                            </w:rPr>
                            <m:t>VAE(VP(Q(PR)</m:t>
                          </m:r>
                        </m:e>
                        <m:sub>
                          <m:r>
                            <m:rPr>
                              <m:sty m:val="p"/>
                            </m:rPr>
                            <w:rPr>
                              <w:rFonts w:ascii="Cambria Math" w:hAnsi="Cambria Math" w:cs="Arial"/>
                              <w:sz w:val="17"/>
                              <w:szCs w:val="17"/>
                              <w:lang w:val="es-ES_tradnl"/>
                            </w:rPr>
                            <m:t>NoResRS</m:t>
                          </m:r>
                        </m:sub>
                      </m:sSub>
                      <m:r>
                        <m:rPr>
                          <m:sty m:val="p"/>
                        </m:rPr>
                        <w:rPr>
                          <w:rFonts w:ascii="Cambria Math" w:hAnsi="Cambria Math" w:cs="Arial"/>
                          <w:sz w:val="17"/>
                          <w:szCs w:val="17"/>
                          <w:lang w:val="es-ES_tradnl"/>
                        </w:rPr>
                        <m:t>+</m:t>
                      </m:r>
                      <m:sSub>
                        <m:sSubPr>
                          <m:ctrlPr>
                            <w:rPr>
                              <w:rFonts w:ascii="Cambria Math" w:hAnsi="Cambria Math" w:cs="Arial"/>
                              <w:sz w:val="17"/>
                              <w:szCs w:val="17"/>
                              <w:lang w:val="es-ES_tradnl"/>
                            </w:rPr>
                          </m:ctrlPr>
                        </m:sSubPr>
                        <m:e>
                          <m:r>
                            <m:rPr>
                              <m:sty m:val="p"/>
                            </m:rPr>
                            <w:rPr>
                              <w:rFonts w:ascii="Cambria Math" w:hAnsi="Cambria Math" w:cs="Arial"/>
                              <w:sz w:val="17"/>
                              <w:szCs w:val="17"/>
                              <w:lang w:val="es-ES_tradnl"/>
                            </w:rPr>
                            <m:t>Q(PR)</m:t>
                          </m:r>
                        </m:e>
                        <m:sub>
                          <m:r>
                            <m:rPr>
                              <m:sty m:val="p"/>
                            </m:rPr>
                            <w:rPr>
                              <w:rFonts w:ascii="Cambria Math" w:hAnsi="Cambria Math" w:cs="Arial"/>
                              <w:sz w:val="17"/>
                              <w:szCs w:val="17"/>
                              <w:lang w:val="es-ES_tradnl"/>
                            </w:rPr>
                            <m:t>Res</m:t>
                          </m:r>
                        </m:sub>
                      </m:sSub>
                      <m:r>
                        <w:rPr>
                          <w:rFonts w:ascii="Cambria Math" w:hAnsi="Cambria Math" w:cs="Arial"/>
                          <w:sz w:val="17"/>
                          <w:szCs w:val="17"/>
                          <w:lang w:val="es-ES_tradnl"/>
                        </w:rPr>
                        <m:t>))</m:t>
                      </m:r>
                    </m:e>
                    <m:sub>
                      <m:r>
                        <m:rPr>
                          <m:sty m:val="p"/>
                        </m:rPr>
                        <w:rPr>
                          <w:rFonts w:ascii="Cambria Math" w:hAnsi="Cambria Math" w:cs="Arial"/>
                          <w:sz w:val="17"/>
                          <w:szCs w:val="17"/>
                          <w:lang w:val="es-ES_tradnl"/>
                        </w:rPr>
                        <m:t>mn</m:t>
                      </m:r>
                    </m:sub>
                  </m:sSub>
                  <m:r>
                    <m:rPr>
                      <m:sty m:val="p"/>
                    </m:rPr>
                    <w:rPr>
                      <w:rFonts w:ascii="Cambria Math" w:hAnsi="Cambria Math" w:cs="Arial"/>
                      <w:sz w:val="17"/>
                      <w:szCs w:val="17"/>
                      <w:lang w:val="es-ES_tradnl"/>
                    </w:rPr>
                    <m:t>)</m:t>
                  </m:r>
                </m:den>
              </m:f>
            </m:e>
          </m:d>
        </m:oMath>
      </m:oMathPara>
    </w:p>
    <w:p w:rsidR="000B65DE" w:rsidRPr="000B65DE" w:rsidRDefault="000B65DE" w:rsidP="000B65DE">
      <w:pPr>
        <w:ind w:left="0"/>
        <w:jc w:val="both"/>
        <w:rPr>
          <w:rFonts w:ascii="Bookman Old Style" w:hAnsi="Bookman Old Style" w:cs="Arial"/>
          <w:lang w:val="es-ES_tradnl"/>
        </w:rPr>
      </w:pPr>
    </w:p>
    <w:p w:rsidR="00C7068E" w:rsidRDefault="00C7068E" w:rsidP="000B65DE">
      <w:pPr>
        <w:tabs>
          <w:tab w:val="left" w:pos="426"/>
        </w:tabs>
        <w:ind w:left="0"/>
        <w:jc w:val="both"/>
        <w:rPr>
          <w:rFonts w:ascii="Bookman Old Style" w:hAnsi="Bookman Old Style" w:cs="Arial"/>
          <w:lang w:val="es-ES_tradnl"/>
        </w:rPr>
      </w:pPr>
    </w:p>
    <w:p w:rsidR="000B65DE" w:rsidRPr="000B65DE" w:rsidRDefault="000B65DE" w:rsidP="000B65DE">
      <w:pPr>
        <w:tabs>
          <w:tab w:val="left" w:pos="426"/>
        </w:tabs>
        <w:ind w:left="0"/>
        <w:jc w:val="both"/>
        <w:rPr>
          <w:rFonts w:ascii="Bookman Old Style" w:hAnsi="Bookman Old Style" w:cs="Arial"/>
          <w:lang w:val="es-ES_tradnl"/>
        </w:rPr>
      </w:pPr>
      <w:r w:rsidRPr="000B65DE">
        <w:rPr>
          <w:rFonts w:ascii="Bookman Old Style" w:hAnsi="Bookman Old Style" w:cs="Arial"/>
          <w:lang w:val="es-ES_tradnl"/>
        </w:rPr>
        <w:t>Donde:</w:t>
      </w:r>
    </w:p>
    <w:p w:rsidR="000B65DE" w:rsidRPr="000B65DE" w:rsidRDefault="000B65DE" w:rsidP="000B65DE">
      <w:pPr>
        <w:tabs>
          <w:tab w:val="left" w:pos="426"/>
        </w:tabs>
        <w:ind w:left="0"/>
        <w:jc w:val="both"/>
        <w:rPr>
          <w:rFonts w:ascii="Bookman Old Style" w:hAnsi="Bookman Old Style" w:cs="Arial"/>
          <w:lang w:val="es-ES_tradnl"/>
        </w:rPr>
      </w:pPr>
    </w:p>
    <w:tbl>
      <w:tblPr>
        <w:tblW w:w="0" w:type="auto"/>
        <w:tblInd w:w="108" w:type="dxa"/>
        <w:tblLook w:val="04A0" w:firstRow="1" w:lastRow="0" w:firstColumn="1" w:lastColumn="0" w:noHBand="0" w:noVBand="1"/>
      </w:tblPr>
      <w:tblGrid>
        <w:gridCol w:w="2759"/>
        <w:gridCol w:w="6602"/>
      </w:tblGrid>
      <w:tr w:rsidR="000B65DE" w:rsidRPr="000B65DE" w:rsidTr="00382E27">
        <w:tc>
          <w:tcPr>
            <w:tcW w:w="2759" w:type="dxa"/>
          </w:tcPr>
          <w:p w:rsidR="000B65DE" w:rsidRPr="000B65DE" w:rsidRDefault="000B65DE" w:rsidP="000B65DE">
            <w:pPr>
              <w:tabs>
                <w:tab w:val="left" w:pos="426"/>
              </w:tabs>
              <w:ind w:left="0"/>
              <w:jc w:val="both"/>
              <w:rPr>
                <w:rFonts w:ascii="Bookman Old Style" w:hAnsi="Bookman Old Style" w:cs="Arial"/>
                <w:i/>
                <w:lang w:val="es-ES_tradnl"/>
              </w:rPr>
            </w:pPr>
          </w:p>
        </w:tc>
        <w:tc>
          <w:tcPr>
            <w:tcW w:w="6602" w:type="dxa"/>
          </w:tcPr>
          <w:p w:rsidR="000B65DE" w:rsidRPr="000B65DE" w:rsidRDefault="000B65DE" w:rsidP="000B65DE">
            <w:pPr>
              <w:tabs>
                <w:tab w:val="left" w:pos="426"/>
              </w:tabs>
              <w:ind w:left="0"/>
              <w:jc w:val="both"/>
              <w:rPr>
                <w:rFonts w:ascii="Bookman Old Style" w:hAnsi="Bookman Old Style" w:cs="Arial"/>
                <w:lang w:val="es-ES_tradnl"/>
              </w:rPr>
            </w:pPr>
          </w:p>
        </w:tc>
      </w:tr>
      <w:tr w:rsidR="000B65DE" w:rsidRPr="000B65DE" w:rsidTr="00382E27">
        <w:tc>
          <w:tcPr>
            <w:tcW w:w="2759" w:type="dxa"/>
          </w:tcPr>
          <w:p w:rsidR="000B65DE" w:rsidRPr="0092172B" w:rsidRDefault="00364E59" w:rsidP="000B65DE">
            <w:pPr>
              <w:tabs>
                <w:tab w:val="left" w:pos="426"/>
              </w:tabs>
              <w:ind w:left="0"/>
              <w:jc w:val="both"/>
              <w:rPr>
                <w:rFonts w:ascii="Bookman Old Style" w:hAnsi="Bookman Old Style" w:cs="Arial"/>
                <w:lang w:val="es-ES_tradnl"/>
              </w:rPr>
            </w:pPr>
            <m:oMathPara>
              <m:oMathParaPr>
                <m:jc m:val="left"/>
              </m:oMathParaPr>
              <m:oMath>
                <m:sSub>
                  <m:sSubPr>
                    <m:ctrlPr>
                      <w:rPr>
                        <w:rFonts w:ascii="Cambria Math" w:eastAsia="Calibri" w:hAnsi="Cambria Math" w:cs="Arial"/>
                        <w:szCs w:val="22"/>
                        <w:lang w:val="es-CO" w:eastAsia="en-US"/>
                      </w:rPr>
                    </m:ctrlPr>
                  </m:sSubPr>
                  <m:e>
                    <m:r>
                      <m:rPr>
                        <m:sty m:val="p"/>
                      </m:rPr>
                      <w:rPr>
                        <w:rFonts w:ascii="Cambria Math" w:eastAsia="Calibri" w:hAnsi="Cambria Math" w:cs="Arial"/>
                        <w:szCs w:val="22"/>
                        <w:lang w:val="es-CO" w:eastAsia="en-US"/>
                      </w:rPr>
                      <m:t>IBME</m:t>
                    </m:r>
                  </m:e>
                  <m:sub>
                    <m:r>
                      <m:rPr>
                        <m:sty m:val="p"/>
                      </m:rPr>
                      <w:rPr>
                        <w:rFonts w:ascii="Cambria Math" w:eastAsia="Calibri" w:hAnsi="Cambria Math" w:cs="Arial"/>
                        <w:szCs w:val="22"/>
                        <w:lang w:val="es-CO" w:eastAsia="en-US"/>
                      </w:rPr>
                      <m:t>RPme</m:t>
                    </m:r>
                  </m:sub>
                </m:sSub>
              </m:oMath>
            </m:oMathPara>
          </w:p>
        </w:tc>
        <w:tc>
          <w:tcPr>
            <w:tcW w:w="6602" w:type="dxa"/>
          </w:tcPr>
          <w:p w:rsidR="00A36623" w:rsidRDefault="000B65DE" w:rsidP="000B65DE">
            <w:pPr>
              <w:tabs>
                <w:tab w:val="left" w:pos="426"/>
              </w:tabs>
              <w:ind w:left="0"/>
              <w:jc w:val="both"/>
              <w:rPr>
                <w:rFonts w:ascii="Bookman Old Style" w:hAnsi="Bookman Old Style" w:cs="Arial"/>
                <w:lang w:val="es-CO" w:eastAsia="en-US"/>
              </w:rPr>
            </w:pPr>
            <w:r w:rsidRPr="000B65DE">
              <w:rPr>
                <w:rFonts w:ascii="Bookman Old Style" w:hAnsi="Bookman Old Style" w:cs="Arial"/>
                <w:lang w:val="es-CO" w:eastAsia="en-US"/>
              </w:rPr>
              <w:t>Inversión Base correspondiente a la Red Primaria de los Mercado (s) Relevante(s) Existente(s) de Distribución que van a constituir el Mercado Relevante de Distribución para el Siguiente Período Tarifario k conformado a partir de Anexar a Mercados Relevantes Existentes de Distribución</w:t>
            </w:r>
            <w:r w:rsidR="00566770" w:rsidRPr="000B65DE">
              <w:rPr>
                <w:rFonts w:ascii="Bookman Old Style" w:hAnsi="Bookman Old Style" w:cs="Arial"/>
                <w:lang w:val="es-CO" w:eastAsia="en-US"/>
              </w:rPr>
              <w:t xml:space="preserve"> Municipios Nuevos</w:t>
            </w:r>
            <w:r w:rsidRPr="000B65DE">
              <w:rPr>
                <w:rFonts w:ascii="Bookman Old Style" w:hAnsi="Bookman Old Style" w:cs="Arial"/>
                <w:lang w:val="es-CO" w:eastAsia="en-US"/>
              </w:rPr>
              <w:t>, expresada en pesos de la Fecha Base.</w:t>
            </w:r>
          </w:p>
          <w:p w:rsidR="00A36623" w:rsidRDefault="00A36623" w:rsidP="000B65DE">
            <w:pPr>
              <w:tabs>
                <w:tab w:val="left" w:pos="426"/>
              </w:tabs>
              <w:ind w:left="0"/>
              <w:jc w:val="both"/>
              <w:rPr>
                <w:rFonts w:ascii="Bookman Old Style" w:hAnsi="Bookman Old Style" w:cs="Arial"/>
                <w:lang w:val="es-CO" w:eastAsia="en-US"/>
              </w:rPr>
            </w:pPr>
          </w:p>
          <w:p w:rsidR="000B65DE" w:rsidRPr="000B65DE" w:rsidRDefault="000B65DE" w:rsidP="000B65DE">
            <w:pPr>
              <w:tabs>
                <w:tab w:val="left" w:pos="426"/>
              </w:tabs>
              <w:ind w:left="0"/>
              <w:jc w:val="both"/>
              <w:rPr>
                <w:rFonts w:ascii="Bookman Old Style" w:hAnsi="Bookman Old Style" w:cs="Arial"/>
                <w:lang w:val="es-CO" w:eastAsia="en-US"/>
              </w:rPr>
            </w:pPr>
            <w:r w:rsidRPr="000B65DE">
              <w:rPr>
                <w:rFonts w:ascii="Bookman Old Style" w:hAnsi="Bookman Old Style" w:cs="Arial"/>
                <w:lang w:val="es-CO" w:eastAsia="en-US"/>
              </w:rPr>
              <w:t xml:space="preserve">Esta se determina como se indica en el numeral </w:t>
            </w:r>
            <w:r w:rsidR="00AF6018" w:rsidRPr="000B65DE">
              <w:rPr>
                <w:rFonts w:ascii="Bookman Old Style" w:hAnsi="Bookman Old Style" w:cs="Arial"/>
                <w:lang w:val="es-CO" w:eastAsia="en-US"/>
              </w:rPr>
              <w:fldChar w:fldCharType="begin"/>
            </w:r>
            <w:r w:rsidRPr="000B65DE">
              <w:rPr>
                <w:rFonts w:ascii="Bookman Old Style" w:hAnsi="Bookman Old Style" w:cs="Arial"/>
                <w:lang w:val="es-CO" w:eastAsia="en-US"/>
              </w:rPr>
              <w:instrText xml:space="preserve"> REF _Ref289353052 \r \h </w:instrText>
            </w:r>
            <w:r w:rsidR="00AF6018" w:rsidRPr="000B65DE">
              <w:rPr>
                <w:rFonts w:ascii="Bookman Old Style" w:hAnsi="Bookman Old Style" w:cs="Arial"/>
                <w:lang w:val="es-CO" w:eastAsia="en-US"/>
              </w:rPr>
            </w:r>
            <w:r w:rsidR="00AF6018" w:rsidRPr="000B65DE">
              <w:rPr>
                <w:rFonts w:ascii="Bookman Old Style" w:hAnsi="Bookman Old Style" w:cs="Arial"/>
                <w:lang w:val="es-CO" w:eastAsia="en-US"/>
              </w:rPr>
              <w:fldChar w:fldCharType="separate"/>
            </w:r>
            <w:r w:rsidR="004D5C18">
              <w:rPr>
                <w:rFonts w:ascii="Bookman Old Style" w:hAnsi="Bookman Old Style" w:cs="Arial"/>
                <w:lang w:val="es-CO" w:eastAsia="en-US"/>
              </w:rPr>
              <w:t>9.5.1</w:t>
            </w:r>
            <w:r w:rsidR="00AF6018" w:rsidRPr="000B65DE">
              <w:rPr>
                <w:rFonts w:ascii="Bookman Old Style" w:hAnsi="Bookman Old Style" w:cs="Arial"/>
                <w:lang w:val="es-CO" w:eastAsia="en-US"/>
              </w:rPr>
              <w:fldChar w:fldCharType="end"/>
            </w:r>
            <w:r w:rsidRPr="000B65DE">
              <w:rPr>
                <w:rFonts w:ascii="Bookman Old Style" w:hAnsi="Bookman Old Style" w:cs="Arial"/>
                <w:lang w:val="es-CO" w:eastAsia="en-US"/>
              </w:rPr>
              <w:t xml:space="preserve"> de esta Resolución. </w:t>
            </w:r>
          </w:p>
          <w:p w:rsidR="000B65DE" w:rsidRPr="000B65DE" w:rsidRDefault="000B65DE" w:rsidP="000B65DE">
            <w:pPr>
              <w:tabs>
                <w:tab w:val="left" w:pos="426"/>
              </w:tabs>
              <w:ind w:left="0"/>
              <w:jc w:val="both"/>
              <w:rPr>
                <w:rFonts w:ascii="Bookman Old Style" w:hAnsi="Bookman Old Style" w:cs="Arial"/>
                <w:lang w:val="es-ES_tradnl"/>
              </w:rPr>
            </w:pPr>
          </w:p>
        </w:tc>
      </w:tr>
      <w:tr w:rsidR="000B65DE" w:rsidRPr="000B65DE" w:rsidTr="00382E27">
        <w:tc>
          <w:tcPr>
            <w:tcW w:w="2759" w:type="dxa"/>
          </w:tcPr>
          <w:p w:rsidR="000B65DE" w:rsidRPr="0092172B" w:rsidRDefault="00364E59" w:rsidP="000B65DE">
            <w:pPr>
              <w:tabs>
                <w:tab w:val="left" w:pos="426"/>
              </w:tabs>
              <w:ind w:left="0"/>
              <w:jc w:val="both"/>
              <w:rPr>
                <w:szCs w:val="22"/>
                <w:lang w:val="es-CO" w:eastAsia="en-US"/>
              </w:rPr>
            </w:pPr>
            <m:oMathPara>
              <m:oMathParaPr>
                <m:jc m:val="left"/>
              </m:oMathParaPr>
              <m:oMath>
                <m:sSub>
                  <m:sSubPr>
                    <m:ctrlPr>
                      <w:rPr>
                        <w:rFonts w:ascii="Cambria Math" w:hAnsi="Cambria Math" w:cs="Arial"/>
                        <w:szCs w:val="22"/>
                        <w:lang w:val="es-ES_tradnl"/>
                      </w:rPr>
                    </m:ctrlPr>
                  </m:sSubPr>
                  <m:e>
                    <m:r>
                      <m:rPr>
                        <m:sty m:val="p"/>
                      </m:rPr>
                      <w:rPr>
                        <w:rFonts w:ascii="Cambria Math" w:hAnsi="Cambria Math" w:cs="Arial"/>
                        <w:szCs w:val="22"/>
                        <w:lang w:val="es-ES_tradnl"/>
                      </w:rPr>
                      <m:t>IBMEN</m:t>
                    </m:r>
                  </m:e>
                  <m:sub>
                    <m:r>
                      <m:rPr>
                        <m:sty m:val="p"/>
                      </m:rPr>
                      <w:rPr>
                        <w:rFonts w:ascii="Cambria Math" w:hAnsi="Cambria Math" w:cs="Arial"/>
                        <w:szCs w:val="22"/>
                        <w:lang w:val="es-ES_tradnl"/>
                      </w:rPr>
                      <m:t>RPmn</m:t>
                    </m:r>
                  </m:sub>
                </m:sSub>
              </m:oMath>
            </m:oMathPara>
          </w:p>
        </w:tc>
        <w:tc>
          <w:tcPr>
            <w:tcW w:w="6602" w:type="dxa"/>
          </w:tcPr>
          <w:p w:rsidR="000B65DE" w:rsidRPr="000B65DE" w:rsidRDefault="000B65DE" w:rsidP="00566770">
            <w:pPr>
              <w:tabs>
                <w:tab w:val="left" w:pos="426"/>
              </w:tabs>
              <w:ind w:left="0"/>
              <w:jc w:val="both"/>
              <w:rPr>
                <w:rFonts w:ascii="Bookman Old Style" w:hAnsi="Bookman Old Style" w:cs="Arial"/>
                <w:lang w:val="es-CO" w:eastAsia="en-US"/>
              </w:rPr>
            </w:pPr>
            <w:r w:rsidRPr="000B65DE">
              <w:rPr>
                <w:rFonts w:ascii="Bookman Old Style" w:hAnsi="Bookman Old Style" w:cs="Arial"/>
                <w:lang w:val="es-CO" w:eastAsia="en-US"/>
              </w:rPr>
              <w:t>Inversión Base correspondiente a la Red Primaria de los Municipios Nuevos que van a constituir el Mercado Relevante de Distribución para el Siguiente Período Tarifario k conformado a partir de Anexar a Mercados Relevantes Existentes de Distribución</w:t>
            </w:r>
            <w:r w:rsidR="00566770" w:rsidRPr="000B65DE">
              <w:rPr>
                <w:rFonts w:ascii="Bookman Old Style" w:hAnsi="Bookman Old Style" w:cs="Arial"/>
                <w:lang w:val="es-CO" w:eastAsia="en-US"/>
              </w:rPr>
              <w:t xml:space="preserve"> </w:t>
            </w:r>
            <w:r w:rsidR="00566770" w:rsidRPr="000B65DE">
              <w:rPr>
                <w:rFonts w:ascii="Bookman Old Style" w:hAnsi="Bookman Old Style" w:cs="Arial"/>
                <w:lang w:val="es-CO" w:eastAsia="en-US"/>
              </w:rPr>
              <w:lastRenderedPageBreak/>
              <w:t>Municipios Nuevos</w:t>
            </w:r>
            <w:r w:rsidRPr="000B65DE">
              <w:rPr>
                <w:rFonts w:ascii="Bookman Old Style" w:hAnsi="Bookman Old Style" w:cs="Arial"/>
                <w:lang w:val="es-CO" w:eastAsia="en-US"/>
              </w:rPr>
              <w:t xml:space="preserve">, expresada en pesos de la Fecha Base. Esta se determina como se indica en el numeral </w:t>
            </w:r>
            <w:r w:rsidR="008B26D0">
              <w:fldChar w:fldCharType="begin"/>
            </w:r>
            <w:r w:rsidR="008B26D0">
              <w:instrText xml:space="preserve"> REF _Ref289671910 \r \h  \* MERGEFORMAT </w:instrText>
            </w:r>
            <w:r w:rsidR="008B26D0">
              <w:fldChar w:fldCharType="separate"/>
            </w:r>
            <w:r w:rsidR="004D5C18" w:rsidRPr="004D5C18">
              <w:rPr>
                <w:rFonts w:ascii="Bookman Old Style" w:hAnsi="Bookman Old Style" w:cs="Arial"/>
                <w:lang w:val="es-CO" w:eastAsia="en-US"/>
              </w:rPr>
              <w:t>9.5.2</w:t>
            </w:r>
            <w:r w:rsidR="008B26D0">
              <w:fldChar w:fldCharType="end"/>
            </w:r>
            <w:r w:rsidRPr="000B65DE">
              <w:rPr>
                <w:rFonts w:ascii="Bookman Old Style" w:hAnsi="Bookman Old Style" w:cs="Arial"/>
                <w:lang w:val="es-CO" w:eastAsia="en-US"/>
              </w:rPr>
              <w:t xml:space="preserve"> de esta Resolución.  </w:t>
            </w:r>
          </w:p>
        </w:tc>
      </w:tr>
      <w:tr w:rsidR="000B65DE" w:rsidRPr="000B65DE" w:rsidTr="00382E27">
        <w:tc>
          <w:tcPr>
            <w:tcW w:w="2759" w:type="dxa"/>
          </w:tcPr>
          <w:p w:rsidR="000B65DE" w:rsidRPr="000B65DE" w:rsidRDefault="000B65DE" w:rsidP="000B65DE">
            <w:pPr>
              <w:tabs>
                <w:tab w:val="left" w:pos="426"/>
              </w:tabs>
              <w:ind w:left="0"/>
              <w:jc w:val="both"/>
              <w:rPr>
                <w:szCs w:val="22"/>
                <w:lang w:val="es-CO" w:eastAsia="en-US"/>
              </w:rPr>
            </w:pPr>
          </w:p>
        </w:tc>
        <w:tc>
          <w:tcPr>
            <w:tcW w:w="6602" w:type="dxa"/>
          </w:tcPr>
          <w:p w:rsidR="000B65DE" w:rsidRPr="000B65DE" w:rsidRDefault="000B65DE" w:rsidP="000B65DE">
            <w:pPr>
              <w:tabs>
                <w:tab w:val="left" w:pos="426"/>
              </w:tabs>
              <w:ind w:left="0"/>
              <w:jc w:val="both"/>
              <w:rPr>
                <w:rFonts w:ascii="Bookman Old Style" w:hAnsi="Bookman Old Style" w:cs="Arial"/>
                <w:lang w:val="es-CO" w:eastAsia="en-US"/>
              </w:rPr>
            </w:pPr>
          </w:p>
        </w:tc>
      </w:tr>
      <w:tr w:rsidR="000B65DE" w:rsidRPr="000B65DE" w:rsidTr="00382E27">
        <w:tc>
          <w:tcPr>
            <w:tcW w:w="2759" w:type="dxa"/>
          </w:tcPr>
          <w:p w:rsidR="000B65DE" w:rsidRPr="0092172B" w:rsidRDefault="00364E59" w:rsidP="000B65DE">
            <w:pPr>
              <w:tabs>
                <w:tab w:val="left" w:pos="426"/>
              </w:tabs>
              <w:ind w:left="0"/>
              <w:jc w:val="both"/>
              <w:rPr>
                <w:szCs w:val="22"/>
                <w:lang w:val="es-ES_tradnl"/>
              </w:rPr>
            </w:pPr>
            <m:oMathPara>
              <m:oMathParaPr>
                <m:jc m:val="left"/>
              </m:oMathParaPr>
              <m:oMath>
                <m:sSub>
                  <m:sSubPr>
                    <m:ctrlPr>
                      <w:rPr>
                        <w:rFonts w:ascii="Cambria Math" w:hAnsi="Cambria Math" w:cs="Arial"/>
                        <w:lang w:val="es-ES_tradnl"/>
                      </w:rPr>
                    </m:ctrlPr>
                  </m:sSubPr>
                  <m:e>
                    <m:r>
                      <m:rPr>
                        <m:sty m:val="p"/>
                      </m:rPr>
                      <w:rPr>
                        <w:rFonts w:ascii="Cambria Math" w:hAnsi="Cambria Math" w:cs="Arial"/>
                        <w:lang w:val="es-ES_tradnl"/>
                      </w:rPr>
                      <m:t>IBME</m:t>
                    </m:r>
                  </m:e>
                  <m:sub>
                    <m:r>
                      <m:rPr>
                        <m:sty m:val="p"/>
                      </m:rPr>
                      <w:rPr>
                        <w:rFonts w:ascii="Cambria Math" w:hAnsi="Cambria Math" w:cs="Arial"/>
                        <w:lang w:val="es-ES_tradnl"/>
                      </w:rPr>
                      <m:t>RSme</m:t>
                    </m:r>
                  </m:sub>
                </m:sSub>
              </m:oMath>
            </m:oMathPara>
          </w:p>
        </w:tc>
        <w:tc>
          <w:tcPr>
            <w:tcW w:w="6602" w:type="dxa"/>
          </w:tcPr>
          <w:p w:rsidR="000B65DE" w:rsidRPr="000B65DE" w:rsidRDefault="000B65DE" w:rsidP="000B65DE">
            <w:pPr>
              <w:tabs>
                <w:tab w:val="left" w:pos="426"/>
              </w:tabs>
              <w:ind w:left="0"/>
              <w:jc w:val="both"/>
              <w:rPr>
                <w:rFonts w:ascii="Bookman Old Style" w:hAnsi="Bookman Old Style" w:cs="Arial"/>
                <w:lang w:val="es-CO" w:eastAsia="en-US"/>
              </w:rPr>
            </w:pPr>
            <w:r w:rsidRPr="000B65DE">
              <w:rPr>
                <w:rFonts w:ascii="Bookman Old Style" w:hAnsi="Bookman Old Style" w:cs="Arial"/>
                <w:lang w:val="es-CO" w:eastAsia="en-US"/>
              </w:rPr>
              <w:t>Inversión Base correspondiente a la Red Secundaria de los Mercado (s) Relevante(s) Existente(s) de Distribución que van a constituir el Mercado Relevante de Distribución para el Siguiente Período Tarifario k conformado a partir de Anexar a Mercados Relevantes Existentes de Distribución</w:t>
            </w:r>
            <w:r w:rsidR="00566770" w:rsidRPr="000B65DE">
              <w:rPr>
                <w:rFonts w:ascii="Bookman Old Style" w:hAnsi="Bookman Old Style" w:cs="Arial"/>
                <w:lang w:val="es-CO" w:eastAsia="en-US"/>
              </w:rPr>
              <w:t xml:space="preserve"> Municipios Nuevos</w:t>
            </w:r>
            <w:r w:rsidRPr="000B65DE">
              <w:rPr>
                <w:rFonts w:ascii="Bookman Old Style" w:hAnsi="Bookman Old Style" w:cs="Arial"/>
                <w:lang w:val="es-CO" w:eastAsia="en-US"/>
              </w:rPr>
              <w:t xml:space="preserve">, expresada en pesos de la Fecha Base. Esta se determina como se indica en el numeral </w:t>
            </w:r>
            <w:r w:rsidR="00AF6018" w:rsidRPr="000B65DE">
              <w:rPr>
                <w:rFonts w:ascii="Bookman Old Style" w:hAnsi="Bookman Old Style" w:cs="Arial"/>
                <w:lang w:val="es-CO" w:eastAsia="en-US"/>
              </w:rPr>
              <w:fldChar w:fldCharType="begin"/>
            </w:r>
            <w:r w:rsidRPr="000B65DE">
              <w:rPr>
                <w:rFonts w:ascii="Bookman Old Style" w:hAnsi="Bookman Old Style" w:cs="Arial"/>
                <w:lang w:val="es-CO" w:eastAsia="en-US"/>
              </w:rPr>
              <w:instrText xml:space="preserve"> REF _Ref289353052 \r \h </w:instrText>
            </w:r>
            <w:r w:rsidR="00AF6018" w:rsidRPr="000B65DE">
              <w:rPr>
                <w:rFonts w:ascii="Bookman Old Style" w:hAnsi="Bookman Old Style" w:cs="Arial"/>
                <w:lang w:val="es-CO" w:eastAsia="en-US"/>
              </w:rPr>
            </w:r>
            <w:r w:rsidR="00AF6018" w:rsidRPr="000B65DE">
              <w:rPr>
                <w:rFonts w:ascii="Bookman Old Style" w:hAnsi="Bookman Old Style" w:cs="Arial"/>
                <w:lang w:val="es-CO" w:eastAsia="en-US"/>
              </w:rPr>
              <w:fldChar w:fldCharType="separate"/>
            </w:r>
            <w:r w:rsidR="004D5C18">
              <w:rPr>
                <w:rFonts w:ascii="Bookman Old Style" w:hAnsi="Bookman Old Style" w:cs="Arial"/>
                <w:lang w:val="es-CO" w:eastAsia="en-US"/>
              </w:rPr>
              <w:t>9.5.1</w:t>
            </w:r>
            <w:r w:rsidR="00AF6018" w:rsidRPr="000B65DE">
              <w:rPr>
                <w:rFonts w:ascii="Bookman Old Style" w:hAnsi="Bookman Old Style" w:cs="Arial"/>
                <w:lang w:val="es-CO" w:eastAsia="en-US"/>
              </w:rPr>
              <w:fldChar w:fldCharType="end"/>
            </w:r>
            <w:r w:rsidRPr="000B65DE">
              <w:rPr>
                <w:rFonts w:ascii="Bookman Old Style" w:hAnsi="Bookman Old Style" w:cs="Arial"/>
                <w:lang w:val="es-CO" w:eastAsia="en-US"/>
              </w:rPr>
              <w:t xml:space="preserve"> de esta Resolución.</w:t>
            </w:r>
          </w:p>
          <w:p w:rsidR="000B65DE" w:rsidRPr="000B65DE" w:rsidRDefault="000B65DE" w:rsidP="000B65DE">
            <w:pPr>
              <w:tabs>
                <w:tab w:val="left" w:pos="426"/>
              </w:tabs>
              <w:ind w:left="0"/>
              <w:jc w:val="both"/>
              <w:rPr>
                <w:rFonts w:ascii="Bookman Old Style" w:hAnsi="Bookman Old Style" w:cs="Arial"/>
                <w:lang w:val="es-ES_tradnl"/>
              </w:rPr>
            </w:pPr>
          </w:p>
        </w:tc>
      </w:tr>
      <w:tr w:rsidR="000B65DE" w:rsidRPr="000B65DE" w:rsidTr="00382E27">
        <w:tc>
          <w:tcPr>
            <w:tcW w:w="2759" w:type="dxa"/>
          </w:tcPr>
          <w:p w:rsidR="000B65DE" w:rsidRPr="0092172B" w:rsidRDefault="00364E59" w:rsidP="000B65DE">
            <w:pPr>
              <w:tabs>
                <w:tab w:val="left" w:pos="426"/>
              </w:tabs>
              <w:ind w:left="0"/>
              <w:jc w:val="both"/>
              <w:rPr>
                <w:lang w:val="es-ES_tradnl"/>
              </w:rPr>
            </w:pPr>
            <m:oMathPara>
              <m:oMathParaPr>
                <m:jc m:val="left"/>
              </m:oMathParaPr>
              <m:oMath>
                <m:sSub>
                  <m:sSubPr>
                    <m:ctrlPr>
                      <w:rPr>
                        <w:rFonts w:ascii="Cambria Math" w:hAnsi="Cambria Math" w:cs="Arial"/>
                        <w:szCs w:val="22"/>
                        <w:lang w:val="es-ES_tradnl"/>
                      </w:rPr>
                    </m:ctrlPr>
                  </m:sSubPr>
                  <m:e>
                    <m:r>
                      <m:rPr>
                        <m:sty m:val="p"/>
                      </m:rPr>
                      <w:rPr>
                        <w:rFonts w:ascii="Cambria Math" w:hAnsi="Cambria Math" w:cs="Arial"/>
                        <w:szCs w:val="22"/>
                        <w:lang w:val="es-ES_tradnl"/>
                      </w:rPr>
                      <m:t>IBMEN</m:t>
                    </m:r>
                  </m:e>
                  <m:sub>
                    <m:r>
                      <m:rPr>
                        <m:sty m:val="p"/>
                      </m:rPr>
                      <w:rPr>
                        <w:rFonts w:ascii="Cambria Math" w:hAnsi="Cambria Math" w:cs="Arial"/>
                        <w:szCs w:val="22"/>
                        <w:lang w:val="es-ES_tradnl"/>
                      </w:rPr>
                      <m:t>RSmn</m:t>
                    </m:r>
                  </m:sub>
                </m:sSub>
              </m:oMath>
            </m:oMathPara>
          </w:p>
        </w:tc>
        <w:tc>
          <w:tcPr>
            <w:tcW w:w="6602" w:type="dxa"/>
          </w:tcPr>
          <w:p w:rsidR="000B65DE" w:rsidRPr="000B65DE" w:rsidRDefault="000B65DE" w:rsidP="000B65DE">
            <w:pPr>
              <w:tabs>
                <w:tab w:val="left" w:pos="426"/>
              </w:tabs>
              <w:ind w:left="0"/>
              <w:jc w:val="both"/>
              <w:rPr>
                <w:rFonts w:ascii="Bookman Old Style" w:hAnsi="Bookman Old Style" w:cs="Arial"/>
                <w:lang w:val="es-CO" w:eastAsia="en-US"/>
              </w:rPr>
            </w:pPr>
            <w:r w:rsidRPr="000B65DE">
              <w:rPr>
                <w:rFonts w:ascii="Bookman Old Style" w:hAnsi="Bookman Old Style" w:cs="Arial"/>
                <w:lang w:val="es-CO" w:eastAsia="en-US"/>
              </w:rPr>
              <w:t>Inversión Base correspondiente a la Red Secundaria de los Municipios Nuevos que van a constituir el Mercado Relevante de Distribución para el Siguiente Período Tarifario k conformado a partir de Anexar a Mercados Relevantes Existentes de Distribución</w:t>
            </w:r>
            <w:r w:rsidR="00566770" w:rsidRPr="000B65DE">
              <w:rPr>
                <w:rFonts w:ascii="Bookman Old Style" w:hAnsi="Bookman Old Style" w:cs="Arial"/>
                <w:lang w:val="es-CO" w:eastAsia="en-US"/>
              </w:rPr>
              <w:t xml:space="preserve"> Municipios Nuevos</w:t>
            </w:r>
            <w:r w:rsidRPr="000B65DE">
              <w:rPr>
                <w:rFonts w:ascii="Bookman Old Style" w:hAnsi="Bookman Old Style" w:cs="Arial"/>
                <w:lang w:val="es-CO" w:eastAsia="en-US"/>
              </w:rPr>
              <w:t xml:space="preserve">, expresada en pesos de la Fecha Base. Esta se determina como se indica en el numeral </w:t>
            </w:r>
            <w:r w:rsidR="008B26D0">
              <w:fldChar w:fldCharType="begin"/>
            </w:r>
            <w:r w:rsidR="008B26D0">
              <w:instrText xml:space="preserve"> REF _Ref289671910 \r \h  \* MERGEFORMAT </w:instrText>
            </w:r>
            <w:r w:rsidR="008B26D0">
              <w:fldChar w:fldCharType="separate"/>
            </w:r>
            <w:r w:rsidR="004D5C18" w:rsidRPr="004D5C18">
              <w:rPr>
                <w:rFonts w:ascii="Bookman Old Style" w:hAnsi="Bookman Old Style" w:cs="Arial"/>
                <w:lang w:val="es-CO" w:eastAsia="en-US"/>
              </w:rPr>
              <w:t>9.5.2</w:t>
            </w:r>
            <w:r w:rsidR="008B26D0">
              <w:fldChar w:fldCharType="end"/>
            </w:r>
            <w:r w:rsidRPr="000B65DE">
              <w:rPr>
                <w:rFonts w:ascii="Bookman Old Style" w:hAnsi="Bookman Old Style" w:cs="Arial"/>
                <w:lang w:val="es-CO" w:eastAsia="en-US"/>
              </w:rPr>
              <w:t xml:space="preserve"> de esta Resolución.  </w:t>
            </w:r>
          </w:p>
          <w:p w:rsidR="000B65DE" w:rsidRPr="000B65DE" w:rsidRDefault="000B65DE" w:rsidP="000B65DE">
            <w:pPr>
              <w:tabs>
                <w:tab w:val="left" w:pos="426"/>
              </w:tabs>
              <w:ind w:left="0"/>
              <w:jc w:val="both"/>
              <w:rPr>
                <w:rFonts w:ascii="Bookman Old Style" w:hAnsi="Bookman Old Style" w:cs="Arial"/>
                <w:lang w:val="es-CO" w:eastAsia="en-US"/>
              </w:rPr>
            </w:pPr>
          </w:p>
        </w:tc>
      </w:tr>
      <w:tr w:rsidR="000B65DE" w:rsidRPr="000B65DE" w:rsidTr="00382E27">
        <w:tc>
          <w:tcPr>
            <w:tcW w:w="2759" w:type="dxa"/>
          </w:tcPr>
          <w:p w:rsidR="000B65DE" w:rsidRPr="0092172B" w:rsidRDefault="00364E59" w:rsidP="000B65DE">
            <w:pPr>
              <w:tabs>
                <w:tab w:val="left" w:pos="426"/>
              </w:tabs>
              <w:ind w:left="0"/>
              <w:jc w:val="both"/>
              <w:rPr>
                <w:rFonts w:ascii="Bookman Old Style" w:hAnsi="Bookman Old Style" w:cs="Arial"/>
                <w:lang w:val="es-ES_tradnl"/>
              </w:rPr>
            </w:pPr>
            <m:oMathPara>
              <m:oMathParaPr>
                <m:jc m:val="left"/>
              </m:oMathParaPr>
              <m:oMath>
                <m:sSub>
                  <m:sSubPr>
                    <m:ctrlPr>
                      <w:rPr>
                        <w:rFonts w:ascii="Cambria Math" w:hAnsi="Cambria Math" w:cs="Arial"/>
                        <w:szCs w:val="22"/>
                        <w:lang w:val="es-ES_tradnl"/>
                      </w:rPr>
                    </m:ctrlPr>
                  </m:sSubPr>
                  <m:e>
                    <m:r>
                      <m:rPr>
                        <m:sty m:val="p"/>
                      </m:rPr>
                      <w:rPr>
                        <w:rFonts w:ascii="Cambria Math" w:hAnsi="Cambria Math" w:cs="Arial"/>
                        <w:szCs w:val="22"/>
                        <w:lang w:val="es-ES_tradnl"/>
                      </w:rPr>
                      <m:t>AOM</m:t>
                    </m:r>
                  </m:e>
                  <m:sub>
                    <m:r>
                      <m:rPr>
                        <m:sty m:val="p"/>
                      </m:rPr>
                      <w:rPr>
                        <w:rFonts w:ascii="Cambria Math" w:hAnsi="Cambria Math" w:cs="Arial"/>
                        <w:szCs w:val="22"/>
                        <w:lang w:val="es-ES_tradnl"/>
                      </w:rPr>
                      <m:t>RPme</m:t>
                    </m:r>
                  </m:sub>
                </m:sSub>
              </m:oMath>
            </m:oMathPara>
          </w:p>
        </w:tc>
        <w:tc>
          <w:tcPr>
            <w:tcW w:w="6602" w:type="dxa"/>
          </w:tcPr>
          <w:p w:rsidR="000B65DE" w:rsidRPr="000B65DE" w:rsidRDefault="000B65DE" w:rsidP="000B65DE">
            <w:pPr>
              <w:tabs>
                <w:tab w:val="left" w:pos="426"/>
              </w:tabs>
              <w:ind w:left="0"/>
              <w:jc w:val="both"/>
              <w:rPr>
                <w:rFonts w:ascii="Bookman Old Style" w:hAnsi="Bookman Old Style" w:cs="Arial"/>
                <w:lang w:val="es-ES_tradnl"/>
              </w:rPr>
            </w:pPr>
            <w:r w:rsidRPr="000B65DE">
              <w:rPr>
                <w:rFonts w:ascii="Bookman Old Style" w:hAnsi="Bookman Old Style" w:cs="Arial"/>
                <w:lang w:val="es-ES_tradnl"/>
              </w:rPr>
              <w:t xml:space="preserve">Gastos anuales eficientes de Administración,  Operación y Mantenimiento, </w:t>
            </w:r>
            <w:r w:rsidRPr="000B65DE">
              <w:rPr>
                <w:rFonts w:ascii="Bookman Old Style" w:hAnsi="Bookman Old Style" w:cs="Arial"/>
                <w:lang w:val="es-CO" w:eastAsia="en-US"/>
              </w:rPr>
              <w:t xml:space="preserve">de los Mercado (s) Relevante(s) Existente(s) de Distribución que van a constituir el Mercado Relevante de Distribución k </w:t>
            </w:r>
            <w:r w:rsidR="00D21E8E" w:rsidRPr="000B65DE">
              <w:rPr>
                <w:rFonts w:ascii="Bookman Old Style" w:hAnsi="Bookman Old Style" w:cs="Arial"/>
                <w:lang w:val="es-CO" w:eastAsia="en-US"/>
              </w:rPr>
              <w:t xml:space="preserve">conformado a partir de Anexar a Mercados Relevantes Existentes de Distribución </w:t>
            </w:r>
            <w:r w:rsidR="00566770" w:rsidRPr="000B65DE">
              <w:rPr>
                <w:rFonts w:ascii="Bookman Old Style" w:hAnsi="Bookman Old Style" w:cs="Arial"/>
                <w:lang w:val="es-CO" w:eastAsia="en-US"/>
              </w:rPr>
              <w:t xml:space="preserve">Municipios Nuevos </w:t>
            </w:r>
            <w:r w:rsidRPr="000B65DE">
              <w:rPr>
                <w:rFonts w:ascii="Bookman Old Style" w:hAnsi="Bookman Old Style" w:cs="Arial"/>
                <w:lang w:val="es-CO" w:eastAsia="en-US"/>
              </w:rPr>
              <w:t>para el tipo de Red Primaria para el Siguiente Período Tarifario k</w:t>
            </w:r>
            <w:r w:rsidRPr="000B65DE">
              <w:rPr>
                <w:rFonts w:ascii="Bookman Old Style" w:hAnsi="Bookman Old Style" w:cs="Arial"/>
                <w:lang w:val="es-ES_tradnl"/>
              </w:rPr>
              <w:t>, expresado en pesos de la Fecha Base. Los gastos de AOM eficientes para la Red Primaria, se determinarán de acuerdo con el promedio de las relaciones de  kilómetros de la Red Primaria sobre los kilómetros red total del Sistema de Distribución y la Inversión Base correspondiente a la Red Primaria de Distribución sobre la Inversión Base Total del Sistema de Distribución.</w:t>
            </w:r>
          </w:p>
          <w:p w:rsidR="000B65DE" w:rsidRPr="000B65DE" w:rsidRDefault="000B65DE" w:rsidP="000B65DE">
            <w:pPr>
              <w:tabs>
                <w:tab w:val="left" w:pos="426"/>
              </w:tabs>
              <w:ind w:left="0"/>
              <w:jc w:val="both"/>
              <w:rPr>
                <w:rFonts w:ascii="Bookman Old Style" w:hAnsi="Bookman Old Style" w:cs="Arial"/>
                <w:lang w:val="es-ES_tradnl"/>
              </w:rPr>
            </w:pPr>
          </w:p>
        </w:tc>
      </w:tr>
      <w:tr w:rsidR="000B65DE" w:rsidRPr="000B65DE" w:rsidTr="00382E27">
        <w:tc>
          <w:tcPr>
            <w:tcW w:w="2759" w:type="dxa"/>
          </w:tcPr>
          <w:p w:rsidR="000B65DE" w:rsidRPr="0092172B" w:rsidRDefault="00364E59" w:rsidP="000B65DE">
            <w:pPr>
              <w:tabs>
                <w:tab w:val="left" w:pos="426"/>
              </w:tabs>
              <w:ind w:left="0"/>
              <w:jc w:val="both"/>
              <w:rPr>
                <w:szCs w:val="22"/>
                <w:lang w:val="es-ES_tradnl"/>
              </w:rPr>
            </w:pPr>
            <m:oMathPara>
              <m:oMathParaPr>
                <m:jc m:val="left"/>
              </m:oMathParaPr>
              <m:oMath>
                <m:sSub>
                  <m:sSubPr>
                    <m:ctrlPr>
                      <w:rPr>
                        <w:rFonts w:ascii="Cambria Math" w:hAnsi="Cambria Math" w:cs="Arial"/>
                        <w:szCs w:val="22"/>
                        <w:lang w:val="es-ES_tradnl"/>
                      </w:rPr>
                    </m:ctrlPr>
                  </m:sSubPr>
                  <m:e>
                    <m:r>
                      <m:rPr>
                        <m:sty m:val="p"/>
                      </m:rPr>
                      <w:rPr>
                        <w:rFonts w:ascii="Cambria Math" w:hAnsi="Cambria Math" w:cs="Arial"/>
                        <w:szCs w:val="22"/>
                        <w:lang w:val="es-ES_tradnl"/>
                      </w:rPr>
                      <m:t>AOM</m:t>
                    </m:r>
                  </m:e>
                  <m:sub>
                    <m:r>
                      <m:rPr>
                        <m:sty m:val="p"/>
                      </m:rPr>
                      <w:rPr>
                        <w:rFonts w:ascii="Cambria Math" w:hAnsi="Cambria Math" w:cs="Arial"/>
                        <w:szCs w:val="22"/>
                        <w:lang w:val="es-ES_tradnl"/>
                      </w:rPr>
                      <m:t>RSme</m:t>
                    </m:r>
                  </m:sub>
                </m:sSub>
              </m:oMath>
            </m:oMathPara>
          </w:p>
        </w:tc>
        <w:tc>
          <w:tcPr>
            <w:tcW w:w="6602" w:type="dxa"/>
          </w:tcPr>
          <w:p w:rsidR="000B65DE" w:rsidRPr="000B65DE" w:rsidRDefault="000B65DE" w:rsidP="000B65DE">
            <w:pPr>
              <w:tabs>
                <w:tab w:val="left" w:pos="426"/>
              </w:tabs>
              <w:ind w:left="0"/>
              <w:jc w:val="both"/>
              <w:rPr>
                <w:rFonts w:ascii="Bookman Old Style" w:hAnsi="Bookman Old Style" w:cs="Arial"/>
                <w:lang w:val="es-ES_tradnl"/>
              </w:rPr>
            </w:pPr>
            <w:r w:rsidRPr="000B65DE">
              <w:rPr>
                <w:rFonts w:ascii="Bookman Old Style" w:hAnsi="Bookman Old Style" w:cs="Arial"/>
                <w:lang w:val="es-ES_tradnl"/>
              </w:rPr>
              <w:t xml:space="preserve">Gastos anuales eficientes de Administración,  Operación y Mantenimiento, </w:t>
            </w:r>
            <w:r w:rsidRPr="000B65DE">
              <w:rPr>
                <w:rFonts w:ascii="Bookman Old Style" w:hAnsi="Bookman Old Style" w:cs="Arial"/>
                <w:lang w:val="es-CO" w:eastAsia="en-US"/>
              </w:rPr>
              <w:t xml:space="preserve">de los Mercado (s) Relevante(s) Existente(s) de Distribución que van a constituir el Mercado Relevante de Distribución k </w:t>
            </w:r>
            <w:r w:rsidR="00D21E8E" w:rsidRPr="000B65DE">
              <w:rPr>
                <w:rFonts w:ascii="Bookman Old Style" w:hAnsi="Bookman Old Style" w:cs="Arial"/>
                <w:lang w:val="es-CO" w:eastAsia="en-US"/>
              </w:rPr>
              <w:t xml:space="preserve">conformado a partir de Anexar a Mercados Relevantes Existentes de Distribución </w:t>
            </w:r>
            <w:r w:rsidR="00566770" w:rsidRPr="000B65DE">
              <w:rPr>
                <w:rFonts w:ascii="Bookman Old Style" w:hAnsi="Bookman Old Style" w:cs="Arial"/>
                <w:lang w:val="es-CO" w:eastAsia="en-US"/>
              </w:rPr>
              <w:t xml:space="preserve">Municipios Nuevos </w:t>
            </w:r>
            <w:r w:rsidRPr="000B65DE">
              <w:rPr>
                <w:rFonts w:ascii="Bookman Old Style" w:hAnsi="Bookman Old Style" w:cs="Arial"/>
                <w:lang w:val="es-CO" w:eastAsia="en-US"/>
              </w:rPr>
              <w:t>para el tipo de Red Secundaria para el Siguiente Período Tarifario k</w:t>
            </w:r>
            <w:r w:rsidRPr="000B65DE">
              <w:rPr>
                <w:rFonts w:ascii="Bookman Old Style" w:hAnsi="Bookman Old Style" w:cs="Arial"/>
                <w:lang w:val="es-ES_tradnl"/>
              </w:rPr>
              <w:t xml:space="preserve">, expresado en pesos de la Fecha Base. Los gastos de AOM eficientes para la Red Secundaria de Distribución, se determinarán, de acuerdo con el promedio de las relaciones de  kilómetros de la Red Secundaria sobre los kilómetros de red totales del </w:t>
            </w:r>
            <w:r w:rsidRPr="000B65DE">
              <w:rPr>
                <w:rFonts w:ascii="Bookman Old Style" w:hAnsi="Bookman Old Style" w:cs="Arial"/>
                <w:lang w:val="es-ES_tradnl"/>
              </w:rPr>
              <w:lastRenderedPageBreak/>
              <w:t>Sistema de Distribución y la Inversión Base correspondiente a la Red Secundaria de Distribución sobre la Inversión Base Total del Sistema de Distribución.</w:t>
            </w:r>
          </w:p>
          <w:p w:rsidR="000B65DE" w:rsidRPr="000B65DE" w:rsidRDefault="000B65DE" w:rsidP="000B65DE">
            <w:pPr>
              <w:ind w:left="0"/>
              <w:jc w:val="both"/>
              <w:rPr>
                <w:rFonts w:ascii="Bookman Old Style" w:hAnsi="Bookman Old Style" w:cs="Arial"/>
                <w:lang w:val="es-ES_tradnl"/>
              </w:rPr>
            </w:pPr>
          </w:p>
        </w:tc>
      </w:tr>
      <w:tr w:rsidR="000B65DE" w:rsidRPr="000B65DE" w:rsidTr="00382E27">
        <w:tc>
          <w:tcPr>
            <w:tcW w:w="2759" w:type="dxa"/>
          </w:tcPr>
          <w:p w:rsidR="000B65DE" w:rsidRPr="0092172B" w:rsidRDefault="00364E59" w:rsidP="000B65DE">
            <w:pPr>
              <w:tabs>
                <w:tab w:val="left" w:pos="426"/>
              </w:tabs>
              <w:ind w:left="0"/>
              <w:jc w:val="both"/>
              <w:rPr>
                <w:rFonts w:ascii="Bookman Old Style" w:hAnsi="Bookman Old Style" w:cs="Arial"/>
                <w:szCs w:val="22"/>
                <w:lang w:val="es-ES_tradnl"/>
              </w:rPr>
            </w:pPr>
            <m:oMathPara>
              <m:oMath>
                <m:sSub>
                  <m:sSubPr>
                    <m:ctrlPr>
                      <w:rPr>
                        <w:rFonts w:ascii="Cambria Math" w:hAnsi="Cambria Math" w:cs="Arial"/>
                        <w:szCs w:val="22"/>
                        <w:lang w:val="es-ES_tradnl"/>
                      </w:rPr>
                    </m:ctrlPr>
                  </m:sSubPr>
                  <m:e>
                    <m:r>
                      <m:rPr>
                        <m:sty m:val="p"/>
                      </m:rPr>
                      <w:rPr>
                        <w:rFonts w:ascii="Cambria Math" w:hAnsi="Cambria Math" w:cs="Arial"/>
                        <w:szCs w:val="22"/>
                        <w:lang w:val="es-ES_tradnl"/>
                      </w:rPr>
                      <m:t>CAE(VP(AOM(PR)</m:t>
                    </m:r>
                  </m:e>
                  <m:sub>
                    <m:r>
                      <m:rPr>
                        <m:sty m:val="p"/>
                      </m:rPr>
                      <w:rPr>
                        <w:rFonts w:ascii="Cambria Math" w:hAnsi="Cambria Math" w:cs="Arial"/>
                        <w:szCs w:val="22"/>
                        <w:lang w:val="es-ES_tradnl"/>
                      </w:rPr>
                      <m:t>RPmn</m:t>
                    </m:r>
                  </m:sub>
                </m:sSub>
                <m:r>
                  <m:rPr>
                    <m:sty m:val="p"/>
                  </m:rPr>
                  <w:rPr>
                    <w:rFonts w:ascii="Cambria Math" w:hAnsi="Cambria Math" w:cs="Arial"/>
                    <w:szCs w:val="22"/>
                    <w:lang w:val="es-ES_tradnl"/>
                  </w:rPr>
                  <m:t>)</m:t>
                </m:r>
              </m:oMath>
            </m:oMathPara>
          </w:p>
          <w:p w:rsidR="000B65DE" w:rsidRPr="000B65DE" w:rsidRDefault="000B65DE" w:rsidP="000B65DE">
            <w:pPr>
              <w:tabs>
                <w:tab w:val="left" w:pos="426"/>
              </w:tabs>
              <w:ind w:left="0"/>
              <w:jc w:val="both"/>
              <w:rPr>
                <w:rFonts w:ascii="Bookman Old Style" w:hAnsi="Bookman Old Style" w:cs="Arial"/>
                <w:lang w:val="es-ES_tradnl"/>
              </w:rPr>
            </w:pPr>
          </w:p>
        </w:tc>
        <w:tc>
          <w:tcPr>
            <w:tcW w:w="6602" w:type="dxa"/>
          </w:tcPr>
          <w:p w:rsidR="000B65DE" w:rsidRPr="000B65DE" w:rsidRDefault="000B65DE" w:rsidP="00566770">
            <w:pPr>
              <w:tabs>
                <w:tab w:val="left" w:pos="426"/>
              </w:tabs>
              <w:ind w:left="0"/>
              <w:jc w:val="both"/>
              <w:rPr>
                <w:rFonts w:ascii="Bookman Old Style" w:hAnsi="Bookman Old Style" w:cs="Arial"/>
                <w:lang w:val="es-ES_tradnl"/>
              </w:rPr>
            </w:pPr>
            <w:r w:rsidRPr="000B65DE">
              <w:rPr>
                <w:rFonts w:ascii="Bookman Old Style" w:hAnsi="Bookman Old Style" w:cs="Arial"/>
                <w:lang w:val="es-ES_tradnl"/>
              </w:rPr>
              <w:t xml:space="preserve">Costo anual equivalente del valor presente de la proyección </w:t>
            </w:r>
            <w:r w:rsidR="0096095F">
              <w:rPr>
                <w:rFonts w:ascii="Bookman Old Style" w:hAnsi="Bookman Old Style" w:cs="Arial"/>
                <w:lang w:val="es-ES_tradnl"/>
              </w:rPr>
              <w:t xml:space="preserve">anual </w:t>
            </w:r>
            <w:r w:rsidRPr="000B65DE">
              <w:rPr>
                <w:rFonts w:ascii="Bookman Old Style" w:hAnsi="Bookman Old Style" w:cs="Arial"/>
                <w:lang w:val="es-ES_tradnl"/>
              </w:rPr>
              <w:t>de gastos de AOM</w:t>
            </w:r>
            <w:r w:rsidR="0096095F">
              <w:rPr>
                <w:rFonts w:ascii="Bookman Old Style" w:hAnsi="Bookman Old Style" w:cs="Arial"/>
                <w:lang w:val="es-ES_tradnl"/>
              </w:rPr>
              <w:t xml:space="preserve"> para 20 años</w:t>
            </w:r>
            <w:r w:rsidRPr="000B65DE">
              <w:rPr>
                <w:rFonts w:ascii="Bookman Old Style" w:hAnsi="Bookman Old Style" w:cs="Arial"/>
                <w:lang w:val="es-ES_tradnl"/>
              </w:rPr>
              <w:t xml:space="preserve"> asociados a la Red Primaria para los Municipios Nuevos que van a constituir el Mercado Relevante de Distribución k para el Siguiente Período Tarifario </w:t>
            </w:r>
            <w:r w:rsidRPr="000B65DE">
              <w:rPr>
                <w:rFonts w:ascii="Bookman Old Style" w:hAnsi="Bookman Old Style" w:cs="Arial"/>
                <w:lang w:val="es-CO" w:eastAsia="en-US"/>
              </w:rPr>
              <w:t xml:space="preserve">conformado </w:t>
            </w:r>
            <w:r w:rsidRPr="000B65DE">
              <w:rPr>
                <w:rFonts w:ascii="Bookman Old Style" w:hAnsi="Bookman Old Style"/>
                <w:bCs/>
              </w:rPr>
              <w:t>a partir de Anexar a Mercados Existentes de Distribución Municipios Nuevos</w:t>
            </w:r>
            <w:r w:rsidRPr="000B65DE">
              <w:rPr>
                <w:rFonts w:ascii="Bookman Old Style" w:hAnsi="Bookman Old Style" w:cs="Arial"/>
                <w:lang w:val="es-CO" w:eastAsia="en-US"/>
              </w:rPr>
              <w:t>, expresada en pesos de la Fecha Base.</w:t>
            </w:r>
            <w:r w:rsidRPr="000B65DE">
              <w:rPr>
                <w:rFonts w:ascii="Bookman Old Style" w:hAnsi="Bookman Old Style" w:cs="Arial"/>
                <w:lang w:val="es-ES_tradnl"/>
              </w:rPr>
              <w:t xml:space="preserve"> Los gastos de AOM eficientes para la Red Primaria de Distribución, se determinarán, de acuerdo con el promedio de las relaciones de  kilómetros de la Red Primaria sobre los kilómetros</w:t>
            </w:r>
            <w:r w:rsidR="009D40B8">
              <w:rPr>
                <w:rFonts w:ascii="Bookman Old Style" w:hAnsi="Bookman Old Style" w:cs="Arial"/>
                <w:lang w:val="es-ES_tradnl"/>
              </w:rPr>
              <w:t xml:space="preserve"> de</w:t>
            </w:r>
            <w:r w:rsidRPr="000B65DE">
              <w:rPr>
                <w:rFonts w:ascii="Bookman Old Style" w:hAnsi="Bookman Old Style" w:cs="Arial"/>
                <w:lang w:val="es-ES_tradnl"/>
              </w:rPr>
              <w:t xml:space="preserve"> red totales del Sistema de Distribución y la Inversión Base correspondiente a la Red Primaria de Distribución sobre la Inversión Base Total del Sistema de Distribución.</w:t>
            </w:r>
          </w:p>
        </w:tc>
      </w:tr>
      <w:tr w:rsidR="000B65DE" w:rsidRPr="000B65DE" w:rsidTr="00382E27">
        <w:tc>
          <w:tcPr>
            <w:tcW w:w="2759" w:type="dxa"/>
          </w:tcPr>
          <w:p w:rsidR="000B65DE" w:rsidRPr="000B65DE" w:rsidRDefault="000B65DE" w:rsidP="000B65DE">
            <w:pPr>
              <w:tabs>
                <w:tab w:val="left" w:pos="426"/>
              </w:tabs>
              <w:ind w:left="0"/>
              <w:jc w:val="both"/>
              <w:rPr>
                <w:rFonts w:ascii="Bookman Old Style" w:hAnsi="Bookman Old Style" w:cs="Arial"/>
                <w:i/>
                <w:lang w:val="es-ES_tradnl"/>
              </w:rPr>
            </w:pPr>
          </w:p>
        </w:tc>
        <w:tc>
          <w:tcPr>
            <w:tcW w:w="6602" w:type="dxa"/>
          </w:tcPr>
          <w:p w:rsidR="000B65DE" w:rsidRPr="000B65DE" w:rsidRDefault="000B65DE" w:rsidP="000B65DE">
            <w:pPr>
              <w:tabs>
                <w:tab w:val="left" w:pos="426"/>
              </w:tabs>
              <w:ind w:left="0"/>
              <w:jc w:val="both"/>
              <w:rPr>
                <w:rFonts w:ascii="Bookman Old Style" w:hAnsi="Bookman Old Style" w:cs="Arial"/>
                <w:lang w:val="es-ES_tradnl"/>
              </w:rPr>
            </w:pPr>
          </w:p>
        </w:tc>
      </w:tr>
      <w:tr w:rsidR="000B65DE" w:rsidRPr="000B65DE" w:rsidTr="00382E27">
        <w:tc>
          <w:tcPr>
            <w:tcW w:w="2759" w:type="dxa"/>
          </w:tcPr>
          <w:p w:rsidR="000B65DE" w:rsidRPr="0092172B" w:rsidRDefault="00364E59" w:rsidP="000B65DE">
            <w:pPr>
              <w:tabs>
                <w:tab w:val="left" w:pos="426"/>
              </w:tabs>
              <w:ind w:left="0"/>
              <w:jc w:val="both"/>
              <w:rPr>
                <w:rFonts w:ascii="Bookman Old Style" w:hAnsi="Bookman Old Style" w:cs="Arial"/>
                <w:szCs w:val="22"/>
                <w:lang w:val="es-ES_tradnl"/>
              </w:rPr>
            </w:pPr>
            <m:oMathPara>
              <m:oMath>
                <m:sSub>
                  <m:sSubPr>
                    <m:ctrlPr>
                      <w:rPr>
                        <w:rFonts w:ascii="Cambria Math" w:hAnsi="Cambria Math" w:cs="Arial"/>
                        <w:szCs w:val="22"/>
                        <w:lang w:val="es-ES_tradnl"/>
                      </w:rPr>
                    </m:ctrlPr>
                  </m:sSubPr>
                  <m:e>
                    <m:r>
                      <m:rPr>
                        <m:sty m:val="p"/>
                      </m:rPr>
                      <w:rPr>
                        <w:rFonts w:ascii="Cambria Math" w:hAnsi="Cambria Math" w:cs="Arial"/>
                        <w:szCs w:val="22"/>
                        <w:lang w:val="es-ES_tradnl"/>
                      </w:rPr>
                      <m:t>CAE(VP(AOM(PR)</m:t>
                    </m:r>
                  </m:e>
                  <m:sub>
                    <m:r>
                      <m:rPr>
                        <m:sty m:val="p"/>
                      </m:rPr>
                      <w:rPr>
                        <w:rFonts w:ascii="Cambria Math" w:hAnsi="Cambria Math" w:cs="Arial"/>
                        <w:szCs w:val="22"/>
                        <w:lang w:val="es-ES_tradnl"/>
                      </w:rPr>
                      <m:t>RSmn</m:t>
                    </m:r>
                  </m:sub>
                </m:sSub>
                <m:r>
                  <m:rPr>
                    <m:sty m:val="p"/>
                  </m:rPr>
                  <w:rPr>
                    <w:rFonts w:ascii="Cambria Math" w:hAnsi="Cambria Math" w:cs="Arial"/>
                    <w:szCs w:val="22"/>
                    <w:lang w:val="es-ES_tradnl"/>
                  </w:rPr>
                  <m:t>)</m:t>
                </m:r>
              </m:oMath>
            </m:oMathPara>
          </w:p>
          <w:p w:rsidR="000B65DE" w:rsidRPr="000B65DE" w:rsidRDefault="000B65DE" w:rsidP="000B65DE">
            <w:pPr>
              <w:tabs>
                <w:tab w:val="left" w:pos="426"/>
              </w:tabs>
              <w:ind w:left="0"/>
              <w:jc w:val="both"/>
              <w:rPr>
                <w:rFonts w:ascii="Bookman Old Style" w:hAnsi="Bookman Old Style" w:cs="Arial"/>
                <w:lang w:val="es-ES_tradnl"/>
              </w:rPr>
            </w:pPr>
          </w:p>
          <w:p w:rsidR="000B65DE" w:rsidRPr="000B65DE" w:rsidRDefault="000B65DE" w:rsidP="000B65DE">
            <w:pPr>
              <w:tabs>
                <w:tab w:val="left" w:pos="426"/>
              </w:tabs>
              <w:ind w:left="0"/>
              <w:jc w:val="both"/>
              <w:rPr>
                <w:rFonts w:ascii="Bookman Old Style" w:hAnsi="Bookman Old Style" w:cs="Arial"/>
                <w:lang w:val="es-ES_tradnl"/>
              </w:rPr>
            </w:pPr>
          </w:p>
        </w:tc>
        <w:tc>
          <w:tcPr>
            <w:tcW w:w="6602" w:type="dxa"/>
          </w:tcPr>
          <w:p w:rsidR="000B65DE" w:rsidRPr="000B65DE" w:rsidRDefault="000B65DE" w:rsidP="000B65DE">
            <w:pPr>
              <w:tabs>
                <w:tab w:val="left" w:pos="426"/>
              </w:tabs>
              <w:ind w:left="0"/>
              <w:jc w:val="both"/>
              <w:rPr>
                <w:rFonts w:ascii="Bookman Old Style" w:hAnsi="Bookman Old Style" w:cs="Arial"/>
                <w:lang w:val="es-ES_tradnl" w:eastAsia="en-US"/>
              </w:rPr>
            </w:pPr>
            <w:r w:rsidRPr="000B65DE">
              <w:rPr>
                <w:rFonts w:ascii="Bookman Old Style" w:hAnsi="Bookman Old Style" w:cs="Arial"/>
                <w:lang w:val="es-ES_tradnl"/>
              </w:rPr>
              <w:t xml:space="preserve">Costo anual equivalente del valor presente de la proyección </w:t>
            </w:r>
            <w:r w:rsidR="0096095F">
              <w:rPr>
                <w:rFonts w:ascii="Bookman Old Style" w:hAnsi="Bookman Old Style" w:cs="Arial"/>
                <w:lang w:val="es-ES_tradnl"/>
              </w:rPr>
              <w:t xml:space="preserve">anual </w:t>
            </w:r>
            <w:r w:rsidRPr="000B65DE">
              <w:rPr>
                <w:rFonts w:ascii="Bookman Old Style" w:hAnsi="Bookman Old Style" w:cs="Arial"/>
                <w:lang w:val="es-ES_tradnl"/>
              </w:rPr>
              <w:t xml:space="preserve">de gastos de AOM </w:t>
            </w:r>
            <w:r w:rsidR="0096095F">
              <w:rPr>
                <w:rFonts w:ascii="Bookman Old Style" w:hAnsi="Bookman Old Style" w:cs="Arial"/>
                <w:lang w:val="es-ES_tradnl"/>
              </w:rPr>
              <w:t xml:space="preserve">para 20 años </w:t>
            </w:r>
            <w:r w:rsidRPr="000B65DE">
              <w:rPr>
                <w:rFonts w:ascii="Bookman Old Style" w:hAnsi="Bookman Old Style" w:cs="Arial"/>
                <w:lang w:val="es-ES_tradnl"/>
              </w:rPr>
              <w:t xml:space="preserve">asociados a la Red Secundaria para los Municipios Nuevos que van a constituir el Mercado Relevante de Distribución k para el Siguiente Período Tarifario </w:t>
            </w:r>
            <w:r w:rsidRPr="000B65DE">
              <w:rPr>
                <w:rFonts w:ascii="Bookman Old Style" w:hAnsi="Bookman Old Style" w:cs="Arial"/>
                <w:lang w:val="es-CO" w:eastAsia="en-US"/>
              </w:rPr>
              <w:t xml:space="preserve">conformado </w:t>
            </w:r>
            <w:r w:rsidRPr="000B65DE">
              <w:rPr>
                <w:rFonts w:ascii="Bookman Old Style" w:hAnsi="Bookman Old Style"/>
                <w:bCs/>
              </w:rPr>
              <w:t>a partir de Anexar a Mercados Existentes de Distribución Municipios Nuevos</w:t>
            </w:r>
            <w:r w:rsidRPr="000B65DE">
              <w:rPr>
                <w:rFonts w:ascii="Bookman Old Style" w:hAnsi="Bookman Old Style" w:cs="Arial"/>
                <w:lang w:val="es-CO" w:eastAsia="en-US"/>
              </w:rPr>
              <w:t>, expresada en pesos de la Fecha Base.</w:t>
            </w:r>
            <w:r w:rsidRPr="000B65DE">
              <w:rPr>
                <w:rFonts w:ascii="Bookman Old Style" w:hAnsi="Bookman Old Style" w:cs="Arial"/>
                <w:lang w:val="es-ES_tradnl"/>
              </w:rPr>
              <w:t xml:space="preserve"> Los gastos de AOM eficientes para la Red </w:t>
            </w:r>
            <w:r w:rsidR="006C39C1">
              <w:rPr>
                <w:rFonts w:ascii="Bookman Old Style" w:hAnsi="Bookman Old Style" w:cs="Arial"/>
                <w:lang w:val="es-ES_tradnl"/>
              </w:rPr>
              <w:t xml:space="preserve">Secundaria </w:t>
            </w:r>
            <w:r w:rsidRPr="000B65DE">
              <w:rPr>
                <w:rFonts w:ascii="Bookman Old Style" w:hAnsi="Bookman Old Style" w:cs="Arial"/>
                <w:lang w:val="es-ES_tradnl"/>
              </w:rPr>
              <w:t xml:space="preserve">de Distribución, se determinarán, de acuerdo con el promedio de las relaciones de  kilómetros de la Red </w:t>
            </w:r>
            <w:r w:rsidR="00275401">
              <w:rPr>
                <w:rFonts w:ascii="Bookman Old Style" w:hAnsi="Bookman Old Style" w:cs="Arial"/>
                <w:lang w:val="es-ES_tradnl"/>
              </w:rPr>
              <w:t>Secundari</w:t>
            </w:r>
            <w:r w:rsidR="00275401" w:rsidRPr="000B65DE">
              <w:rPr>
                <w:rFonts w:ascii="Bookman Old Style" w:hAnsi="Bookman Old Style" w:cs="Arial"/>
                <w:lang w:val="es-ES_tradnl"/>
              </w:rPr>
              <w:t xml:space="preserve">a </w:t>
            </w:r>
            <w:r w:rsidRPr="000B65DE">
              <w:rPr>
                <w:rFonts w:ascii="Bookman Old Style" w:hAnsi="Bookman Old Style" w:cs="Arial"/>
                <w:lang w:val="es-ES_tradnl"/>
              </w:rPr>
              <w:t xml:space="preserve">sobre los kilómetros red total del Sistema de Distribución y la Inversión Base correspondiente a la Red </w:t>
            </w:r>
            <w:r w:rsidR="00275401">
              <w:rPr>
                <w:rFonts w:ascii="Bookman Old Style" w:hAnsi="Bookman Old Style" w:cs="Arial"/>
                <w:lang w:val="es-ES_tradnl"/>
              </w:rPr>
              <w:t>Secundaria</w:t>
            </w:r>
            <w:r w:rsidR="00275401" w:rsidRPr="000B65DE">
              <w:rPr>
                <w:rFonts w:ascii="Bookman Old Style" w:hAnsi="Bookman Old Style" w:cs="Arial"/>
                <w:lang w:val="es-ES_tradnl"/>
              </w:rPr>
              <w:t xml:space="preserve"> </w:t>
            </w:r>
            <w:r w:rsidRPr="000B65DE">
              <w:rPr>
                <w:rFonts w:ascii="Bookman Old Style" w:hAnsi="Bookman Old Style" w:cs="Arial"/>
                <w:lang w:val="es-ES_tradnl"/>
              </w:rPr>
              <w:t>de Distribución sobre la Inversión Base Total del Sistema de Distribución.</w:t>
            </w:r>
          </w:p>
          <w:p w:rsidR="000B65DE" w:rsidRPr="000B65DE" w:rsidRDefault="000B65DE" w:rsidP="000B65DE">
            <w:pPr>
              <w:tabs>
                <w:tab w:val="left" w:pos="426"/>
              </w:tabs>
              <w:ind w:left="0"/>
              <w:jc w:val="both"/>
              <w:rPr>
                <w:rFonts w:ascii="Bookman Old Style" w:hAnsi="Bookman Old Style" w:cs="Arial"/>
                <w:lang w:val="es-ES_tradnl"/>
              </w:rPr>
            </w:pPr>
          </w:p>
        </w:tc>
      </w:tr>
      <w:tr w:rsidR="000B65DE" w:rsidRPr="000B65DE" w:rsidTr="00382E27">
        <w:tc>
          <w:tcPr>
            <w:tcW w:w="2759" w:type="dxa"/>
          </w:tcPr>
          <w:p w:rsidR="000B65DE" w:rsidRPr="0092172B" w:rsidRDefault="00364E59" w:rsidP="000B65DE">
            <w:pPr>
              <w:tabs>
                <w:tab w:val="left" w:pos="426"/>
              </w:tabs>
              <w:ind w:left="0"/>
              <w:jc w:val="both"/>
              <w:rPr>
                <w:szCs w:val="22"/>
                <w:lang w:val="es-ES_tradnl"/>
              </w:rPr>
            </w:pPr>
            <m:oMathPara>
              <m:oMathParaPr>
                <m:jc m:val="left"/>
              </m:oMathParaPr>
              <m:oMath>
                <m:sSub>
                  <m:sSubPr>
                    <m:ctrlPr>
                      <w:rPr>
                        <w:rFonts w:ascii="Cambria Math" w:hAnsi="Cambria Math" w:cs="Arial"/>
                        <w:szCs w:val="22"/>
                        <w:lang w:val="es-ES_tradnl"/>
                      </w:rPr>
                    </m:ctrlPr>
                  </m:sSubPr>
                  <m:e>
                    <m:r>
                      <m:rPr>
                        <m:sty m:val="p"/>
                      </m:rPr>
                      <w:rPr>
                        <w:rFonts w:ascii="Cambria Math" w:hAnsi="Cambria Math" w:cs="Arial"/>
                        <w:szCs w:val="22"/>
                        <w:lang w:val="es-ES_tradnl"/>
                      </w:rPr>
                      <m:t>Q</m:t>
                    </m:r>
                  </m:e>
                  <m:sub>
                    <m:r>
                      <m:rPr>
                        <m:sty m:val="p"/>
                      </m:rPr>
                      <w:rPr>
                        <w:rFonts w:ascii="Cambria Math" w:hAnsi="Cambria Math" w:cs="Arial"/>
                        <w:szCs w:val="22"/>
                        <w:lang w:val="es-ES_tradnl"/>
                      </w:rPr>
                      <m:t>Tme</m:t>
                    </m:r>
                  </m:sub>
                </m:sSub>
              </m:oMath>
            </m:oMathPara>
          </w:p>
        </w:tc>
        <w:tc>
          <w:tcPr>
            <w:tcW w:w="6602" w:type="dxa"/>
          </w:tcPr>
          <w:p w:rsidR="000B65DE" w:rsidRPr="000B65DE" w:rsidRDefault="000B65DE" w:rsidP="00566770">
            <w:pPr>
              <w:ind w:left="0"/>
              <w:jc w:val="both"/>
              <w:rPr>
                <w:rFonts w:ascii="Bookman Old Style" w:hAnsi="Bookman Old Style" w:cs="Arial"/>
                <w:lang w:val="es-ES_tradnl"/>
              </w:rPr>
            </w:pPr>
            <w:r w:rsidRPr="000B65DE">
              <w:rPr>
                <w:rFonts w:ascii="Bookman Old Style" w:hAnsi="Bookman Old Style" w:cs="Arial"/>
                <w:lang w:val="es-ES_tradnl"/>
              </w:rPr>
              <w:t xml:space="preserve">Demanda real </w:t>
            </w:r>
            <w:r w:rsidR="00B352A8">
              <w:rPr>
                <w:rFonts w:ascii="Bookman Old Style" w:hAnsi="Bookman Old Style" w:cs="Arial"/>
                <w:lang w:val="es-ES_tradnl"/>
              </w:rPr>
              <w:t>t</w:t>
            </w:r>
            <w:r w:rsidR="0096095F">
              <w:rPr>
                <w:rFonts w:ascii="Bookman Old Style" w:hAnsi="Bookman Old Style" w:cs="Arial"/>
                <w:lang w:val="es-ES_tradnl"/>
              </w:rPr>
              <w:t xml:space="preserve">otal anual </w:t>
            </w:r>
            <w:r w:rsidRPr="000B65DE">
              <w:rPr>
                <w:rFonts w:ascii="Bookman Old Style" w:hAnsi="Bookman Old Style" w:cs="Arial"/>
                <w:lang w:val="es-ES_tradnl"/>
              </w:rPr>
              <w:t xml:space="preserve">de los Mercados Relevantes Existentes de Distribución </w:t>
            </w:r>
            <w:r w:rsidRPr="000B65DE">
              <w:rPr>
                <w:rFonts w:ascii="Bookman Old Style" w:hAnsi="Bookman Old Style" w:cs="Arial"/>
                <w:lang w:val="es-CO" w:eastAsia="en-US"/>
              </w:rPr>
              <w:t>que van a constituir el Mercado Relevante de Distribución k para el Siguiente Período Tarifario,</w:t>
            </w:r>
            <w:r w:rsidR="00D21E8E" w:rsidRPr="000B65DE">
              <w:rPr>
                <w:rFonts w:ascii="Bookman Old Style" w:hAnsi="Bookman Old Style" w:cs="Arial"/>
                <w:lang w:val="es-CO" w:eastAsia="en-US"/>
              </w:rPr>
              <w:t xml:space="preserve"> conformado a partir de Anexar a Mercados Relevantes Existentes de Distribución</w:t>
            </w:r>
            <w:r w:rsidRPr="000B65DE">
              <w:rPr>
                <w:rFonts w:ascii="Bookman Old Style" w:hAnsi="Bookman Old Style" w:cs="Arial"/>
                <w:lang w:val="es-CO" w:eastAsia="en-US"/>
              </w:rPr>
              <w:t xml:space="preserve"> </w:t>
            </w:r>
            <w:r w:rsidR="00566770" w:rsidRPr="000B65DE">
              <w:rPr>
                <w:rFonts w:ascii="Bookman Old Style" w:hAnsi="Bookman Old Style" w:cs="Arial"/>
                <w:lang w:val="es-CO" w:eastAsia="en-US"/>
              </w:rPr>
              <w:t>Municipios Nuevos</w:t>
            </w:r>
            <w:r w:rsidR="00566770" w:rsidRPr="000B65DE">
              <w:rPr>
                <w:rFonts w:ascii="Bookman Old Style" w:hAnsi="Bookman Old Style" w:cs="Arial"/>
                <w:lang w:val="es-ES_tradnl"/>
              </w:rPr>
              <w:t xml:space="preserve"> </w:t>
            </w:r>
            <w:r w:rsidRPr="000B65DE">
              <w:rPr>
                <w:rFonts w:ascii="Bookman Old Style" w:hAnsi="Bookman Old Style" w:cs="Arial"/>
                <w:lang w:val="es-ES_tradnl"/>
              </w:rPr>
              <w:t>obtenida a la Fecha de Corte, expresada en metros cúbicos (m</w:t>
            </w:r>
            <w:r w:rsidRPr="000B65DE">
              <w:rPr>
                <w:rFonts w:ascii="Bookman Old Style" w:hAnsi="Bookman Old Style" w:cs="Arial"/>
                <w:vertAlign w:val="superscript"/>
                <w:lang w:val="es-ES_tradnl"/>
              </w:rPr>
              <w:t>3</w:t>
            </w:r>
            <w:r w:rsidRPr="000B65DE">
              <w:rPr>
                <w:rFonts w:ascii="Bookman Old Style" w:hAnsi="Bookman Old Style" w:cs="Arial"/>
                <w:lang w:val="es-ES_tradnl"/>
              </w:rPr>
              <w:t xml:space="preserve">). </w:t>
            </w:r>
          </w:p>
        </w:tc>
      </w:tr>
      <w:tr w:rsidR="000B65DE" w:rsidRPr="000B65DE" w:rsidTr="00382E27">
        <w:tc>
          <w:tcPr>
            <w:tcW w:w="2759" w:type="dxa"/>
          </w:tcPr>
          <w:p w:rsidR="000B65DE" w:rsidRPr="000B65DE" w:rsidRDefault="000B65DE" w:rsidP="000B65DE">
            <w:pPr>
              <w:tabs>
                <w:tab w:val="left" w:pos="426"/>
              </w:tabs>
              <w:ind w:left="0"/>
              <w:jc w:val="both"/>
              <w:rPr>
                <w:szCs w:val="22"/>
                <w:lang w:val="es-ES_tradnl"/>
              </w:rPr>
            </w:pPr>
          </w:p>
        </w:tc>
        <w:tc>
          <w:tcPr>
            <w:tcW w:w="6602" w:type="dxa"/>
          </w:tcPr>
          <w:p w:rsidR="00B352A8" w:rsidRPr="00566770" w:rsidRDefault="00364E59" w:rsidP="00B352A8">
            <w:pPr>
              <w:ind w:left="0"/>
              <w:jc w:val="both"/>
              <w:rPr>
                <w:rFonts w:ascii="Bookman Old Style" w:hAnsi="Bookman Old Style" w:cs="Arial"/>
                <w:lang w:val="es-ES_tradnl"/>
              </w:rPr>
            </w:pPr>
            <m:oMathPara>
              <m:oMath>
                <m:sSub>
                  <m:sSubPr>
                    <m:ctrlPr>
                      <w:rPr>
                        <w:rFonts w:ascii="Cambria Math" w:hAnsi="Cambria Math" w:cs="Arial"/>
                        <w:lang w:val="es-ES_tradnl"/>
                      </w:rPr>
                    </m:ctrlPr>
                  </m:sSubPr>
                  <m:e>
                    <m:r>
                      <m:rPr>
                        <m:sty m:val="p"/>
                      </m:rPr>
                      <w:rPr>
                        <w:rFonts w:ascii="Cambria Math" w:hAnsi="Cambria Math" w:cs="Arial"/>
                        <w:lang w:val="es-ES_tradnl"/>
                      </w:rPr>
                      <m:t>Q</m:t>
                    </m:r>
                  </m:e>
                  <m:sub>
                    <m:r>
                      <m:rPr>
                        <m:sty m:val="p"/>
                      </m:rPr>
                      <w:rPr>
                        <w:rFonts w:ascii="Cambria Math" w:hAnsi="Cambria Math" w:cs="Arial"/>
                        <w:lang w:val="es-ES_tradnl"/>
                      </w:rPr>
                      <m:t>Tme</m:t>
                    </m:r>
                  </m:sub>
                </m:sSub>
                <m:r>
                  <m:rPr>
                    <m:sty m:val="p"/>
                  </m:rPr>
                  <w:rPr>
                    <w:rFonts w:ascii="Cambria Math" w:hAnsi="Cambria Math" w:cs="Arial"/>
                    <w:lang w:val="es-ES_tradnl"/>
                  </w:rPr>
                  <m:t>=</m:t>
                </m:r>
                <m:nary>
                  <m:naryPr>
                    <m:chr m:val="∑"/>
                    <m:limLoc m:val="undOvr"/>
                    <m:ctrlPr>
                      <w:rPr>
                        <w:rFonts w:ascii="Cambria Math" w:hAnsi="Cambria Math" w:cs="Arial"/>
                        <w:lang w:val="es-ES_tradnl"/>
                      </w:rPr>
                    </m:ctrlPr>
                  </m:naryPr>
                  <m:sub>
                    <m:r>
                      <m:rPr>
                        <m:sty m:val="p"/>
                      </m:rPr>
                      <w:rPr>
                        <w:rFonts w:ascii="Cambria Math" w:hAnsi="Cambria Math" w:cs="Arial"/>
                        <w:lang w:val="es-ES_tradnl"/>
                      </w:rPr>
                      <m:t>i=1</m:t>
                    </m:r>
                  </m:sub>
                  <m:sup>
                    <m:r>
                      <m:rPr>
                        <m:sty m:val="p"/>
                      </m:rPr>
                      <w:rPr>
                        <w:rFonts w:ascii="Cambria Math" w:hAnsi="Cambria Math" w:cs="Arial"/>
                        <w:lang w:val="es-ES_tradnl"/>
                      </w:rPr>
                      <m:t>n</m:t>
                    </m:r>
                  </m:sup>
                  <m:e>
                    <m:sSub>
                      <m:sSubPr>
                        <m:ctrlPr>
                          <w:rPr>
                            <w:rFonts w:ascii="Cambria Math" w:hAnsi="Cambria Math" w:cs="Arial"/>
                            <w:lang w:val="es-ES_tradnl"/>
                          </w:rPr>
                        </m:ctrlPr>
                      </m:sSubPr>
                      <m:e>
                        <m:r>
                          <m:rPr>
                            <m:sty m:val="p"/>
                          </m:rPr>
                          <w:rPr>
                            <w:rFonts w:ascii="Cambria Math" w:hAnsi="Cambria Math" w:cs="Arial"/>
                            <w:lang w:val="es-ES_tradnl"/>
                          </w:rPr>
                          <m:t>V</m:t>
                        </m:r>
                      </m:e>
                      <m:sub>
                        <m:r>
                          <m:rPr>
                            <m:sty m:val="p"/>
                          </m:rPr>
                          <w:rPr>
                            <w:rFonts w:ascii="Cambria Math" w:hAnsi="Cambria Math" w:cs="Arial"/>
                            <w:lang w:val="es-ES_tradnl"/>
                          </w:rPr>
                          <m:t>i</m:t>
                        </m:r>
                      </m:sub>
                    </m:sSub>
                  </m:e>
                </m:nary>
                <m:r>
                  <m:rPr>
                    <m:sty m:val="p"/>
                  </m:rPr>
                  <w:rPr>
                    <w:rFonts w:ascii="Cambria Math" w:hAnsi="Cambria Math" w:cs="Arial"/>
                    <w:lang w:val="es-ES_tradnl"/>
                  </w:rPr>
                  <m:t>×(1-p)</m:t>
                </m:r>
              </m:oMath>
            </m:oMathPara>
          </w:p>
          <w:p w:rsidR="00B352A8" w:rsidRPr="000B65DE" w:rsidRDefault="00B352A8" w:rsidP="00B352A8">
            <w:pPr>
              <w:ind w:left="0"/>
              <w:jc w:val="both"/>
              <w:rPr>
                <w:rFonts w:ascii="Bookman Old Style" w:hAnsi="Bookman Old Style" w:cs="Arial"/>
                <w:lang w:val="es-ES_tradnl"/>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6"/>
              <w:gridCol w:w="4925"/>
            </w:tblGrid>
            <w:tr w:rsidR="00B352A8" w:rsidTr="003F5BEB">
              <w:tc>
                <w:tcPr>
                  <w:tcW w:w="1446" w:type="dxa"/>
                </w:tcPr>
                <w:p w:rsidR="00B352A8" w:rsidRPr="00566770" w:rsidRDefault="00364E59" w:rsidP="003F5BEB">
                  <w:pPr>
                    <w:ind w:left="0"/>
                    <w:rPr>
                      <w:rFonts w:ascii="Bookman Old Style" w:hAnsi="Bookman Old Style" w:cs="Arial"/>
                      <w:lang w:val="es-ES_tradnl"/>
                    </w:rPr>
                  </w:pPr>
                  <m:oMathPara>
                    <m:oMathParaPr>
                      <m:jc m:val="left"/>
                    </m:oMathParaPr>
                    <m:oMath>
                      <m:sSub>
                        <m:sSubPr>
                          <m:ctrlPr>
                            <w:rPr>
                              <w:rFonts w:ascii="Cambria Math" w:hAnsi="Cambria Math" w:cs="Arial"/>
                              <w:lang w:val="es-ES_tradnl"/>
                            </w:rPr>
                          </m:ctrlPr>
                        </m:sSubPr>
                        <m:e>
                          <m:r>
                            <m:rPr>
                              <m:sty m:val="p"/>
                            </m:rPr>
                            <w:rPr>
                              <w:rFonts w:ascii="Cambria Math" w:hAnsi="Cambria Math" w:cs="Arial"/>
                              <w:lang w:val="es-ES_tradnl"/>
                            </w:rPr>
                            <m:t>V</m:t>
                          </m:r>
                        </m:e>
                        <m:sub>
                          <m:r>
                            <m:rPr>
                              <m:sty m:val="p"/>
                            </m:rPr>
                            <w:rPr>
                              <w:rFonts w:ascii="Cambria Math" w:hAnsi="Cambria Math" w:cs="Arial"/>
                              <w:lang w:val="es-ES_tradnl"/>
                            </w:rPr>
                            <m:t>i</m:t>
                          </m:r>
                        </m:sub>
                      </m:sSub>
                    </m:oMath>
                  </m:oMathPara>
                </w:p>
              </w:tc>
              <w:tc>
                <w:tcPr>
                  <w:tcW w:w="4925" w:type="dxa"/>
                </w:tcPr>
                <w:p w:rsidR="00B352A8" w:rsidRDefault="00B352A8" w:rsidP="003F5BEB">
                  <w:pPr>
                    <w:ind w:left="0"/>
                    <w:jc w:val="both"/>
                    <w:rPr>
                      <w:rFonts w:ascii="Bookman Old Style" w:hAnsi="Bookman Old Style" w:cs="Arial"/>
                      <w:lang w:val="es-ES_tradnl"/>
                    </w:rPr>
                  </w:pPr>
                  <w:r>
                    <w:rPr>
                      <w:rFonts w:ascii="Bookman Old Style" w:hAnsi="Bookman Old Style" w:cs="Arial"/>
                      <w:lang w:val="es-ES_tradnl"/>
                    </w:rPr>
                    <w:t>Volumen anual medido en m</w:t>
                  </w:r>
                  <w:r w:rsidRPr="00566770">
                    <w:rPr>
                      <w:rFonts w:ascii="Bookman Old Style" w:hAnsi="Bookman Old Style" w:cs="Arial"/>
                      <w:vertAlign w:val="superscript"/>
                      <w:lang w:val="es-ES_tradnl"/>
                    </w:rPr>
                    <w:t>3</w:t>
                  </w:r>
                  <w:r>
                    <w:rPr>
                      <w:rFonts w:ascii="Bookman Old Style" w:hAnsi="Bookman Old Style" w:cs="Arial"/>
                      <w:lang w:val="es-ES_tradnl"/>
                    </w:rPr>
                    <w:t xml:space="preserve"> en la fecha de corte en el punto de inyección</w:t>
                  </w:r>
                  <w:r w:rsidR="0095297C">
                    <w:rPr>
                      <w:rFonts w:ascii="Bookman Old Style" w:hAnsi="Bookman Old Style" w:cs="Arial"/>
                      <w:lang w:val="es-ES_tradnl"/>
                    </w:rPr>
                    <w:t xml:space="preserve"> </w:t>
                  </w:r>
                  <w:r w:rsidR="0095297C">
                    <w:rPr>
                      <w:rFonts w:ascii="Bookman Old Style" w:hAnsi="Bookman Old Style" w:cs="Arial"/>
                      <w:i/>
                      <w:lang w:val="es-ES_tradnl"/>
                    </w:rPr>
                    <w:t>i</w:t>
                  </w:r>
                  <w:r w:rsidR="0095297C">
                    <w:rPr>
                      <w:rFonts w:ascii="Bookman Old Style" w:hAnsi="Bookman Old Style" w:cs="Arial"/>
                      <w:lang w:val="es-ES_tradnl"/>
                    </w:rPr>
                    <w:t xml:space="preserve"> al Mercado Relevante</w:t>
                  </w:r>
                  <w:r>
                    <w:rPr>
                      <w:rFonts w:ascii="Bookman Old Style" w:hAnsi="Bookman Old Style" w:cs="Arial"/>
                      <w:lang w:val="es-ES_tradnl"/>
                    </w:rPr>
                    <w:t xml:space="preserve"> de distribución </w:t>
                  </w:r>
                  <w:r w:rsidR="0095297C">
                    <w:rPr>
                      <w:rFonts w:ascii="Bookman Old Style" w:hAnsi="Bookman Old Style" w:cs="Arial"/>
                      <w:i/>
                      <w:lang w:val="es-ES_tradnl"/>
                    </w:rPr>
                    <w:t>k</w:t>
                  </w:r>
                  <w:r>
                    <w:rPr>
                      <w:rFonts w:ascii="Bookman Old Style" w:hAnsi="Bookman Old Style" w:cs="Arial"/>
                      <w:lang w:val="es-ES_tradnl"/>
                    </w:rPr>
                    <w:t>.</w:t>
                  </w:r>
                </w:p>
                <w:p w:rsidR="00B352A8" w:rsidRDefault="00B352A8" w:rsidP="003F5BEB">
                  <w:pPr>
                    <w:ind w:left="0"/>
                    <w:jc w:val="both"/>
                    <w:rPr>
                      <w:rFonts w:ascii="Bookman Old Style" w:hAnsi="Bookman Old Style" w:cs="Arial"/>
                      <w:lang w:val="es-ES_tradnl"/>
                    </w:rPr>
                  </w:pPr>
                </w:p>
              </w:tc>
            </w:tr>
            <w:tr w:rsidR="00B352A8" w:rsidTr="003F5BEB">
              <w:tc>
                <w:tcPr>
                  <w:tcW w:w="1446" w:type="dxa"/>
                </w:tcPr>
                <w:p w:rsidR="00B352A8" w:rsidRPr="00566770" w:rsidRDefault="00B352A8" w:rsidP="003F5BEB">
                  <w:pPr>
                    <w:ind w:left="0"/>
                    <w:rPr>
                      <w:rFonts w:ascii="Bookman Old Style" w:hAnsi="Bookman Old Style" w:cs="Arial"/>
                      <w:lang w:val="es-ES_tradnl"/>
                    </w:rPr>
                  </w:pPr>
                  <w:r w:rsidRPr="00566770">
                    <w:rPr>
                      <w:rFonts w:ascii="Bookman Old Style" w:hAnsi="Bookman Old Style" w:cs="Arial"/>
                      <w:lang w:val="es-ES_tradnl"/>
                    </w:rPr>
                    <w:lastRenderedPageBreak/>
                    <w:t>n</w:t>
                  </w:r>
                </w:p>
              </w:tc>
              <w:tc>
                <w:tcPr>
                  <w:tcW w:w="4925" w:type="dxa"/>
                </w:tcPr>
                <w:p w:rsidR="00B352A8" w:rsidRDefault="00B352A8" w:rsidP="003F5BEB">
                  <w:pPr>
                    <w:ind w:left="0"/>
                    <w:jc w:val="both"/>
                    <w:rPr>
                      <w:rFonts w:ascii="Bookman Old Style" w:hAnsi="Bookman Old Style" w:cs="Arial"/>
                      <w:lang w:val="es-ES_tradnl"/>
                    </w:rPr>
                  </w:pPr>
                  <w:r>
                    <w:rPr>
                      <w:rFonts w:ascii="Bookman Old Style" w:hAnsi="Bookman Old Style" w:cs="Arial"/>
                      <w:lang w:val="es-ES_tradnl"/>
                    </w:rPr>
                    <w:t>Número t</w:t>
                  </w:r>
                  <w:r w:rsidR="0095297C">
                    <w:rPr>
                      <w:rFonts w:ascii="Bookman Old Style" w:hAnsi="Bookman Old Style" w:cs="Arial"/>
                      <w:lang w:val="es-ES_tradnl"/>
                    </w:rPr>
                    <w:t>otal de puntos de inyección al M</w:t>
                  </w:r>
                  <w:r>
                    <w:rPr>
                      <w:rFonts w:ascii="Bookman Old Style" w:hAnsi="Bookman Old Style" w:cs="Arial"/>
                      <w:lang w:val="es-ES_tradnl"/>
                    </w:rPr>
                    <w:t>ercado</w:t>
                  </w:r>
                  <w:r w:rsidR="0095297C">
                    <w:rPr>
                      <w:rFonts w:ascii="Bookman Old Style" w:hAnsi="Bookman Old Style" w:cs="Arial"/>
                      <w:lang w:val="es-ES_tradnl"/>
                    </w:rPr>
                    <w:t xml:space="preserve"> Relevante</w:t>
                  </w:r>
                  <w:r>
                    <w:rPr>
                      <w:rFonts w:ascii="Bookman Old Style" w:hAnsi="Bookman Old Style" w:cs="Arial"/>
                      <w:lang w:val="es-ES_tradnl"/>
                    </w:rPr>
                    <w:t xml:space="preserve"> de distribución para el periodo tarifario k</w:t>
                  </w:r>
                </w:p>
                <w:p w:rsidR="00B352A8" w:rsidRDefault="00B352A8" w:rsidP="003F5BEB">
                  <w:pPr>
                    <w:ind w:left="0"/>
                    <w:jc w:val="both"/>
                    <w:rPr>
                      <w:rFonts w:ascii="Bookman Old Style" w:hAnsi="Bookman Old Style" w:cs="Arial"/>
                      <w:lang w:val="es-ES_tradnl"/>
                    </w:rPr>
                  </w:pPr>
                </w:p>
              </w:tc>
            </w:tr>
            <w:tr w:rsidR="00B352A8" w:rsidTr="003F5BEB">
              <w:tc>
                <w:tcPr>
                  <w:tcW w:w="1446" w:type="dxa"/>
                </w:tcPr>
                <w:p w:rsidR="00B352A8" w:rsidRPr="00566770" w:rsidRDefault="00B352A8" w:rsidP="003F5BEB">
                  <w:pPr>
                    <w:ind w:left="0"/>
                    <w:rPr>
                      <w:rFonts w:ascii="Bookman Old Style" w:hAnsi="Bookman Old Style" w:cs="Arial"/>
                      <w:lang w:val="es-ES_tradnl"/>
                    </w:rPr>
                  </w:pPr>
                  <w:r w:rsidRPr="00566770">
                    <w:rPr>
                      <w:rFonts w:ascii="Bookman Old Style" w:hAnsi="Bookman Old Style" w:cs="Arial"/>
                      <w:lang w:val="es-ES_tradnl"/>
                    </w:rPr>
                    <w:t>p</w:t>
                  </w:r>
                </w:p>
              </w:tc>
              <w:tc>
                <w:tcPr>
                  <w:tcW w:w="4925" w:type="dxa"/>
                </w:tcPr>
                <w:p w:rsidR="00B352A8" w:rsidRDefault="00B352A8" w:rsidP="003F5BEB">
                  <w:pPr>
                    <w:ind w:left="0"/>
                    <w:jc w:val="both"/>
                    <w:rPr>
                      <w:rFonts w:ascii="Bookman Old Style" w:hAnsi="Bookman Old Style" w:cs="Arial"/>
                      <w:lang w:val="es-ES_tradnl"/>
                    </w:rPr>
                  </w:pPr>
                  <w:r>
                    <w:rPr>
                      <w:rFonts w:ascii="Bookman Old Style" w:hAnsi="Bookman Old Style" w:cs="Arial"/>
                      <w:lang w:val="es-ES_tradnl"/>
                    </w:rPr>
                    <w:t>Porcentaje</w:t>
                  </w:r>
                  <w:r w:rsidR="0095297C">
                    <w:rPr>
                      <w:rFonts w:ascii="Bookman Old Style" w:hAnsi="Bookman Old Style" w:cs="Arial"/>
                      <w:lang w:val="es-ES_tradnl"/>
                    </w:rPr>
                    <w:t xml:space="preserve"> máximo de pérdidas </w:t>
                  </w:r>
                  <w:r>
                    <w:rPr>
                      <w:rFonts w:ascii="Bookman Old Style" w:hAnsi="Bookman Old Style" w:cs="Arial"/>
                      <w:lang w:val="es-ES_tradnl"/>
                    </w:rPr>
                    <w:t xml:space="preserve"> conforme a lo establecido en la Resolución CREG 127 de 2013 o aquellas que la modifiquen o sustituyan.</w:t>
                  </w:r>
                </w:p>
                <w:p w:rsidR="00B352A8" w:rsidRDefault="00B352A8" w:rsidP="003F5BEB">
                  <w:pPr>
                    <w:ind w:left="0"/>
                    <w:jc w:val="both"/>
                    <w:rPr>
                      <w:rFonts w:ascii="Bookman Old Style" w:hAnsi="Bookman Old Style" w:cs="Arial"/>
                      <w:lang w:val="es-ES_tradnl"/>
                    </w:rPr>
                  </w:pPr>
                </w:p>
              </w:tc>
            </w:tr>
          </w:tbl>
          <w:p w:rsidR="000B65DE" w:rsidRDefault="000B65DE" w:rsidP="000B65DE">
            <w:pPr>
              <w:ind w:left="0"/>
              <w:jc w:val="both"/>
              <w:rPr>
                <w:rFonts w:ascii="Bookman Old Style" w:hAnsi="Bookman Old Style" w:cs="Arial"/>
                <w:lang w:val="es-ES_tradnl"/>
              </w:rPr>
            </w:pPr>
          </w:p>
          <w:p w:rsidR="00C7068E" w:rsidRDefault="00C7068E" w:rsidP="000B65DE">
            <w:pPr>
              <w:ind w:left="0"/>
              <w:jc w:val="both"/>
              <w:rPr>
                <w:rFonts w:ascii="Bookman Old Style" w:hAnsi="Bookman Old Style" w:cs="Arial"/>
                <w:lang w:val="es-ES_tradnl"/>
              </w:rPr>
            </w:pPr>
          </w:p>
          <w:p w:rsidR="00C7068E" w:rsidRPr="000B65DE" w:rsidRDefault="00C7068E" w:rsidP="000B65DE">
            <w:pPr>
              <w:ind w:left="0"/>
              <w:jc w:val="both"/>
              <w:rPr>
                <w:rFonts w:ascii="Bookman Old Style" w:hAnsi="Bookman Old Style" w:cs="Arial"/>
                <w:lang w:val="es-ES_tradnl"/>
              </w:rPr>
            </w:pPr>
          </w:p>
        </w:tc>
      </w:tr>
      <w:tr w:rsidR="000B65DE" w:rsidRPr="000B65DE" w:rsidTr="00382E27">
        <w:tc>
          <w:tcPr>
            <w:tcW w:w="2759" w:type="dxa"/>
          </w:tcPr>
          <w:p w:rsidR="000B65DE" w:rsidRPr="0092172B" w:rsidRDefault="0092172B" w:rsidP="003078F2">
            <w:pPr>
              <w:tabs>
                <w:tab w:val="left" w:pos="426"/>
              </w:tabs>
              <w:ind w:left="0"/>
              <w:jc w:val="both"/>
              <w:rPr>
                <w:rFonts w:ascii="Bookman Old Style" w:hAnsi="Bookman Old Style" w:cs="Arial"/>
                <w:lang w:val="es-ES_tradnl"/>
              </w:rPr>
            </w:pPr>
            <m:oMathPara>
              <m:oMathParaPr>
                <m:jc m:val="left"/>
              </m:oMathParaPr>
              <m:oMath>
                <m:r>
                  <m:rPr>
                    <m:sty m:val="p"/>
                  </m:rPr>
                  <w:rPr>
                    <w:rFonts w:ascii="Cambria Math" w:hAnsi="Cambria Math" w:cs="Arial"/>
                    <w:szCs w:val="22"/>
                    <w:lang w:val="es-ES_tradnl"/>
                  </w:rPr>
                  <w:lastRenderedPageBreak/>
                  <m:t>VAE(VP</m:t>
                </m:r>
                <m:d>
                  <m:dPr>
                    <m:ctrlPr>
                      <w:rPr>
                        <w:rFonts w:ascii="Cambria Math" w:hAnsi="Cambria Math" w:cs="Arial"/>
                        <w:szCs w:val="22"/>
                        <w:lang w:val="es-ES_tradnl"/>
                      </w:rPr>
                    </m:ctrlPr>
                  </m:dPr>
                  <m:e>
                    <m:sSub>
                      <m:sSubPr>
                        <m:ctrlPr>
                          <w:rPr>
                            <w:rFonts w:ascii="Cambria Math" w:hAnsi="Cambria Math" w:cs="Arial"/>
                            <w:szCs w:val="22"/>
                            <w:lang w:val="es-ES_tradnl"/>
                          </w:rPr>
                        </m:ctrlPr>
                      </m:sSubPr>
                      <m:e>
                        <m:r>
                          <m:rPr>
                            <m:sty m:val="p"/>
                          </m:rPr>
                          <w:rPr>
                            <w:rFonts w:ascii="Cambria Math" w:hAnsi="Cambria Math" w:cs="Arial"/>
                            <w:szCs w:val="22"/>
                            <w:lang w:val="es-ES_tradnl"/>
                          </w:rPr>
                          <m:t>Q</m:t>
                        </m:r>
                        <m:d>
                          <m:dPr>
                            <m:ctrlPr>
                              <w:rPr>
                                <w:rFonts w:ascii="Cambria Math" w:hAnsi="Cambria Math" w:cs="Arial"/>
                                <w:szCs w:val="22"/>
                                <w:lang w:val="es-ES_tradnl"/>
                              </w:rPr>
                            </m:ctrlPr>
                          </m:dPr>
                          <m:e>
                            <m:r>
                              <m:rPr>
                                <m:sty m:val="p"/>
                              </m:rPr>
                              <w:rPr>
                                <w:rFonts w:ascii="Cambria Math" w:hAnsi="Cambria Math" w:cs="Arial"/>
                                <w:szCs w:val="22"/>
                                <w:lang w:val="es-ES_tradnl"/>
                              </w:rPr>
                              <m:t>PR</m:t>
                            </m:r>
                          </m:e>
                        </m:d>
                      </m:e>
                      <m:sub>
                        <m:r>
                          <m:rPr>
                            <m:sty m:val="p"/>
                          </m:rPr>
                          <w:rPr>
                            <w:rFonts w:ascii="Cambria Math" w:hAnsi="Cambria Math" w:cs="Arial"/>
                            <w:szCs w:val="22"/>
                            <w:lang w:val="es-ES_tradnl"/>
                          </w:rPr>
                          <m:t>Tmn</m:t>
                        </m:r>
                      </m:sub>
                    </m:sSub>
                  </m:e>
                </m:d>
              </m:oMath>
            </m:oMathPara>
          </w:p>
        </w:tc>
        <w:tc>
          <w:tcPr>
            <w:tcW w:w="6602" w:type="dxa"/>
          </w:tcPr>
          <w:p w:rsidR="000B65DE" w:rsidRPr="000B65DE" w:rsidRDefault="000B65DE" w:rsidP="000B65DE">
            <w:pPr>
              <w:ind w:left="0"/>
              <w:jc w:val="both"/>
              <w:rPr>
                <w:rFonts w:ascii="Bookman Old Style" w:hAnsi="Bookman Old Style" w:cs="Arial"/>
                <w:lang w:val="es-ES_tradnl"/>
              </w:rPr>
            </w:pPr>
            <w:r w:rsidRPr="000B65DE">
              <w:rPr>
                <w:rFonts w:ascii="Bookman Old Style" w:hAnsi="Bookman Old Style" w:cs="Arial"/>
                <w:lang w:val="es-ES_tradnl"/>
              </w:rPr>
              <w:t xml:space="preserve">Valor anual equivalente del valor presente de la proyección </w:t>
            </w:r>
            <w:r w:rsidR="00D21E8E">
              <w:rPr>
                <w:rFonts w:ascii="Bookman Old Style" w:hAnsi="Bookman Old Style" w:cs="Arial"/>
                <w:lang w:val="es-ES_tradnl"/>
              </w:rPr>
              <w:t xml:space="preserve">anual </w:t>
            </w:r>
            <w:r w:rsidRPr="000B65DE">
              <w:rPr>
                <w:rFonts w:ascii="Bookman Old Style" w:hAnsi="Bookman Old Style" w:cs="Arial"/>
                <w:lang w:val="es-ES_tradnl"/>
              </w:rPr>
              <w:t xml:space="preserve">de demanda Total </w:t>
            </w:r>
            <w:r w:rsidR="00D21E8E">
              <w:rPr>
                <w:rFonts w:ascii="Bookman Old Style" w:hAnsi="Bookman Old Style" w:cs="Arial"/>
                <w:lang w:val="es-ES_tradnl"/>
              </w:rPr>
              <w:t xml:space="preserve">para 20 años </w:t>
            </w:r>
            <w:r w:rsidRPr="000B65DE">
              <w:rPr>
                <w:rFonts w:ascii="Bookman Old Style" w:hAnsi="Bookman Old Style" w:cs="Arial"/>
                <w:lang w:val="es-ES_tradnl"/>
              </w:rPr>
              <w:t xml:space="preserve">para el (los) Municipio(s) Nuevo(s) que va(n) a constituir el Mercado Relevante de Distribución para el Siguiente Período Tarifario k </w:t>
            </w:r>
            <w:r w:rsidRPr="000B65DE">
              <w:rPr>
                <w:rFonts w:ascii="Bookman Old Style" w:hAnsi="Bookman Old Style" w:cs="Arial"/>
                <w:lang w:val="es-CO" w:eastAsia="en-US"/>
              </w:rPr>
              <w:t>conformado a partir de anexar Municipios Nuevos</w:t>
            </w:r>
            <w:r w:rsidRPr="000B65DE" w:rsidDel="00A169FC">
              <w:rPr>
                <w:rFonts w:ascii="Bookman Old Style" w:hAnsi="Bookman Old Style" w:cs="Arial"/>
                <w:lang w:val="es-CO" w:eastAsia="en-US"/>
              </w:rPr>
              <w:t xml:space="preserve"> </w:t>
            </w:r>
            <w:r w:rsidRPr="000B65DE">
              <w:rPr>
                <w:rFonts w:ascii="Bookman Old Style" w:hAnsi="Bookman Old Style" w:cs="Arial"/>
                <w:lang w:val="es-CO" w:eastAsia="en-US"/>
              </w:rPr>
              <w:t xml:space="preserve">a Mercados Existentes de Distribución, expresada en metros cúbicos </w:t>
            </w:r>
            <w:r w:rsidRPr="000B65DE">
              <w:rPr>
                <w:rFonts w:ascii="Bookman Old Style" w:hAnsi="Bookman Old Style" w:cs="Arial"/>
                <w:lang w:val="es-ES_tradnl"/>
              </w:rPr>
              <w:t>(m</w:t>
            </w:r>
            <w:r w:rsidRPr="000B65DE">
              <w:rPr>
                <w:rFonts w:ascii="Bookman Old Style" w:hAnsi="Bookman Old Style" w:cs="Arial"/>
                <w:vertAlign w:val="superscript"/>
                <w:lang w:val="es-ES_tradnl"/>
              </w:rPr>
              <w:t>3</w:t>
            </w:r>
            <w:r w:rsidRPr="000B65DE">
              <w:rPr>
                <w:rFonts w:ascii="Bookman Old Style" w:hAnsi="Bookman Old Style" w:cs="Arial"/>
                <w:lang w:val="es-ES_tradnl"/>
              </w:rPr>
              <w:t>)</w:t>
            </w:r>
            <w:r w:rsidRPr="000B65DE">
              <w:rPr>
                <w:rFonts w:ascii="Bookman Old Style" w:hAnsi="Bookman Old Style" w:cs="Arial"/>
                <w:lang w:val="es-CO" w:eastAsia="en-US"/>
              </w:rPr>
              <w:t>.</w:t>
            </w:r>
            <w:r w:rsidRPr="000B65DE">
              <w:rPr>
                <w:rFonts w:ascii="Bookman Old Style" w:hAnsi="Bookman Old Style" w:cs="Arial"/>
                <w:lang w:val="es-ES_tradnl"/>
              </w:rPr>
              <w:t xml:space="preserve"> </w:t>
            </w:r>
          </w:p>
          <w:p w:rsidR="000B65DE" w:rsidRPr="000B65DE" w:rsidRDefault="000B65DE" w:rsidP="000B65DE">
            <w:pPr>
              <w:ind w:left="0"/>
              <w:jc w:val="both"/>
              <w:rPr>
                <w:rFonts w:ascii="Bookman Old Style" w:hAnsi="Bookman Old Style" w:cs="Arial"/>
                <w:lang w:val="es-ES_tradnl"/>
              </w:rPr>
            </w:pPr>
          </w:p>
        </w:tc>
      </w:tr>
      <w:tr w:rsidR="000B65DE" w:rsidRPr="000B65DE" w:rsidTr="00382E27">
        <w:trPr>
          <w:trHeight w:val="2308"/>
        </w:trPr>
        <w:tc>
          <w:tcPr>
            <w:tcW w:w="2759" w:type="dxa"/>
          </w:tcPr>
          <w:p w:rsidR="000B65DE" w:rsidRPr="003078F2" w:rsidRDefault="00364E59" w:rsidP="000B65DE">
            <w:pPr>
              <w:tabs>
                <w:tab w:val="left" w:pos="426"/>
              </w:tabs>
              <w:ind w:left="0"/>
              <w:jc w:val="both"/>
              <w:rPr>
                <w:lang w:val="es-ES_tradnl"/>
              </w:rPr>
            </w:pPr>
            <m:oMathPara>
              <m:oMathParaPr>
                <m:jc m:val="left"/>
              </m:oMathParaPr>
              <m:oMath>
                <m:sSub>
                  <m:sSubPr>
                    <m:ctrlPr>
                      <w:rPr>
                        <w:rFonts w:ascii="Cambria Math" w:hAnsi="Cambria Math" w:cs="Arial"/>
                        <w:sz w:val="22"/>
                        <w:lang w:val="es-ES_tradnl"/>
                      </w:rPr>
                    </m:ctrlPr>
                  </m:sSubPr>
                  <m:e>
                    <m:sSub>
                      <m:sSubPr>
                        <m:ctrlPr>
                          <w:rPr>
                            <w:rFonts w:ascii="Cambria Math" w:hAnsi="Cambria Math" w:cs="Arial"/>
                            <w:sz w:val="22"/>
                            <w:lang w:val="es-ES_tradnl"/>
                          </w:rPr>
                        </m:ctrlPr>
                      </m:sSubPr>
                      <m:e>
                        <m:r>
                          <m:rPr>
                            <m:sty m:val="p"/>
                          </m:rPr>
                          <w:rPr>
                            <w:rFonts w:ascii="Cambria Math" w:hAnsi="Cambria Math" w:cs="Arial"/>
                            <w:sz w:val="22"/>
                            <w:lang w:val="es-ES_tradnl"/>
                          </w:rPr>
                          <m:t>(Q</m:t>
                        </m:r>
                      </m:e>
                      <m:sub>
                        <m:r>
                          <m:rPr>
                            <m:sty m:val="p"/>
                          </m:rPr>
                          <w:rPr>
                            <w:rFonts w:ascii="Cambria Math" w:hAnsi="Cambria Math" w:cs="Arial"/>
                            <w:sz w:val="22"/>
                            <w:lang w:val="es-ES_tradnl"/>
                          </w:rPr>
                          <m:t>NoResRS</m:t>
                        </m:r>
                      </m:sub>
                    </m:sSub>
                    <m:r>
                      <m:rPr>
                        <m:sty m:val="p"/>
                      </m:rPr>
                      <w:rPr>
                        <w:rFonts w:ascii="Cambria Math" w:hAnsi="Cambria Math" w:cs="Arial"/>
                        <w:sz w:val="22"/>
                        <w:lang w:val="es-ES_tradnl"/>
                      </w:rPr>
                      <m:t>+</m:t>
                    </m:r>
                    <m:sSub>
                      <m:sSubPr>
                        <m:ctrlPr>
                          <w:rPr>
                            <w:rFonts w:ascii="Cambria Math" w:hAnsi="Cambria Math" w:cs="Arial"/>
                            <w:sz w:val="22"/>
                            <w:lang w:val="es-ES_tradnl"/>
                          </w:rPr>
                        </m:ctrlPr>
                      </m:sSubPr>
                      <m:e>
                        <m:r>
                          <m:rPr>
                            <m:sty m:val="p"/>
                          </m:rPr>
                          <w:rPr>
                            <w:rFonts w:ascii="Cambria Math" w:hAnsi="Cambria Math" w:cs="Arial"/>
                            <w:sz w:val="22"/>
                            <w:lang w:val="es-ES_tradnl"/>
                          </w:rPr>
                          <m:t>Q</m:t>
                        </m:r>
                      </m:e>
                      <m:sub>
                        <m:r>
                          <m:rPr>
                            <m:sty m:val="p"/>
                          </m:rPr>
                          <w:rPr>
                            <w:rFonts w:ascii="Cambria Math" w:hAnsi="Cambria Math" w:cs="Arial"/>
                            <w:sz w:val="22"/>
                            <w:lang w:val="es-ES_tradnl"/>
                          </w:rPr>
                          <m:t xml:space="preserve">Res </m:t>
                        </m:r>
                      </m:sub>
                    </m:sSub>
                    <m:r>
                      <w:rPr>
                        <w:rFonts w:ascii="Cambria Math" w:hAnsi="Cambria Math" w:cs="Arial"/>
                        <w:sz w:val="22"/>
                        <w:lang w:val="es-ES_tradnl"/>
                      </w:rPr>
                      <m:t>)</m:t>
                    </m:r>
                  </m:e>
                  <m:sub>
                    <m:r>
                      <m:rPr>
                        <m:sty m:val="p"/>
                      </m:rPr>
                      <w:rPr>
                        <w:rFonts w:ascii="Cambria Math" w:hAnsi="Cambria Math" w:cs="Arial"/>
                        <w:sz w:val="22"/>
                        <w:lang w:val="es-ES_tradnl"/>
                      </w:rPr>
                      <m:t>me</m:t>
                    </m:r>
                  </m:sub>
                </m:sSub>
              </m:oMath>
            </m:oMathPara>
          </w:p>
        </w:tc>
        <w:tc>
          <w:tcPr>
            <w:tcW w:w="6602" w:type="dxa"/>
          </w:tcPr>
          <w:p w:rsidR="00667022" w:rsidRDefault="000B65DE" w:rsidP="00667022">
            <w:pPr>
              <w:ind w:left="0"/>
              <w:jc w:val="both"/>
              <w:rPr>
                <w:rFonts w:ascii="Bookman Old Style" w:hAnsi="Bookman Old Style" w:cs="Arial"/>
                <w:lang w:val="es-ES_tradnl"/>
              </w:rPr>
            </w:pPr>
            <w:r w:rsidRPr="000B65DE">
              <w:rPr>
                <w:rFonts w:ascii="Bookman Old Style" w:hAnsi="Bookman Old Style" w:cs="Arial"/>
                <w:lang w:val="es-ES_tradnl"/>
              </w:rPr>
              <w:t xml:space="preserve">Suma de la </w:t>
            </w:r>
            <w:r w:rsidR="00566770">
              <w:rPr>
                <w:rFonts w:ascii="Bookman Old Style" w:hAnsi="Bookman Old Style" w:cs="Arial"/>
                <w:lang w:val="es-ES_tradnl"/>
              </w:rPr>
              <w:t>d</w:t>
            </w:r>
            <w:r w:rsidRPr="000B65DE">
              <w:rPr>
                <w:rFonts w:ascii="Bookman Old Style" w:hAnsi="Bookman Old Style" w:cs="Arial"/>
                <w:lang w:val="es-ES_tradnl"/>
              </w:rPr>
              <w:t>emanda real</w:t>
            </w:r>
            <w:r w:rsidR="00D21E8E">
              <w:rPr>
                <w:rFonts w:ascii="Bookman Old Style" w:hAnsi="Bookman Old Style" w:cs="Arial"/>
                <w:lang w:val="es-ES_tradnl"/>
              </w:rPr>
              <w:t xml:space="preserve"> anual</w:t>
            </w:r>
            <w:r w:rsidRPr="000B65DE">
              <w:rPr>
                <w:rFonts w:ascii="Bookman Old Style" w:hAnsi="Bookman Old Style" w:cs="Arial"/>
                <w:lang w:val="es-ES_tradnl"/>
              </w:rPr>
              <w:t xml:space="preserve"> de Usuarios Diferentes a los de Uso Residencial que está conectada a la Red Secundaria </w:t>
            </w:r>
            <w:r w:rsidRPr="000B65DE">
              <w:rPr>
                <w:rFonts w:ascii="Bookman Old Style" w:hAnsi="Bookman Old Style" w:cs="Arial"/>
                <w:lang w:val="es-CO" w:eastAsia="en-US"/>
              </w:rPr>
              <w:t xml:space="preserve">y de la demanda </w:t>
            </w:r>
            <w:r w:rsidR="00D21E8E">
              <w:rPr>
                <w:rFonts w:ascii="Bookman Old Style" w:hAnsi="Bookman Old Style" w:cs="Arial"/>
                <w:lang w:val="es-CO" w:eastAsia="en-US"/>
              </w:rPr>
              <w:t xml:space="preserve">real anual </w:t>
            </w:r>
            <w:r w:rsidRPr="000B65DE">
              <w:rPr>
                <w:rFonts w:ascii="Bookman Old Style" w:hAnsi="Bookman Old Style" w:cs="Arial"/>
                <w:lang w:val="es-CO" w:eastAsia="en-US"/>
              </w:rPr>
              <w:t xml:space="preserve">de </w:t>
            </w:r>
            <w:r w:rsidRPr="000B65DE">
              <w:rPr>
                <w:rFonts w:ascii="Bookman Old Style" w:hAnsi="Bookman Old Style" w:cs="Arial"/>
                <w:lang w:val="es-ES_tradnl"/>
              </w:rPr>
              <w:t xml:space="preserve">Usuarios de Uso Residencial del Mercado Relevante de Distribución k </w:t>
            </w:r>
            <w:r w:rsidRPr="000B65DE">
              <w:rPr>
                <w:rFonts w:ascii="Bookman Old Style" w:hAnsi="Bookman Old Style"/>
                <w:lang w:val="es-ES_tradnl"/>
              </w:rPr>
              <w:t>para el Siguiente Período Tarifario</w:t>
            </w:r>
            <w:r w:rsidRPr="000B65DE">
              <w:rPr>
                <w:rFonts w:ascii="Bookman Old Style" w:hAnsi="Bookman Old Style" w:cs="Arial"/>
                <w:lang w:val="es-ES_tradnl"/>
              </w:rPr>
              <w:t xml:space="preserve"> </w:t>
            </w:r>
            <w:r w:rsidR="00D21E8E" w:rsidRPr="000B65DE">
              <w:rPr>
                <w:rFonts w:ascii="Bookman Old Style" w:hAnsi="Bookman Old Style" w:cs="Arial"/>
                <w:lang w:val="es-CO" w:eastAsia="en-US"/>
              </w:rPr>
              <w:t>conformado a partir de Anexar a Mercados Relevantes Existentes de Distribución</w:t>
            </w:r>
            <w:r w:rsidR="00D21E8E" w:rsidRPr="000B65DE">
              <w:rPr>
                <w:rFonts w:ascii="Bookman Old Style" w:hAnsi="Bookman Old Style" w:cs="Arial"/>
                <w:lang w:val="es-ES_tradnl"/>
              </w:rPr>
              <w:t xml:space="preserve"> </w:t>
            </w:r>
            <w:r w:rsidR="00566770" w:rsidRPr="000B65DE">
              <w:rPr>
                <w:rFonts w:ascii="Bookman Old Style" w:hAnsi="Bookman Old Style" w:cs="Arial"/>
                <w:lang w:val="es-CO" w:eastAsia="en-US"/>
              </w:rPr>
              <w:t>Municipios Nuevos</w:t>
            </w:r>
            <w:r w:rsidR="00566770" w:rsidRPr="000B65DE">
              <w:rPr>
                <w:rFonts w:ascii="Bookman Old Style" w:hAnsi="Bookman Old Style" w:cs="Arial"/>
                <w:lang w:val="es-ES_tradnl"/>
              </w:rPr>
              <w:t xml:space="preserve"> </w:t>
            </w:r>
            <w:r w:rsidRPr="000B65DE">
              <w:rPr>
                <w:rFonts w:ascii="Bookman Old Style" w:hAnsi="Bookman Old Style" w:cs="Arial"/>
                <w:lang w:val="es-ES_tradnl"/>
              </w:rPr>
              <w:t xml:space="preserve">obtenida en la Fecha de Corte, </w:t>
            </w:r>
            <w:r w:rsidR="00D21E8E" w:rsidRPr="000B65DE">
              <w:rPr>
                <w:rFonts w:ascii="Bookman Old Style" w:hAnsi="Bookman Old Style" w:cs="Arial"/>
                <w:lang w:val="es-ES_tradnl"/>
              </w:rPr>
              <w:t>expresad</w:t>
            </w:r>
            <w:r w:rsidR="00D21E8E">
              <w:rPr>
                <w:rFonts w:ascii="Bookman Old Style" w:hAnsi="Bookman Old Style" w:cs="Arial"/>
                <w:lang w:val="es-ES_tradnl"/>
              </w:rPr>
              <w:t>o</w:t>
            </w:r>
            <w:r w:rsidR="00D21E8E" w:rsidRPr="000B65DE">
              <w:rPr>
                <w:rFonts w:ascii="Bookman Old Style" w:hAnsi="Bookman Old Style" w:cs="Arial"/>
                <w:lang w:val="es-ES_tradnl"/>
              </w:rPr>
              <w:t xml:space="preserve"> </w:t>
            </w:r>
            <w:r w:rsidRPr="000B65DE">
              <w:rPr>
                <w:rFonts w:ascii="Bookman Old Style" w:hAnsi="Bookman Old Style" w:cs="Arial"/>
                <w:lang w:val="es-ES_tradnl"/>
              </w:rPr>
              <w:t>en metros cúbicos (m</w:t>
            </w:r>
            <w:r w:rsidRPr="000B65DE">
              <w:rPr>
                <w:rFonts w:ascii="Bookman Old Style" w:hAnsi="Bookman Old Style" w:cs="Arial"/>
                <w:vertAlign w:val="superscript"/>
                <w:lang w:val="es-ES_tradnl"/>
              </w:rPr>
              <w:t>3</w:t>
            </w:r>
            <w:r w:rsidRPr="000B65DE">
              <w:rPr>
                <w:rFonts w:ascii="Bookman Old Style" w:hAnsi="Bookman Old Style" w:cs="Arial"/>
                <w:lang w:val="es-ES_tradnl"/>
              </w:rPr>
              <w:t xml:space="preserve">). </w:t>
            </w:r>
            <w:r w:rsidR="00667022">
              <w:rPr>
                <w:rFonts w:ascii="Bookman Old Style" w:hAnsi="Bookman Old Style" w:cs="Arial"/>
                <w:lang w:val="es-ES_tradnl"/>
              </w:rPr>
              <w:t>Se entiende por demanda real la medida en el medidor del usuario solo afectada por Kp y Kt definidos en la Resolución CREG 127 de 2013 o aquellas que la modifiquen o sustituyan.</w:t>
            </w:r>
          </w:p>
          <w:p w:rsidR="00D21E8E" w:rsidRPr="000B65DE" w:rsidRDefault="00D21E8E" w:rsidP="00D21E8E">
            <w:pPr>
              <w:tabs>
                <w:tab w:val="left" w:pos="426"/>
              </w:tabs>
              <w:ind w:left="0"/>
              <w:jc w:val="both"/>
              <w:rPr>
                <w:rFonts w:ascii="Bookman Old Style" w:hAnsi="Bookman Old Style" w:cs="Arial"/>
                <w:lang w:val="es-ES_tradnl"/>
              </w:rPr>
            </w:pPr>
          </w:p>
        </w:tc>
      </w:tr>
      <w:tr w:rsidR="000B65DE" w:rsidRPr="000B65DE" w:rsidTr="00382E27">
        <w:tc>
          <w:tcPr>
            <w:tcW w:w="2759" w:type="dxa"/>
          </w:tcPr>
          <w:p w:rsidR="000B65DE" w:rsidRPr="0092172B" w:rsidRDefault="00364E59" w:rsidP="000B65DE">
            <w:pPr>
              <w:tabs>
                <w:tab w:val="left" w:pos="426"/>
              </w:tabs>
              <w:ind w:left="0"/>
              <w:jc w:val="both"/>
              <w:rPr>
                <w:rFonts w:ascii="Calibri" w:eastAsia="Calibri" w:hAnsi="Calibri"/>
                <w:sz w:val="16"/>
                <w:lang w:val="es-ES_tradnl"/>
              </w:rPr>
            </w:pPr>
            <m:oMathPara>
              <m:oMathParaPr>
                <m:jc m:val="left"/>
              </m:oMathParaPr>
              <m:oMath>
                <m:sSub>
                  <m:sSubPr>
                    <m:ctrlPr>
                      <w:rPr>
                        <w:rFonts w:ascii="Cambria Math" w:hAnsi="Cambria Math" w:cs="Arial"/>
                        <w:sz w:val="18"/>
                        <w:lang w:val="es-ES_tradnl"/>
                      </w:rPr>
                    </m:ctrlPr>
                  </m:sSubPr>
                  <m:e>
                    <m:sSub>
                      <m:sSubPr>
                        <m:ctrlPr>
                          <w:rPr>
                            <w:rFonts w:ascii="Cambria Math" w:hAnsi="Cambria Math" w:cs="Arial"/>
                            <w:sz w:val="18"/>
                            <w:lang w:val="es-ES_tradnl"/>
                          </w:rPr>
                        </m:ctrlPr>
                      </m:sSubPr>
                      <m:e>
                        <m:r>
                          <m:rPr>
                            <m:sty m:val="p"/>
                          </m:rPr>
                          <w:rPr>
                            <w:rFonts w:ascii="Cambria Math" w:hAnsi="Cambria Math" w:cs="Arial"/>
                            <w:sz w:val="18"/>
                            <w:lang w:val="es-ES_tradnl"/>
                          </w:rPr>
                          <m:t>VAE(VP(Q(PR)</m:t>
                        </m:r>
                      </m:e>
                      <m:sub>
                        <m:r>
                          <m:rPr>
                            <m:sty m:val="p"/>
                          </m:rPr>
                          <w:rPr>
                            <w:rFonts w:ascii="Cambria Math" w:hAnsi="Cambria Math" w:cs="Arial"/>
                            <w:sz w:val="18"/>
                            <w:lang w:val="es-ES_tradnl"/>
                          </w:rPr>
                          <m:t>NoResRS</m:t>
                        </m:r>
                      </m:sub>
                    </m:sSub>
                    <m:r>
                      <m:rPr>
                        <m:sty m:val="p"/>
                      </m:rPr>
                      <w:rPr>
                        <w:rFonts w:ascii="Cambria Math" w:hAnsi="Cambria Math" w:cs="Arial"/>
                        <w:sz w:val="18"/>
                        <w:lang w:val="es-ES_tradnl"/>
                      </w:rPr>
                      <m:t>+</m:t>
                    </m:r>
                    <m:sSub>
                      <m:sSubPr>
                        <m:ctrlPr>
                          <w:rPr>
                            <w:rFonts w:ascii="Cambria Math" w:hAnsi="Cambria Math" w:cs="Arial"/>
                            <w:sz w:val="18"/>
                            <w:lang w:val="es-ES_tradnl"/>
                          </w:rPr>
                        </m:ctrlPr>
                      </m:sSubPr>
                      <m:e>
                        <m:r>
                          <m:rPr>
                            <m:sty m:val="p"/>
                          </m:rPr>
                          <w:rPr>
                            <w:rFonts w:ascii="Cambria Math" w:hAnsi="Cambria Math" w:cs="Arial"/>
                            <w:sz w:val="18"/>
                            <w:lang w:val="es-ES_tradnl"/>
                          </w:rPr>
                          <m:t>Q(PR)</m:t>
                        </m:r>
                      </m:e>
                      <m:sub>
                        <m:r>
                          <m:rPr>
                            <m:sty m:val="p"/>
                          </m:rPr>
                          <w:rPr>
                            <w:rFonts w:ascii="Cambria Math" w:hAnsi="Cambria Math" w:cs="Arial"/>
                            <w:sz w:val="18"/>
                            <w:lang w:val="es-ES_tradnl"/>
                          </w:rPr>
                          <m:t xml:space="preserve">Res </m:t>
                        </m:r>
                      </m:sub>
                    </m:sSub>
                    <m:r>
                      <w:rPr>
                        <w:rFonts w:ascii="Cambria Math" w:hAnsi="Cambria Math" w:cs="Arial"/>
                        <w:sz w:val="18"/>
                        <w:lang w:val="es-ES_tradnl"/>
                      </w:rPr>
                      <m:t>))</m:t>
                    </m:r>
                  </m:e>
                  <m:sub>
                    <m:r>
                      <m:rPr>
                        <m:sty m:val="p"/>
                      </m:rPr>
                      <w:rPr>
                        <w:rFonts w:ascii="Cambria Math" w:hAnsi="Cambria Math" w:cs="Arial"/>
                        <w:sz w:val="18"/>
                        <w:lang w:val="es-ES_tradnl"/>
                      </w:rPr>
                      <m:t>mn</m:t>
                    </m:r>
                  </m:sub>
                </m:sSub>
              </m:oMath>
            </m:oMathPara>
          </w:p>
        </w:tc>
        <w:tc>
          <w:tcPr>
            <w:tcW w:w="6602" w:type="dxa"/>
          </w:tcPr>
          <w:p w:rsidR="000B65DE" w:rsidRPr="000B65DE" w:rsidRDefault="000B65DE" w:rsidP="00566770">
            <w:pPr>
              <w:tabs>
                <w:tab w:val="left" w:pos="426"/>
              </w:tabs>
              <w:ind w:left="0"/>
              <w:jc w:val="both"/>
              <w:rPr>
                <w:rFonts w:ascii="Bookman Old Style" w:hAnsi="Bookman Old Style" w:cs="Arial"/>
                <w:lang w:val="es-ES_tradnl"/>
              </w:rPr>
            </w:pPr>
            <w:r w:rsidRPr="000B65DE">
              <w:rPr>
                <w:rFonts w:ascii="Bookman Old Style" w:hAnsi="Bookman Old Style" w:cs="Arial"/>
                <w:lang w:val="es-ES_tradnl"/>
              </w:rPr>
              <w:t xml:space="preserve">Valor anual equivalente del valor presente de </w:t>
            </w:r>
            <w:r w:rsidR="00D21E8E">
              <w:rPr>
                <w:rFonts w:ascii="Bookman Old Style" w:hAnsi="Bookman Old Style" w:cs="Arial"/>
                <w:lang w:val="es-ES_tradnl"/>
              </w:rPr>
              <w:t xml:space="preserve">la </w:t>
            </w:r>
            <w:r w:rsidRPr="000B65DE">
              <w:rPr>
                <w:rFonts w:ascii="Bookman Old Style" w:hAnsi="Bookman Old Style" w:cs="Arial"/>
                <w:lang w:val="es-ES_tradnl"/>
              </w:rPr>
              <w:t xml:space="preserve">suma de la proyección </w:t>
            </w:r>
            <w:r w:rsidR="00D21E8E">
              <w:rPr>
                <w:rFonts w:ascii="Bookman Old Style" w:hAnsi="Bookman Old Style" w:cs="Arial"/>
                <w:lang w:val="es-ES_tradnl"/>
              </w:rPr>
              <w:t xml:space="preserve">anual </w:t>
            </w:r>
            <w:r w:rsidRPr="000B65DE">
              <w:rPr>
                <w:rFonts w:ascii="Bookman Old Style" w:hAnsi="Bookman Old Style" w:cs="Arial"/>
                <w:lang w:val="es-ES_tradnl"/>
              </w:rPr>
              <w:t xml:space="preserve">de demanda </w:t>
            </w:r>
            <w:r w:rsidR="00D21E8E">
              <w:rPr>
                <w:rFonts w:ascii="Bookman Old Style" w:hAnsi="Bookman Old Style" w:cs="Arial"/>
                <w:lang w:val="es-ES_tradnl"/>
              </w:rPr>
              <w:t xml:space="preserve">para 20 años </w:t>
            </w:r>
            <w:r w:rsidRPr="006C3460">
              <w:rPr>
                <w:rFonts w:ascii="Bookman Old Style" w:hAnsi="Bookman Old Style" w:cs="Arial"/>
                <w:lang w:val="es-ES_tradnl"/>
              </w:rPr>
              <w:t xml:space="preserve">correspondiente a Usuarios de Uso Diferente al Residencial, la cual </w:t>
            </w:r>
            <w:r w:rsidR="00D21E8E" w:rsidRPr="006C3460">
              <w:rPr>
                <w:rFonts w:ascii="Bookman Old Style" w:hAnsi="Bookman Old Style" w:cs="Arial"/>
                <w:lang w:val="es-ES_tradnl"/>
              </w:rPr>
              <w:t>está</w:t>
            </w:r>
            <w:r w:rsidRPr="006C3460">
              <w:rPr>
                <w:rFonts w:ascii="Bookman Old Style" w:hAnsi="Bookman Old Style" w:cs="Arial"/>
                <w:lang w:val="es-ES_tradnl"/>
              </w:rPr>
              <w:t xml:space="preserve"> conectada a  la Red Secundaria </w:t>
            </w:r>
            <w:r w:rsidRPr="006C3460">
              <w:rPr>
                <w:rFonts w:ascii="Bookman Old Style" w:hAnsi="Bookman Old Style" w:cs="Arial"/>
                <w:lang w:val="es-CO" w:eastAsia="en-US"/>
              </w:rPr>
              <w:t>y de la</w:t>
            </w:r>
            <w:r w:rsidR="003078F2" w:rsidRPr="006C3460">
              <w:rPr>
                <w:rFonts w:ascii="Bookman Old Style" w:hAnsi="Bookman Old Style" w:cs="Arial"/>
                <w:lang w:val="es-CO" w:eastAsia="en-US"/>
              </w:rPr>
              <w:t xml:space="preserve"> proyección</w:t>
            </w:r>
            <w:r w:rsidRPr="006C3460">
              <w:rPr>
                <w:rFonts w:ascii="Bookman Old Style" w:hAnsi="Bookman Old Style" w:cs="Arial"/>
                <w:lang w:val="es-CO" w:eastAsia="en-US"/>
              </w:rPr>
              <w:t xml:space="preserve"> </w:t>
            </w:r>
            <w:r w:rsidR="00D21E8E">
              <w:rPr>
                <w:rFonts w:ascii="Bookman Old Style" w:hAnsi="Bookman Old Style" w:cs="Arial"/>
                <w:lang w:val="es-CO" w:eastAsia="en-US"/>
              </w:rPr>
              <w:t xml:space="preserve">anual </w:t>
            </w:r>
            <w:r w:rsidR="006C3460" w:rsidRPr="006C3460">
              <w:rPr>
                <w:rFonts w:ascii="Bookman Old Style" w:hAnsi="Bookman Old Style" w:cs="Arial"/>
                <w:lang w:val="es-CO" w:eastAsia="en-US"/>
              </w:rPr>
              <w:t xml:space="preserve">de </w:t>
            </w:r>
            <w:r w:rsidRPr="006C3460">
              <w:rPr>
                <w:rFonts w:ascii="Bookman Old Style" w:hAnsi="Bookman Old Style" w:cs="Arial"/>
                <w:lang w:val="es-CO" w:eastAsia="en-US"/>
              </w:rPr>
              <w:t xml:space="preserve">demanda </w:t>
            </w:r>
            <w:r w:rsidR="00D21E8E">
              <w:rPr>
                <w:rFonts w:ascii="Bookman Old Style" w:hAnsi="Bookman Old Style" w:cs="Arial"/>
                <w:lang w:val="es-CO" w:eastAsia="en-US"/>
              </w:rPr>
              <w:t xml:space="preserve">para 20 años </w:t>
            </w:r>
            <w:r w:rsidRPr="006C3460">
              <w:rPr>
                <w:rFonts w:ascii="Bookman Old Style" w:hAnsi="Bookman Old Style" w:cs="Arial"/>
                <w:lang w:val="es-CO" w:eastAsia="en-US"/>
              </w:rPr>
              <w:t xml:space="preserve">de </w:t>
            </w:r>
            <w:r w:rsidRPr="006C3460">
              <w:rPr>
                <w:rFonts w:ascii="Bookman Old Style" w:hAnsi="Bookman Old Style" w:cs="Arial"/>
                <w:lang w:val="es-ES_tradnl"/>
              </w:rPr>
              <w:t>Usuarios de uso Residencial de los Municipios</w:t>
            </w:r>
            <w:r w:rsidRPr="000B65DE">
              <w:rPr>
                <w:rFonts w:ascii="Bookman Old Style" w:hAnsi="Bookman Old Style" w:cs="Arial"/>
                <w:lang w:val="es-ES_tradnl"/>
              </w:rPr>
              <w:t xml:space="preserve"> Nuevos que van a constituir el Mercado Relevante de Distribución k para el Siguiente Período Tarifario, </w:t>
            </w:r>
            <w:r w:rsidR="00D21E8E" w:rsidRPr="000B65DE">
              <w:rPr>
                <w:rFonts w:ascii="Bookman Old Style" w:hAnsi="Bookman Old Style" w:cs="Arial"/>
                <w:lang w:val="es-CO" w:eastAsia="en-US"/>
              </w:rPr>
              <w:t>conformado a partir de anexar a Mercados Existentes de Distribución</w:t>
            </w:r>
            <w:r w:rsidR="00566770" w:rsidRPr="000B65DE">
              <w:rPr>
                <w:rFonts w:ascii="Bookman Old Style" w:hAnsi="Bookman Old Style" w:cs="Arial"/>
                <w:lang w:val="es-CO" w:eastAsia="en-US"/>
              </w:rPr>
              <w:t xml:space="preserve"> Municipios Nuevos</w:t>
            </w:r>
            <w:r w:rsidR="00D21E8E" w:rsidRPr="000B65DE">
              <w:rPr>
                <w:rFonts w:ascii="Bookman Old Style" w:hAnsi="Bookman Old Style" w:cs="Arial"/>
                <w:lang w:val="es-CO" w:eastAsia="en-US"/>
              </w:rPr>
              <w:t>,</w:t>
            </w:r>
            <w:r w:rsidR="00566770">
              <w:rPr>
                <w:rFonts w:ascii="Bookman Old Style" w:hAnsi="Bookman Old Style" w:cs="Arial"/>
                <w:lang w:val="es-ES_tradnl"/>
              </w:rPr>
              <w:t xml:space="preserve"> </w:t>
            </w:r>
            <w:r w:rsidR="00D21E8E" w:rsidRPr="000B65DE">
              <w:rPr>
                <w:rFonts w:ascii="Bookman Old Style" w:hAnsi="Bookman Old Style" w:cs="Arial"/>
                <w:lang w:val="es-ES_tradnl"/>
              </w:rPr>
              <w:t>expresad</w:t>
            </w:r>
            <w:r w:rsidR="00D21E8E">
              <w:rPr>
                <w:rFonts w:ascii="Bookman Old Style" w:hAnsi="Bookman Old Style" w:cs="Arial"/>
                <w:lang w:val="es-ES_tradnl"/>
              </w:rPr>
              <w:t>o</w:t>
            </w:r>
            <w:r w:rsidR="00D21E8E" w:rsidRPr="000B65DE">
              <w:rPr>
                <w:rFonts w:ascii="Bookman Old Style" w:hAnsi="Bookman Old Style" w:cs="Arial"/>
                <w:lang w:val="es-ES_tradnl"/>
              </w:rPr>
              <w:t xml:space="preserve"> </w:t>
            </w:r>
            <w:r w:rsidRPr="000B65DE">
              <w:rPr>
                <w:rFonts w:ascii="Bookman Old Style" w:hAnsi="Bookman Old Style" w:cs="Arial"/>
                <w:lang w:val="es-ES_tradnl"/>
              </w:rPr>
              <w:t>en metros cúbicos (m</w:t>
            </w:r>
            <w:r w:rsidRPr="000B65DE">
              <w:rPr>
                <w:rFonts w:ascii="Bookman Old Style" w:hAnsi="Bookman Old Style" w:cs="Arial"/>
                <w:vertAlign w:val="superscript"/>
                <w:lang w:val="es-ES_tradnl"/>
              </w:rPr>
              <w:t>3</w:t>
            </w:r>
            <w:r w:rsidRPr="000B65DE">
              <w:rPr>
                <w:rFonts w:ascii="Bookman Old Style" w:hAnsi="Bookman Old Style" w:cs="Arial"/>
                <w:lang w:val="es-ES_tradnl"/>
              </w:rPr>
              <w:t xml:space="preserve">). </w:t>
            </w:r>
          </w:p>
        </w:tc>
      </w:tr>
    </w:tbl>
    <w:p w:rsidR="000B65DE" w:rsidRPr="000B65DE" w:rsidRDefault="000B65DE" w:rsidP="000B65DE">
      <w:pPr>
        <w:tabs>
          <w:tab w:val="left" w:pos="426"/>
        </w:tabs>
        <w:ind w:left="708"/>
        <w:jc w:val="both"/>
        <w:rPr>
          <w:rFonts w:ascii="Arial" w:hAnsi="Arial" w:cs="Arial"/>
          <w:lang w:val="es-ES_tradnl"/>
        </w:rPr>
      </w:pPr>
    </w:p>
    <w:p w:rsidR="000B65DE" w:rsidRPr="000B65DE" w:rsidRDefault="000B65DE" w:rsidP="008F4D9F">
      <w:pPr>
        <w:numPr>
          <w:ilvl w:val="3"/>
          <w:numId w:val="16"/>
        </w:numPr>
        <w:overflowPunct w:val="0"/>
        <w:autoSpaceDE w:val="0"/>
        <w:autoSpaceDN w:val="0"/>
        <w:adjustRightInd w:val="0"/>
        <w:ind w:left="1134" w:hanging="1134"/>
        <w:jc w:val="both"/>
        <w:textAlignment w:val="baseline"/>
        <w:outlineLvl w:val="1"/>
        <w:rPr>
          <w:rFonts w:ascii="Bookman Old Style" w:hAnsi="Bookman Old Style"/>
          <w:b/>
          <w:bCs/>
          <w:lang w:val="es-CO"/>
        </w:rPr>
      </w:pPr>
      <w:r w:rsidRPr="000B65DE">
        <w:rPr>
          <w:rFonts w:ascii="Bookman Old Style" w:hAnsi="Bookman Old Style"/>
          <w:b/>
          <w:bCs/>
          <w:lang w:val="es-CO"/>
        </w:rPr>
        <w:t xml:space="preserve">Mercados Relevantes de Distribución para el Siguiente Período Tarifario conformados por Municipios Nuevos </w:t>
      </w:r>
    </w:p>
    <w:p w:rsidR="000B65DE" w:rsidRDefault="000B65DE" w:rsidP="000B65DE">
      <w:pPr>
        <w:tabs>
          <w:tab w:val="left" w:pos="426"/>
        </w:tabs>
        <w:ind w:left="0"/>
        <w:jc w:val="both"/>
        <w:rPr>
          <w:rFonts w:ascii="Arial" w:hAnsi="Arial" w:cs="Arial"/>
          <w:lang w:val="es-CO"/>
        </w:rPr>
      </w:pPr>
    </w:p>
    <w:p w:rsidR="00C7068E" w:rsidRPr="000B65DE" w:rsidRDefault="00C7068E" w:rsidP="000B65DE">
      <w:pPr>
        <w:tabs>
          <w:tab w:val="left" w:pos="426"/>
        </w:tabs>
        <w:ind w:left="0"/>
        <w:jc w:val="both"/>
        <w:rPr>
          <w:rFonts w:ascii="Arial" w:hAnsi="Arial" w:cs="Arial"/>
          <w:lang w:val="es-CO"/>
        </w:rPr>
      </w:pPr>
    </w:p>
    <w:p w:rsidR="000B65DE" w:rsidRPr="0092172B" w:rsidRDefault="00364E59" w:rsidP="000B65DE">
      <w:pPr>
        <w:tabs>
          <w:tab w:val="left" w:pos="426"/>
        </w:tabs>
        <w:ind w:left="0"/>
        <w:jc w:val="center"/>
        <w:rPr>
          <w:rFonts w:ascii="Bookman Old Style" w:hAnsi="Bookman Old Style" w:cs="Arial"/>
          <w:lang w:val="es-ES_tradnl"/>
        </w:rPr>
      </w:pPr>
      <m:oMathPara>
        <m:oMath>
          <m:sSub>
            <m:sSubPr>
              <m:ctrlPr>
                <w:rPr>
                  <w:rFonts w:ascii="Cambria Math" w:hAnsi="Cambria Math" w:cs="Arial"/>
                  <w:lang w:val="es-ES_tradnl"/>
                </w:rPr>
              </m:ctrlPr>
            </m:sSubPr>
            <m:e>
              <m:r>
                <m:rPr>
                  <m:sty m:val="p"/>
                </m:rPr>
                <w:rPr>
                  <w:rFonts w:ascii="Cambria Math" w:hAnsi="Cambria Math" w:cs="Arial"/>
                  <w:lang w:val="es-ES_tradnl"/>
                </w:rPr>
                <m:t>D</m:t>
              </m:r>
            </m:e>
            <m:sub>
              <m:r>
                <m:rPr>
                  <m:sty m:val="p"/>
                </m:rPr>
                <w:rPr>
                  <w:rFonts w:ascii="Cambria Math" w:hAnsi="Cambria Math" w:cs="Arial"/>
                  <w:lang w:val="es-ES_tradnl"/>
                </w:rPr>
                <m:t>inv(AUR)k</m:t>
              </m:r>
            </m:sub>
          </m:sSub>
          <m:r>
            <m:rPr>
              <m:sty m:val="p"/>
            </m:rPr>
            <w:rPr>
              <w:rFonts w:ascii="Cambria Math" w:hAnsi="Cambria Math" w:cs="Arial"/>
              <w:lang w:val="es-ES_tradnl"/>
            </w:rPr>
            <m:t xml:space="preserve">= </m:t>
          </m:r>
          <m:f>
            <m:fPr>
              <m:ctrlPr>
                <w:rPr>
                  <w:rFonts w:ascii="Cambria Math" w:hAnsi="Cambria Math" w:cs="Arial"/>
                  <w:lang w:val="es-ES_tradnl"/>
                </w:rPr>
              </m:ctrlPr>
            </m:fPr>
            <m:num>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IBMN</m:t>
                  </m:r>
                </m:e>
                <m:sub>
                  <m:r>
                    <m:rPr>
                      <m:sty m:val="p"/>
                    </m:rPr>
                    <w:rPr>
                      <w:rFonts w:ascii="Cambria Math" w:eastAsia="Calibri" w:hAnsi="Cambria Math" w:cs="Arial"/>
                      <w:lang w:val="es-CO" w:eastAsia="en-US"/>
                    </w:rPr>
                    <m:t>RPk</m:t>
                  </m:r>
                </m:sub>
              </m:sSub>
            </m:num>
            <m:den>
              <m:r>
                <m:rPr>
                  <m:sty m:val="p"/>
                </m:rPr>
                <w:rPr>
                  <w:rFonts w:ascii="Cambria Math" w:hAnsi="Cambria Math" w:cs="Arial"/>
                  <w:lang w:val="es-ES_tradnl"/>
                </w:rPr>
                <m:t>VP</m:t>
              </m:r>
              <m:d>
                <m:dPr>
                  <m:ctrlPr>
                    <w:rPr>
                      <w:rFonts w:ascii="Cambria Math" w:hAnsi="Cambria Math" w:cs="Arial"/>
                      <w:lang w:val="es-ES_tradnl"/>
                    </w:rPr>
                  </m:ctrlPr>
                </m:dPr>
                <m:e>
                  <m:sSub>
                    <m:sSubPr>
                      <m:ctrlPr>
                        <w:rPr>
                          <w:rFonts w:ascii="Cambria Math" w:hAnsi="Cambria Math" w:cs="Arial"/>
                          <w:lang w:val="es-ES_tradnl"/>
                        </w:rPr>
                      </m:ctrlPr>
                    </m:sSubPr>
                    <m:e>
                      <m:r>
                        <m:rPr>
                          <m:sty m:val="p"/>
                        </m:rPr>
                        <w:rPr>
                          <w:rFonts w:ascii="Cambria Math" w:hAnsi="Cambria Math" w:cs="Arial"/>
                          <w:lang w:val="es-ES_tradnl"/>
                        </w:rPr>
                        <m:t>Q(PR)</m:t>
                      </m:r>
                    </m:e>
                    <m:sub>
                      <m:r>
                        <m:rPr>
                          <m:sty m:val="p"/>
                        </m:rPr>
                        <w:rPr>
                          <w:rFonts w:ascii="Cambria Math" w:hAnsi="Cambria Math" w:cs="Arial"/>
                          <w:lang w:val="es-ES_tradnl"/>
                        </w:rPr>
                        <m:t>Tk</m:t>
                      </m:r>
                    </m:sub>
                  </m:sSub>
                </m:e>
              </m:d>
            </m:den>
          </m:f>
          <m:r>
            <w:rPr>
              <w:rFonts w:ascii="Cambria Math" w:hAnsi="Cambria Math" w:cs="Arial"/>
              <w:lang w:val="es-ES_tradnl"/>
            </w:rPr>
            <m:t>+</m:t>
          </m:r>
          <m:f>
            <m:fPr>
              <m:ctrlPr>
                <w:rPr>
                  <w:rFonts w:ascii="Cambria Math" w:hAnsi="Cambria Math" w:cs="Arial"/>
                  <w:lang w:val="es-ES_tradnl"/>
                </w:rPr>
              </m:ctrlPr>
            </m:fPr>
            <m:num>
              <m:sSub>
                <m:sSubPr>
                  <m:ctrlPr>
                    <w:rPr>
                      <w:rFonts w:ascii="Cambria Math" w:hAnsi="Cambria Math" w:cs="Arial"/>
                      <w:lang w:val="es-ES_tradnl"/>
                    </w:rPr>
                  </m:ctrlPr>
                </m:sSubPr>
                <m:e>
                  <m:r>
                    <m:rPr>
                      <m:sty m:val="p"/>
                    </m:rPr>
                    <w:rPr>
                      <w:rFonts w:ascii="Cambria Math" w:hAnsi="Cambria Math" w:cs="Arial"/>
                      <w:lang w:val="es-ES_tradnl"/>
                    </w:rPr>
                    <m:t>IBMN</m:t>
                  </m:r>
                </m:e>
                <m:sub>
                  <m:r>
                    <m:rPr>
                      <m:sty m:val="p"/>
                    </m:rPr>
                    <w:rPr>
                      <w:rFonts w:ascii="Cambria Math" w:hAnsi="Cambria Math" w:cs="Arial"/>
                      <w:lang w:val="es-ES_tradnl"/>
                    </w:rPr>
                    <m:t>RSk</m:t>
                  </m:r>
                </m:sub>
              </m:sSub>
            </m:num>
            <m:den>
              <m:sSub>
                <m:sSubPr>
                  <m:ctrlPr>
                    <w:rPr>
                      <w:rFonts w:ascii="Cambria Math" w:hAnsi="Cambria Math" w:cs="Arial"/>
                      <w:lang w:val="es-ES_tradnl"/>
                    </w:rPr>
                  </m:ctrlPr>
                </m:sSubPr>
                <m:e>
                  <m:r>
                    <m:rPr>
                      <m:sty m:val="p"/>
                    </m:rPr>
                    <w:rPr>
                      <w:rFonts w:ascii="Cambria Math" w:hAnsi="Cambria Math" w:cs="Arial"/>
                      <w:lang w:val="es-ES_tradnl"/>
                    </w:rPr>
                    <m:t>VP(Q(PR)</m:t>
                  </m:r>
                </m:e>
                <m:sub>
                  <m:r>
                    <m:rPr>
                      <m:sty m:val="p"/>
                    </m:rPr>
                    <w:rPr>
                      <w:rFonts w:ascii="Cambria Math" w:hAnsi="Cambria Math" w:cs="Arial"/>
                      <w:lang w:val="es-ES_tradnl"/>
                    </w:rPr>
                    <m:t>NoResRS</m:t>
                  </m:r>
                </m:sub>
              </m:sSub>
              <m:r>
                <m:rPr>
                  <m:sty m:val="p"/>
                </m:rPr>
                <w:rPr>
                  <w:rFonts w:ascii="Cambria Math" w:hAnsi="Cambria Math" w:cs="Arial"/>
                  <w:lang w:val="es-ES_tradnl"/>
                </w:rPr>
                <m:t>+</m:t>
              </m:r>
              <m:sSub>
                <m:sSubPr>
                  <m:ctrlPr>
                    <w:rPr>
                      <w:rFonts w:ascii="Cambria Math" w:hAnsi="Cambria Math" w:cs="Arial"/>
                      <w:lang w:val="es-ES_tradnl"/>
                    </w:rPr>
                  </m:ctrlPr>
                </m:sSubPr>
                <m:e>
                  <m:r>
                    <m:rPr>
                      <m:sty m:val="p"/>
                    </m:rPr>
                    <w:rPr>
                      <w:rFonts w:ascii="Cambria Math" w:hAnsi="Cambria Math" w:cs="Arial"/>
                      <w:lang w:val="es-ES_tradnl"/>
                    </w:rPr>
                    <m:t>Q(PR)</m:t>
                  </m:r>
                </m:e>
                <m:sub>
                  <m:r>
                    <m:rPr>
                      <m:sty m:val="p"/>
                    </m:rPr>
                    <w:rPr>
                      <w:rFonts w:ascii="Cambria Math" w:hAnsi="Cambria Math" w:cs="Arial"/>
                      <w:lang w:val="es-ES_tradnl"/>
                    </w:rPr>
                    <m:t>Res</m:t>
                  </m:r>
                </m:sub>
              </m:sSub>
              <m:r>
                <w:rPr>
                  <w:rFonts w:ascii="Cambria Math" w:hAnsi="Cambria Math" w:cs="Arial"/>
                  <w:lang w:val="es-ES_tradnl"/>
                </w:rPr>
                <m:t>)</m:t>
              </m:r>
            </m:den>
          </m:f>
        </m:oMath>
      </m:oMathPara>
    </w:p>
    <w:p w:rsidR="000B65DE" w:rsidRPr="000B65DE" w:rsidRDefault="000B65DE" w:rsidP="000B65DE">
      <w:pPr>
        <w:tabs>
          <w:tab w:val="left" w:pos="426"/>
        </w:tabs>
        <w:ind w:left="0"/>
        <w:jc w:val="both"/>
        <w:rPr>
          <w:rFonts w:ascii="Bookman Old Style" w:hAnsi="Bookman Old Style" w:cs="Arial"/>
          <w:lang w:val="es-ES_tradnl"/>
        </w:rPr>
      </w:pPr>
    </w:p>
    <w:p w:rsidR="000B65DE" w:rsidRPr="000B65DE" w:rsidRDefault="000B65DE" w:rsidP="000B65DE">
      <w:pPr>
        <w:ind w:left="284" w:hanging="284"/>
        <w:jc w:val="both"/>
        <w:rPr>
          <w:rFonts w:ascii="Bookman Old Style" w:hAnsi="Bookman Old Style"/>
        </w:rPr>
      </w:pPr>
    </w:p>
    <w:p w:rsidR="000B65DE" w:rsidRPr="0092172B" w:rsidRDefault="00364E59" w:rsidP="000B65DE">
      <w:pPr>
        <w:tabs>
          <w:tab w:val="left" w:pos="426"/>
        </w:tabs>
        <w:ind w:left="0"/>
        <w:jc w:val="center"/>
        <w:rPr>
          <w:rFonts w:ascii="Bookman Old Style" w:hAnsi="Bookman Old Style" w:cs="Arial"/>
          <w:lang w:val="es-ES_tradnl"/>
        </w:rPr>
      </w:pPr>
      <m:oMathPara>
        <m:oMath>
          <m:sSub>
            <m:sSubPr>
              <m:ctrlPr>
                <w:rPr>
                  <w:rFonts w:ascii="Cambria Math" w:hAnsi="Cambria Math" w:cs="Arial"/>
                  <w:lang w:val="es-ES_tradnl"/>
                </w:rPr>
              </m:ctrlPr>
            </m:sSubPr>
            <m:e>
              <m:r>
                <m:rPr>
                  <m:sty m:val="p"/>
                </m:rPr>
                <w:rPr>
                  <w:rFonts w:ascii="Cambria Math" w:hAnsi="Cambria Math" w:cs="Arial"/>
                  <w:lang w:val="es-ES_tradnl"/>
                </w:rPr>
                <m:t>D</m:t>
              </m:r>
            </m:e>
            <m:sub>
              <m:r>
                <m:rPr>
                  <m:sty m:val="p"/>
                </m:rPr>
                <w:rPr>
                  <w:rFonts w:ascii="Cambria Math" w:hAnsi="Cambria Math" w:cs="Arial"/>
                  <w:lang w:val="es-ES_tradnl"/>
                </w:rPr>
                <m:t>AOM(AUR)k</m:t>
              </m:r>
            </m:sub>
          </m:sSub>
          <m:r>
            <m:rPr>
              <m:sty m:val="p"/>
            </m:rPr>
            <w:rPr>
              <w:rFonts w:ascii="Cambria Math" w:hAnsi="Cambria Math" w:cs="Arial"/>
              <w:lang w:val="es-ES_tradnl"/>
            </w:rPr>
            <m:t xml:space="preserve">= </m:t>
          </m:r>
          <m:f>
            <m:fPr>
              <m:ctrlPr>
                <w:rPr>
                  <w:rFonts w:ascii="Cambria Math" w:hAnsi="Cambria Math" w:cs="Arial"/>
                  <w:lang w:val="es-ES_tradnl"/>
                </w:rPr>
              </m:ctrlPr>
            </m:fPr>
            <m:num>
              <m:r>
                <m:rPr>
                  <m:sty m:val="p"/>
                </m:rPr>
                <w:rPr>
                  <w:rFonts w:ascii="Cambria Math" w:hAnsi="Cambria Math" w:cs="Arial"/>
                  <w:lang w:val="es-ES_tradnl"/>
                </w:rPr>
                <m:t>VP(</m:t>
              </m:r>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AOM(PR))</m:t>
                  </m:r>
                </m:e>
                <m:sub>
                  <m:r>
                    <m:rPr>
                      <m:sty m:val="p"/>
                    </m:rPr>
                    <w:rPr>
                      <w:rFonts w:ascii="Cambria Math" w:eastAsia="Calibri" w:hAnsi="Cambria Math" w:cs="Arial"/>
                      <w:lang w:val="es-CO" w:eastAsia="en-US"/>
                    </w:rPr>
                    <m:t>RPk</m:t>
                  </m:r>
                </m:sub>
              </m:sSub>
            </m:num>
            <m:den>
              <m:r>
                <m:rPr>
                  <m:sty m:val="p"/>
                </m:rPr>
                <w:rPr>
                  <w:rFonts w:ascii="Cambria Math" w:hAnsi="Cambria Math" w:cs="Arial"/>
                  <w:lang w:val="es-ES_tradnl"/>
                </w:rPr>
                <m:t>VP(</m:t>
              </m:r>
              <m:sSub>
                <m:sSubPr>
                  <m:ctrlPr>
                    <w:rPr>
                      <w:rFonts w:ascii="Cambria Math" w:hAnsi="Cambria Math" w:cs="Arial"/>
                      <w:lang w:val="es-ES_tradnl"/>
                    </w:rPr>
                  </m:ctrlPr>
                </m:sSubPr>
                <m:e>
                  <m:r>
                    <m:rPr>
                      <m:sty m:val="p"/>
                    </m:rPr>
                    <w:rPr>
                      <w:rFonts w:ascii="Cambria Math" w:hAnsi="Cambria Math" w:cs="Arial"/>
                      <w:lang w:val="es-ES_tradnl"/>
                    </w:rPr>
                    <m:t>Q(PR))</m:t>
                  </m:r>
                </m:e>
                <m:sub>
                  <m:r>
                    <m:rPr>
                      <m:sty m:val="p"/>
                    </m:rPr>
                    <w:rPr>
                      <w:rFonts w:ascii="Cambria Math" w:hAnsi="Cambria Math" w:cs="Arial"/>
                      <w:lang w:val="es-ES_tradnl"/>
                    </w:rPr>
                    <m:t>Tk</m:t>
                  </m:r>
                </m:sub>
              </m:sSub>
            </m:den>
          </m:f>
          <m:r>
            <m:rPr>
              <m:sty m:val="p"/>
            </m:rPr>
            <w:rPr>
              <w:rFonts w:ascii="Cambria Math" w:hAnsi="Cambria Math" w:cs="Arial"/>
              <w:lang w:val="es-ES_tradnl"/>
            </w:rPr>
            <m:t>+</m:t>
          </m:r>
          <m:f>
            <m:fPr>
              <m:ctrlPr>
                <w:rPr>
                  <w:rFonts w:ascii="Cambria Math" w:hAnsi="Cambria Math" w:cs="Arial"/>
                  <w:lang w:val="es-ES_tradnl"/>
                </w:rPr>
              </m:ctrlPr>
            </m:fPr>
            <m:num>
              <m:r>
                <m:rPr>
                  <m:sty m:val="p"/>
                </m:rPr>
                <w:rPr>
                  <w:rFonts w:ascii="Cambria Math" w:hAnsi="Cambria Math" w:cs="Arial"/>
                  <w:lang w:val="es-ES_tradnl"/>
                </w:rPr>
                <m:t>VP(</m:t>
              </m:r>
              <m:sSub>
                <m:sSubPr>
                  <m:ctrlPr>
                    <w:rPr>
                      <w:rFonts w:ascii="Cambria Math" w:hAnsi="Cambria Math" w:cs="Arial"/>
                      <w:lang w:val="es-ES_tradnl"/>
                    </w:rPr>
                  </m:ctrlPr>
                </m:sSubPr>
                <m:e>
                  <m:r>
                    <m:rPr>
                      <m:sty m:val="p"/>
                    </m:rPr>
                    <w:rPr>
                      <w:rFonts w:ascii="Cambria Math" w:hAnsi="Cambria Math" w:cs="Arial"/>
                      <w:lang w:val="es-ES_tradnl"/>
                    </w:rPr>
                    <m:t>AOM(PR))</m:t>
                  </m:r>
                </m:e>
                <m:sub>
                  <m:r>
                    <m:rPr>
                      <m:sty m:val="p"/>
                    </m:rPr>
                    <w:rPr>
                      <w:rFonts w:ascii="Cambria Math" w:hAnsi="Cambria Math" w:cs="Arial"/>
                      <w:lang w:val="es-ES_tradnl"/>
                    </w:rPr>
                    <m:t>RSk</m:t>
                  </m:r>
                </m:sub>
              </m:sSub>
            </m:num>
            <m:den>
              <m:r>
                <m:rPr>
                  <m:sty m:val="p"/>
                </m:rPr>
                <w:rPr>
                  <w:rFonts w:ascii="Cambria Math" w:hAnsi="Cambria Math" w:cs="Arial"/>
                  <w:lang w:val="es-ES_tradnl"/>
                </w:rPr>
                <m:t>VP</m:t>
              </m:r>
              <m:sSub>
                <m:sSubPr>
                  <m:ctrlPr>
                    <w:rPr>
                      <w:rFonts w:ascii="Cambria Math" w:hAnsi="Cambria Math" w:cs="Arial"/>
                      <w:lang w:val="es-ES_tradnl"/>
                    </w:rPr>
                  </m:ctrlPr>
                </m:sSubPr>
                <m:e>
                  <m:r>
                    <m:rPr>
                      <m:sty m:val="p"/>
                    </m:rPr>
                    <w:rPr>
                      <w:rFonts w:ascii="Cambria Math" w:hAnsi="Cambria Math" w:cs="Arial"/>
                      <w:lang w:val="es-ES_tradnl"/>
                    </w:rPr>
                    <m:t>(Q(PR)</m:t>
                  </m:r>
                </m:e>
                <m:sub>
                  <m:r>
                    <m:rPr>
                      <m:sty m:val="p"/>
                    </m:rPr>
                    <w:rPr>
                      <w:rFonts w:ascii="Cambria Math" w:hAnsi="Cambria Math" w:cs="Arial"/>
                      <w:lang w:val="es-ES_tradnl"/>
                    </w:rPr>
                    <m:t>NoResRSk</m:t>
                  </m:r>
                </m:sub>
              </m:sSub>
              <m:r>
                <m:rPr>
                  <m:sty m:val="p"/>
                </m:rPr>
                <w:rPr>
                  <w:rFonts w:ascii="Cambria Math" w:hAnsi="Cambria Math" w:cs="Arial"/>
                  <w:lang w:val="es-ES_tradnl"/>
                </w:rPr>
                <m:t>+</m:t>
              </m:r>
              <m:sSub>
                <m:sSubPr>
                  <m:ctrlPr>
                    <w:rPr>
                      <w:rFonts w:ascii="Cambria Math" w:hAnsi="Cambria Math" w:cs="Arial"/>
                      <w:lang w:val="es-ES_tradnl"/>
                    </w:rPr>
                  </m:ctrlPr>
                </m:sSubPr>
                <m:e>
                  <m:r>
                    <m:rPr>
                      <m:sty m:val="p"/>
                    </m:rPr>
                    <w:rPr>
                      <w:rFonts w:ascii="Cambria Math" w:hAnsi="Cambria Math" w:cs="Arial"/>
                      <w:lang w:val="es-ES_tradnl"/>
                    </w:rPr>
                    <m:t>Q(PR)</m:t>
                  </m:r>
                </m:e>
                <m:sub>
                  <m:r>
                    <m:rPr>
                      <m:sty m:val="p"/>
                    </m:rPr>
                    <w:rPr>
                      <w:rFonts w:ascii="Cambria Math" w:hAnsi="Cambria Math" w:cs="Arial"/>
                      <w:lang w:val="es-ES_tradnl"/>
                    </w:rPr>
                    <m:t>Resk</m:t>
                  </m:r>
                </m:sub>
              </m:sSub>
              <m:r>
                <m:rPr>
                  <m:sty m:val="p"/>
                </m:rPr>
                <w:rPr>
                  <w:rFonts w:ascii="Cambria Math" w:hAnsi="Cambria Math" w:cs="Arial"/>
                  <w:lang w:val="es-ES_tradnl"/>
                </w:rPr>
                <m:t>)</m:t>
              </m:r>
            </m:den>
          </m:f>
        </m:oMath>
      </m:oMathPara>
    </w:p>
    <w:p w:rsidR="000B65DE" w:rsidRPr="000B65DE" w:rsidRDefault="000B65DE" w:rsidP="000B65DE">
      <w:pPr>
        <w:tabs>
          <w:tab w:val="left" w:pos="426"/>
        </w:tabs>
        <w:ind w:left="0"/>
        <w:jc w:val="both"/>
        <w:rPr>
          <w:rFonts w:ascii="Arial" w:hAnsi="Arial" w:cs="Arial"/>
          <w:lang w:val="es-ES_tradnl"/>
        </w:rPr>
      </w:pPr>
    </w:p>
    <w:p w:rsidR="000B65DE" w:rsidRDefault="000B65DE" w:rsidP="000B65DE">
      <w:pPr>
        <w:tabs>
          <w:tab w:val="left" w:pos="426"/>
        </w:tabs>
        <w:ind w:left="0"/>
        <w:jc w:val="both"/>
        <w:rPr>
          <w:rFonts w:ascii="Arial" w:hAnsi="Arial" w:cs="Arial"/>
          <w:lang w:val="es-ES_tradnl"/>
        </w:rPr>
      </w:pPr>
    </w:p>
    <w:p w:rsidR="00C7068E" w:rsidRPr="000B65DE" w:rsidRDefault="00C7068E" w:rsidP="000B65DE">
      <w:pPr>
        <w:tabs>
          <w:tab w:val="left" w:pos="426"/>
        </w:tabs>
        <w:ind w:left="0"/>
        <w:jc w:val="both"/>
        <w:rPr>
          <w:rFonts w:ascii="Arial" w:hAnsi="Arial" w:cs="Arial"/>
          <w:lang w:val="es-ES_tradnl"/>
        </w:rPr>
      </w:pPr>
    </w:p>
    <w:tbl>
      <w:tblPr>
        <w:tblW w:w="0" w:type="auto"/>
        <w:tblInd w:w="108" w:type="dxa"/>
        <w:tblLook w:val="04A0" w:firstRow="1" w:lastRow="0" w:firstColumn="1" w:lastColumn="0" w:noHBand="0" w:noVBand="1"/>
      </w:tblPr>
      <w:tblGrid>
        <w:gridCol w:w="2268"/>
        <w:gridCol w:w="6602"/>
      </w:tblGrid>
      <w:tr w:rsidR="000B65DE" w:rsidRPr="000B65DE" w:rsidTr="00382E27">
        <w:tc>
          <w:tcPr>
            <w:tcW w:w="2268" w:type="dxa"/>
          </w:tcPr>
          <w:p w:rsidR="000B65DE" w:rsidRPr="0092172B" w:rsidRDefault="00364E59" w:rsidP="000B65DE">
            <w:pPr>
              <w:tabs>
                <w:tab w:val="left" w:pos="426"/>
              </w:tabs>
              <w:ind w:left="0"/>
              <w:jc w:val="both"/>
              <w:rPr>
                <w:rFonts w:ascii="Bookman Old Style" w:hAnsi="Bookman Old Style" w:cs="Arial"/>
                <w:lang w:val="es-ES_tradnl"/>
              </w:rPr>
            </w:pPr>
            <m:oMathPara>
              <m:oMathParaPr>
                <m:jc m:val="left"/>
              </m:oMathParaPr>
              <m:oMath>
                <m:sSub>
                  <m:sSubPr>
                    <m:ctrlPr>
                      <w:rPr>
                        <w:rFonts w:ascii="Cambria Math" w:eastAsia="Calibri" w:hAnsi="Cambria Math" w:cs="Arial"/>
                        <w:sz w:val="22"/>
                        <w:lang w:val="es-CO" w:eastAsia="en-US"/>
                      </w:rPr>
                    </m:ctrlPr>
                  </m:sSubPr>
                  <m:e>
                    <m:r>
                      <m:rPr>
                        <m:sty m:val="p"/>
                      </m:rPr>
                      <w:rPr>
                        <w:rFonts w:ascii="Cambria Math" w:eastAsia="Calibri" w:hAnsi="Cambria Math" w:cs="Arial"/>
                        <w:sz w:val="22"/>
                        <w:lang w:val="es-CO" w:eastAsia="en-US"/>
                      </w:rPr>
                      <m:t>IBMN</m:t>
                    </m:r>
                  </m:e>
                  <m:sub>
                    <m:r>
                      <m:rPr>
                        <m:sty m:val="p"/>
                      </m:rPr>
                      <w:rPr>
                        <w:rFonts w:ascii="Cambria Math" w:eastAsia="Calibri" w:hAnsi="Cambria Math" w:cs="Arial"/>
                        <w:sz w:val="22"/>
                        <w:lang w:val="es-CO" w:eastAsia="en-US"/>
                      </w:rPr>
                      <m:t>RPk</m:t>
                    </m:r>
                  </m:sub>
                </m:sSub>
              </m:oMath>
            </m:oMathPara>
          </w:p>
        </w:tc>
        <w:tc>
          <w:tcPr>
            <w:tcW w:w="6602" w:type="dxa"/>
          </w:tcPr>
          <w:p w:rsidR="000B65DE" w:rsidRPr="000B65DE" w:rsidRDefault="000B65DE" w:rsidP="000B65DE">
            <w:pPr>
              <w:tabs>
                <w:tab w:val="left" w:pos="426"/>
              </w:tabs>
              <w:ind w:left="0"/>
              <w:jc w:val="both"/>
              <w:rPr>
                <w:rFonts w:ascii="Bookman Old Style" w:hAnsi="Bookman Old Style" w:cs="Arial"/>
                <w:lang w:val="es-CO" w:eastAsia="en-US"/>
              </w:rPr>
            </w:pPr>
            <w:r w:rsidRPr="000B65DE">
              <w:rPr>
                <w:rFonts w:ascii="Bookman Old Style" w:hAnsi="Bookman Old Style" w:cs="Arial"/>
                <w:lang w:val="es-CO" w:eastAsia="en-US"/>
              </w:rPr>
              <w:t xml:space="preserve">Inversión Base de la Red Primaria </w:t>
            </w:r>
            <w:r w:rsidRPr="000B65DE">
              <w:rPr>
                <w:rFonts w:ascii="Bookman Old Style" w:hAnsi="Bookman Old Style"/>
                <w:bCs/>
              </w:rPr>
              <w:t>del Mercado Relevante de Distribución para el Siguiente Período Tarifario</w:t>
            </w:r>
            <w:r w:rsidRPr="000B65DE" w:rsidDel="002C683A">
              <w:rPr>
                <w:rFonts w:ascii="Bookman Old Style" w:hAnsi="Bookman Old Style" w:cs="Arial"/>
                <w:lang w:val="es-CO" w:eastAsia="en-US"/>
              </w:rPr>
              <w:t xml:space="preserve"> </w:t>
            </w:r>
            <w:r w:rsidRPr="000B65DE">
              <w:rPr>
                <w:rFonts w:ascii="Bookman Old Style" w:hAnsi="Bookman Old Style" w:cs="Arial"/>
                <w:lang w:val="es-CO" w:eastAsia="en-US"/>
              </w:rPr>
              <w:t xml:space="preserve">k, conformado por Municipios Nuevos, expresada en pesos de la Fecha Base. Esta se determina como se indica en el numeral </w:t>
            </w:r>
            <w:r w:rsidR="008B26D0">
              <w:fldChar w:fldCharType="begin"/>
            </w:r>
            <w:r w:rsidR="008B26D0">
              <w:instrText xml:space="preserve"> REF _Ref289671930 \r \h  \* MERGEFORMAT </w:instrText>
            </w:r>
            <w:r w:rsidR="008B26D0">
              <w:fldChar w:fldCharType="separate"/>
            </w:r>
            <w:r w:rsidR="004D5C18" w:rsidRPr="004D5C18">
              <w:rPr>
                <w:rFonts w:ascii="Bookman Old Style" w:hAnsi="Bookman Old Style" w:cs="Arial"/>
                <w:lang w:val="es-CO" w:eastAsia="en-US"/>
              </w:rPr>
              <w:t>9.5.3</w:t>
            </w:r>
            <w:r w:rsidR="008B26D0">
              <w:fldChar w:fldCharType="end"/>
            </w:r>
            <w:r w:rsidRPr="000B65DE">
              <w:rPr>
                <w:rFonts w:ascii="Bookman Old Style" w:hAnsi="Bookman Old Style" w:cs="Arial"/>
                <w:lang w:val="es-CO" w:eastAsia="en-US"/>
              </w:rPr>
              <w:t xml:space="preserve"> de esta Resolución. </w:t>
            </w:r>
          </w:p>
          <w:p w:rsidR="000B65DE" w:rsidRPr="000B65DE" w:rsidRDefault="000B65DE" w:rsidP="000B65DE">
            <w:pPr>
              <w:tabs>
                <w:tab w:val="left" w:pos="426"/>
              </w:tabs>
              <w:ind w:left="0"/>
              <w:jc w:val="both"/>
              <w:rPr>
                <w:rFonts w:ascii="Bookman Old Style" w:hAnsi="Bookman Old Style" w:cs="Arial"/>
                <w:lang w:val="es-ES_tradnl"/>
              </w:rPr>
            </w:pPr>
          </w:p>
        </w:tc>
      </w:tr>
      <w:tr w:rsidR="000B65DE" w:rsidRPr="000B65DE" w:rsidTr="00382E27">
        <w:tc>
          <w:tcPr>
            <w:tcW w:w="2268" w:type="dxa"/>
          </w:tcPr>
          <w:p w:rsidR="000B65DE" w:rsidRPr="0092172B" w:rsidRDefault="00364E59" w:rsidP="000B65DE">
            <w:pPr>
              <w:tabs>
                <w:tab w:val="left" w:pos="426"/>
              </w:tabs>
              <w:ind w:left="0"/>
              <w:jc w:val="both"/>
              <w:rPr>
                <w:rFonts w:ascii="Arial" w:hAnsi="Arial" w:cs="Arial"/>
                <w:sz w:val="22"/>
                <w:lang w:val="es-CO" w:eastAsia="en-US"/>
              </w:rPr>
            </w:pPr>
            <m:oMathPara>
              <m:oMathParaPr>
                <m:jc m:val="left"/>
              </m:oMathParaPr>
              <m:oMath>
                <m:sSub>
                  <m:sSubPr>
                    <m:ctrlPr>
                      <w:rPr>
                        <w:rFonts w:ascii="Cambria Math" w:hAnsi="Cambria Math" w:cs="Arial"/>
                        <w:lang w:val="es-ES_tradnl"/>
                      </w:rPr>
                    </m:ctrlPr>
                  </m:sSubPr>
                  <m:e>
                    <m:r>
                      <m:rPr>
                        <m:sty m:val="p"/>
                      </m:rPr>
                      <w:rPr>
                        <w:rFonts w:ascii="Cambria Math" w:hAnsi="Cambria Math" w:cs="Arial"/>
                        <w:lang w:val="es-ES_tradnl"/>
                      </w:rPr>
                      <m:t>IBMN</m:t>
                    </m:r>
                  </m:e>
                  <m:sub>
                    <m:r>
                      <m:rPr>
                        <m:sty m:val="p"/>
                      </m:rPr>
                      <w:rPr>
                        <w:rFonts w:ascii="Cambria Math" w:hAnsi="Cambria Math" w:cs="Arial"/>
                        <w:lang w:val="es-ES_tradnl"/>
                      </w:rPr>
                      <m:t>RSk</m:t>
                    </m:r>
                  </m:sub>
                </m:sSub>
              </m:oMath>
            </m:oMathPara>
          </w:p>
        </w:tc>
        <w:tc>
          <w:tcPr>
            <w:tcW w:w="6602" w:type="dxa"/>
          </w:tcPr>
          <w:p w:rsidR="000B65DE" w:rsidRPr="000B65DE" w:rsidRDefault="000B65DE" w:rsidP="000B65DE">
            <w:pPr>
              <w:tabs>
                <w:tab w:val="left" w:pos="426"/>
              </w:tabs>
              <w:ind w:left="0"/>
              <w:jc w:val="both"/>
              <w:rPr>
                <w:rFonts w:ascii="Bookman Old Style" w:hAnsi="Bookman Old Style" w:cs="Arial"/>
                <w:lang w:val="es-CO" w:eastAsia="en-US"/>
              </w:rPr>
            </w:pPr>
            <w:r w:rsidRPr="000B65DE">
              <w:rPr>
                <w:rFonts w:ascii="Bookman Old Style" w:hAnsi="Bookman Old Style" w:cs="Arial"/>
                <w:lang w:val="es-CO" w:eastAsia="en-US"/>
              </w:rPr>
              <w:t>Inversión Base de la Red Secundaria d</w:t>
            </w:r>
            <w:r w:rsidRPr="000B65DE">
              <w:rPr>
                <w:rFonts w:ascii="Bookman Old Style" w:hAnsi="Bookman Old Style"/>
                <w:bCs/>
              </w:rPr>
              <w:t>el Mercado Relevante de Distribución para el Siguiente Período Tarifario k</w:t>
            </w:r>
            <w:r w:rsidRPr="000B65DE">
              <w:rPr>
                <w:rFonts w:ascii="Bookman Old Style" w:hAnsi="Bookman Old Style" w:cs="Arial"/>
                <w:lang w:val="es-CO" w:eastAsia="en-US"/>
              </w:rPr>
              <w:t xml:space="preserve">, conformado por Municipios Nuevos, expresada en pesos de la Fecha Base. Esta se determina como se indica en el numeral </w:t>
            </w:r>
            <w:r w:rsidR="008B26D0">
              <w:fldChar w:fldCharType="begin"/>
            </w:r>
            <w:r w:rsidR="008B26D0">
              <w:instrText xml:space="preserve"> REF _Ref289671930 \r \h  \* MERGEFORMAT </w:instrText>
            </w:r>
            <w:r w:rsidR="008B26D0">
              <w:fldChar w:fldCharType="separate"/>
            </w:r>
            <w:r w:rsidR="004D5C18" w:rsidRPr="004D5C18">
              <w:rPr>
                <w:rFonts w:ascii="Bookman Old Style" w:hAnsi="Bookman Old Style" w:cs="Arial"/>
                <w:lang w:val="es-CO" w:eastAsia="en-US"/>
              </w:rPr>
              <w:t>9.5.3</w:t>
            </w:r>
            <w:r w:rsidR="008B26D0">
              <w:fldChar w:fldCharType="end"/>
            </w:r>
            <w:r w:rsidRPr="000B65DE">
              <w:rPr>
                <w:rFonts w:ascii="Bookman Old Style" w:hAnsi="Bookman Old Style" w:cs="Arial"/>
                <w:lang w:val="es-CO" w:eastAsia="en-US"/>
              </w:rPr>
              <w:t xml:space="preserve"> de esta Resolución.</w:t>
            </w:r>
          </w:p>
          <w:p w:rsidR="000B65DE" w:rsidRPr="000B65DE" w:rsidRDefault="000B65DE" w:rsidP="000B65DE">
            <w:pPr>
              <w:tabs>
                <w:tab w:val="left" w:pos="426"/>
              </w:tabs>
              <w:ind w:left="0"/>
              <w:jc w:val="both"/>
              <w:rPr>
                <w:rFonts w:ascii="Bookman Old Style" w:hAnsi="Bookman Old Style" w:cs="Arial"/>
                <w:lang w:val="es-CO" w:eastAsia="en-US"/>
              </w:rPr>
            </w:pPr>
          </w:p>
        </w:tc>
      </w:tr>
      <w:tr w:rsidR="000B65DE" w:rsidRPr="000B65DE" w:rsidTr="00382E27">
        <w:tc>
          <w:tcPr>
            <w:tcW w:w="2268" w:type="dxa"/>
          </w:tcPr>
          <w:p w:rsidR="000B65DE" w:rsidRPr="0092172B" w:rsidRDefault="00364E59" w:rsidP="000B65DE">
            <w:pPr>
              <w:tabs>
                <w:tab w:val="left" w:pos="426"/>
              </w:tabs>
              <w:ind w:left="34"/>
              <w:rPr>
                <w:rFonts w:ascii="Bookman Old Style" w:hAnsi="Bookman Old Style" w:cs="Arial"/>
                <w:lang w:val="es-ES_tradnl"/>
              </w:rPr>
            </w:pPr>
            <m:oMathPara>
              <m:oMathParaPr>
                <m:jc m:val="left"/>
              </m:oMathParaPr>
              <m:oMath>
                <m:sSub>
                  <m:sSubPr>
                    <m:ctrlPr>
                      <w:rPr>
                        <w:rFonts w:ascii="Cambria Math" w:hAnsi="Cambria Math" w:cs="Arial"/>
                        <w:sz w:val="22"/>
                        <w:lang w:val="es-ES_tradnl"/>
                      </w:rPr>
                    </m:ctrlPr>
                  </m:sSubPr>
                  <m:e>
                    <m:r>
                      <m:rPr>
                        <m:sty m:val="p"/>
                      </m:rPr>
                      <w:rPr>
                        <w:rFonts w:ascii="Cambria Math" w:hAnsi="Cambria Math" w:cs="Arial"/>
                        <w:sz w:val="22"/>
                        <w:lang w:val="es-ES_tradnl"/>
                      </w:rPr>
                      <m:t>VP</m:t>
                    </m:r>
                    <m:d>
                      <m:dPr>
                        <m:ctrlPr>
                          <w:rPr>
                            <w:rFonts w:ascii="Cambria Math" w:hAnsi="Cambria Math" w:cs="Arial"/>
                            <w:sz w:val="22"/>
                            <w:lang w:val="es-ES_tradnl"/>
                          </w:rPr>
                        </m:ctrlPr>
                      </m:dPr>
                      <m:e>
                        <m:r>
                          <m:rPr>
                            <m:sty m:val="p"/>
                          </m:rPr>
                          <w:rPr>
                            <w:rFonts w:ascii="Cambria Math" w:hAnsi="Cambria Math" w:cs="Arial"/>
                            <w:sz w:val="22"/>
                            <w:lang w:val="es-ES_tradnl"/>
                          </w:rPr>
                          <m:t>AOM (PR)</m:t>
                        </m:r>
                      </m:e>
                    </m:d>
                  </m:e>
                  <m:sub>
                    <m:r>
                      <m:rPr>
                        <m:sty m:val="p"/>
                      </m:rPr>
                      <w:rPr>
                        <w:rFonts w:ascii="Cambria Math" w:hAnsi="Cambria Math" w:cs="Arial"/>
                        <w:sz w:val="22"/>
                        <w:lang w:val="es-ES_tradnl"/>
                      </w:rPr>
                      <m:t>RPk</m:t>
                    </m:r>
                  </m:sub>
                </m:sSub>
              </m:oMath>
            </m:oMathPara>
          </w:p>
        </w:tc>
        <w:tc>
          <w:tcPr>
            <w:tcW w:w="6602" w:type="dxa"/>
          </w:tcPr>
          <w:p w:rsidR="000B65DE" w:rsidRPr="000B65DE" w:rsidRDefault="000B65DE" w:rsidP="000B65DE">
            <w:pPr>
              <w:tabs>
                <w:tab w:val="left" w:pos="426"/>
              </w:tabs>
              <w:ind w:left="0"/>
              <w:jc w:val="both"/>
              <w:rPr>
                <w:rFonts w:ascii="Bookman Old Style" w:hAnsi="Bookman Old Style" w:cs="Arial"/>
                <w:lang w:val="es-ES_tradnl"/>
              </w:rPr>
            </w:pPr>
            <w:r w:rsidRPr="000B65DE">
              <w:rPr>
                <w:rFonts w:ascii="Bookman Old Style" w:hAnsi="Bookman Old Style" w:cs="Arial"/>
                <w:lang w:val="es-ES_tradnl"/>
              </w:rPr>
              <w:t xml:space="preserve">Valor Presente de la proyección </w:t>
            </w:r>
            <w:r w:rsidR="00D21E8E">
              <w:rPr>
                <w:rFonts w:ascii="Bookman Old Style" w:hAnsi="Bookman Old Style" w:cs="Arial"/>
                <w:lang w:val="es-ES_tradnl"/>
              </w:rPr>
              <w:t xml:space="preserve">anual </w:t>
            </w:r>
            <w:r w:rsidRPr="000B65DE">
              <w:rPr>
                <w:rFonts w:ascii="Bookman Old Style" w:hAnsi="Bookman Old Style" w:cs="Arial"/>
                <w:lang w:val="es-ES_tradnl"/>
              </w:rPr>
              <w:t xml:space="preserve">de gastos de AOM </w:t>
            </w:r>
            <w:r w:rsidR="00D21E8E">
              <w:rPr>
                <w:rFonts w:ascii="Bookman Old Style" w:hAnsi="Bookman Old Style" w:cs="Arial"/>
                <w:lang w:val="es-ES_tradnl"/>
              </w:rPr>
              <w:t xml:space="preserve">para 20 años </w:t>
            </w:r>
            <w:r w:rsidRPr="000B65DE">
              <w:rPr>
                <w:rFonts w:ascii="Bookman Old Style" w:hAnsi="Bookman Old Style" w:cs="Arial"/>
                <w:lang w:val="es-ES_tradnl"/>
              </w:rPr>
              <w:t xml:space="preserve">de la Red Primaria, </w:t>
            </w:r>
            <w:r w:rsidRPr="000B65DE">
              <w:rPr>
                <w:rFonts w:ascii="Bookman Old Style" w:hAnsi="Bookman Old Style"/>
                <w:bCs/>
              </w:rPr>
              <w:t>del Mercado Relevante de Distribución para el Siguiente Período Tarifario k conformado por Municipios Nuevos,</w:t>
            </w:r>
            <w:r w:rsidRPr="000B65DE">
              <w:rPr>
                <w:rFonts w:ascii="Bookman Old Style" w:hAnsi="Bookman Old Style" w:cs="Arial"/>
                <w:lang w:val="es-ES_tradnl"/>
              </w:rPr>
              <w:t xml:space="preserve"> expresada en pesos de la Fecha Base. Los gastos de AOM eficientes para la Red Primaria de Distribución, se determinarán de acuerdo con el promedio de las relaciones de  kilómetros de la Red Primaria sobre los kilómetros de red totales del Sistema de Distribución y la Inversión Base correspondiente a la Red Primaria de Distribución sobre la Inversión Base Total del Sistema de Distribución.</w:t>
            </w:r>
          </w:p>
          <w:p w:rsidR="000B65DE" w:rsidRPr="000B65DE" w:rsidRDefault="000B65DE" w:rsidP="000B65DE">
            <w:pPr>
              <w:tabs>
                <w:tab w:val="left" w:pos="426"/>
              </w:tabs>
              <w:ind w:left="0"/>
              <w:jc w:val="both"/>
              <w:rPr>
                <w:rFonts w:ascii="Bookman Old Style" w:hAnsi="Bookman Old Style" w:cs="Arial"/>
                <w:lang w:val="es-ES_tradnl"/>
              </w:rPr>
            </w:pPr>
          </w:p>
        </w:tc>
      </w:tr>
      <w:tr w:rsidR="000B65DE" w:rsidRPr="000B65DE" w:rsidTr="00382E27">
        <w:tc>
          <w:tcPr>
            <w:tcW w:w="2268" w:type="dxa"/>
          </w:tcPr>
          <w:p w:rsidR="000B65DE" w:rsidRPr="0092172B" w:rsidRDefault="00364E59" w:rsidP="000B65DE">
            <w:pPr>
              <w:tabs>
                <w:tab w:val="left" w:pos="426"/>
              </w:tabs>
              <w:ind w:left="176"/>
              <w:rPr>
                <w:szCs w:val="22"/>
                <w:lang w:val="es-ES_tradnl"/>
              </w:rPr>
            </w:pPr>
            <m:oMathPara>
              <m:oMathParaPr>
                <m:jc m:val="left"/>
              </m:oMathParaPr>
              <m:oMath>
                <m:sSub>
                  <m:sSubPr>
                    <m:ctrlPr>
                      <w:rPr>
                        <w:rFonts w:ascii="Cambria Math" w:hAnsi="Cambria Math" w:cs="Arial"/>
                        <w:sz w:val="22"/>
                        <w:lang w:val="es-ES_tradnl"/>
                      </w:rPr>
                    </m:ctrlPr>
                  </m:sSubPr>
                  <m:e>
                    <m:r>
                      <m:rPr>
                        <m:sty m:val="p"/>
                      </m:rPr>
                      <w:rPr>
                        <w:rFonts w:ascii="Cambria Math" w:hAnsi="Cambria Math" w:cs="Arial"/>
                        <w:sz w:val="22"/>
                        <w:lang w:val="es-ES_tradnl"/>
                      </w:rPr>
                      <m:t>VP</m:t>
                    </m:r>
                    <m:d>
                      <m:dPr>
                        <m:ctrlPr>
                          <w:rPr>
                            <w:rFonts w:ascii="Cambria Math" w:hAnsi="Cambria Math" w:cs="Arial"/>
                            <w:sz w:val="22"/>
                            <w:lang w:val="es-ES_tradnl"/>
                          </w:rPr>
                        </m:ctrlPr>
                      </m:dPr>
                      <m:e>
                        <m:r>
                          <m:rPr>
                            <m:sty m:val="p"/>
                          </m:rPr>
                          <w:rPr>
                            <w:rFonts w:ascii="Cambria Math" w:hAnsi="Cambria Math" w:cs="Arial"/>
                            <w:sz w:val="22"/>
                            <w:lang w:val="es-ES_tradnl"/>
                          </w:rPr>
                          <m:t>AOM (PR)</m:t>
                        </m:r>
                      </m:e>
                    </m:d>
                  </m:e>
                  <m:sub>
                    <m:r>
                      <m:rPr>
                        <m:sty m:val="p"/>
                      </m:rPr>
                      <w:rPr>
                        <w:rFonts w:ascii="Cambria Math" w:hAnsi="Cambria Math" w:cs="Arial"/>
                        <w:sz w:val="22"/>
                        <w:lang w:val="es-ES_tradnl"/>
                      </w:rPr>
                      <m:t>RSk</m:t>
                    </m:r>
                  </m:sub>
                </m:sSub>
              </m:oMath>
            </m:oMathPara>
          </w:p>
        </w:tc>
        <w:tc>
          <w:tcPr>
            <w:tcW w:w="6602" w:type="dxa"/>
          </w:tcPr>
          <w:p w:rsidR="000B65DE" w:rsidRPr="000B65DE" w:rsidRDefault="000B65DE" w:rsidP="000B65DE">
            <w:pPr>
              <w:tabs>
                <w:tab w:val="left" w:pos="426"/>
              </w:tabs>
              <w:ind w:left="0"/>
              <w:jc w:val="both"/>
              <w:rPr>
                <w:rFonts w:ascii="Bookman Old Style" w:hAnsi="Bookman Old Style"/>
                <w:lang w:val="es-ES_tradnl"/>
              </w:rPr>
            </w:pPr>
            <w:r w:rsidRPr="000B65DE">
              <w:rPr>
                <w:rFonts w:ascii="Bookman Old Style" w:hAnsi="Bookman Old Style" w:cs="Arial"/>
                <w:lang w:val="es-ES_tradnl"/>
              </w:rPr>
              <w:t xml:space="preserve">Valor Presente de la proyección </w:t>
            </w:r>
            <w:r w:rsidR="00D21E8E">
              <w:rPr>
                <w:rFonts w:ascii="Bookman Old Style" w:hAnsi="Bookman Old Style" w:cs="Arial"/>
                <w:lang w:val="es-ES_tradnl"/>
              </w:rPr>
              <w:t xml:space="preserve">anual </w:t>
            </w:r>
            <w:r w:rsidRPr="000B65DE">
              <w:rPr>
                <w:rFonts w:ascii="Bookman Old Style" w:hAnsi="Bookman Old Style" w:cs="Arial"/>
                <w:lang w:val="es-ES_tradnl"/>
              </w:rPr>
              <w:t xml:space="preserve">de gastos de AOM </w:t>
            </w:r>
            <w:r w:rsidR="00D21E8E">
              <w:rPr>
                <w:rFonts w:ascii="Bookman Old Style" w:hAnsi="Bookman Old Style" w:cs="Arial"/>
                <w:lang w:val="es-ES_tradnl"/>
              </w:rPr>
              <w:t xml:space="preserve">para 20 años </w:t>
            </w:r>
            <w:r w:rsidRPr="000B65DE">
              <w:rPr>
                <w:rFonts w:ascii="Bookman Old Style" w:hAnsi="Bookman Old Style" w:cs="Arial"/>
                <w:lang w:val="es-ES_tradnl"/>
              </w:rPr>
              <w:t xml:space="preserve">de la Red Secundaria </w:t>
            </w:r>
            <w:r w:rsidRPr="000B65DE">
              <w:rPr>
                <w:rFonts w:ascii="Bookman Old Style" w:hAnsi="Bookman Old Style"/>
                <w:bCs/>
              </w:rPr>
              <w:t>del Mercado Relevante de Distribución para el Siguiente Período Tarifario k conformado por Municipios Nuevos</w:t>
            </w:r>
            <w:r w:rsidRPr="000B65DE">
              <w:rPr>
                <w:rFonts w:ascii="Bookman Old Style" w:hAnsi="Bookman Old Style" w:cs="Arial"/>
                <w:lang w:val="es-ES_tradnl"/>
              </w:rPr>
              <w:t>, expresada en pesos de la Fecha Base. Los gastos de AOM eficientes para la Red Secundaria de Distribución, se determinarán de acuerdo con el promedio de las relaciones de  kilómetros de la Red Secundaria sobre los kilómetros red total del Sistema de Distribución y la Inversión Base correspondiente a la Red Secundaria de Distribución sobre la Inversión Base Total del Sistema de Distribución.</w:t>
            </w:r>
          </w:p>
        </w:tc>
      </w:tr>
      <w:tr w:rsidR="000B65DE" w:rsidRPr="000B65DE" w:rsidTr="00382E27">
        <w:tc>
          <w:tcPr>
            <w:tcW w:w="2268" w:type="dxa"/>
          </w:tcPr>
          <w:p w:rsidR="000B65DE" w:rsidRPr="000B65DE" w:rsidRDefault="000B65DE" w:rsidP="000B65DE">
            <w:pPr>
              <w:tabs>
                <w:tab w:val="left" w:pos="426"/>
              </w:tabs>
              <w:ind w:left="176"/>
              <w:jc w:val="both"/>
              <w:rPr>
                <w:szCs w:val="22"/>
                <w:lang w:val="es-ES_tradnl"/>
              </w:rPr>
            </w:pPr>
          </w:p>
        </w:tc>
        <w:tc>
          <w:tcPr>
            <w:tcW w:w="6602" w:type="dxa"/>
          </w:tcPr>
          <w:p w:rsidR="000B65DE" w:rsidRPr="000B65DE" w:rsidRDefault="000B65DE" w:rsidP="000B65DE">
            <w:pPr>
              <w:tabs>
                <w:tab w:val="left" w:pos="426"/>
              </w:tabs>
              <w:ind w:left="0"/>
              <w:jc w:val="both"/>
              <w:rPr>
                <w:rFonts w:ascii="Bookman Old Style" w:hAnsi="Bookman Old Style"/>
                <w:lang w:val="es-ES_tradnl"/>
              </w:rPr>
            </w:pPr>
          </w:p>
        </w:tc>
      </w:tr>
      <w:tr w:rsidR="000B65DE" w:rsidRPr="000B65DE" w:rsidTr="00382E27">
        <w:tc>
          <w:tcPr>
            <w:tcW w:w="2268" w:type="dxa"/>
          </w:tcPr>
          <w:p w:rsidR="000B65DE" w:rsidRPr="0092172B" w:rsidRDefault="003078F2" w:rsidP="000B65DE">
            <w:pPr>
              <w:tabs>
                <w:tab w:val="left" w:pos="426"/>
              </w:tabs>
              <w:ind w:left="0"/>
              <w:jc w:val="both"/>
              <w:rPr>
                <w:rFonts w:ascii="Bookman Old Style" w:hAnsi="Bookman Old Style" w:cs="Arial"/>
                <w:lang w:val="es-ES_tradnl"/>
              </w:rPr>
            </w:pPr>
            <m:oMathPara>
              <m:oMathParaPr>
                <m:jc m:val="left"/>
              </m:oMathParaPr>
              <m:oMath>
                <m:r>
                  <m:rPr>
                    <m:sty m:val="p"/>
                  </m:rPr>
                  <w:rPr>
                    <w:rFonts w:ascii="Cambria Math" w:hAnsi="Cambria Math" w:cs="Arial"/>
                    <w:sz w:val="22"/>
                    <w:lang w:val="es-ES_tradnl"/>
                  </w:rPr>
                  <m:t>VP</m:t>
                </m:r>
                <m:sSub>
                  <m:sSubPr>
                    <m:ctrlPr>
                      <w:rPr>
                        <w:rFonts w:ascii="Cambria Math" w:hAnsi="Cambria Math" w:cs="Arial"/>
                        <w:sz w:val="22"/>
                        <w:lang w:val="es-ES_tradnl"/>
                      </w:rPr>
                    </m:ctrlPr>
                  </m:sSubPr>
                  <m:e>
                    <m:r>
                      <m:rPr>
                        <m:sty m:val="p"/>
                      </m:rPr>
                      <w:rPr>
                        <w:rFonts w:ascii="Cambria Math" w:hAnsi="Cambria Math" w:cs="Arial"/>
                        <w:sz w:val="22"/>
                        <w:lang w:val="es-ES_tradnl"/>
                      </w:rPr>
                      <m:t>(Q(PR)</m:t>
                    </m:r>
                  </m:e>
                  <m:sub>
                    <m:r>
                      <m:rPr>
                        <m:sty m:val="p"/>
                      </m:rPr>
                      <w:rPr>
                        <w:rFonts w:ascii="Cambria Math" w:hAnsi="Cambria Math" w:cs="Arial"/>
                        <w:sz w:val="22"/>
                        <w:lang w:val="es-ES_tradnl"/>
                      </w:rPr>
                      <m:t>NoResRSk</m:t>
                    </m:r>
                  </m:sub>
                </m:sSub>
                <m:r>
                  <m:rPr>
                    <m:sty m:val="p"/>
                  </m:rPr>
                  <w:rPr>
                    <w:rFonts w:ascii="Cambria Math" w:hAnsi="Cambria Math" w:cs="Arial"/>
                    <w:sz w:val="22"/>
                    <w:lang w:val="es-ES_tradnl"/>
                  </w:rPr>
                  <m:t>+</m:t>
                </m:r>
                <m:sSub>
                  <m:sSubPr>
                    <m:ctrlPr>
                      <w:rPr>
                        <w:rFonts w:ascii="Cambria Math" w:hAnsi="Cambria Math" w:cs="Arial"/>
                        <w:sz w:val="22"/>
                        <w:lang w:val="es-ES_tradnl"/>
                      </w:rPr>
                    </m:ctrlPr>
                  </m:sSubPr>
                  <m:e>
                    <m:r>
                      <m:rPr>
                        <m:sty m:val="p"/>
                      </m:rPr>
                      <w:rPr>
                        <w:rFonts w:ascii="Cambria Math" w:hAnsi="Cambria Math" w:cs="Arial"/>
                        <w:sz w:val="22"/>
                        <w:lang w:val="es-ES_tradnl"/>
                      </w:rPr>
                      <m:t>Q(PR)</m:t>
                    </m:r>
                  </m:e>
                  <m:sub>
                    <m:r>
                      <m:rPr>
                        <m:sty m:val="p"/>
                      </m:rPr>
                      <w:rPr>
                        <w:rFonts w:ascii="Cambria Math" w:hAnsi="Cambria Math" w:cs="Arial"/>
                        <w:sz w:val="22"/>
                        <w:lang w:val="es-ES_tradnl"/>
                      </w:rPr>
                      <m:t>Resk</m:t>
                    </m:r>
                  </m:sub>
                </m:sSub>
                <m:r>
                  <m:rPr>
                    <m:sty m:val="p"/>
                  </m:rPr>
                  <w:rPr>
                    <w:rFonts w:ascii="Cambria Math" w:hAnsi="Cambria Math" w:cs="Arial"/>
                    <w:sz w:val="22"/>
                    <w:lang w:val="es-ES_tradnl"/>
                  </w:rPr>
                  <m:t>)</m:t>
                </m:r>
              </m:oMath>
            </m:oMathPara>
          </w:p>
        </w:tc>
        <w:tc>
          <w:tcPr>
            <w:tcW w:w="6602" w:type="dxa"/>
          </w:tcPr>
          <w:p w:rsidR="003078F2" w:rsidRPr="000B65DE" w:rsidRDefault="003078F2" w:rsidP="003078F2">
            <w:pPr>
              <w:ind w:left="0"/>
              <w:jc w:val="both"/>
              <w:rPr>
                <w:rFonts w:ascii="Bookman Old Style" w:hAnsi="Bookman Old Style" w:cs="Arial"/>
                <w:lang w:val="es-ES_tradnl"/>
              </w:rPr>
            </w:pPr>
            <w:r w:rsidRPr="000B65DE">
              <w:rPr>
                <w:rFonts w:ascii="Bookman Old Style" w:hAnsi="Bookman Old Style" w:cs="Arial"/>
                <w:lang w:val="es-ES_tradnl"/>
              </w:rPr>
              <w:t xml:space="preserve">Valor Presente de </w:t>
            </w:r>
            <w:r>
              <w:rPr>
                <w:rFonts w:ascii="Bookman Old Style" w:hAnsi="Bookman Old Style" w:cs="Arial"/>
                <w:lang w:val="es-ES_tradnl"/>
              </w:rPr>
              <w:t xml:space="preserve">la sumatoria de </w:t>
            </w:r>
            <w:r w:rsidRPr="000B65DE">
              <w:rPr>
                <w:rFonts w:ascii="Bookman Old Style" w:hAnsi="Bookman Old Style" w:cs="Arial"/>
                <w:lang w:val="es-ES_tradnl"/>
              </w:rPr>
              <w:t>la proyección</w:t>
            </w:r>
            <w:r w:rsidR="00D21E8E">
              <w:rPr>
                <w:rFonts w:ascii="Bookman Old Style" w:hAnsi="Bookman Old Style" w:cs="Arial"/>
                <w:lang w:val="es-ES_tradnl"/>
              </w:rPr>
              <w:t xml:space="preserve"> anual</w:t>
            </w:r>
            <w:r w:rsidRPr="000B65DE">
              <w:rPr>
                <w:rFonts w:ascii="Bookman Old Style" w:hAnsi="Bookman Old Style" w:cs="Arial"/>
                <w:lang w:val="es-ES_tradnl"/>
              </w:rPr>
              <w:t xml:space="preserve"> </w:t>
            </w:r>
            <w:r w:rsidRPr="000B65DE">
              <w:rPr>
                <w:rFonts w:ascii="Bookman Old Style" w:hAnsi="Bookman Old Style" w:cs="Arial"/>
                <w:lang w:val="es-ES_tradnl"/>
              </w:rPr>
              <w:lastRenderedPageBreak/>
              <w:t xml:space="preserve">de demanda </w:t>
            </w:r>
            <w:r w:rsidR="00627CA6">
              <w:rPr>
                <w:rFonts w:ascii="Bookman Old Style" w:hAnsi="Bookman Old Style" w:cs="Arial"/>
                <w:lang w:val="es-ES_tradnl"/>
              </w:rPr>
              <w:t xml:space="preserve">para 20 años </w:t>
            </w:r>
            <w:r w:rsidRPr="000B65DE">
              <w:rPr>
                <w:rFonts w:ascii="Bookman Old Style" w:hAnsi="Bookman Old Style" w:cs="Arial"/>
                <w:lang w:val="es-ES_tradnl"/>
              </w:rPr>
              <w:t>correspondiente a Usuarios de Uso Diferentes al Residencial que se van a conectar a la Red Secundaria</w:t>
            </w:r>
            <w:r>
              <w:rPr>
                <w:rFonts w:ascii="Bookman Old Style" w:hAnsi="Bookman Old Style" w:cs="Arial"/>
                <w:lang w:val="es-ES_tradnl"/>
              </w:rPr>
              <w:t xml:space="preserve"> y de </w:t>
            </w:r>
            <w:r w:rsidRPr="000B65DE">
              <w:rPr>
                <w:rFonts w:ascii="Bookman Old Style" w:hAnsi="Bookman Old Style" w:cs="Arial"/>
                <w:lang w:val="es-ES_tradnl"/>
              </w:rPr>
              <w:t xml:space="preserve">la proyección de demanda correspondiente a Usuarios de Uso Residencial </w:t>
            </w:r>
            <w:r w:rsidRPr="000B65DE">
              <w:rPr>
                <w:rFonts w:ascii="Bookman Old Style" w:hAnsi="Bookman Old Style"/>
                <w:bCs/>
              </w:rPr>
              <w:t>del Mercado Relevante de Distribución para el Siguiente Período Tarifario k conformado por Municipios Nuevos</w:t>
            </w:r>
            <w:r w:rsidRPr="000B65DE">
              <w:rPr>
                <w:rFonts w:ascii="Bookman Old Style" w:hAnsi="Bookman Old Style" w:cs="Arial"/>
                <w:lang w:val="es-ES_tradnl"/>
              </w:rPr>
              <w:t>, expresada en metros cúbicos (m</w:t>
            </w:r>
            <w:r w:rsidRPr="000B65DE">
              <w:rPr>
                <w:rFonts w:ascii="Bookman Old Style" w:hAnsi="Bookman Old Style" w:cs="Arial"/>
                <w:vertAlign w:val="superscript"/>
                <w:lang w:val="es-ES_tradnl"/>
              </w:rPr>
              <w:t>3</w:t>
            </w:r>
            <w:r w:rsidRPr="000B65DE">
              <w:rPr>
                <w:rFonts w:ascii="Bookman Old Style" w:hAnsi="Bookman Old Style" w:cs="Arial"/>
                <w:lang w:val="es-ES_tradnl"/>
              </w:rPr>
              <w:t xml:space="preserve">). </w:t>
            </w:r>
          </w:p>
          <w:p w:rsidR="000B65DE" w:rsidRPr="000B65DE" w:rsidRDefault="000B65DE" w:rsidP="000B65DE">
            <w:pPr>
              <w:tabs>
                <w:tab w:val="left" w:pos="426"/>
              </w:tabs>
              <w:ind w:left="0"/>
              <w:jc w:val="both"/>
              <w:rPr>
                <w:rFonts w:ascii="Bookman Old Style" w:hAnsi="Bookman Old Style" w:cs="Arial"/>
                <w:lang w:val="es-ES_tradnl"/>
              </w:rPr>
            </w:pPr>
          </w:p>
        </w:tc>
      </w:tr>
      <w:tr w:rsidR="000B65DE" w:rsidRPr="000B65DE" w:rsidTr="00382E27">
        <w:tc>
          <w:tcPr>
            <w:tcW w:w="2268" w:type="dxa"/>
          </w:tcPr>
          <w:p w:rsidR="000B65DE" w:rsidRPr="0092172B" w:rsidRDefault="003078F2" w:rsidP="000B65DE">
            <w:pPr>
              <w:tabs>
                <w:tab w:val="left" w:pos="426"/>
              </w:tabs>
              <w:ind w:left="0"/>
              <w:jc w:val="both"/>
              <w:rPr>
                <w:sz w:val="22"/>
                <w:lang w:val="es-ES_tradnl"/>
              </w:rPr>
            </w:pPr>
            <m:oMathPara>
              <m:oMath>
                <m:r>
                  <m:rPr>
                    <m:sty m:val="p"/>
                  </m:rPr>
                  <w:rPr>
                    <w:rFonts w:ascii="Cambria Math" w:hAnsi="Cambria Math" w:cs="Arial"/>
                    <w:lang w:val="es-ES_tradnl"/>
                  </w:rPr>
                  <w:lastRenderedPageBreak/>
                  <m:t>VP(</m:t>
                </m:r>
                <m:sSub>
                  <m:sSubPr>
                    <m:ctrlPr>
                      <w:rPr>
                        <w:rFonts w:ascii="Cambria Math" w:hAnsi="Cambria Math" w:cs="Arial"/>
                        <w:lang w:val="es-ES_tradnl"/>
                      </w:rPr>
                    </m:ctrlPr>
                  </m:sSubPr>
                  <m:e>
                    <m:r>
                      <m:rPr>
                        <m:sty m:val="p"/>
                      </m:rPr>
                      <w:rPr>
                        <w:rFonts w:ascii="Cambria Math" w:hAnsi="Cambria Math" w:cs="Arial"/>
                        <w:lang w:val="es-ES_tradnl"/>
                      </w:rPr>
                      <m:t>Q(PR))</m:t>
                    </m:r>
                  </m:e>
                  <m:sub>
                    <m:r>
                      <m:rPr>
                        <m:sty m:val="p"/>
                      </m:rPr>
                      <w:rPr>
                        <w:rFonts w:ascii="Cambria Math" w:hAnsi="Cambria Math" w:cs="Arial"/>
                        <w:lang w:val="es-ES_tradnl"/>
                      </w:rPr>
                      <m:t>Tk</m:t>
                    </m:r>
                  </m:sub>
                </m:sSub>
              </m:oMath>
            </m:oMathPara>
          </w:p>
        </w:tc>
        <w:tc>
          <w:tcPr>
            <w:tcW w:w="6602" w:type="dxa"/>
          </w:tcPr>
          <w:p w:rsidR="000B65DE" w:rsidRPr="000B65DE" w:rsidRDefault="003078F2" w:rsidP="000B65DE">
            <w:pPr>
              <w:ind w:left="0"/>
              <w:jc w:val="both"/>
              <w:rPr>
                <w:rFonts w:ascii="Bookman Old Style" w:hAnsi="Bookman Old Style" w:cs="Arial"/>
                <w:lang w:val="es-ES_tradnl"/>
              </w:rPr>
            </w:pPr>
            <w:r w:rsidRPr="000B65DE">
              <w:rPr>
                <w:rFonts w:ascii="Bookman Old Style" w:hAnsi="Bookman Old Style" w:cs="Arial"/>
                <w:lang w:val="es-ES_tradnl"/>
              </w:rPr>
              <w:t xml:space="preserve">Valor presente de la proyección </w:t>
            </w:r>
            <w:r w:rsidR="00627CA6">
              <w:rPr>
                <w:rFonts w:ascii="Bookman Old Style" w:hAnsi="Bookman Old Style" w:cs="Arial"/>
                <w:lang w:val="es-ES_tradnl"/>
              </w:rPr>
              <w:t xml:space="preserve">anual </w:t>
            </w:r>
            <w:r w:rsidRPr="000B65DE">
              <w:rPr>
                <w:rFonts w:ascii="Bookman Old Style" w:hAnsi="Bookman Old Style" w:cs="Arial"/>
                <w:lang w:val="es-ES_tradnl"/>
              </w:rPr>
              <w:t>de demanda Total para el (los) Municipio(s) Nuevo(s) que va(n) a constituir el Mercado Relevante de Distribución para el Siguiente Período Tarifario k</w:t>
            </w:r>
            <w:r w:rsidR="00A64ACA">
              <w:rPr>
                <w:rFonts w:ascii="Bookman Old Style" w:hAnsi="Bookman Old Style" w:cs="Arial"/>
                <w:lang w:val="es-ES_tradnl"/>
              </w:rPr>
              <w:t xml:space="preserve"> </w:t>
            </w:r>
            <w:r w:rsidR="00A64ACA" w:rsidRPr="000B65DE">
              <w:rPr>
                <w:rFonts w:ascii="Bookman Old Style" w:hAnsi="Bookman Old Style"/>
                <w:bCs/>
              </w:rPr>
              <w:t>conformado por Municipios Nuevos</w:t>
            </w:r>
            <w:r w:rsidRPr="000B65DE">
              <w:rPr>
                <w:rFonts w:ascii="Bookman Old Style" w:hAnsi="Bookman Old Style" w:cs="Arial"/>
                <w:lang w:val="es-CO" w:eastAsia="en-US"/>
              </w:rPr>
              <w:t xml:space="preserve">, expresada en metros cúbicos </w:t>
            </w:r>
            <w:r w:rsidRPr="000B65DE">
              <w:rPr>
                <w:rFonts w:ascii="Bookman Old Style" w:hAnsi="Bookman Old Style" w:cs="Arial"/>
                <w:lang w:val="es-ES_tradnl"/>
              </w:rPr>
              <w:t>(m</w:t>
            </w:r>
            <w:r w:rsidRPr="000B65DE">
              <w:rPr>
                <w:rFonts w:ascii="Bookman Old Style" w:hAnsi="Bookman Old Style" w:cs="Arial"/>
                <w:vertAlign w:val="superscript"/>
                <w:lang w:val="es-ES_tradnl"/>
              </w:rPr>
              <w:t>3</w:t>
            </w:r>
            <w:r w:rsidRPr="000B65DE">
              <w:rPr>
                <w:rFonts w:ascii="Bookman Old Style" w:hAnsi="Bookman Old Style" w:cs="Arial"/>
                <w:lang w:val="es-ES_tradnl"/>
              </w:rPr>
              <w:t>)</w:t>
            </w:r>
            <w:r w:rsidRPr="000B65DE">
              <w:rPr>
                <w:rFonts w:ascii="Bookman Old Style" w:hAnsi="Bookman Old Style" w:cs="Arial"/>
                <w:lang w:val="es-CO" w:eastAsia="en-US"/>
              </w:rPr>
              <w:t>.</w:t>
            </w:r>
            <w:r w:rsidRPr="000B65DE">
              <w:rPr>
                <w:rFonts w:ascii="Bookman Old Style" w:hAnsi="Bookman Old Style" w:cs="Arial"/>
                <w:lang w:val="es-ES_tradnl"/>
              </w:rPr>
              <w:t xml:space="preserve"> </w:t>
            </w:r>
          </w:p>
          <w:p w:rsidR="000B65DE" w:rsidRPr="000B65DE" w:rsidRDefault="000B65DE" w:rsidP="000B65DE">
            <w:pPr>
              <w:ind w:left="0"/>
              <w:jc w:val="both"/>
              <w:rPr>
                <w:rFonts w:ascii="Bookman Old Style" w:hAnsi="Bookman Old Style" w:cs="Arial"/>
                <w:lang w:val="es-ES_tradnl"/>
              </w:rPr>
            </w:pPr>
          </w:p>
        </w:tc>
      </w:tr>
    </w:tbl>
    <w:p w:rsidR="000B65DE" w:rsidRPr="000B65DE" w:rsidRDefault="000B65DE" w:rsidP="008F4D9F">
      <w:pPr>
        <w:keepNext/>
        <w:numPr>
          <w:ilvl w:val="1"/>
          <w:numId w:val="16"/>
        </w:numPr>
        <w:spacing w:before="240" w:after="60"/>
        <w:ind w:left="709" w:hanging="709"/>
        <w:jc w:val="both"/>
        <w:outlineLvl w:val="0"/>
        <w:rPr>
          <w:rFonts w:ascii="Bookman Old Style" w:hAnsi="Bookman Old Style"/>
          <w:b/>
          <w:bCs/>
          <w:szCs w:val="20"/>
          <w:lang w:val="es-ES_tradnl"/>
        </w:rPr>
      </w:pPr>
      <w:bookmarkStart w:id="11" w:name="_Ref329939876"/>
      <w:r w:rsidRPr="000B65DE">
        <w:rPr>
          <w:rFonts w:ascii="Bookman Old Style" w:hAnsi="Bookman Old Style"/>
          <w:b/>
          <w:bCs/>
          <w:szCs w:val="20"/>
          <w:lang w:val="es-ES_tradnl"/>
        </w:rPr>
        <w:t xml:space="preserve">CALCULO DEL CARGO PROMEDIO DE DISTRIBUCIÓN APLICABLE A USUARIOS DIFERENTES A LOS DE USO RESIDENCIAL </w:t>
      </w:r>
      <w:bookmarkEnd w:id="11"/>
    </w:p>
    <w:p w:rsidR="000B65DE" w:rsidRPr="000B65DE" w:rsidRDefault="000B65DE" w:rsidP="000B65DE">
      <w:pPr>
        <w:rPr>
          <w:lang w:val="es-ES_tradnl"/>
        </w:rPr>
      </w:pPr>
    </w:p>
    <w:p w:rsidR="00C7068E" w:rsidRDefault="00C7068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La remuneración de la actividad de Distribución para los Usuarios de Uso Diferente al  Residencial, del Mercado Relevante de Distribución se hará a través de la metodología de canasta de tarifas,  aplicada con base en el Cargo Promedio de Distribución Aplicable a Usuarios Diferentes a los de Uso Residencial, el cual se determina así:</w:t>
      </w:r>
    </w:p>
    <w:p w:rsidR="000B65DE" w:rsidRPr="000B65DE" w:rsidRDefault="000B65DE" w:rsidP="000B65DE">
      <w:pPr>
        <w:ind w:left="0"/>
        <w:jc w:val="both"/>
        <w:rPr>
          <w:rFonts w:ascii="Bookman Old Style" w:hAnsi="Bookman Old Style"/>
          <w:lang w:val="es-ES_tradnl"/>
        </w:rPr>
      </w:pPr>
    </w:p>
    <w:p w:rsidR="000B65DE" w:rsidRPr="0092172B" w:rsidRDefault="00364E59" w:rsidP="000B65DE">
      <w:pPr>
        <w:ind w:left="0"/>
        <w:jc w:val="center"/>
        <w:rPr>
          <w:rFonts w:ascii="Bookman Old Style" w:hAnsi="Bookman Old Style"/>
          <w:lang w:val="es-ES_tradnl"/>
        </w:rPr>
      </w:pPr>
      <m:oMathPara>
        <m:oMath>
          <m:sSub>
            <m:sSubPr>
              <m:ctrlPr>
                <w:rPr>
                  <w:rFonts w:ascii="Cambria Math" w:hAnsi="Cambria Math" w:cs="Arial"/>
                  <w:lang w:val="es-ES_tradnl"/>
                </w:rPr>
              </m:ctrlPr>
            </m:sSubPr>
            <m:e>
              <m:r>
                <m:rPr>
                  <m:sty m:val="p"/>
                </m:rPr>
                <w:rPr>
                  <w:rFonts w:ascii="Cambria Math" w:hAnsi="Cambria Math" w:cs="Arial"/>
                  <w:lang w:val="es-ES_tradnl"/>
                </w:rPr>
                <m:t>D</m:t>
              </m:r>
            </m:e>
            <m:sub>
              <m:r>
                <m:rPr>
                  <m:sty m:val="p"/>
                </m:rPr>
                <w:rPr>
                  <w:rFonts w:ascii="Cambria Math" w:hAnsi="Cambria Math" w:cs="Arial"/>
                  <w:lang w:val="es-ES_tradnl"/>
                </w:rPr>
                <m:t>(AUNR)k</m:t>
              </m:r>
            </m:sub>
          </m:sSub>
          <m:r>
            <m:rPr>
              <m:sty m:val="p"/>
            </m:rPr>
            <w:rPr>
              <w:rFonts w:ascii="Cambria Math" w:hAnsi="Cambria Math" w:cs="Arial"/>
              <w:lang w:val="es-ES_tradnl"/>
            </w:rPr>
            <m:t xml:space="preserve">= </m:t>
          </m:r>
          <m:sSub>
            <m:sSubPr>
              <m:ctrlPr>
                <w:rPr>
                  <w:rFonts w:ascii="Cambria Math" w:hAnsi="Cambria Math" w:cs="Arial"/>
                  <w:lang w:val="es-ES_tradnl"/>
                </w:rPr>
              </m:ctrlPr>
            </m:sSubPr>
            <m:e>
              <m:r>
                <m:rPr>
                  <m:sty m:val="p"/>
                </m:rPr>
                <w:rPr>
                  <w:rFonts w:ascii="Cambria Math" w:hAnsi="Cambria Math" w:cs="Arial"/>
                  <w:lang w:val="es-ES_tradnl"/>
                </w:rPr>
                <m:t>D</m:t>
              </m:r>
            </m:e>
            <m:sub>
              <m:r>
                <m:rPr>
                  <m:sty m:val="p"/>
                </m:rPr>
                <w:rPr>
                  <w:rFonts w:ascii="Cambria Math" w:hAnsi="Cambria Math" w:cs="Arial"/>
                  <w:lang w:val="es-ES_tradnl"/>
                </w:rPr>
                <m:t>inv(AUNR)k</m:t>
              </m:r>
            </m:sub>
          </m:sSub>
          <m:r>
            <m:rPr>
              <m:sty m:val="p"/>
            </m:rPr>
            <w:rPr>
              <w:rFonts w:ascii="Cambria Math" w:hAnsi="Cambria Math" w:cs="Arial"/>
              <w:lang w:val="es-ES_tradnl"/>
            </w:rPr>
            <m:t>+</m:t>
          </m:r>
          <m:sSub>
            <m:sSubPr>
              <m:ctrlPr>
                <w:rPr>
                  <w:rFonts w:ascii="Cambria Math" w:hAnsi="Cambria Math" w:cs="Arial"/>
                  <w:lang w:val="es-ES_tradnl"/>
                </w:rPr>
              </m:ctrlPr>
            </m:sSubPr>
            <m:e>
              <m:r>
                <m:rPr>
                  <m:sty m:val="p"/>
                </m:rPr>
                <w:rPr>
                  <w:rFonts w:ascii="Cambria Math" w:hAnsi="Cambria Math" w:cs="Arial"/>
                  <w:lang w:val="es-ES_tradnl"/>
                </w:rPr>
                <m:t>D</m:t>
              </m:r>
            </m:e>
            <m:sub>
              <m:r>
                <m:rPr>
                  <m:sty m:val="p"/>
                </m:rPr>
                <w:rPr>
                  <w:rFonts w:ascii="Cambria Math" w:hAnsi="Cambria Math" w:cs="Arial"/>
                  <w:lang w:val="es-ES_tradnl"/>
                </w:rPr>
                <m:t>AOM(AUNR)k</m:t>
              </m:r>
            </m:sub>
          </m:sSub>
        </m:oMath>
      </m:oMathPara>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Donde:</w:t>
      </w:r>
    </w:p>
    <w:p w:rsidR="000B65DE" w:rsidRPr="000B65DE" w:rsidRDefault="000B65DE" w:rsidP="000B65DE">
      <w:pPr>
        <w:ind w:left="0"/>
        <w:jc w:val="both"/>
        <w:rPr>
          <w:rFonts w:ascii="Bookman Old Style" w:hAnsi="Bookman Old Style"/>
          <w:lang w:val="es-ES_tradnl"/>
        </w:rPr>
      </w:pPr>
    </w:p>
    <w:tbl>
      <w:tblPr>
        <w:tblW w:w="0" w:type="auto"/>
        <w:tblInd w:w="959" w:type="dxa"/>
        <w:tblLook w:val="04A0" w:firstRow="1" w:lastRow="0" w:firstColumn="1" w:lastColumn="0" w:noHBand="0" w:noVBand="1"/>
      </w:tblPr>
      <w:tblGrid>
        <w:gridCol w:w="1984"/>
        <w:gridCol w:w="6602"/>
      </w:tblGrid>
      <w:tr w:rsidR="000B65DE" w:rsidRPr="000B65DE" w:rsidTr="00382E27">
        <w:tc>
          <w:tcPr>
            <w:tcW w:w="1984" w:type="dxa"/>
          </w:tcPr>
          <w:p w:rsidR="000B65DE" w:rsidRPr="0092172B" w:rsidRDefault="00364E59" w:rsidP="000B65DE">
            <w:pPr>
              <w:ind w:left="0"/>
              <w:jc w:val="both"/>
              <w:rPr>
                <w:rFonts w:ascii="Bookman Old Style" w:hAnsi="Bookman Old Style"/>
                <w:lang w:val="es-ES_tradnl"/>
              </w:rPr>
            </w:pPr>
            <m:oMathPara>
              <m:oMathParaPr>
                <m:jc m:val="left"/>
              </m:oMathParaPr>
              <m:oMath>
                <m:sSub>
                  <m:sSubPr>
                    <m:ctrlPr>
                      <w:rPr>
                        <w:rFonts w:ascii="Cambria Math" w:hAnsi="Cambria Math" w:cs="Arial"/>
                        <w:lang w:val="es-ES_tradnl"/>
                      </w:rPr>
                    </m:ctrlPr>
                  </m:sSubPr>
                  <m:e>
                    <m:r>
                      <m:rPr>
                        <m:sty m:val="p"/>
                      </m:rPr>
                      <w:rPr>
                        <w:rFonts w:ascii="Cambria Math" w:hAnsi="Cambria Math" w:cs="Arial"/>
                        <w:lang w:val="es-ES_tradnl"/>
                      </w:rPr>
                      <m:t>D</m:t>
                    </m:r>
                  </m:e>
                  <m:sub>
                    <m:r>
                      <m:rPr>
                        <m:sty m:val="p"/>
                      </m:rPr>
                      <w:rPr>
                        <w:rFonts w:ascii="Cambria Math" w:hAnsi="Cambria Math" w:cs="Arial"/>
                        <w:lang w:val="es-ES_tradnl"/>
                      </w:rPr>
                      <m:t>(AUNR)k</m:t>
                    </m:r>
                  </m:sub>
                </m:sSub>
              </m:oMath>
            </m:oMathPara>
          </w:p>
        </w:tc>
        <w:tc>
          <w:tcPr>
            <w:tcW w:w="6602" w:type="dxa"/>
          </w:tcPr>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 xml:space="preserve">Cargo Promedio de Distribución aplicable a Usuarios Diferentes a los de Uso Residencial </w:t>
            </w:r>
            <w:r w:rsidRPr="000B65DE">
              <w:rPr>
                <w:rFonts w:ascii="Bookman Old Style" w:hAnsi="Bookman Old Style"/>
                <w:bCs/>
              </w:rPr>
              <w:t>del Mercado Relevante de Distribución para el Siguiente Período Tarifario k</w:t>
            </w:r>
            <w:r w:rsidRPr="000B65DE">
              <w:rPr>
                <w:rFonts w:ascii="Bookman Old Style" w:hAnsi="Bookman Old Style"/>
                <w:lang w:val="es-ES_tradnl"/>
              </w:rPr>
              <w:t>. Expresado en pesos de la Fecha Base por metro cúbico. Este se determinará conforme a como se constituya el Mercado Relevante de Distribución para el Siguiente Período Tarifario.</w:t>
            </w:r>
          </w:p>
          <w:p w:rsidR="000B65DE" w:rsidRPr="000B65DE" w:rsidRDefault="000B65DE" w:rsidP="000B65DE">
            <w:pPr>
              <w:ind w:left="0"/>
              <w:jc w:val="both"/>
              <w:rPr>
                <w:rFonts w:ascii="Bookman Old Style" w:hAnsi="Bookman Old Style"/>
                <w:lang w:val="es-ES_tradnl"/>
              </w:rPr>
            </w:pPr>
          </w:p>
        </w:tc>
      </w:tr>
      <w:tr w:rsidR="000B65DE" w:rsidRPr="000B65DE" w:rsidTr="00382E27">
        <w:tc>
          <w:tcPr>
            <w:tcW w:w="1984" w:type="dxa"/>
          </w:tcPr>
          <w:p w:rsidR="000B65DE" w:rsidRPr="0092172B" w:rsidRDefault="00364E59" w:rsidP="000B65DE">
            <w:pPr>
              <w:ind w:left="0"/>
              <w:jc w:val="both"/>
              <w:rPr>
                <w:rFonts w:ascii="Bookman Old Style" w:hAnsi="Bookman Old Style"/>
                <w:lang w:val="es-ES_tradnl"/>
              </w:rPr>
            </w:pPr>
            <m:oMathPara>
              <m:oMathParaPr>
                <m:jc m:val="left"/>
              </m:oMathParaPr>
              <m:oMath>
                <m:sSub>
                  <m:sSubPr>
                    <m:ctrlPr>
                      <w:rPr>
                        <w:rFonts w:ascii="Cambria Math" w:hAnsi="Cambria Math" w:cs="Arial"/>
                        <w:lang w:val="es-ES_tradnl"/>
                      </w:rPr>
                    </m:ctrlPr>
                  </m:sSubPr>
                  <m:e>
                    <m:r>
                      <m:rPr>
                        <m:sty m:val="p"/>
                      </m:rPr>
                      <w:rPr>
                        <w:rFonts w:ascii="Cambria Math" w:hAnsi="Cambria Math" w:cs="Arial"/>
                        <w:lang w:val="es-ES_tradnl"/>
                      </w:rPr>
                      <m:t>D</m:t>
                    </m:r>
                  </m:e>
                  <m:sub>
                    <m:r>
                      <m:rPr>
                        <m:sty m:val="p"/>
                      </m:rPr>
                      <w:rPr>
                        <w:rFonts w:ascii="Cambria Math" w:hAnsi="Cambria Math" w:cs="Arial"/>
                        <w:lang w:val="es-ES_tradnl"/>
                      </w:rPr>
                      <m:t>inv(AUNR)k</m:t>
                    </m:r>
                  </m:sub>
                </m:sSub>
              </m:oMath>
            </m:oMathPara>
          </w:p>
        </w:tc>
        <w:tc>
          <w:tcPr>
            <w:tcW w:w="6602" w:type="dxa"/>
          </w:tcPr>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 xml:space="preserve">Componente que remunera la Inversión Base </w:t>
            </w:r>
            <w:r w:rsidRPr="000B65DE">
              <w:rPr>
                <w:rFonts w:ascii="Bookman Old Style" w:hAnsi="Bookman Old Style"/>
                <w:bCs/>
              </w:rPr>
              <w:t>del Mercado Relevante de Distribución para el Siguiente Período Tarifario k</w:t>
            </w:r>
            <w:r w:rsidRPr="000B65DE">
              <w:rPr>
                <w:rFonts w:ascii="Bookman Old Style" w:hAnsi="Bookman Old Style"/>
                <w:lang w:val="es-ES_tradnl"/>
              </w:rPr>
              <w:t xml:space="preserve">. Expresado en pesos de la Fecha Base, por metro cúbico. Este se determinará según la conformación del Mercado Relevante de Distribución para el Siguiente Período Tarifario. </w:t>
            </w:r>
          </w:p>
          <w:p w:rsidR="000B65DE" w:rsidRPr="000B65DE" w:rsidRDefault="000B65DE" w:rsidP="000B65DE">
            <w:pPr>
              <w:ind w:left="0"/>
              <w:jc w:val="both"/>
              <w:rPr>
                <w:rFonts w:ascii="Bookman Old Style" w:hAnsi="Bookman Old Style"/>
                <w:lang w:val="es-ES_tradnl"/>
              </w:rPr>
            </w:pPr>
          </w:p>
        </w:tc>
      </w:tr>
      <w:tr w:rsidR="000B65DE" w:rsidRPr="000B65DE" w:rsidTr="00382E27">
        <w:tc>
          <w:tcPr>
            <w:tcW w:w="1984" w:type="dxa"/>
          </w:tcPr>
          <w:p w:rsidR="000B65DE" w:rsidRPr="0092172B" w:rsidRDefault="00364E59" w:rsidP="000B65DE">
            <w:pPr>
              <w:ind w:left="0"/>
              <w:jc w:val="both"/>
              <w:rPr>
                <w:rFonts w:ascii="Bookman Old Style" w:hAnsi="Bookman Old Style"/>
                <w:lang w:val="es-ES_tradnl"/>
              </w:rPr>
            </w:pPr>
            <m:oMathPara>
              <m:oMathParaPr>
                <m:jc m:val="left"/>
              </m:oMathParaPr>
              <m:oMath>
                <m:sSub>
                  <m:sSubPr>
                    <m:ctrlPr>
                      <w:rPr>
                        <w:rFonts w:ascii="Cambria Math" w:hAnsi="Cambria Math" w:cs="Arial"/>
                        <w:lang w:val="es-ES_tradnl"/>
                      </w:rPr>
                    </m:ctrlPr>
                  </m:sSubPr>
                  <m:e>
                    <m:r>
                      <m:rPr>
                        <m:sty m:val="p"/>
                      </m:rPr>
                      <w:rPr>
                        <w:rFonts w:ascii="Cambria Math" w:hAnsi="Cambria Math" w:cs="Arial"/>
                        <w:lang w:val="es-ES_tradnl"/>
                      </w:rPr>
                      <m:t>D</m:t>
                    </m:r>
                  </m:e>
                  <m:sub>
                    <m:r>
                      <m:rPr>
                        <m:sty m:val="p"/>
                      </m:rPr>
                      <w:rPr>
                        <w:rFonts w:ascii="Cambria Math" w:hAnsi="Cambria Math" w:cs="Arial"/>
                        <w:lang w:val="es-ES_tradnl"/>
                      </w:rPr>
                      <m:t>AOM(AUNR)k</m:t>
                    </m:r>
                  </m:sub>
                </m:sSub>
              </m:oMath>
            </m:oMathPara>
          </w:p>
        </w:tc>
        <w:tc>
          <w:tcPr>
            <w:tcW w:w="6602" w:type="dxa"/>
          </w:tcPr>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 xml:space="preserve">Componente que remunera los gastos de Administración, Operación y Mantenimiento de la actividad de distribución </w:t>
            </w:r>
            <w:r w:rsidRPr="000B65DE">
              <w:rPr>
                <w:rFonts w:ascii="Bookman Old Style" w:hAnsi="Bookman Old Style"/>
                <w:bCs/>
              </w:rPr>
              <w:t>del Mercado Relevante de Distribución para el Siguiente Período Tarifario k</w:t>
            </w:r>
            <w:r w:rsidRPr="000B65DE">
              <w:rPr>
                <w:rFonts w:ascii="Bookman Old Style" w:hAnsi="Bookman Old Style"/>
                <w:lang w:val="es-ES_tradnl"/>
              </w:rPr>
              <w:t xml:space="preserve">. </w:t>
            </w:r>
            <w:r w:rsidRPr="000B65DE">
              <w:rPr>
                <w:rFonts w:ascii="Bookman Old Style" w:hAnsi="Bookman Old Style"/>
                <w:lang w:val="es-ES_tradnl"/>
              </w:rPr>
              <w:lastRenderedPageBreak/>
              <w:t>Expresado en pesos de la Fecha Base, por metro cúbico.</w:t>
            </w:r>
          </w:p>
          <w:p w:rsidR="000B65DE" w:rsidRPr="000B65DE" w:rsidRDefault="000B65DE" w:rsidP="000B65DE">
            <w:pPr>
              <w:ind w:left="0"/>
              <w:jc w:val="both"/>
              <w:rPr>
                <w:rFonts w:ascii="Bookman Old Style" w:hAnsi="Bookman Old Style"/>
                <w:lang w:val="es-ES_tradnl"/>
              </w:rPr>
            </w:pPr>
          </w:p>
        </w:tc>
      </w:tr>
    </w:tbl>
    <w:p w:rsidR="000B65DE" w:rsidRPr="000B65DE" w:rsidRDefault="000B65DE" w:rsidP="000B65DE"/>
    <w:p w:rsidR="000B65DE" w:rsidRPr="000B65DE" w:rsidRDefault="000B65DE" w:rsidP="008F4D9F">
      <w:pPr>
        <w:numPr>
          <w:ilvl w:val="2"/>
          <w:numId w:val="16"/>
        </w:numPr>
        <w:overflowPunct w:val="0"/>
        <w:autoSpaceDE w:val="0"/>
        <w:autoSpaceDN w:val="0"/>
        <w:adjustRightInd w:val="0"/>
        <w:ind w:left="1134" w:hanging="1134"/>
        <w:jc w:val="both"/>
        <w:textAlignment w:val="baseline"/>
        <w:outlineLvl w:val="1"/>
        <w:rPr>
          <w:rFonts w:ascii="Bookman Old Style" w:hAnsi="Bookman Old Style"/>
          <w:b/>
          <w:bCs/>
          <w:lang w:val="es-CO"/>
        </w:rPr>
      </w:pPr>
      <w:r w:rsidRPr="000B65DE">
        <w:rPr>
          <w:rFonts w:ascii="Bookman Old Style" w:hAnsi="Bookman Old Style"/>
          <w:b/>
          <w:bCs/>
          <w:lang w:val="es-CO"/>
        </w:rPr>
        <w:t>Determinación de cada Componente Según Conformación del Mercado Relevante de Distribución para el Siguiente Período Tarifario</w:t>
      </w:r>
    </w:p>
    <w:p w:rsidR="000B65DE" w:rsidRPr="000B65DE" w:rsidRDefault="000B65DE" w:rsidP="000B65DE">
      <w:pPr>
        <w:ind w:left="0"/>
        <w:jc w:val="both"/>
        <w:rPr>
          <w:rFonts w:ascii="Bookman Old Style" w:hAnsi="Bookman Old Style"/>
          <w:lang w:val="es-ES_tradnl"/>
        </w:rPr>
      </w:pPr>
    </w:p>
    <w:p w:rsidR="000B65DE" w:rsidRPr="000B65DE" w:rsidRDefault="000B65DE" w:rsidP="008F4D9F">
      <w:pPr>
        <w:numPr>
          <w:ilvl w:val="3"/>
          <w:numId w:val="16"/>
        </w:numPr>
        <w:overflowPunct w:val="0"/>
        <w:autoSpaceDE w:val="0"/>
        <w:autoSpaceDN w:val="0"/>
        <w:adjustRightInd w:val="0"/>
        <w:ind w:left="1134" w:hanging="1134"/>
        <w:jc w:val="both"/>
        <w:textAlignment w:val="baseline"/>
        <w:outlineLvl w:val="1"/>
        <w:rPr>
          <w:rFonts w:ascii="Bookman Old Style" w:hAnsi="Bookman Old Style"/>
          <w:b/>
          <w:bCs/>
          <w:lang w:val="es-CO"/>
        </w:rPr>
      </w:pPr>
      <w:r w:rsidRPr="000B65DE">
        <w:rPr>
          <w:rFonts w:ascii="Bookman Old Style" w:hAnsi="Bookman Old Style"/>
          <w:b/>
          <w:bCs/>
          <w:lang w:val="es-CO"/>
        </w:rPr>
        <w:t>Mercados Relevantes de Distribución para el Siguiente Período Tarifario conformados a partir de Mercados Existentes de Distribución o Agregación de Mercados Existentes de Distribución</w:t>
      </w:r>
    </w:p>
    <w:p w:rsidR="000B65DE" w:rsidRPr="000B65DE" w:rsidRDefault="000B65DE" w:rsidP="000B65DE"/>
    <w:p w:rsidR="000B65DE" w:rsidRPr="000B65DE" w:rsidRDefault="000B65DE" w:rsidP="000B65DE">
      <w:pPr>
        <w:ind w:left="0"/>
        <w:jc w:val="both"/>
        <w:rPr>
          <w:rFonts w:ascii="Bookman Old Style" w:hAnsi="Bookman Old Style"/>
        </w:rPr>
      </w:pPr>
    </w:p>
    <w:p w:rsidR="000B65DE" w:rsidRPr="000B65DE" w:rsidRDefault="000B65DE" w:rsidP="000B65DE">
      <w:pPr>
        <w:tabs>
          <w:tab w:val="left" w:pos="426"/>
        </w:tabs>
        <w:ind w:left="0"/>
        <w:jc w:val="both"/>
        <w:rPr>
          <w:rFonts w:ascii="Bookman Old Style" w:hAnsi="Bookman Old Style" w:cs="Arial"/>
          <w:lang w:val="es-ES_tradnl"/>
        </w:rPr>
      </w:pPr>
    </w:p>
    <w:p w:rsidR="00E830B4" w:rsidRPr="0092172B" w:rsidRDefault="00364E59" w:rsidP="00E830B4">
      <w:pPr>
        <w:tabs>
          <w:tab w:val="left" w:pos="426"/>
        </w:tabs>
        <w:ind w:left="0"/>
        <w:jc w:val="center"/>
        <w:rPr>
          <w:rFonts w:ascii="Bookman Old Style" w:hAnsi="Bookman Old Style" w:cs="Arial"/>
          <w:lang w:val="es-ES_tradnl"/>
        </w:rPr>
      </w:pPr>
      <m:oMathPara>
        <m:oMath>
          <m:sSub>
            <m:sSubPr>
              <m:ctrlPr>
                <w:rPr>
                  <w:rFonts w:ascii="Cambria Math" w:hAnsi="Cambria Math" w:cs="Arial"/>
                  <w:lang w:val="es-ES_tradnl"/>
                </w:rPr>
              </m:ctrlPr>
            </m:sSubPr>
            <m:e>
              <m:r>
                <m:rPr>
                  <m:sty m:val="p"/>
                </m:rPr>
                <w:rPr>
                  <w:rFonts w:ascii="Cambria Math" w:hAnsi="Cambria Math" w:cs="Arial"/>
                  <w:lang w:val="es-ES_tradnl"/>
                </w:rPr>
                <m:t>D</m:t>
              </m:r>
            </m:e>
            <m:sub>
              <m:r>
                <m:rPr>
                  <m:sty m:val="p"/>
                </m:rPr>
                <w:rPr>
                  <w:rFonts w:ascii="Cambria Math" w:hAnsi="Cambria Math" w:cs="Arial"/>
                  <w:lang w:val="es-ES_tradnl"/>
                </w:rPr>
                <m:t>inv(AUNR)k</m:t>
              </m:r>
            </m:sub>
          </m:sSub>
          <m:r>
            <m:rPr>
              <m:sty m:val="p"/>
            </m:rPr>
            <w:rPr>
              <w:rFonts w:ascii="Cambria Math" w:hAnsi="Cambria Math" w:cs="Arial"/>
              <w:lang w:val="es-ES_tradnl"/>
            </w:rPr>
            <m:t>=</m:t>
          </m:r>
          <m:f>
            <m:fPr>
              <m:ctrlPr>
                <w:rPr>
                  <w:rFonts w:ascii="Cambria Math" w:hAnsi="Cambria Math" w:cs="Arial"/>
                  <w:lang w:val="es-ES_tradnl"/>
                </w:rPr>
              </m:ctrlPr>
            </m:fPr>
            <m:num>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IBME</m:t>
                  </m:r>
                </m:e>
                <m:sub>
                  <m:r>
                    <m:rPr>
                      <m:sty m:val="p"/>
                    </m:rPr>
                    <w:rPr>
                      <w:rFonts w:ascii="Cambria Math" w:eastAsia="Calibri" w:hAnsi="Cambria Math" w:cs="Arial"/>
                      <w:lang w:val="es-CO" w:eastAsia="en-US"/>
                    </w:rPr>
                    <m:t>RPk</m:t>
                  </m:r>
                </m:sub>
              </m:sSub>
            </m:num>
            <m:den>
              <m:sSub>
                <m:sSubPr>
                  <m:ctrlPr>
                    <w:rPr>
                      <w:rFonts w:ascii="Cambria Math" w:hAnsi="Cambria Math" w:cs="Arial"/>
                      <w:lang w:val="es-ES_tradnl"/>
                    </w:rPr>
                  </m:ctrlPr>
                </m:sSubPr>
                <m:e>
                  <m:r>
                    <m:rPr>
                      <m:sty m:val="p"/>
                    </m:rPr>
                    <w:rPr>
                      <w:rFonts w:ascii="Cambria Math" w:hAnsi="Cambria Math" w:cs="Arial"/>
                      <w:lang w:val="es-ES_tradnl"/>
                    </w:rPr>
                    <m:t>Q</m:t>
                  </m:r>
                </m:e>
                <m:sub>
                  <m:r>
                    <m:rPr>
                      <m:sty m:val="p"/>
                    </m:rPr>
                    <w:rPr>
                      <w:rFonts w:ascii="Cambria Math" w:hAnsi="Cambria Math" w:cs="Arial"/>
                      <w:lang w:val="es-ES_tradnl"/>
                    </w:rPr>
                    <m:t>Tk</m:t>
                  </m:r>
                </m:sub>
              </m:sSub>
            </m:den>
          </m:f>
          <m:r>
            <m:rPr>
              <m:sty m:val="p"/>
            </m:rPr>
            <w:rPr>
              <w:rFonts w:ascii="Cambria Math" w:hAnsi="Cambria Math" w:cs="Arial"/>
              <w:lang w:val="es-ES_tradnl"/>
            </w:rPr>
            <m:t>+</m:t>
          </m:r>
          <m:f>
            <m:fPr>
              <m:ctrlPr>
                <w:rPr>
                  <w:rFonts w:ascii="Cambria Math" w:hAnsi="Cambria Math" w:cs="Arial"/>
                  <w:lang w:val="es-ES_tradnl"/>
                </w:rPr>
              </m:ctrlPr>
            </m:fPr>
            <m:num>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IBME</m:t>
                  </m:r>
                </m:e>
                <m:sub>
                  <m:r>
                    <m:rPr>
                      <m:sty m:val="p"/>
                    </m:rPr>
                    <w:rPr>
                      <w:rFonts w:ascii="Cambria Math" w:eastAsia="Calibri" w:hAnsi="Cambria Math" w:cs="Arial"/>
                      <w:lang w:val="es-CO" w:eastAsia="en-US"/>
                    </w:rPr>
                    <m:t>RS(No Res)k</m:t>
                  </m:r>
                </m:sub>
              </m:sSub>
            </m:num>
            <m:den>
              <m:sSub>
                <m:sSubPr>
                  <m:ctrlPr>
                    <w:rPr>
                      <w:rFonts w:ascii="Cambria Math" w:hAnsi="Cambria Math" w:cs="Arial"/>
                      <w:lang w:val="es-ES_tradnl"/>
                    </w:rPr>
                  </m:ctrlPr>
                </m:sSubPr>
                <m:e>
                  <m:r>
                    <m:rPr>
                      <m:sty m:val="p"/>
                    </m:rPr>
                    <w:rPr>
                      <w:rFonts w:ascii="Cambria Math" w:hAnsi="Cambria Math" w:cs="Arial"/>
                      <w:lang w:val="es-ES_tradnl"/>
                    </w:rPr>
                    <m:t>(Q</m:t>
                  </m:r>
                </m:e>
                <m:sub>
                  <m:r>
                    <m:rPr>
                      <m:sty m:val="p"/>
                    </m:rPr>
                    <w:rPr>
                      <w:rFonts w:ascii="Cambria Math" w:hAnsi="Cambria Math" w:cs="Arial"/>
                      <w:lang w:val="es-ES_tradnl"/>
                    </w:rPr>
                    <m:t>Tk</m:t>
                  </m:r>
                </m:sub>
              </m:sSub>
              <m:r>
                <w:rPr>
                  <w:rFonts w:ascii="Cambria Math" w:hAnsi="Cambria Math" w:cs="Arial"/>
                  <w:lang w:val="es-ES_tradnl"/>
                </w:rPr>
                <m:t>-</m:t>
              </m:r>
              <m:sSub>
                <m:sSubPr>
                  <m:ctrlPr>
                    <w:rPr>
                      <w:rFonts w:ascii="Cambria Math" w:hAnsi="Cambria Math" w:cs="Arial"/>
                      <w:lang w:val="es-ES_tradnl"/>
                    </w:rPr>
                  </m:ctrlPr>
                </m:sSubPr>
                <m:e>
                  <m:r>
                    <m:rPr>
                      <m:sty m:val="p"/>
                    </m:rPr>
                    <w:rPr>
                      <w:rFonts w:ascii="Cambria Math" w:hAnsi="Cambria Math" w:cs="Arial"/>
                      <w:lang w:val="es-ES_tradnl"/>
                    </w:rPr>
                    <m:t>Q</m:t>
                  </m:r>
                </m:e>
                <m:sub>
                  <m:r>
                    <m:rPr>
                      <m:sty m:val="p"/>
                    </m:rPr>
                    <w:rPr>
                      <w:rFonts w:ascii="Cambria Math" w:hAnsi="Cambria Math" w:cs="Arial"/>
                      <w:lang w:val="es-ES_tradnl"/>
                    </w:rPr>
                    <m:t>Resk</m:t>
                  </m:r>
                </m:sub>
              </m:sSub>
              <m:r>
                <w:rPr>
                  <w:rFonts w:ascii="Cambria Math" w:hAnsi="Cambria Math" w:cs="Arial"/>
                  <w:lang w:val="es-ES_tradnl"/>
                </w:rPr>
                <m:t>)</m:t>
              </m:r>
            </m:den>
          </m:f>
        </m:oMath>
      </m:oMathPara>
    </w:p>
    <w:p w:rsidR="000B65DE" w:rsidRPr="000B65DE" w:rsidRDefault="000B65DE" w:rsidP="000B65DE">
      <w:pPr>
        <w:ind w:left="284" w:hanging="284"/>
        <w:jc w:val="both"/>
        <w:rPr>
          <w:rFonts w:ascii="Bookman Old Style" w:hAnsi="Bookman Old Style"/>
        </w:rPr>
      </w:pPr>
    </w:p>
    <w:p w:rsidR="000B65DE" w:rsidRPr="0092172B" w:rsidRDefault="00364E59" w:rsidP="000B65DE">
      <w:pPr>
        <w:tabs>
          <w:tab w:val="left" w:pos="426"/>
        </w:tabs>
        <w:ind w:left="0"/>
        <w:jc w:val="center"/>
        <w:rPr>
          <w:rFonts w:ascii="Bookman Old Style" w:hAnsi="Bookman Old Style" w:cs="Arial"/>
          <w:lang w:val="es-ES_tradnl"/>
        </w:rPr>
      </w:pPr>
      <m:oMathPara>
        <m:oMath>
          <m:sSub>
            <m:sSubPr>
              <m:ctrlPr>
                <w:rPr>
                  <w:rFonts w:ascii="Cambria Math" w:hAnsi="Cambria Math" w:cs="Arial"/>
                  <w:lang w:val="es-ES_tradnl"/>
                </w:rPr>
              </m:ctrlPr>
            </m:sSubPr>
            <m:e>
              <m:r>
                <m:rPr>
                  <m:sty m:val="p"/>
                </m:rPr>
                <w:rPr>
                  <w:rFonts w:ascii="Cambria Math" w:hAnsi="Cambria Math" w:cs="Arial"/>
                  <w:lang w:val="es-ES_tradnl"/>
                </w:rPr>
                <m:t>D</m:t>
              </m:r>
            </m:e>
            <m:sub>
              <m:r>
                <m:rPr>
                  <m:sty m:val="p"/>
                </m:rPr>
                <w:rPr>
                  <w:rFonts w:ascii="Cambria Math" w:hAnsi="Cambria Math" w:cs="Arial"/>
                  <w:lang w:val="es-ES_tradnl"/>
                </w:rPr>
                <m:t>AOM(AUNR)k</m:t>
              </m:r>
            </m:sub>
          </m:sSub>
          <m:r>
            <m:rPr>
              <m:sty m:val="p"/>
            </m:rPr>
            <w:rPr>
              <w:rFonts w:ascii="Cambria Math" w:hAnsi="Cambria Math" w:cs="Arial"/>
              <w:lang w:val="es-ES_tradnl"/>
            </w:rPr>
            <m:t xml:space="preserve">= </m:t>
          </m:r>
          <m:f>
            <m:fPr>
              <m:ctrlPr>
                <w:rPr>
                  <w:rFonts w:ascii="Cambria Math" w:hAnsi="Cambria Math" w:cs="Arial"/>
                  <w:lang w:val="es-ES_tradnl"/>
                </w:rPr>
              </m:ctrlPr>
            </m:fPr>
            <m:num>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AOM</m:t>
                  </m:r>
                </m:e>
                <m:sub>
                  <m:r>
                    <m:rPr>
                      <m:sty m:val="p"/>
                    </m:rPr>
                    <w:rPr>
                      <w:rFonts w:ascii="Cambria Math" w:eastAsia="Calibri" w:hAnsi="Cambria Math" w:cs="Arial"/>
                      <w:lang w:val="es-CO" w:eastAsia="en-US"/>
                    </w:rPr>
                    <m:t>RPk</m:t>
                  </m:r>
                </m:sub>
              </m:sSub>
            </m:num>
            <m:den>
              <m:sSub>
                <m:sSubPr>
                  <m:ctrlPr>
                    <w:rPr>
                      <w:rFonts w:ascii="Cambria Math" w:hAnsi="Cambria Math" w:cs="Arial"/>
                      <w:lang w:val="es-ES_tradnl"/>
                    </w:rPr>
                  </m:ctrlPr>
                </m:sSubPr>
                <m:e>
                  <m:r>
                    <m:rPr>
                      <m:sty m:val="p"/>
                    </m:rPr>
                    <w:rPr>
                      <w:rFonts w:ascii="Cambria Math" w:hAnsi="Cambria Math" w:cs="Arial"/>
                      <w:lang w:val="es-ES_tradnl"/>
                    </w:rPr>
                    <m:t>Q</m:t>
                  </m:r>
                </m:e>
                <m:sub>
                  <m:r>
                    <m:rPr>
                      <m:sty m:val="p"/>
                    </m:rPr>
                    <w:rPr>
                      <w:rFonts w:ascii="Cambria Math" w:hAnsi="Cambria Math" w:cs="Arial"/>
                      <w:lang w:val="es-ES_tradnl"/>
                    </w:rPr>
                    <m:t>Tk</m:t>
                  </m:r>
                </m:sub>
              </m:sSub>
            </m:den>
          </m:f>
          <m:r>
            <w:rPr>
              <w:rFonts w:ascii="Cambria Math" w:hAnsi="Cambria Math" w:cs="Arial"/>
              <w:lang w:val="es-ES_tradnl"/>
            </w:rPr>
            <m:t>+</m:t>
          </m:r>
          <m:f>
            <m:fPr>
              <m:ctrlPr>
                <w:rPr>
                  <w:rFonts w:ascii="Cambria Math" w:hAnsi="Cambria Math" w:cs="Arial"/>
                  <w:lang w:val="es-ES_tradnl"/>
                </w:rPr>
              </m:ctrlPr>
            </m:fPr>
            <m:num>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AOM</m:t>
                  </m:r>
                </m:e>
                <m:sub>
                  <m:r>
                    <m:rPr>
                      <m:sty m:val="p"/>
                    </m:rPr>
                    <w:rPr>
                      <w:rFonts w:ascii="Cambria Math" w:eastAsia="Calibri" w:hAnsi="Cambria Math" w:cs="Arial"/>
                      <w:lang w:val="es-CO" w:eastAsia="en-US"/>
                    </w:rPr>
                    <m:t>RS(No Res)k</m:t>
                  </m:r>
                </m:sub>
              </m:sSub>
            </m:num>
            <m:den>
              <m:sSub>
                <m:sSubPr>
                  <m:ctrlPr>
                    <w:rPr>
                      <w:rFonts w:ascii="Cambria Math" w:hAnsi="Cambria Math" w:cs="Arial"/>
                      <w:lang w:val="es-ES_tradnl"/>
                    </w:rPr>
                  </m:ctrlPr>
                </m:sSubPr>
                <m:e>
                  <m:r>
                    <m:rPr>
                      <m:sty m:val="p"/>
                    </m:rPr>
                    <w:rPr>
                      <w:rFonts w:ascii="Cambria Math" w:hAnsi="Cambria Math" w:cs="Arial"/>
                      <w:lang w:val="es-ES_tradnl"/>
                    </w:rPr>
                    <m:t>(Q</m:t>
                  </m:r>
                </m:e>
                <m:sub>
                  <m:r>
                    <m:rPr>
                      <m:sty m:val="p"/>
                    </m:rPr>
                    <w:rPr>
                      <w:rFonts w:ascii="Cambria Math" w:hAnsi="Cambria Math" w:cs="Arial"/>
                      <w:lang w:val="es-ES_tradnl"/>
                    </w:rPr>
                    <m:t>Tk</m:t>
                  </m:r>
                </m:sub>
              </m:sSub>
              <m:r>
                <w:rPr>
                  <w:rFonts w:ascii="Cambria Math" w:hAnsi="Cambria Math" w:cs="Arial"/>
                  <w:lang w:val="es-ES_tradnl"/>
                </w:rPr>
                <m:t>-</m:t>
              </m:r>
              <m:sSub>
                <m:sSubPr>
                  <m:ctrlPr>
                    <w:rPr>
                      <w:rFonts w:ascii="Cambria Math" w:hAnsi="Cambria Math" w:cs="Arial"/>
                      <w:lang w:val="es-ES_tradnl"/>
                    </w:rPr>
                  </m:ctrlPr>
                </m:sSubPr>
                <m:e>
                  <m:r>
                    <m:rPr>
                      <m:sty m:val="p"/>
                    </m:rPr>
                    <w:rPr>
                      <w:rFonts w:ascii="Cambria Math" w:hAnsi="Cambria Math" w:cs="Arial"/>
                      <w:lang w:val="es-ES_tradnl"/>
                    </w:rPr>
                    <m:t>Q</m:t>
                  </m:r>
                </m:e>
                <m:sub>
                  <m:r>
                    <m:rPr>
                      <m:sty m:val="p"/>
                    </m:rPr>
                    <w:rPr>
                      <w:rFonts w:ascii="Cambria Math" w:hAnsi="Cambria Math" w:cs="Arial"/>
                      <w:lang w:val="es-ES_tradnl"/>
                    </w:rPr>
                    <m:t>Resk</m:t>
                  </m:r>
                </m:sub>
              </m:sSub>
              <m:r>
                <w:rPr>
                  <w:rFonts w:ascii="Cambria Math" w:hAnsi="Cambria Math" w:cs="Arial"/>
                  <w:lang w:val="es-ES_tradnl"/>
                </w:rPr>
                <m:t>)</m:t>
              </m:r>
            </m:den>
          </m:f>
        </m:oMath>
      </m:oMathPara>
    </w:p>
    <w:p w:rsidR="000B65DE" w:rsidRPr="000B65DE" w:rsidRDefault="000B65DE" w:rsidP="000B65DE">
      <w:pPr>
        <w:ind w:left="0"/>
        <w:jc w:val="both"/>
        <w:rPr>
          <w:rFonts w:ascii="Bookman Old Style" w:hAnsi="Bookman Old Style"/>
        </w:rPr>
      </w:pPr>
    </w:p>
    <w:p w:rsidR="006C3460" w:rsidRDefault="006C3460" w:rsidP="000B65DE">
      <w:pPr>
        <w:tabs>
          <w:tab w:val="left" w:pos="426"/>
        </w:tabs>
        <w:ind w:left="0"/>
        <w:jc w:val="both"/>
        <w:rPr>
          <w:rFonts w:ascii="Bookman Old Style" w:hAnsi="Bookman Old Style" w:cs="Arial"/>
          <w:lang w:val="es-ES_tradnl"/>
        </w:rPr>
      </w:pPr>
    </w:p>
    <w:p w:rsidR="000B65DE" w:rsidRPr="000B65DE" w:rsidRDefault="000B65DE" w:rsidP="000B65DE">
      <w:pPr>
        <w:tabs>
          <w:tab w:val="left" w:pos="426"/>
        </w:tabs>
        <w:ind w:left="0"/>
        <w:jc w:val="both"/>
        <w:rPr>
          <w:rFonts w:ascii="Bookman Old Style" w:hAnsi="Bookman Old Style" w:cs="Arial"/>
          <w:lang w:val="es-ES_tradnl"/>
        </w:rPr>
      </w:pPr>
      <w:r w:rsidRPr="000B65DE">
        <w:rPr>
          <w:rFonts w:ascii="Bookman Old Style" w:hAnsi="Bookman Old Style" w:cs="Arial"/>
          <w:lang w:val="es-ES_tradnl"/>
        </w:rPr>
        <w:t>Donde:</w:t>
      </w:r>
    </w:p>
    <w:p w:rsidR="000B65DE" w:rsidRPr="000B65DE" w:rsidRDefault="000B65DE" w:rsidP="000B65DE">
      <w:pPr>
        <w:tabs>
          <w:tab w:val="left" w:pos="426"/>
        </w:tabs>
        <w:ind w:left="0"/>
        <w:jc w:val="both"/>
        <w:rPr>
          <w:rFonts w:ascii="Bookman Old Style" w:hAnsi="Bookman Old Style" w:cs="Arial"/>
          <w:lang w:val="es-ES_tradnl"/>
        </w:rPr>
      </w:pPr>
    </w:p>
    <w:tbl>
      <w:tblPr>
        <w:tblW w:w="8870" w:type="dxa"/>
        <w:tblInd w:w="250" w:type="dxa"/>
        <w:tblLook w:val="04A0" w:firstRow="1" w:lastRow="0" w:firstColumn="1" w:lastColumn="0" w:noHBand="0" w:noVBand="1"/>
      </w:tblPr>
      <w:tblGrid>
        <w:gridCol w:w="2268"/>
        <w:gridCol w:w="6602"/>
      </w:tblGrid>
      <w:tr w:rsidR="000B65DE" w:rsidRPr="000B65DE" w:rsidTr="00382E27">
        <w:tc>
          <w:tcPr>
            <w:tcW w:w="2268" w:type="dxa"/>
          </w:tcPr>
          <w:p w:rsidR="000B65DE" w:rsidRPr="0092172B" w:rsidRDefault="00364E59" w:rsidP="000B65DE">
            <w:pPr>
              <w:tabs>
                <w:tab w:val="left" w:pos="426"/>
              </w:tabs>
              <w:ind w:left="0" w:hanging="817"/>
              <w:jc w:val="both"/>
              <w:rPr>
                <w:rFonts w:ascii="Bookman Old Style" w:hAnsi="Bookman Old Style" w:cs="Arial"/>
                <w:lang w:val="es-ES_tradnl"/>
              </w:rPr>
            </w:pPr>
            <m:oMathPara>
              <m:oMathParaPr>
                <m:jc m:val="left"/>
              </m:oMathParaPr>
              <m:oMath>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IBME</m:t>
                    </m:r>
                  </m:e>
                  <m:sub>
                    <m:r>
                      <m:rPr>
                        <m:sty m:val="p"/>
                      </m:rPr>
                      <w:rPr>
                        <w:rFonts w:ascii="Cambria Math" w:eastAsia="Calibri" w:hAnsi="Cambria Math" w:cs="Arial"/>
                        <w:lang w:val="es-CO" w:eastAsia="en-US"/>
                      </w:rPr>
                      <m:t>RPk</m:t>
                    </m:r>
                  </m:sub>
                </m:sSub>
              </m:oMath>
            </m:oMathPara>
          </w:p>
        </w:tc>
        <w:tc>
          <w:tcPr>
            <w:tcW w:w="6602" w:type="dxa"/>
          </w:tcPr>
          <w:p w:rsidR="000B65DE" w:rsidRPr="000B65DE" w:rsidRDefault="000B65DE" w:rsidP="000B65DE">
            <w:pPr>
              <w:spacing w:after="200"/>
              <w:ind w:left="0"/>
              <w:contextualSpacing/>
              <w:jc w:val="both"/>
              <w:rPr>
                <w:rFonts w:ascii="Bookman Old Style" w:hAnsi="Bookman Old Style" w:cs="Arial"/>
                <w:lang w:val="es-CO" w:eastAsia="en-US"/>
              </w:rPr>
            </w:pPr>
            <w:r w:rsidRPr="000B65DE">
              <w:rPr>
                <w:rFonts w:ascii="Bookman Old Style" w:hAnsi="Bookman Old Style" w:cs="Arial"/>
                <w:lang w:val="es-CO" w:eastAsia="en-US"/>
              </w:rPr>
              <w:t xml:space="preserve">Inversión Base correspondiente a la Red Primaria </w:t>
            </w:r>
            <w:r w:rsidRPr="000B65DE">
              <w:rPr>
                <w:rFonts w:ascii="Bookman Old Style" w:hAnsi="Bookman Old Style"/>
                <w:bCs/>
              </w:rPr>
              <w:t xml:space="preserve">del Mercado Relevante de Distribución para el Siguiente Período Tarifario </w:t>
            </w:r>
            <w:r w:rsidRPr="000B65DE">
              <w:rPr>
                <w:rFonts w:ascii="Bookman Old Style" w:hAnsi="Bookman Old Style" w:cs="Arial"/>
                <w:lang w:val="es-CO" w:eastAsia="en-US"/>
              </w:rPr>
              <w:t>k conformado a partir de Mercado</w:t>
            </w:r>
            <w:r w:rsidR="008B5F84">
              <w:rPr>
                <w:rFonts w:ascii="Bookman Old Style" w:hAnsi="Bookman Old Style" w:cs="Arial"/>
                <w:lang w:val="es-CO" w:eastAsia="en-US"/>
              </w:rPr>
              <w:t>s</w:t>
            </w:r>
            <w:r w:rsidRPr="000B65DE">
              <w:rPr>
                <w:rFonts w:ascii="Bookman Old Style" w:hAnsi="Bookman Old Style" w:cs="Arial"/>
                <w:lang w:val="es-CO" w:eastAsia="en-US"/>
              </w:rPr>
              <w:t xml:space="preserve"> Existente</w:t>
            </w:r>
            <w:r w:rsidR="008B5F84">
              <w:rPr>
                <w:rFonts w:ascii="Bookman Old Style" w:hAnsi="Bookman Old Style" w:cs="Arial"/>
                <w:lang w:val="es-CO" w:eastAsia="en-US"/>
              </w:rPr>
              <w:t>s</w:t>
            </w:r>
            <w:r w:rsidRPr="000B65DE">
              <w:rPr>
                <w:rFonts w:ascii="Bookman Old Style" w:hAnsi="Bookman Old Style" w:cs="Arial"/>
                <w:lang w:val="es-CO" w:eastAsia="en-US"/>
              </w:rPr>
              <w:t xml:space="preserve"> de Distribución o de la Agregación de Mercados </w:t>
            </w:r>
            <w:r w:rsidR="008B5F84">
              <w:rPr>
                <w:rFonts w:ascii="Bookman Old Style" w:hAnsi="Bookman Old Style" w:cs="Arial"/>
                <w:lang w:val="es-CO" w:eastAsia="en-US"/>
              </w:rPr>
              <w:t xml:space="preserve">Existentes </w:t>
            </w:r>
            <w:r w:rsidRPr="000B65DE">
              <w:rPr>
                <w:rFonts w:ascii="Bookman Old Style" w:hAnsi="Bookman Old Style" w:cs="Arial"/>
                <w:lang w:val="es-CO" w:eastAsia="en-US"/>
              </w:rPr>
              <w:t xml:space="preserve">de Distribución,  expresada en pesos de la Fecha Base. Esta se determina como se indica en el numeral </w:t>
            </w:r>
            <w:r w:rsidR="008B26D0">
              <w:fldChar w:fldCharType="begin"/>
            </w:r>
            <w:r w:rsidR="008B26D0">
              <w:instrText xml:space="preserve"> REF _Ref289353052 \r \h  \* MERGEFORMAT </w:instrText>
            </w:r>
            <w:r w:rsidR="008B26D0">
              <w:fldChar w:fldCharType="separate"/>
            </w:r>
            <w:r w:rsidR="004D5C18" w:rsidRPr="004D5C18">
              <w:rPr>
                <w:rFonts w:ascii="Bookman Old Style" w:hAnsi="Bookman Old Style" w:cs="Arial"/>
                <w:lang w:val="es-CO" w:eastAsia="en-US"/>
              </w:rPr>
              <w:t>9.5.1</w:t>
            </w:r>
            <w:r w:rsidR="008B26D0">
              <w:fldChar w:fldCharType="end"/>
            </w:r>
            <w:r w:rsidRPr="000B65DE">
              <w:rPr>
                <w:rFonts w:ascii="Bookman Old Style" w:hAnsi="Bookman Old Style" w:cs="Arial"/>
                <w:lang w:val="es-CO" w:eastAsia="en-US"/>
              </w:rPr>
              <w:t xml:space="preserve"> de esta Resolución. </w:t>
            </w:r>
          </w:p>
          <w:p w:rsidR="000B65DE" w:rsidRPr="000B65DE" w:rsidRDefault="000B65DE" w:rsidP="000B65DE">
            <w:pPr>
              <w:spacing w:after="200"/>
              <w:ind w:left="0"/>
              <w:contextualSpacing/>
              <w:jc w:val="both"/>
              <w:rPr>
                <w:rFonts w:ascii="Bookman Old Style" w:hAnsi="Bookman Old Style" w:cs="Arial"/>
                <w:lang w:val="es-CO"/>
              </w:rPr>
            </w:pPr>
          </w:p>
        </w:tc>
      </w:tr>
      <w:tr w:rsidR="000B65DE" w:rsidRPr="000B65DE" w:rsidTr="00382E27">
        <w:tc>
          <w:tcPr>
            <w:tcW w:w="2268" w:type="dxa"/>
          </w:tcPr>
          <w:p w:rsidR="000B65DE" w:rsidRPr="0092172B" w:rsidRDefault="00364E59" w:rsidP="000B65DE">
            <w:pPr>
              <w:tabs>
                <w:tab w:val="left" w:pos="426"/>
              </w:tabs>
              <w:ind w:left="0" w:hanging="817"/>
              <w:jc w:val="both"/>
              <w:rPr>
                <w:lang w:val="es-CO" w:eastAsia="en-US"/>
              </w:rPr>
            </w:pPr>
            <m:oMathPara>
              <m:oMathParaPr>
                <m:jc m:val="left"/>
              </m:oMathParaPr>
              <m:oMath>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IBME</m:t>
                    </m:r>
                  </m:e>
                  <m:sub>
                    <m:r>
                      <m:rPr>
                        <m:sty m:val="p"/>
                      </m:rPr>
                      <w:rPr>
                        <w:rFonts w:ascii="Cambria Math" w:eastAsia="Calibri" w:hAnsi="Cambria Math" w:cs="Arial"/>
                        <w:lang w:val="es-CO" w:eastAsia="en-US"/>
                      </w:rPr>
                      <m:t>RS(No Res)k</m:t>
                    </m:r>
                  </m:sub>
                </m:sSub>
              </m:oMath>
            </m:oMathPara>
          </w:p>
        </w:tc>
        <w:tc>
          <w:tcPr>
            <w:tcW w:w="6602" w:type="dxa"/>
          </w:tcPr>
          <w:p w:rsidR="000B65DE" w:rsidRPr="000B65DE" w:rsidRDefault="000B65DE" w:rsidP="000B65DE">
            <w:pPr>
              <w:tabs>
                <w:tab w:val="left" w:pos="426"/>
              </w:tabs>
              <w:ind w:left="0"/>
              <w:jc w:val="both"/>
              <w:rPr>
                <w:rFonts w:ascii="Bookman Old Style" w:hAnsi="Bookman Old Style" w:cs="Arial"/>
                <w:lang w:val="es-CO" w:eastAsia="en-US"/>
              </w:rPr>
            </w:pPr>
            <w:r w:rsidRPr="000B65DE">
              <w:rPr>
                <w:rFonts w:ascii="Bookman Old Style" w:hAnsi="Bookman Old Style" w:cs="Arial"/>
                <w:lang w:val="es-CO" w:eastAsia="en-US"/>
              </w:rPr>
              <w:t xml:space="preserve">Inversión Base correspondiente a la Red Secundaria que es utilizada por usuarios diferentes a los de Uso Residencial </w:t>
            </w:r>
            <w:r w:rsidRPr="000B65DE">
              <w:rPr>
                <w:rFonts w:ascii="Bookman Old Style" w:hAnsi="Bookman Old Style"/>
                <w:bCs/>
              </w:rPr>
              <w:t xml:space="preserve">del Mercado Relevante de Distribución para el Siguiente Período Tarifario </w:t>
            </w:r>
            <w:r w:rsidR="0061312F">
              <w:rPr>
                <w:rFonts w:ascii="Bookman Old Style" w:hAnsi="Bookman Old Style"/>
                <w:bCs/>
              </w:rPr>
              <w:t xml:space="preserve">k </w:t>
            </w:r>
            <w:r w:rsidRPr="000B65DE">
              <w:rPr>
                <w:rFonts w:ascii="Bookman Old Style" w:hAnsi="Bookman Old Style" w:cs="Arial"/>
                <w:lang w:val="es-CO" w:eastAsia="en-US"/>
              </w:rPr>
              <w:t>conformado a partir de Mercado</w:t>
            </w:r>
            <w:r w:rsidR="008B5F84">
              <w:rPr>
                <w:rFonts w:ascii="Bookman Old Style" w:hAnsi="Bookman Old Style" w:cs="Arial"/>
                <w:lang w:val="es-CO" w:eastAsia="en-US"/>
              </w:rPr>
              <w:t>s</w:t>
            </w:r>
            <w:r w:rsidRPr="000B65DE">
              <w:rPr>
                <w:rFonts w:ascii="Bookman Old Style" w:hAnsi="Bookman Old Style" w:cs="Arial"/>
                <w:lang w:val="es-CO" w:eastAsia="en-US"/>
              </w:rPr>
              <w:t xml:space="preserve"> Existente</w:t>
            </w:r>
            <w:r w:rsidR="008B5F84">
              <w:rPr>
                <w:rFonts w:ascii="Bookman Old Style" w:hAnsi="Bookman Old Style" w:cs="Arial"/>
                <w:lang w:val="es-CO" w:eastAsia="en-US"/>
              </w:rPr>
              <w:t>s</w:t>
            </w:r>
            <w:r w:rsidRPr="000B65DE">
              <w:rPr>
                <w:rFonts w:ascii="Bookman Old Style" w:hAnsi="Bookman Old Style" w:cs="Arial"/>
                <w:lang w:val="es-CO" w:eastAsia="en-US"/>
              </w:rPr>
              <w:t xml:space="preserve"> de Distribución o de la Agregación de Mercados </w:t>
            </w:r>
            <w:r w:rsidR="008B5F84">
              <w:rPr>
                <w:rFonts w:ascii="Bookman Old Style" w:hAnsi="Bookman Old Style" w:cs="Arial"/>
                <w:lang w:val="es-CO" w:eastAsia="en-US"/>
              </w:rPr>
              <w:t>Existentes</w:t>
            </w:r>
            <w:r w:rsidRPr="000B65DE">
              <w:rPr>
                <w:rFonts w:ascii="Bookman Old Style" w:hAnsi="Bookman Old Style" w:cs="Arial"/>
                <w:lang w:val="es-CO" w:eastAsia="en-US"/>
              </w:rPr>
              <w:t xml:space="preserve"> de Distribución,  expresada en pesos de la Fecha Base. Se calcula como la relación entre  la demanda diferente a la residencial (Q</w:t>
            </w:r>
            <w:r w:rsidRPr="000B65DE">
              <w:rPr>
                <w:rFonts w:ascii="Bookman Old Style" w:hAnsi="Bookman Old Style" w:cs="Arial"/>
                <w:vertAlign w:val="subscript"/>
                <w:lang w:val="es-CO" w:eastAsia="en-US"/>
              </w:rPr>
              <w:t>NoRes</w:t>
            </w:r>
            <w:r w:rsidRPr="000B65DE">
              <w:rPr>
                <w:rFonts w:ascii="Bookman Old Style" w:hAnsi="Bookman Old Style" w:cs="Arial"/>
                <w:lang w:val="es-CO" w:eastAsia="en-US"/>
              </w:rPr>
              <w:t xml:space="preserve">) sobre </w:t>
            </w:r>
            <w:r w:rsidR="00494EF6">
              <w:rPr>
                <w:rFonts w:ascii="Bookman Old Style" w:hAnsi="Bookman Old Style" w:cs="Arial"/>
                <w:lang w:val="es-CO" w:eastAsia="en-US"/>
              </w:rPr>
              <w:t>la suma</w:t>
            </w:r>
            <w:r w:rsidRPr="000B65DE">
              <w:rPr>
                <w:rFonts w:ascii="Bookman Old Style" w:hAnsi="Bookman Old Style" w:cs="Arial"/>
                <w:lang w:val="es-CO" w:eastAsia="en-US"/>
              </w:rPr>
              <w:t xml:space="preserve"> de la demanda que utiliza la red secundaria (Q</w:t>
            </w:r>
            <w:r w:rsidRPr="000B65DE">
              <w:rPr>
                <w:rFonts w:ascii="Bookman Old Style" w:hAnsi="Bookman Old Style" w:cs="Arial"/>
                <w:vertAlign w:val="subscript"/>
                <w:lang w:val="es-CO" w:eastAsia="en-US"/>
              </w:rPr>
              <w:t>NoRes</w:t>
            </w:r>
            <w:r w:rsidRPr="000B65DE">
              <w:rPr>
                <w:rFonts w:ascii="Bookman Old Style" w:hAnsi="Bookman Old Style" w:cs="Arial"/>
                <w:lang w:val="es-CO" w:eastAsia="en-US"/>
              </w:rPr>
              <w:t xml:space="preserve"> + Q</w:t>
            </w:r>
            <w:r w:rsidRPr="000B65DE">
              <w:rPr>
                <w:rFonts w:ascii="Bookman Old Style" w:hAnsi="Bookman Old Style" w:cs="Arial"/>
                <w:vertAlign w:val="subscript"/>
                <w:lang w:val="es-CO" w:eastAsia="en-US"/>
              </w:rPr>
              <w:t>Res</w:t>
            </w:r>
            <w:r w:rsidRPr="000B65DE">
              <w:rPr>
                <w:rFonts w:ascii="Bookman Old Style" w:hAnsi="Bookman Old Style" w:cs="Arial"/>
                <w:lang w:val="es-CO" w:eastAsia="en-US"/>
              </w:rPr>
              <w:t xml:space="preserve">) y el resultado de esta relación por el Valor de la Inversión Base de la Red Secundaria. Esta se determina como se indica en el numeral </w:t>
            </w:r>
            <w:r w:rsidR="008B26D0">
              <w:fldChar w:fldCharType="begin"/>
            </w:r>
            <w:r w:rsidR="008B26D0">
              <w:instrText xml:space="preserve"> REF _Ref289353052 \r \h  \* MERGEFORMAT </w:instrText>
            </w:r>
            <w:r w:rsidR="008B26D0">
              <w:fldChar w:fldCharType="separate"/>
            </w:r>
            <w:r w:rsidR="004D5C18" w:rsidRPr="004D5C18">
              <w:rPr>
                <w:rFonts w:ascii="Bookman Old Style" w:hAnsi="Bookman Old Style" w:cs="Arial"/>
                <w:lang w:val="es-CO" w:eastAsia="en-US"/>
              </w:rPr>
              <w:t>9.5.1</w:t>
            </w:r>
            <w:r w:rsidR="008B26D0">
              <w:fldChar w:fldCharType="end"/>
            </w:r>
            <w:r w:rsidRPr="000B65DE">
              <w:rPr>
                <w:rFonts w:ascii="Bookman Old Style" w:hAnsi="Bookman Old Style" w:cs="Arial"/>
                <w:lang w:val="es-CO" w:eastAsia="en-US"/>
              </w:rPr>
              <w:t xml:space="preserve"> de esta Resolución.</w:t>
            </w:r>
          </w:p>
          <w:p w:rsidR="000B65DE" w:rsidRPr="000B65DE" w:rsidRDefault="000B65DE" w:rsidP="000B65DE">
            <w:pPr>
              <w:tabs>
                <w:tab w:val="left" w:pos="426"/>
              </w:tabs>
              <w:ind w:left="0"/>
              <w:jc w:val="both"/>
              <w:rPr>
                <w:rFonts w:ascii="Bookman Old Style" w:hAnsi="Bookman Old Style" w:cs="Arial"/>
                <w:lang w:val="es-ES_tradnl"/>
              </w:rPr>
            </w:pPr>
          </w:p>
        </w:tc>
      </w:tr>
      <w:tr w:rsidR="000B65DE" w:rsidRPr="000B65DE" w:rsidTr="00382E27">
        <w:tc>
          <w:tcPr>
            <w:tcW w:w="2268" w:type="dxa"/>
          </w:tcPr>
          <w:p w:rsidR="000B65DE" w:rsidRPr="0092172B" w:rsidRDefault="00364E59" w:rsidP="000B65DE">
            <w:pPr>
              <w:tabs>
                <w:tab w:val="left" w:pos="426"/>
              </w:tabs>
              <w:ind w:left="0" w:hanging="817"/>
              <w:jc w:val="both"/>
              <w:rPr>
                <w:rFonts w:ascii="Bookman Old Style" w:hAnsi="Bookman Old Style" w:cs="Arial"/>
                <w:lang w:val="es-ES_tradnl"/>
              </w:rPr>
            </w:pPr>
            <m:oMathPara>
              <m:oMathParaPr>
                <m:jc m:val="left"/>
              </m:oMathParaPr>
              <m:oMath>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AOM</m:t>
                    </m:r>
                  </m:e>
                  <m:sub>
                    <m:r>
                      <m:rPr>
                        <m:sty m:val="p"/>
                      </m:rPr>
                      <w:rPr>
                        <w:rFonts w:ascii="Cambria Math" w:eastAsia="Calibri" w:hAnsi="Cambria Math" w:cs="Arial"/>
                        <w:lang w:val="es-CO" w:eastAsia="en-US"/>
                      </w:rPr>
                      <m:t>RPk</m:t>
                    </m:r>
                  </m:sub>
                </m:sSub>
              </m:oMath>
            </m:oMathPara>
          </w:p>
        </w:tc>
        <w:tc>
          <w:tcPr>
            <w:tcW w:w="6602" w:type="dxa"/>
            <w:shd w:val="clear" w:color="auto" w:fill="auto"/>
          </w:tcPr>
          <w:p w:rsidR="000B65DE" w:rsidRPr="000B65DE" w:rsidRDefault="000B65DE" w:rsidP="000B65DE">
            <w:pPr>
              <w:tabs>
                <w:tab w:val="left" w:pos="426"/>
              </w:tabs>
              <w:ind w:left="0"/>
              <w:jc w:val="both"/>
              <w:rPr>
                <w:rFonts w:ascii="Bookman Old Style" w:hAnsi="Bookman Old Style" w:cs="Arial"/>
                <w:lang w:val="es-ES_tradnl"/>
              </w:rPr>
            </w:pPr>
            <w:r w:rsidRPr="000B65DE">
              <w:rPr>
                <w:rFonts w:ascii="Bookman Old Style" w:hAnsi="Bookman Old Style" w:cs="Arial"/>
                <w:lang w:val="es-ES_tradnl"/>
              </w:rPr>
              <w:t xml:space="preserve">Gastos anuales eficientes de Administración, Operación y Mantenimiento para la  Red Primaria </w:t>
            </w:r>
            <w:r w:rsidRPr="000B65DE">
              <w:rPr>
                <w:rFonts w:ascii="Bookman Old Style" w:hAnsi="Bookman Old Style"/>
                <w:bCs/>
              </w:rPr>
              <w:t>del Mercado Relevante de Distribución para el Siguiente Período Tarifario k</w:t>
            </w:r>
            <w:r w:rsidR="008B5F84">
              <w:rPr>
                <w:rFonts w:ascii="Bookman Old Style" w:hAnsi="Bookman Old Style"/>
                <w:bCs/>
              </w:rPr>
              <w:t xml:space="preserve"> </w:t>
            </w:r>
            <w:r w:rsidR="008B5F84" w:rsidRPr="000B65DE">
              <w:rPr>
                <w:rFonts w:ascii="Bookman Old Style" w:hAnsi="Bookman Old Style" w:cs="Arial"/>
                <w:lang w:val="es-CO" w:eastAsia="en-US"/>
              </w:rPr>
              <w:t>conformado a partir de Mercado</w:t>
            </w:r>
            <w:r w:rsidR="008B5F84">
              <w:rPr>
                <w:rFonts w:ascii="Bookman Old Style" w:hAnsi="Bookman Old Style" w:cs="Arial"/>
                <w:lang w:val="es-CO" w:eastAsia="en-US"/>
              </w:rPr>
              <w:t>s</w:t>
            </w:r>
            <w:r w:rsidR="008B5F84" w:rsidRPr="000B65DE">
              <w:rPr>
                <w:rFonts w:ascii="Bookman Old Style" w:hAnsi="Bookman Old Style" w:cs="Arial"/>
                <w:lang w:val="es-CO" w:eastAsia="en-US"/>
              </w:rPr>
              <w:t xml:space="preserve"> </w:t>
            </w:r>
            <w:r w:rsidR="008B5F84" w:rsidRPr="000B65DE">
              <w:rPr>
                <w:rFonts w:ascii="Bookman Old Style" w:hAnsi="Bookman Old Style" w:cs="Arial"/>
                <w:lang w:val="es-CO" w:eastAsia="en-US"/>
              </w:rPr>
              <w:lastRenderedPageBreak/>
              <w:t>Existente</w:t>
            </w:r>
            <w:r w:rsidR="008B5F84">
              <w:rPr>
                <w:rFonts w:ascii="Bookman Old Style" w:hAnsi="Bookman Old Style" w:cs="Arial"/>
                <w:lang w:val="es-CO" w:eastAsia="en-US"/>
              </w:rPr>
              <w:t>s</w:t>
            </w:r>
            <w:r w:rsidR="008B5F84" w:rsidRPr="000B65DE">
              <w:rPr>
                <w:rFonts w:ascii="Bookman Old Style" w:hAnsi="Bookman Old Style" w:cs="Arial"/>
                <w:lang w:val="es-CO" w:eastAsia="en-US"/>
              </w:rPr>
              <w:t xml:space="preserve"> de Distribución o de la Agregación de Mercados </w:t>
            </w:r>
            <w:r w:rsidR="008B5F84">
              <w:rPr>
                <w:rFonts w:ascii="Bookman Old Style" w:hAnsi="Bookman Old Style" w:cs="Arial"/>
                <w:lang w:val="es-CO" w:eastAsia="en-US"/>
              </w:rPr>
              <w:t>Existentes</w:t>
            </w:r>
            <w:r w:rsidR="008B5F84" w:rsidRPr="000B65DE">
              <w:rPr>
                <w:rFonts w:ascii="Bookman Old Style" w:hAnsi="Bookman Old Style" w:cs="Arial"/>
                <w:lang w:val="es-CO" w:eastAsia="en-US"/>
              </w:rPr>
              <w:t xml:space="preserve"> de Distribución</w:t>
            </w:r>
            <w:r w:rsidRPr="000B65DE">
              <w:rPr>
                <w:rFonts w:ascii="Bookman Old Style" w:hAnsi="Bookman Old Style" w:cs="Arial"/>
                <w:lang w:val="es-ES_tradnl"/>
              </w:rPr>
              <w:t xml:space="preserve">, expresados en pesos de la Fecha Base. Los gastos de AOM eficientes para la Red Primaria de Distribución, se determinarán de acuerdo con el promedio de las relaciones de  kilómetros de la Red Primaria sobre los kilómetros </w:t>
            </w:r>
            <w:r w:rsidR="008B5F84">
              <w:rPr>
                <w:rFonts w:ascii="Bookman Old Style" w:hAnsi="Bookman Old Style" w:cs="Arial"/>
                <w:lang w:val="es-ES_tradnl"/>
              </w:rPr>
              <w:t xml:space="preserve">de </w:t>
            </w:r>
            <w:r w:rsidRPr="000B65DE">
              <w:rPr>
                <w:rFonts w:ascii="Bookman Old Style" w:hAnsi="Bookman Old Style" w:cs="Arial"/>
                <w:lang w:val="es-ES_tradnl"/>
              </w:rPr>
              <w:t>red total del Sistema de Distribución y la Inversión Base correspondiente a la Red Primaria de Distribución sobre la Inversión Base Total del Sistema de Distribución.</w:t>
            </w:r>
          </w:p>
          <w:p w:rsidR="000B65DE" w:rsidRPr="000B65DE" w:rsidRDefault="000B65DE" w:rsidP="000B65DE">
            <w:pPr>
              <w:tabs>
                <w:tab w:val="left" w:pos="426"/>
              </w:tabs>
              <w:ind w:left="0"/>
              <w:jc w:val="both"/>
              <w:rPr>
                <w:rFonts w:ascii="Bookman Old Style" w:hAnsi="Bookman Old Style" w:cs="Arial"/>
                <w:lang w:val="es-ES_tradnl"/>
              </w:rPr>
            </w:pPr>
          </w:p>
        </w:tc>
      </w:tr>
      <w:tr w:rsidR="00494EF6" w:rsidRPr="000B65DE" w:rsidTr="00382E27">
        <w:tc>
          <w:tcPr>
            <w:tcW w:w="2268" w:type="dxa"/>
          </w:tcPr>
          <w:p w:rsidR="00494EF6" w:rsidRPr="008B5F84" w:rsidRDefault="00364E59" w:rsidP="000B65DE">
            <w:pPr>
              <w:tabs>
                <w:tab w:val="left" w:pos="426"/>
              </w:tabs>
              <w:ind w:left="0" w:hanging="817"/>
              <w:jc w:val="both"/>
              <w:rPr>
                <w:lang w:val="es-CO" w:eastAsia="en-US"/>
              </w:rPr>
            </w:pPr>
            <m:oMathPara>
              <m:oMathParaPr>
                <m:jc m:val="left"/>
              </m:oMathParaPr>
              <m:oMath>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AOM</m:t>
                    </m:r>
                  </m:e>
                  <m:sub>
                    <m:r>
                      <m:rPr>
                        <m:sty m:val="p"/>
                      </m:rPr>
                      <w:rPr>
                        <w:rFonts w:ascii="Cambria Math" w:eastAsia="Calibri" w:hAnsi="Cambria Math" w:cs="Arial"/>
                        <w:lang w:val="es-CO" w:eastAsia="en-US"/>
                      </w:rPr>
                      <m:t>RS(No Res)k</m:t>
                    </m:r>
                  </m:sub>
                </m:sSub>
              </m:oMath>
            </m:oMathPara>
          </w:p>
        </w:tc>
        <w:tc>
          <w:tcPr>
            <w:tcW w:w="6602" w:type="dxa"/>
            <w:shd w:val="clear" w:color="auto" w:fill="auto"/>
          </w:tcPr>
          <w:p w:rsidR="00494EF6" w:rsidRPr="008B5F84" w:rsidRDefault="00494EF6" w:rsidP="00494EF6">
            <w:pPr>
              <w:tabs>
                <w:tab w:val="left" w:pos="426"/>
              </w:tabs>
              <w:ind w:left="0"/>
              <w:jc w:val="both"/>
              <w:rPr>
                <w:rFonts w:ascii="Bookman Old Style" w:hAnsi="Bookman Old Style" w:cs="Arial"/>
                <w:lang w:val="es-CO" w:eastAsia="en-US"/>
              </w:rPr>
            </w:pPr>
            <w:r w:rsidRPr="008B5F84">
              <w:rPr>
                <w:rFonts w:ascii="Bookman Old Style" w:hAnsi="Bookman Old Style" w:cs="Arial"/>
                <w:lang w:val="es-ES_tradnl"/>
              </w:rPr>
              <w:t>Gastos anuales eficientes de Administración, Operación y Mantenimiento</w:t>
            </w:r>
            <w:r w:rsidRPr="008B5F84">
              <w:rPr>
                <w:rFonts w:ascii="Bookman Old Style" w:hAnsi="Bookman Old Style" w:cs="Arial"/>
                <w:lang w:val="es-CO" w:eastAsia="en-US"/>
              </w:rPr>
              <w:t xml:space="preserve"> correspondientes a la Red Secundaria que es utilizada por usuarios diferentes a los de Uso Residencial </w:t>
            </w:r>
            <w:r w:rsidRPr="008B5F84">
              <w:rPr>
                <w:rFonts w:ascii="Bookman Old Style" w:hAnsi="Bookman Old Style"/>
                <w:bCs/>
              </w:rPr>
              <w:t>del Mercado Relevante de Distribución para el Siguiente Período Tarifario</w:t>
            </w:r>
            <w:r w:rsidR="0061312F" w:rsidRPr="008B5F84">
              <w:rPr>
                <w:rFonts w:ascii="Bookman Old Style" w:hAnsi="Bookman Old Style"/>
                <w:bCs/>
              </w:rPr>
              <w:t xml:space="preserve"> k</w:t>
            </w:r>
            <w:r w:rsidRPr="008B5F84">
              <w:rPr>
                <w:rFonts w:ascii="Bookman Old Style" w:hAnsi="Bookman Old Style"/>
                <w:bCs/>
              </w:rPr>
              <w:t xml:space="preserve"> </w:t>
            </w:r>
            <w:r w:rsidRPr="008B5F84">
              <w:rPr>
                <w:rFonts w:ascii="Bookman Old Style" w:hAnsi="Bookman Old Style" w:cs="Arial"/>
                <w:lang w:val="es-CO" w:eastAsia="en-US"/>
              </w:rPr>
              <w:t>conformado a partir de Mercado</w:t>
            </w:r>
            <w:r w:rsidR="008B5F84" w:rsidRPr="008B5F84">
              <w:rPr>
                <w:rFonts w:ascii="Bookman Old Style" w:hAnsi="Bookman Old Style" w:cs="Arial"/>
                <w:lang w:val="es-CO" w:eastAsia="en-US"/>
              </w:rPr>
              <w:t>s</w:t>
            </w:r>
            <w:r w:rsidRPr="008B5F84">
              <w:rPr>
                <w:rFonts w:ascii="Bookman Old Style" w:hAnsi="Bookman Old Style" w:cs="Arial"/>
                <w:lang w:val="es-CO" w:eastAsia="en-US"/>
              </w:rPr>
              <w:t xml:space="preserve"> Existente</w:t>
            </w:r>
            <w:r w:rsidR="008B5F84" w:rsidRPr="008B5F84">
              <w:rPr>
                <w:rFonts w:ascii="Bookman Old Style" w:hAnsi="Bookman Old Style" w:cs="Arial"/>
                <w:lang w:val="es-CO" w:eastAsia="en-US"/>
              </w:rPr>
              <w:t>s</w:t>
            </w:r>
            <w:r w:rsidRPr="008B5F84">
              <w:rPr>
                <w:rFonts w:ascii="Bookman Old Style" w:hAnsi="Bookman Old Style" w:cs="Arial"/>
                <w:lang w:val="es-CO" w:eastAsia="en-US"/>
              </w:rPr>
              <w:t xml:space="preserve"> de Distribución o de la Agregación de Mercados </w:t>
            </w:r>
            <w:r w:rsidR="008B5F84" w:rsidRPr="008B5F84">
              <w:rPr>
                <w:rFonts w:ascii="Bookman Old Style" w:hAnsi="Bookman Old Style" w:cs="Arial"/>
                <w:lang w:val="es-CO" w:eastAsia="en-US"/>
              </w:rPr>
              <w:t xml:space="preserve">Existentes </w:t>
            </w:r>
            <w:r w:rsidRPr="008B5F84">
              <w:rPr>
                <w:rFonts w:ascii="Bookman Old Style" w:hAnsi="Bookman Old Style" w:cs="Arial"/>
                <w:lang w:val="es-CO" w:eastAsia="en-US"/>
              </w:rPr>
              <w:t xml:space="preserve"> de Distribución,  expresada en pesos de la Fecha Base. Se calcula como la relación entre  la demanda diferente a la residencial (Q</w:t>
            </w:r>
            <w:r w:rsidRPr="008B5F84">
              <w:rPr>
                <w:rFonts w:ascii="Bookman Old Style" w:hAnsi="Bookman Old Style" w:cs="Arial"/>
                <w:vertAlign w:val="subscript"/>
                <w:lang w:val="es-CO" w:eastAsia="en-US"/>
              </w:rPr>
              <w:t>NoRes</w:t>
            </w:r>
            <w:r w:rsidRPr="008B5F84">
              <w:rPr>
                <w:rFonts w:ascii="Bookman Old Style" w:hAnsi="Bookman Old Style" w:cs="Arial"/>
                <w:lang w:val="es-CO" w:eastAsia="en-US"/>
              </w:rPr>
              <w:t>) sobre la sumatoria de la demanda que utiliza la red secundaria (Q</w:t>
            </w:r>
            <w:r w:rsidRPr="008B5F84">
              <w:rPr>
                <w:rFonts w:ascii="Bookman Old Style" w:hAnsi="Bookman Old Style" w:cs="Arial"/>
                <w:vertAlign w:val="subscript"/>
                <w:lang w:val="es-CO" w:eastAsia="en-US"/>
              </w:rPr>
              <w:t>NoRes</w:t>
            </w:r>
            <w:r w:rsidRPr="008B5F84">
              <w:rPr>
                <w:rFonts w:ascii="Bookman Old Style" w:hAnsi="Bookman Old Style" w:cs="Arial"/>
                <w:lang w:val="es-CO" w:eastAsia="en-US"/>
              </w:rPr>
              <w:t xml:space="preserve"> + Q</w:t>
            </w:r>
            <w:r w:rsidRPr="008B5F84">
              <w:rPr>
                <w:rFonts w:ascii="Bookman Old Style" w:hAnsi="Bookman Old Style" w:cs="Arial"/>
                <w:vertAlign w:val="subscript"/>
                <w:lang w:val="es-CO" w:eastAsia="en-US"/>
              </w:rPr>
              <w:t>Res</w:t>
            </w:r>
            <w:r w:rsidRPr="008B5F84">
              <w:rPr>
                <w:rFonts w:ascii="Bookman Old Style" w:hAnsi="Bookman Old Style" w:cs="Arial"/>
                <w:lang w:val="es-CO" w:eastAsia="en-US"/>
              </w:rPr>
              <w:t xml:space="preserve">) y el resultado de esta relación por el Valor de los </w:t>
            </w:r>
            <w:r w:rsidRPr="008B5F84">
              <w:rPr>
                <w:rFonts w:ascii="Bookman Old Style" w:hAnsi="Bookman Old Style" w:cs="Arial"/>
                <w:lang w:val="es-ES_tradnl"/>
              </w:rPr>
              <w:t>Gastos anuales eficientes de Administración, Operación y Mantenimiento de la</w:t>
            </w:r>
            <w:r w:rsidRPr="008B5F84">
              <w:rPr>
                <w:rFonts w:ascii="Bookman Old Style" w:hAnsi="Bookman Old Style" w:cs="Arial"/>
                <w:lang w:val="es-CO" w:eastAsia="en-US"/>
              </w:rPr>
              <w:t xml:space="preserve"> Red Secundaria. Esta se determina como se indica en el numeral </w:t>
            </w:r>
            <w:r w:rsidRPr="008B5F84">
              <w:fldChar w:fldCharType="begin"/>
            </w:r>
            <w:r w:rsidRPr="008B5F84">
              <w:instrText xml:space="preserve"> REF _Ref289353052 \r \h  \* MERGEFORMAT </w:instrText>
            </w:r>
            <w:r w:rsidRPr="008B5F84">
              <w:fldChar w:fldCharType="separate"/>
            </w:r>
            <w:r w:rsidR="004D5C18" w:rsidRPr="004D5C18">
              <w:rPr>
                <w:rFonts w:ascii="Bookman Old Style" w:hAnsi="Bookman Old Style" w:cs="Arial"/>
                <w:lang w:val="es-CO" w:eastAsia="en-US"/>
              </w:rPr>
              <w:t>9.5.1</w:t>
            </w:r>
            <w:r w:rsidRPr="008B5F84">
              <w:fldChar w:fldCharType="end"/>
            </w:r>
            <w:r w:rsidRPr="008B5F84">
              <w:rPr>
                <w:rFonts w:ascii="Bookman Old Style" w:hAnsi="Bookman Old Style" w:cs="Arial"/>
                <w:lang w:val="es-CO" w:eastAsia="en-US"/>
              </w:rPr>
              <w:t xml:space="preserve"> de esta Resolución.</w:t>
            </w:r>
          </w:p>
          <w:p w:rsidR="00494EF6" w:rsidRPr="008B5F84" w:rsidRDefault="00494EF6" w:rsidP="000B65DE">
            <w:pPr>
              <w:tabs>
                <w:tab w:val="left" w:pos="426"/>
              </w:tabs>
              <w:ind w:left="0"/>
              <w:jc w:val="both"/>
              <w:rPr>
                <w:rFonts w:ascii="Bookman Old Style" w:hAnsi="Bookman Old Style" w:cs="Arial"/>
                <w:lang w:val="es-CO"/>
              </w:rPr>
            </w:pPr>
          </w:p>
        </w:tc>
      </w:tr>
      <w:tr w:rsidR="000B65DE" w:rsidRPr="000B65DE" w:rsidTr="00382E27">
        <w:tc>
          <w:tcPr>
            <w:tcW w:w="2268" w:type="dxa"/>
          </w:tcPr>
          <w:p w:rsidR="000B65DE" w:rsidRPr="0092172B" w:rsidRDefault="00364E59" w:rsidP="000B65DE">
            <w:pPr>
              <w:tabs>
                <w:tab w:val="left" w:pos="426"/>
              </w:tabs>
              <w:ind w:left="0" w:hanging="817"/>
              <w:jc w:val="both"/>
              <w:rPr>
                <w:rFonts w:ascii="Bookman Old Style" w:hAnsi="Bookman Old Style" w:cs="Arial"/>
                <w:lang w:val="es-ES_tradnl"/>
              </w:rPr>
            </w:pPr>
            <m:oMathPara>
              <m:oMathParaPr>
                <m:jc m:val="left"/>
              </m:oMathParaPr>
              <m:oMath>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Q</m:t>
                    </m:r>
                  </m:e>
                  <m:sub>
                    <m:r>
                      <m:rPr>
                        <m:sty m:val="p"/>
                      </m:rPr>
                      <w:rPr>
                        <w:rFonts w:ascii="Cambria Math" w:eastAsia="Calibri" w:hAnsi="Cambria Math" w:cs="Arial"/>
                        <w:lang w:val="es-CO" w:eastAsia="en-US"/>
                      </w:rPr>
                      <m:t>Tk</m:t>
                    </m:r>
                  </m:sub>
                </m:sSub>
              </m:oMath>
            </m:oMathPara>
          </w:p>
        </w:tc>
        <w:tc>
          <w:tcPr>
            <w:tcW w:w="6602" w:type="dxa"/>
          </w:tcPr>
          <w:p w:rsidR="000B65DE" w:rsidRPr="000B65DE" w:rsidRDefault="000B65DE" w:rsidP="000B65DE">
            <w:pPr>
              <w:ind w:left="0"/>
              <w:jc w:val="both"/>
              <w:rPr>
                <w:rFonts w:ascii="Bookman Old Style" w:hAnsi="Bookman Old Style" w:cs="Arial"/>
                <w:lang w:val="es-ES_tradnl"/>
              </w:rPr>
            </w:pPr>
            <w:r w:rsidRPr="000B65DE">
              <w:rPr>
                <w:rFonts w:ascii="Bookman Old Style" w:hAnsi="Bookman Old Style" w:cs="Arial"/>
                <w:lang w:val="es-ES_tradnl"/>
              </w:rPr>
              <w:t xml:space="preserve">Demanda real total </w:t>
            </w:r>
            <w:r w:rsidR="0061312F">
              <w:rPr>
                <w:rFonts w:ascii="Bookman Old Style" w:hAnsi="Bookman Old Style" w:cs="Arial"/>
                <w:lang w:val="es-ES_tradnl"/>
              </w:rPr>
              <w:t xml:space="preserve">anual </w:t>
            </w:r>
            <w:r w:rsidRPr="006C3460">
              <w:rPr>
                <w:rFonts w:ascii="Bookman Old Style" w:hAnsi="Bookman Old Style" w:cs="Arial"/>
                <w:lang w:val="es-ES_tradnl"/>
              </w:rPr>
              <w:t>del</w:t>
            </w:r>
            <w:r w:rsidRPr="000B65DE">
              <w:rPr>
                <w:rFonts w:ascii="Bookman Old Style" w:hAnsi="Bookman Old Style" w:cs="Arial"/>
                <w:lang w:val="es-ES_tradnl"/>
              </w:rPr>
              <w:t xml:space="preserve"> </w:t>
            </w:r>
            <w:r w:rsidRPr="000B65DE">
              <w:rPr>
                <w:rFonts w:ascii="Bookman Old Style" w:hAnsi="Bookman Old Style"/>
                <w:bCs/>
              </w:rPr>
              <w:t xml:space="preserve">Mercado Relevante de Distribución para el Siguiente Período Tarifario </w:t>
            </w:r>
            <w:r w:rsidRPr="000B65DE">
              <w:rPr>
                <w:rFonts w:ascii="Bookman Old Style" w:hAnsi="Bookman Old Style" w:cs="Arial"/>
                <w:lang w:val="es-ES_tradnl"/>
              </w:rPr>
              <w:t xml:space="preserve">k </w:t>
            </w:r>
            <w:r w:rsidR="0061312F" w:rsidRPr="000B65DE">
              <w:rPr>
                <w:rFonts w:ascii="Bookman Old Style" w:hAnsi="Bookman Old Style" w:cs="Arial"/>
                <w:lang w:val="es-CO" w:eastAsia="en-US"/>
              </w:rPr>
              <w:t>conformado a partir de Mercado</w:t>
            </w:r>
            <w:r w:rsidR="008B5F84">
              <w:rPr>
                <w:rFonts w:ascii="Bookman Old Style" w:hAnsi="Bookman Old Style" w:cs="Arial"/>
                <w:lang w:val="es-CO" w:eastAsia="en-US"/>
              </w:rPr>
              <w:t>s</w:t>
            </w:r>
            <w:r w:rsidR="0061312F" w:rsidRPr="000B65DE">
              <w:rPr>
                <w:rFonts w:ascii="Bookman Old Style" w:hAnsi="Bookman Old Style" w:cs="Arial"/>
                <w:lang w:val="es-CO" w:eastAsia="en-US"/>
              </w:rPr>
              <w:t xml:space="preserve"> Existente</w:t>
            </w:r>
            <w:r w:rsidR="008B5F84">
              <w:rPr>
                <w:rFonts w:ascii="Bookman Old Style" w:hAnsi="Bookman Old Style" w:cs="Arial"/>
                <w:lang w:val="es-CO" w:eastAsia="en-US"/>
              </w:rPr>
              <w:t>s</w:t>
            </w:r>
            <w:r w:rsidR="0061312F" w:rsidRPr="000B65DE">
              <w:rPr>
                <w:rFonts w:ascii="Bookman Old Style" w:hAnsi="Bookman Old Style" w:cs="Arial"/>
                <w:lang w:val="es-CO" w:eastAsia="en-US"/>
              </w:rPr>
              <w:t xml:space="preserve"> de Distribución o de la Agregación de Mercados </w:t>
            </w:r>
            <w:r w:rsidR="008B5F84">
              <w:rPr>
                <w:rFonts w:ascii="Bookman Old Style" w:hAnsi="Bookman Old Style" w:cs="Arial"/>
                <w:lang w:val="es-CO" w:eastAsia="en-US"/>
              </w:rPr>
              <w:t>Existentes</w:t>
            </w:r>
            <w:r w:rsidR="0061312F" w:rsidRPr="000B65DE">
              <w:rPr>
                <w:rFonts w:ascii="Bookman Old Style" w:hAnsi="Bookman Old Style" w:cs="Arial"/>
                <w:lang w:val="es-CO" w:eastAsia="en-US"/>
              </w:rPr>
              <w:t xml:space="preserve"> de Distribución, </w:t>
            </w:r>
            <w:r w:rsidRPr="000B65DE">
              <w:rPr>
                <w:rFonts w:ascii="Bookman Old Style" w:hAnsi="Bookman Old Style" w:cs="Arial"/>
                <w:lang w:val="es-ES_tradnl"/>
              </w:rPr>
              <w:t>obtenida en la Fecha de Corte, expresada en metros cúbicos (m</w:t>
            </w:r>
            <w:r w:rsidRPr="000B65DE">
              <w:rPr>
                <w:rFonts w:ascii="Bookman Old Style" w:hAnsi="Bookman Old Style" w:cs="Arial"/>
                <w:vertAlign w:val="superscript"/>
                <w:lang w:val="es-ES_tradnl"/>
              </w:rPr>
              <w:t>3</w:t>
            </w:r>
            <w:r w:rsidRPr="000B65DE">
              <w:rPr>
                <w:rFonts w:ascii="Bookman Old Style" w:hAnsi="Bookman Old Style" w:cs="Arial"/>
                <w:lang w:val="es-ES_tradnl"/>
              </w:rPr>
              <w:t xml:space="preserve">). </w:t>
            </w:r>
          </w:p>
          <w:p w:rsidR="000B65DE" w:rsidRPr="000B65DE" w:rsidRDefault="000B65DE" w:rsidP="000B65DE">
            <w:pPr>
              <w:ind w:left="0"/>
              <w:jc w:val="both"/>
              <w:rPr>
                <w:rFonts w:ascii="Bookman Old Style" w:hAnsi="Bookman Old Style" w:cs="Arial"/>
                <w:lang w:val="es-ES_tradnl"/>
              </w:rPr>
            </w:pPr>
          </w:p>
        </w:tc>
      </w:tr>
      <w:tr w:rsidR="000B65DE" w:rsidRPr="000B65DE" w:rsidTr="00382E27">
        <w:tc>
          <w:tcPr>
            <w:tcW w:w="2268" w:type="dxa"/>
          </w:tcPr>
          <w:p w:rsidR="000B65DE" w:rsidRPr="0092172B" w:rsidRDefault="00364E59" w:rsidP="000B65DE">
            <w:pPr>
              <w:tabs>
                <w:tab w:val="left" w:pos="426"/>
              </w:tabs>
              <w:ind w:left="0" w:firstLine="34"/>
              <w:jc w:val="both"/>
              <w:rPr>
                <w:lang w:val="es-CO" w:eastAsia="en-US"/>
              </w:rPr>
            </w:pPr>
            <m:oMathPara>
              <m:oMathParaPr>
                <m:jc m:val="left"/>
              </m:oMathParaPr>
              <m:oMath>
                <m:sSub>
                  <m:sSubPr>
                    <m:ctrlPr>
                      <w:rPr>
                        <w:rFonts w:ascii="Cambria Math" w:hAnsi="Cambria Math" w:cs="Arial"/>
                        <w:lang w:val="es-ES_tradnl"/>
                      </w:rPr>
                    </m:ctrlPr>
                  </m:sSubPr>
                  <m:e>
                    <m:r>
                      <m:rPr>
                        <m:sty m:val="p"/>
                      </m:rPr>
                      <w:rPr>
                        <w:rFonts w:ascii="Cambria Math" w:hAnsi="Cambria Math" w:cs="Arial"/>
                        <w:lang w:val="es-ES_tradnl"/>
                      </w:rPr>
                      <m:t>Q</m:t>
                    </m:r>
                  </m:e>
                  <m:sub>
                    <m:r>
                      <m:rPr>
                        <m:sty m:val="p"/>
                      </m:rPr>
                      <w:rPr>
                        <w:rFonts w:ascii="Cambria Math" w:hAnsi="Cambria Math" w:cs="Arial"/>
                        <w:lang w:val="es-ES_tradnl"/>
                      </w:rPr>
                      <m:t>Resk</m:t>
                    </m:r>
                  </m:sub>
                </m:sSub>
              </m:oMath>
            </m:oMathPara>
          </w:p>
        </w:tc>
        <w:tc>
          <w:tcPr>
            <w:tcW w:w="6602" w:type="dxa"/>
          </w:tcPr>
          <w:p w:rsidR="000B65DE" w:rsidRPr="000B65DE" w:rsidRDefault="000B65DE" w:rsidP="008B5F84">
            <w:pPr>
              <w:ind w:left="0"/>
              <w:jc w:val="both"/>
              <w:rPr>
                <w:rFonts w:ascii="Bookman Old Style" w:hAnsi="Bookman Old Style" w:cs="Arial"/>
                <w:lang w:val="es-ES_tradnl"/>
              </w:rPr>
            </w:pPr>
            <w:r w:rsidRPr="000B65DE">
              <w:rPr>
                <w:rFonts w:ascii="Bookman Old Style" w:hAnsi="Bookman Old Style" w:cs="Arial"/>
                <w:lang w:val="es-ES_tradnl"/>
              </w:rPr>
              <w:t xml:space="preserve">Demanda real </w:t>
            </w:r>
            <w:r w:rsidR="0061312F">
              <w:rPr>
                <w:rFonts w:ascii="Bookman Old Style" w:hAnsi="Bookman Old Style" w:cs="Arial"/>
                <w:lang w:val="es-ES_tradnl"/>
              </w:rPr>
              <w:t xml:space="preserve">anual </w:t>
            </w:r>
            <w:r w:rsidRPr="000B65DE">
              <w:rPr>
                <w:rFonts w:ascii="Bookman Old Style" w:hAnsi="Bookman Old Style" w:cs="Arial"/>
                <w:lang w:val="es-ES_tradnl"/>
              </w:rPr>
              <w:t xml:space="preserve">correspondiente al tipo de Usuarios de Uso Residencial </w:t>
            </w:r>
            <w:r w:rsidRPr="006C3460">
              <w:rPr>
                <w:rFonts w:ascii="Bookman Old Style" w:hAnsi="Bookman Old Style" w:cs="Arial"/>
                <w:lang w:val="es-ES_tradnl"/>
              </w:rPr>
              <w:t>del</w:t>
            </w:r>
            <w:r w:rsidRPr="000B65DE">
              <w:rPr>
                <w:rFonts w:ascii="Bookman Old Style" w:hAnsi="Bookman Old Style" w:cs="Arial"/>
                <w:lang w:val="es-ES_tradnl"/>
              </w:rPr>
              <w:t xml:space="preserve"> </w:t>
            </w:r>
            <w:r w:rsidRPr="000B65DE">
              <w:rPr>
                <w:rFonts w:ascii="Bookman Old Style" w:hAnsi="Bookman Old Style"/>
                <w:bCs/>
              </w:rPr>
              <w:t xml:space="preserve">Mercado Relevante de Distribución para el Siguiente Período Tarifario k </w:t>
            </w:r>
            <w:r w:rsidR="0061312F" w:rsidRPr="000B65DE">
              <w:rPr>
                <w:rFonts w:ascii="Bookman Old Style" w:hAnsi="Bookman Old Style" w:cs="Arial"/>
                <w:lang w:val="es-CO" w:eastAsia="en-US"/>
              </w:rPr>
              <w:t>conformado a partir de Mercado</w:t>
            </w:r>
            <w:r w:rsidR="008B5F84">
              <w:rPr>
                <w:rFonts w:ascii="Bookman Old Style" w:hAnsi="Bookman Old Style" w:cs="Arial"/>
                <w:lang w:val="es-CO" w:eastAsia="en-US"/>
              </w:rPr>
              <w:t>s</w:t>
            </w:r>
            <w:r w:rsidR="0061312F" w:rsidRPr="000B65DE">
              <w:rPr>
                <w:rFonts w:ascii="Bookman Old Style" w:hAnsi="Bookman Old Style" w:cs="Arial"/>
                <w:lang w:val="es-CO" w:eastAsia="en-US"/>
              </w:rPr>
              <w:t xml:space="preserve"> Existente</w:t>
            </w:r>
            <w:r w:rsidR="008B5F84">
              <w:rPr>
                <w:rFonts w:ascii="Bookman Old Style" w:hAnsi="Bookman Old Style" w:cs="Arial"/>
                <w:lang w:val="es-CO" w:eastAsia="en-US"/>
              </w:rPr>
              <w:t>s</w:t>
            </w:r>
            <w:r w:rsidR="0061312F" w:rsidRPr="000B65DE">
              <w:rPr>
                <w:rFonts w:ascii="Bookman Old Style" w:hAnsi="Bookman Old Style" w:cs="Arial"/>
                <w:lang w:val="es-CO" w:eastAsia="en-US"/>
              </w:rPr>
              <w:t xml:space="preserve"> de Distribución o de la Agregación de Mercados </w:t>
            </w:r>
            <w:r w:rsidR="008B5F84">
              <w:rPr>
                <w:rFonts w:ascii="Bookman Old Style" w:hAnsi="Bookman Old Style" w:cs="Arial"/>
                <w:lang w:val="es-CO" w:eastAsia="en-US"/>
              </w:rPr>
              <w:t>Existentes</w:t>
            </w:r>
            <w:r w:rsidR="0061312F" w:rsidRPr="000B65DE">
              <w:rPr>
                <w:rFonts w:ascii="Bookman Old Style" w:hAnsi="Bookman Old Style" w:cs="Arial"/>
                <w:lang w:val="es-CO" w:eastAsia="en-US"/>
              </w:rPr>
              <w:t xml:space="preserve"> de Distribución, </w:t>
            </w:r>
            <w:r w:rsidRPr="000B65DE">
              <w:rPr>
                <w:rFonts w:ascii="Bookman Old Style" w:hAnsi="Bookman Old Style" w:cs="Arial"/>
                <w:lang w:val="es-ES_tradnl"/>
              </w:rPr>
              <w:t>obtenida en la Fecha de Corte, expresada en metros cúbicos (m</w:t>
            </w:r>
            <w:r w:rsidRPr="000B65DE">
              <w:rPr>
                <w:rFonts w:ascii="Bookman Old Style" w:hAnsi="Bookman Old Style" w:cs="Arial"/>
                <w:vertAlign w:val="superscript"/>
                <w:lang w:val="es-ES_tradnl"/>
              </w:rPr>
              <w:t>3</w:t>
            </w:r>
            <w:r w:rsidRPr="000B65DE">
              <w:rPr>
                <w:rFonts w:ascii="Bookman Old Style" w:hAnsi="Bookman Old Style" w:cs="Arial"/>
                <w:lang w:val="es-ES_tradnl"/>
              </w:rPr>
              <w:t xml:space="preserve">). </w:t>
            </w:r>
          </w:p>
        </w:tc>
      </w:tr>
    </w:tbl>
    <w:p w:rsidR="000B65DE" w:rsidRDefault="000B65DE" w:rsidP="000B65DE"/>
    <w:p w:rsidR="00C7068E" w:rsidRPr="000B65DE" w:rsidRDefault="00C7068E" w:rsidP="000B65DE"/>
    <w:p w:rsidR="000B65DE" w:rsidRPr="00A523D8" w:rsidRDefault="000B65DE" w:rsidP="008F4D9F">
      <w:pPr>
        <w:numPr>
          <w:ilvl w:val="3"/>
          <w:numId w:val="16"/>
        </w:numPr>
        <w:overflowPunct w:val="0"/>
        <w:autoSpaceDE w:val="0"/>
        <w:autoSpaceDN w:val="0"/>
        <w:adjustRightInd w:val="0"/>
        <w:ind w:left="1134" w:hanging="1134"/>
        <w:jc w:val="both"/>
        <w:textAlignment w:val="baseline"/>
        <w:outlineLvl w:val="1"/>
        <w:rPr>
          <w:rFonts w:ascii="Bookman Old Style" w:hAnsi="Bookman Old Style"/>
          <w:b/>
          <w:bCs/>
          <w:lang w:val="es-CO"/>
        </w:rPr>
      </w:pPr>
      <w:r w:rsidRPr="00A523D8">
        <w:rPr>
          <w:rFonts w:ascii="Bookman Old Style" w:hAnsi="Bookman Old Style"/>
          <w:b/>
          <w:bCs/>
          <w:lang w:val="es-CO"/>
        </w:rPr>
        <w:t xml:space="preserve">Mercados Relevantes de Distribución para el Siguiente Período Tarifario conformados a partir de Anexar a Mercados Existentes de Distribución Municipios Nuevos </w:t>
      </w:r>
    </w:p>
    <w:p w:rsidR="000B65DE" w:rsidRPr="000B65DE" w:rsidRDefault="000B65DE" w:rsidP="000B65DE">
      <w:pPr>
        <w:ind w:left="0"/>
        <w:jc w:val="both"/>
        <w:rPr>
          <w:rFonts w:ascii="Bookman Old Style" w:hAnsi="Bookman Old Style" w:cs="Arial"/>
          <w:lang w:val="es-ES_tradnl"/>
        </w:rPr>
      </w:pPr>
    </w:p>
    <w:p w:rsidR="000B65DE" w:rsidRPr="000B65DE" w:rsidRDefault="000B65DE" w:rsidP="000B65DE">
      <w:pPr>
        <w:tabs>
          <w:tab w:val="left" w:pos="426"/>
        </w:tabs>
        <w:ind w:left="0"/>
        <w:jc w:val="both"/>
        <w:rPr>
          <w:rFonts w:ascii="Bookman Old Style" w:hAnsi="Bookman Old Style" w:cs="Arial"/>
          <w:sz w:val="20"/>
          <w:lang w:val="es-ES_tradnl"/>
        </w:rPr>
      </w:pPr>
    </w:p>
    <w:p w:rsidR="00E830B4" w:rsidRPr="0092172B" w:rsidRDefault="00364E59" w:rsidP="00E830B4">
      <w:pPr>
        <w:tabs>
          <w:tab w:val="left" w:pos="426"/>
        </w:tabs>
        <w:ind w:left="0"/>
        <w:jc w:val="center"/>
        <w:rPr>
          <w:rFonts w:ascii="Bookman Old Style" w:hAnsi="Bookman Old Style" w:cs="Arial"/>
          <w:sz w:val="22"/>
          <w:lang w:val="es-ES_tradnl"/>
        </w:rPr>
      </w:pPr>
      <m:oMathPara>
        <m:oMath>
          <m:sSub>
            <m:sSubPr>
              <m:ctrlPr>
                <w:rPr>
                  <w:rFonts w:ascii="Cambria Math" w:hAnsi="Cambria Math" w:cs="Arial"/>
                  <w:sz w:val="20"/>
                  <w:szCs w:val="20"/>
                  <w:lang w:val="es-ES_tradnl"/>
                </w:rPr>
              </m:ctrlPr>
            </m:sSubPr>
            <m:e>
              <m:r>
                <m:rPr>
                  <m:sty m:val="p"/>
                </m:rPr>
                <w:rPr>
                  <w:rFonts w:ascii="Cambria Math" w:hAnsi="Cambria Math" w:cs="Arial"/>
                  <w:sz w:val="20"/>
                  <w:szCs w:val="20"/>
                  <w:lang w:val="es-ES_tradnl"/>
                </w:rPr>
                <m:t>D</m:t>
              </m:r>
            </m:e>
            <m:sub>
              <m:r>
                <m:rPr>
                  <m:sty m:val="p"/>
                </m:rPr>
                <w:rPr>
                  <w:rFonts w:ascii="Cambria Math" w:hAnsi="Cambria Math" w:cs="Arial"/>
                  <w:sz w:val="20"/>
                  <w:szCs w:val="20"/>
                  <w:lang w:val="es-ES_tradnl"/>
                </w:rPr>
                <m:t>inv(AUNR)k</m:t>
              </m:r>
            </m:sub>
          </m:sSub>
          <m:r>
            <m:rPr>
              <m:sty m:val="p"/>
            </m:rPr>
            <w:rPr>
              <w:rFonts w:ascii="Cambria Math" w:hAnsi="Cambria Math" w:cs="Arial"/>
              <w:sz w:val="20"/>
              <w:szCs w:val="20"/>
              <w:lang w:val="es-ES_tradnl"/>
            </w:rPr>
            <m:t>=</m:t>
          </m:r>
          <m:d>
            <m:dPr>
              <m:begChr m:val="["/>
              <m:endChr m:val="]"/>
              <m:ctrlPr>
                <w:rPr>
                  <w:rFonts w:ascii="Cambria Math" w:hAnsi="Cambria Math" w:cs="Arial"/>
                  <w:sz w:val="20"/>
                  <w:szCs w:val="20"/>
                  <w:lang w:val="es-ES_tradnl"/>
                </w:rPr>
              </m:ctrlPr>
            </m:dPr>
            <m:e>
              <m:f>
                <m:fPr>
                  <m:ctrlPr>
                    <w:rPr>
                      <w:rFonts w:ascii="Cambria Math" w:hAnsi="Cambria Math" w:cs="Arial"/>
                      <w:sz w:val="20"/>
                      <w:szCs w:val="20"/>
                      <w:lang w:val="es-ES_tradnl"/>
                    </w:rPr>
                  </m:ctrlPr>
                </m:fPr>
                <m:num>
                  <m:sSub>
                    <m:sSubPr>
                      <m:ctrlPr>
                        <w:rPr>
                          <w:rFonts w:ascii="Cambria Math" w:eastAsia="Calibri" w:hAnsi="Cambria Math" w:cs="Arial"/>
                          <w:sz w:val="20"/>
                          <w:szCs w:val="20"/>
                          <w:lang w:val="es-CO" w:eastAsia="en-US"/>
                        </w:rPr>
                      </m:ctrlPr>
                    </m:sSubPr>
                    <m:e>
                      <m:r>
                        <m:rPr>
                          <m:sty m:val="p"/>
                        </m:rPr>
                        <w:rPr>
                          <w:rFonts w:ascii="Cambria Math" w:eastAsia="Calibri" w:hAnsi="Cambria Math" w:cs="Arial"/>
                          <w:sz w:val="20"/>
                          <w:szCs w:val="20"/>
                          <w:lang w:val="es-CO" w:eastAsia="en-US"/>
                        </w:rPr>
                        <m:t>IBME</m:t>
                      </m:r>
                    </m:e>
                    <m:sub>
                      <m:r>
                        <m:rPr>
                          <m:sty m:val="p"/>
                        </m:rPr>
                        <w:rPr>
                          <w:rFonts w:ascii="Cambria Math" w:eastAsia="Calibri" w:hAnsi="Cambria Math" w:cs="Arial"/>
                          <w:sz w:val="20"/>
                          <w:szCs w:val="20"/>
                          <w:lang w:val="es-CO" w:eastAsia="en-US"/>
                        </w:rPr>
                        <m:t>RPme</m:t>
                      </m:r>
                    </m:sub>
                  </m:sSub>
                  <m:r>
                    <w:rPr>
                      <w:rFonts w:ascii="Cambria Math" w:eastAsia="Calibri" w:hAnsi="Cambria Math" w:cs="Arial"/>
                      <w:sz w:val="20"/>
                      <w:szCs w:val="20"/>
                      <w:lang w:val="es-CO" w:eastAsia="en-US"/>
                    </w:rPr>
                    <m:t>+</m:t>
                  </m:r>
                  <m:sSub>
                    <m:sSubPr>
                      <m:ctrlPr>
                        <w:rPr>
                          <w:rFonts w:ascii="Cambria Math" w:hAnsi="Cambria Math" w:cs="Arial"/>
                          <w:sz w:val="20"/>
                          <w:szCs w:val="20"/>
                          <w:lang w:val="es-ES_tradnl"/>
                        </w:rPr>
                      </m:ctrlPr>
                    </m:sSubPr>
                    <m:e>
                      <m:r>
                        <m:rPr>
                          <m:sty m:val="p"/>
                        </m:rPr>
                        <w:rPr>
                          <w:rFonts w:ascii="Cambria Math" w:hAnsi="Cambria Math" w:cs="Arial"/>
                          <w:sz w:val="20"/>
                          <w:szCs w:val="20"/>
                          <w:lang w:val="es-ES_tradnl"/>
                        </w:rPr>
                        <m:t>IBMEN</m:t>
                      </m:r>
                    </m:e>
                    <m:sub>
                      <m:r>
                        <m:rPr>
                          <m:sty m:val="p"/>
                        </m:rPr>
                        <w:rPr>
                          <w:rFonts w:ascii="Cambria Math" w:hAnsi="Cambria Math" w:cs="Arial"/>
                          <w:sz w:val="20"/>
                          <w:szCs w:val="20"/>
                          <w:lang w:val="es-ES_tradnl"/>
                        </w:rPr>
                        <m:t>RPmn</m:t>
                      </m:r>
                    </m:sub>
                  </m:sSub>
                </m:num>
                <m:den>
                  <m:sSub>
                    <m:sSubPr>
                      <m:ctrlPr>
                        <w:rPr>
                          <w:rFonts w:ascii="Cambria Math" w:hAnsi="Cambria Math" w:cs="Arial"/>
                          <w:sz w:val="20"/>
                          <w:szCs w:val="20"/>
                          <w:lang w:val="es-ES_tradnl"/>
                        </w:rPr>
                      </m:ctrlPr>
                    </m:sSubPr>
                    <m:e>
                      <m:r>
                        <m:rPr>
                          <m:sty m:val="p"/>
                        </m:rPr>
                        <w:rPr>
                          <w:rFonts w:ascii="Cambria Math" w:hAnsi="Cambria Math" w:cs="Arial"/>
                          <w:sz w:val="20"/>
                          <w:szCs w:val="20"/>
                          <w:lang w:val="es-ES_tradnl"/>
                        </w:rPr>
                        <m:t>Q</m:t>
                      </m:r>
                    </m:e>
                    <m:sub>
                      <m:r>
                        <m:rPr>
                          <m:sty m:val="p"/>
                        </m:rPr>
                        <w:rPr>
                          <w:rFonts w:ascii="Cambria Math" w:hAnsi="Cambria Math" w:cs="Arial"/>
                          <w:sz w:val="20"/>
                          <w:szCs w:val="20"/>
                          <w:lang w:val="es-ES_tradnl"/>
                        </w:rPr>
                        <m:t>Tme</m:t>
                      </m:r>
                    </m:sub>
                  </m:sSub>
                  <m:r>
                    <m:rPr>
                      <m:sty m:val="p"/>
                    </m:rPr>
                    <w:rPr>
                      <w:rFonts w:ascii="Cambria Math" w:hAnsi="Cambria Math" w:cs="Arial"/>
                      <w:sz w:val="20"/>
                      <w:szCs w:val="20"/>
                      <w:lang w:val="es-ES_tradnl"/>
                    </w:rPr>
                    <m:t>+VAE (VP</m:t>
                  </m:r>
                  <m:d>
                    <m:dPr>
                      <m:ctrlPr>
                        <w:rPr>
                          <w:rFonts w:ascii="Cambria Math" w:hAnsi="Cambria Math" w:cs="Arial"/>
                          <w:sz w:val="20"/>
                          <w:szCs w:val="20"/>
                          <w:lang w:val="es-ES_tradnl"/>
                        </w:rPr>
                      </m:ctrlPr>
                    </m:dPr>
                    <m:e>
                      <m:sSub>
                        <m:sSubPr>
                          <m:ctrlPr>
                            <w:rPr>
                              <w:rFonts w:ascii="Cambria Math" w:hAnsi="Cambria Math" w:cs="Arial"/>
                              <w:sz w:val="20"/>
                              <w:szCs w:val="20"/>
                              <w:lang w:val="es-ES_tradnl"/>
                            </w:rPr>
                          </m:ctrlPr>
                        </m:sSubPr>
                        <m:e>
                          <m:r>
                            <m:rPr>
                              <m:sty m:val="p"/>
                            </m:rPr>
                            <w:rPr>
                              <w:rFonts w:ascii="Cambria Math" w:hAnsi="Cambria Math" w:cs="Arial"/>
                              <w:sz w:val="20"/>
                              <w:szCs w:val="20"/>
                              <w:lang w:val="es-ES_tradnl"/>
                            </w:rPr>
                            <m:t>Q(PR)</m:t>
                          </m:r>
                        </m:e>
                        <m:sub>
                          <m:r>
                            <m:rPr>
                              <m:sty m:val="p"/>
                            </m:rPr>
                            <w:rPr>
                              <w:rFonts w:ascii="Cambria Math" w:hAnsi="Cambria Math" w:cs="Arial"/>
                              <w:sz w:val="20"/>
                              <w:szCs w:val="20"/>
                              <w:lang w:val="es-ES_tradnl"/>
                            </w:rPr>
                            <m:t>Tmn</m:t>
                          </m:r>
                        </m:sub>
                      </m:sSub>
                    </m:e>
                  </m:d>
                  <m:r>
                    <m:rPr>
                      <m:sty m:val="p"/>
                    </m:rPr>
                    <w:rPr>
                      <w:rFonts w:ascii="Cambria Math" w:hAnsi="Cambria Math" w:cs="Arial"/>
                      <w:sz w:val="20"/>
                      <w:szCs w:val="20"/>
                      <w:lang w:val="es-ES_tradnl"/>
                    </w:rPr>
                    <m:t>)</m:t>
                  </m:r>
                </m:den>
              </m:f>
            </m:e>
          </m:d>
          <m:r>
            <m:rPr>
              <m:sty m:val="p"/>
            </m:rPr>
            <w:rPr>
              <w:rFonts w:ascii="Cambria Math" w:hAnsi="Cambria Math" w:cs="Arial"/>
              <w:sz w:val="20"/>
              <w:szCs w:val="20"/>
              <w:lang w:val="es-ES_tradnl"/>
            </w:rPr>
            <m:t xml:space="preserve">+ </m:t>
          </m:r>
          <m:d>
            <m:dPr>
              <m:begChr m:val="["/>
              <m:endChr m:val="]"/>
              <m:ctrlPr>
                <w:rPr>
                  <w:rFonts w:ascii="Cambria Math" w:hAnsi="Cambria Math" w:cs="Arial"/>
                  <w:sz w:val="20"/>
                  <w:szCs w:val="20"/>
                  <w:lang w:val="es-ES_tradnl"/>
                </w:rPr>
              </m:ctrlPr>
            </m:dPr>
            <m:e>
              <m:f>
                <m:fPr>
                  <m:ctrlPr>
                    <w:rPr>
                      <w:rFonts w:ascii="Cambria Math" w:hAnsi="Cambria Math" w:cs="Arial"/>
                      <w:sz w:val="20"/>
                      <w:szCs w:val="20"/>
                      <w:lang w:val="es-ES_tradnl"/>
                    </w:rPr>
                  </m:ctrlPr>
                </m:fPr>
                <m:num>
                  <m:d>
                    <m:dPr>
                      <m:begChr m:val="["/>
                      <m:endChr m:val="]"/>
                      <m:ctrlPr>
                        <w:rPr>
                          <w:rFonts w:ascii="Cambria Math" w:hAnsi="Cambria Math" w:cs="Arial"/>
                          <w:sz w:val="20"/>
                          <w:szCs w:val="20"/>
                          <w:lang w:val="es-ES_tradnl"/>
                        </w:rPr>
                      </m:ctrlPr>
                    </m:dPr>
                    <m:e>
                      <m:sSub>
                        <m:sSubPr>
                          <m:ctrlPr>
                            <w:rPr>
                              <w:rFonts w:ascii="Cambria Math" w:hAnsi="Cambria Math" w:cs="Arial"/>
                              <w:sz w:val="20"/>
                              <w:szCs w:val="20"/>
                              <w:lang w:val="es-ES_tradnl"/>
                            </w:rPr>
                          </m:ctrlPr>
                        </m:sSubPr>
                        <m:e>
                          <m:r>
                            <m:rPr>
                              <m:sty m:val="p"/>
                            </m:rPr>
                            <w:rPr>
                              <w:rFonts w:ascii="Cambria Math" w:hAnsi="Cambria Math" w:cs="Arial"/>
                              <w:sz w:val="20"/>
                              <w:szCs w:val="20"/>
                              <w:lang w:val="es-ES_tradnl"/>
                            </w:rPr>
                            <m:t>IBME</m:t>
                          </m:r>
                        </m:e>
                        <m:sub>
                          <m:r>
                            <m:rPr>
                              <m:sty m:val="p"/>
                            </m:rPr>
                            <w:rPr>
                              <w:rFonts w:ascii="Cambria Math" w:hAnsi="Cambria Math" w:cs="Arial"/>
                              <w:sz w:val="20"/>
                              <w:szCs w:val="20"/>
                              <w:lang w:val="es-ES_tradnl"/>
                            </w:rPr>
                            <m:t>RS(NoRes)me</m:t>
                          </m:r>
                        </m:sub>
                      </m:sSub>
                      <m:r>
                        <w:rPr>
                          <w:rFonts w:ascii="Cambria Math" w:hAnsi="Cambria Math" w:cs="Arial"/>
                          <w:sz w:val="20"/>
                          <w:szCs w:val="20"/>
                          <w:lang w:val="es-ES_tradnl"/>
                        </w:rPr>
                        <m:t>+</m:t>
                      </m:r>
                      <m:sSub>
                        <m:sSubPr>
                          <m:ctrlPr>
                            <w:rPr>
                              <w:rFonts w:ascii="Cambria Math" w:hAnsi="Cambria Math" w:cs="Arial"/>
                              <w:sz w:val="20"/>
                              <w:szCs w:val="20"/>
                              <w:lang w:val="es-ES_tradnl"/>
                            </w:rPr>
                          </m:ctrlPr>
                        </m:sSubPr>
                        <m:e>
                          <m:r>
                            <m:rPr>
                              <m:sty m:val="p"/>
                            </m:rPr>
                            <w:rPr>
                              <w:rFonts w:ascii="Cambria Math" w:hAnsi="Cambria Math" w:cs="Arial"/>
                              <w:sz w:val="20"/>
                              <w:szCs w:val="20"/>
                              <w:lang w:val="es-ES_tradnl"/>
                            </w:rPr>
                            <m:t>IBMEN</m:t>
                          </m:r>
                        </m:e>
                        <m:sub>
                          <m:r>
                            <m:rPr>
                              <m:sty m:val="p"/>
                            </m:rPr>
                            <w:rPr>
                              <w:rFonts w:ascii="Cambria Math" w:hAnsi="Cambria Math" w:cs="Arial"/>
                              <w:sz w:val="20"/>
                              <w:szCs w:val="20"/>
                              <w:lang w:val="es-ES_tradnl"/>
                            </w:rPr>
                            <m:t>RS(No Res)mn</m:t>
                          </m:r>
                        </m:sub>
                      </m:sSub>
                    </m:e>
                  </m:d>
                </m:num>
                <m:den>
                  <m:sSub>
                    <m:sSubPr>
                      <m:ctrlPr>
                        <w:rPr>
                          <w:rFonts w:ascii="Cambria Math" w:hAnsi="Cambria Math" w:cs="Arial"/>
                          <w:sz w:val="20"/>
                          <w:szCs w:val="20"/>
                          <w:lang w:val="es-ES_tradnl"/>
                        </w:rPr>
                      </m:ctrlPr>
                    </m:sSubPr>
                    <m:e>
                      <m:r>
                        <m:rPr>
                          <m:sty m:val="p"/>
                        </m:rPr>
                        <w:rPr>
                          <w:rFonts w:ascii="Cambria Math" w:hAnsi="Cambria Math" w:cs="Arial"/>
                          <w:sz w:val="20"/>
                          <w:szCs w:val="20"/>
                          <w:lang w:val="es-ES_tradnl"/>
                        </w:rPr>
                        <m:t>Q</m:t>
                      </m:r>
                    </m:e>
                    <m:sub>
                      <m:r>
                        <m:rPr>
                          <m:sty m:val="p"/>
                        </m:rPr>
                        <w:rPr>
                          <w:rFonts w:ascii="Cambria Math" w:hAnsi="Cambria Math" w:cs="Arial"/>
                          <w:sz w:val="20"/>
                          <w:szCs w:val="20"/>
                          <w:lang w:val="es-ES_tradnl"/>
                        </w:rPr>
                        <m:t>Tme</m:t>
                      </m:r>
                    </m:sub>
                  </m:sSub>
                  <m:r>
                    <m:rPr>
                      <m:sty m:val="p"/>
                    </m:rPr>
                    <w:rPr>
                      <w:rFonts w:ascii="Cambria Math" w:hAnsi="Cambria Math" w:cs="Arial"/>
                      <w:sz w:val="20"/>
                      <w:szCs w:val="20"/>
                      <w:lang w:val="es-ES_tradnl"/>
                    </w:rPr>
                    <m:t>-VAE (VP</m:t>
                  </m:r>
                  <m:d>
                    <m:dPr>
                      <m:ctrlPr>
                        <w:rPr>
                          <w:rFonts w:ascii="Cambria Math" w:hAnsi="Cambria Math" w:cs="Arial"/>
                          <w:sz w:val="20"/>
                          <w:szCs w:val="20"/>
                          <w:lang w:val="es-ES_tradnl"/>
                        </w:rPr>
                      </m:ctrlPr>
                    </m:dPr>
                    <m:e>
                      <m:sSub>
                        <m:sSubPr>
                          <m:ctrlPr>
                            <w:rPr>
                              <w:rFonts w:ascii="Cambria Math" w:hAnsi="Cambria Math" w:cs="Arial"/>
                              <w:sz w:val="20"/>
                              <w:szCs w:val="20"/>
                              <w:lang w:val="es-ES_tradnl"/>
                            </w:rPr>
                          </m:ctrlPr>
                        </m:sSubPr>
                        <m:e>
                          <m:r>
                            <m:rPr>
                              <m:sty m:val="p"/>
                            </m:rPr>
                            <w:rPr>
                              <w:rFonts w:ascii="Cambria Math" w:hAnsi="Cambria Math" w:cs="Arial"/>
                              <w:sz w:val="20"/>
                              <w:szCs w:val="20"/>
                              <w:lang w:val="es-ES_tradnl"/>
                            </w:rPr>
                            <m:t>Q(PR)</m:t>
                          </m:r>
                        </m:e>
                        <m:sub>
                          <m:r>
                            <m:rPr>
                              <m:sty m:val="p"/>
                            </m:rPr>
                            <w:rPr>
                              <w:rFonts w:ascii="Cambria Math" w:hAnsi="Cambria Math" w:cs="Arial"/>
                              <w:sz w:val="20"/>
                              <w:szCs w:val="20"/>
                              <w:lang w:val="es-ES_tradnl"/>
                            </w:rPr>
                            <m:t>Resmn</m:t>
                          </m:r>
                        </m:sub>
                      </m:sSub>
                    </m:e>
                  </m:d>
                  <m:r>
                    <m:rPr>
                      <m:sty m:val="p"/>
                    </m:rPr>
                    <w:rPr>
                      <w:rFonts w:ascii="Cambria Math" w:hAnsi="Cambria Math" w:cs="Arial"/>
                      <w:sz w:val="20"/>
                      <w:szCs w:val="20"/>
                      <w:lang w:val="es-ES_tradnl"/>
                    </w:rPr>
                    <m:t>)</m:t>
                  </m:r>
                </m:den>
              </m:f>
            </m:e>
          </m:d>
        </m:oMath>
      </m:oMathPara>
    </w:p>
    <w:p w:rsidR="000B65DE" w:rsidRPr="000B65DE" w:rsidRDefault="000B65DE" w:rsidP="000B65DE">
      <w:pPr>
        <w:tabs>
          <w:tab w:val="left" w:pos="426"/>
        </w:tabs>
        <w:ind w:left="0"/>
        <w:jc w:val="both"/>
        <w:rPr>
          <w:rFonts w:ascii="Bookman Old Style" w:hAnsi="Bookman Old Style" w:cs="Arial"/>
          <w:sz w:val="18"/>
          <w:szCs w:val="22"/>
          <w:lang w:val="es-ES_tradnl"/>
        </w:rPr>
      </w:pPr>
    </w:p>
    <w:p w:rsidR="000B65DE" w:rsidRPr="000B65DE" w:rsidRDefault="000B65DE" w:rsidP="000B65DE">
      <w:pPr>
        <w:tabs>
          <w:tab w:val="left" w:pos="426"/>
        </w:tabs>
        <w:ind w:left="0"/>
        <w:jc w:val="both"/>
        <w:rPr>
          <w:rFonts w:ascii="Bookman Old Style" w:hAnsi="Bookman Old Style" w:cs="Arial"/>
          <w:sz w:val="16"/>
          <w:lang w:val="es-ES_tradnl"/>
        </w:rPr>
      </w:pPr>
    </w:p>
    <w:p w:rsidR="00F87F77" w:rsidRPr="0092172B" w:rsidRDefault="00F87F77" w:rsidP="000B65DE">
      <w:pPr>
        <w:tabs>
          <w:tab w:val="left" w:pos="426"/>
        </w:tabs>
        <w:ind w:left="0"/>
        <w:jc w:val="center"/>
        <w:rPr>
          <w:rFonts w:ascii="Bookman Old Style" w:hAnsi="Bookman Old Style" w:cs="Arial"/>
          <w:sz w:val="18"/>
          <w:lang w:val="es-ES_tradnl"/>
        </w:rPr>
      </w:pPr>
    </w:p>
    <w:p w:rsidR="00F87F77" w:rsidRPr="007F02D4" w:rsidRDefault="00364E59" w:rsidP="00F87F77">
      <w:pPr>
        <w:tabs>
          <w:tab w:val="left" w:pos="426"/>
        </w:tabs>
        <w:ind w:left="0"/>
        <w:jc w:val="center"/>
        <w:rPr>
          <w:rFonts w:ascii="Bookman Old Style" w:hAnsi="Bookman Old Style" w:cs="Arial"/>
          <w:sz w:val="20"/>
          <w:lang w:val="es-ES_tradnl"/>
        </w:rPr>
      </w:pPr>
      <m:oMathPara>
        <m:oMath>
          <m:sSub>
            <m:sSubPr>
              <m:ctrlPr>
                <w:rPr>
                  <w:rFonts w:ascii="Cambria Math" w:hAnsi="Cambria Math" w:cs="Arial"/>
                  <w:sz w:val="18"/>
                  <w:szCs w:val="20"/>
                  <w:lang w:val="es-ES_tradnl"/>
                </w:rPr>
              </m:ctrlPr>
            </m:sSubPr>
            <m:e>
              <m:r>
                <m:rPr>
                  <m:sty m:val="p"/>
                </m:rPr>
                <w:rPr>
                  <w:rFonts w:ascii="Cambria Math" w:hAnsi="Cambria Math" w:cs="Arial"/>
                  <w:sz w:val="18"/>
                  <w:szCs w:val="20"/>
                  <w:lang w:val="es-ES_tradnl"/>
                </w:rPr>
                <m:t>D</m:t>
              </m:r>
            </m:e>
            <m:sub>
              <m:r>
                <m:rPr>
                  <m:sty m:val="p"/>
                </m:rPr>
                <w:rPr>
                  <w:rFonts w:ascii="Cambria Math" w:hAnsi="Cambria Math" w:cs="Arial"/>
                  <w:sz w:val="18"/>
                  <w:szCs w:val="20"/>
                  <w:lang w:val="es-ES_tradnl"/>
                </w:rPr>
                <m:t>AOM(AUNR)k</m:t>
              </m:r>
            </m:sub>
          </m:sSub>
          <m:r>
            <m:rPr>
              <m:sty m:val="p"/>
            </m:rPr>
            <w:rPr>
              <w:rFonts w:ascii="Cambria Math" w:hAnsi="Cambria Math" w:cs="Arial"/>
              <w:sz w:val="18"/>
              <w:szCs w:val="20"/>
              <w:lang w:val="es-ES_tradnl"/>
            </w:rPr>
            <m:t>=</m:t>
          </m:r>
          <m:d>
            <m:dPr>
              <m:begChr m:val="["/>
              <m:endChr m:val="]"/>
              <m:ctrlPr>
                <w:rPr>
                  <w:rFonts w:ascii="Cambria Math" w:hAnsi="Cambria Math" w:cs="Arial"/>
                  <w:sz w:val="18"/>
                  <w:szCs w:val="20"/>
                  <w:lang w:val="es-ES_tradnl"/>
                </w:rPr>
              </m:ctrlPr>
            </m:dPr>
            <m:e>
              <m:f>
                <m:fPr>
                  <m:ctrlPr>
                    <w:rPr>
                      <w:rFonts w:ascii="Cambria Math" w:hAnsi="Cambria Math" w:cs="Arial"/>
                      <w:sz w:val="18"/>
                      <w:szCs w:val="20"/>
                      <w:lang w:val="es-ES_tradnl"/>
                    </w:rPr>
                  </m:ctrlPr>
                </m:fPr>
                <m:num>
                  <m:sSub>
                    <m:sSubPr>
                      <m:ctrlPr>
                        <w:rPr>
                          <w:rFonts w:ascii="Cambria Math" w:eastAsia="Calibri" w:hAnsi="Cambria Math" w:cs="Arial"/>
                          <w:sz w:val="18"/>
                          <w:szCs w:val="20"/>
                          <w:lang w:val="es-CO" w:eastAsia="en-US"/>
                        </w:rPr>
                      </m:ctrlPr>
                    </m:sSubPr>
                    <m:e>
                      <m:r>
                        <m:rPr>
                          <m:sty m:val="p"/>
                        </m:rPr>
                        <w:rPr>
                          <w:rFonts w:ascii="Cambria Math" w:eastAsia="Calibri" w:hAnsi="Cambria Math" w:cs="Arial"/>
                          <w:sz w:val="18"/>
                          <w:szCs w:val="20"/>
                          <w:lang w:val="es-CO" w:eastAsia="en-US"/>
                        </w:rPr>
                        <m:t>AOM</m:t>
                      </m:r>
                    </m:e>
                    <m:sub>
                      <m:r>
                        <m:rPr>
                          <m:sty m:val="p"/>
                        </m:rPr>
                        <w:rPr>
                          <w:rFonts w:ascii="Cambria Math" w:eastAsia="Calibri" w:hAnsi="Cambria Math" w:cs="Arial"/>
                          <w:sz w:val="18"/>
                          <w:szCs w:val="20"/>
                          <w:lang w:val="es-CO" w:eastAsia="en-US"/>
                        </w:rPr>
                        <m:t>RPme</m:t>
                      </m:r>
                    </m:sub>
                  </m:sSub>
                  <m:r>
                    <w:rPr>
                      <w:rFonts w:ascii="Cambria Math" w:eastAsia="Calibri" w:hAnsi="Cambria Math" w:cs="Arial"/>
                      <w:sz w:val="18"/>
                      <w:szCs w:val="20"/>
                      <w:lang w:val="es-CO" w:eastAsia="en-US"/>
                    </w:rPr>
                    <m:t>+</m:t>
                  </m:r>
                  <m:sSub>
                    <m:sSubPr>
                      <m:ctrlPr>
                        <w:rPr>
                          <w:rFonts w:ascii="Cambria Math" w:hAnsi="Cambria Math" w:cs="Arial"/>
                          <w:sz w:val="18"/>
                          <w:szCs w:val="20"/>
                          <w:lang w:val="es-ES_tradnl"/>
                        </w:rPr>
                      </m:ctrlPr>
                    </m:sSubPr>
                    <m:e>
                      <m:r>
                        <m:rPr>
                          <m:sty m:val="p"/>
                        </m:rPr>
                        <w:rPr>
                          <w:rFonts w:ascii="Cambria Math" w:hAnsi="Cambria Math" w:cs="Arial"/>
                          <w:sz w:val="18"/>
                          <w:szCs w:val="20"/>
                          <w:lang w:val="es-ES_tradnl"/>
                        </w:rPr>
                        <m:t>CAE(VP(AOM(PR)</m:t>
                      </m:r>
                    </m:e>
                    <m:sub>
                      <m:r>
                        <m:rPr>
                          <m:sty m:val="p"/>
                        </m:rPr>
                        <w:rPr>
                          <w:rFonts w:ascii="Cambria Math" w:hAnsi="Cambria Math" w:cs="Arial"/>
                          <w:sz w:val="18"/>
                          <w:szCs w:val="20"/>
                          <w:lang w:val="es-ES_tradnl"/>
                        </w:rPr>
                        <m:t>RPmn</m:t>
                      </m:r>
                    </m:sub>
                  </m:sSub>
                  <m:r>
                    <w:rPr>
                      <w:rFonts w:ascii="Cambria Math" w:hAnsi="Cambria Math" w:cs="Arial"/>
                      <w:sz w:val="18"/>
                      <w:szCs w:val="20"/>
                      <w:lang w:val="es-ES_tradnl"/>
                    </w:rPr>
                    <m:t>)</m:t>
                  </m:r>
                </m:num>
                <m:den>
                  <m:sSub>
                    <m:sSubPr>
                      <m:ctrlPr>
                        <w:rPr>
                          <w:rFonts w:ascii="Cambria Math" w:hAnsi="Cambria Math" w:cs="Arial"/>
                          <w:sz w:val="18"/>
                          <w:szCs w:val="20"/>
                          <w:lang w:val="es-ES_tradnl"/>
                        </w:rPr>
                      </m:ctrlPr>
                    </m:sSubPr>
                    <m:e>
                      <m:r>
                        <m:rPr>
                          <m:sty m:val="p"/>
                        </m:rPr>
                        <w:rPr>
                          <w:rFonts w:ascii="Cambria Math" w:hAnsi="Cambria Math" w:cs="Arial"/>
                          <w:sz w:val="18"/>
                          <w:szCs w:val="20"/>
                          <w:lang w:val="es-ES_tradnl"/>
                        </w:rPr>
                        <m:t>Q</m:t>
                      </m:r>
                    </m:e>
                    <m:sub>
                      <m:r>
                        <m:rPr>
                          <m:sty m:val="p"/>
                        </m:rPr>
                        <w:rPr>
                          <w:rFonts w:ascii="Cambria Math" w:hAnsi="Cambria Math" w:cs="Arial"/>
                          <w:sz w:val="18"/>
                          <w:szCs w:val="20"/>
                          <w:lang w:val="es-ES_tradnl"/>
                        </w:rPr>
                        <m:t>Tme</m:t>
                      </m:r>
                    </m:sub>
                  </m:sSub>
                  <m:r>
                    <m:rPr>
                      <m:sty m:val="p"/>
                    </m:rPr>
                    <w:rPr>
                      <w:rFonts w:ascii="Cambria Math" w:hAnsi="Cambria Math" w:cs="Arial"/>
                      <w:sz w:val="18"/>
                      <w:szCs w:val="20"/>
                      <w:lang w:val="es-ES_tradnl"/>
                    </w:rPr>
                    <m:t>+VAE (VP</m:t>
                  </m:r>
                  <m:d>
                    <m:dPr>
                      <m:ctrlPr>
                        <w:rPr>
                          <w:rFonts w:ascii="Cambria Math" w:hAnsi="Cambria Math" w:cs="Arial"/>
                          <w:sz w:val="18"/>
                          <w:szCs w:val="20"/>
                          <w:lang w:val="es-ES_tradnl"/>
                        </w:rPr>
                      </m:ctrlPr>
                    </m:dPr>
                    <m:e>
                      <m:sSub>
                        <m:sSubPr>
                          <m:ctrlPr>
                            <w:rPr>
                              <w:rFonts w:ascii="Cambria Math" w:hAnsi="Cambria Math" w:cs="Arial"/>
                              <w:sz w:val="18"/>
                              <w:szCs w:val="20"/>
                              <w:lang w:val="es-ES_tradnl"/>
                            </w:rPr>
                          </m:ctrlPr>
                        </m:sSubPr>
                        <m:e>
                          <m:r>
                            <m:rPr>
                              <m:sty m:val="p"/>
                            </m:rPr>
                            <w:rPr>
                              <w:rFonts w:ascii="Cambria Math" w:hAnsi="Cambria Math" w:cs="Arial"/>
                              <w:sz w:val="18"/>
                              <w:szCs w:val="20"/>
                              <w:lang w:val="es-ES_tradnl"/>
                            </w:rPr>
                            <m:t>Q(PR)</m:t>
                          </m:r>
                        </m:e>
                        <m:sub>
                          <m:r>
                            <m:rPr>
                              <m:sty m:val="p"/>
                            </m:rPr>
                            <w:rPr>
                              <w:rFonts w:ascii="Cambria Math" w:hAnsi="Cambria Math" w:cs="Arial"/>
                              <w:sz w:val="18"/>
                              <w:szCs w:val="20"/>
                              <w:lang w:val="es-ES_tradnl"/>
                            </w:rPr>
                            <m:t>Tmn</m:t>
                          </m:r>
                        </m:sub>
                      </m:sSub>
                    </m:e>
                  </m:d>
                  <m:r>
                    <m:rPr>
                      <m:sty m:val="p"/>
                    </m:rPr>
                    <w:rPr>
                      <w:rFonts w:ascii="Cambria Math" w:hAnsi="Cambria Math" w:cs="Arial"/>
                      <w:sz w:val="18"/>
                      <w:szCs w:val="20"/>
                      <w:lang w:val="es-ES_tradnl"/>
                    </w:rPr>
                    <m:t>)</m:t>
                  </m:r>
                </m:den>
              </m:f>
            </m:e>
          </m:d>
          <m:r>
            <m:rPr>
              <m:sty m:val="p"/>
            </m:rPr>
            <w:rPr>
              <w:rFonts w:ascii="Cambria Math" w:hAnsi="Cambria Math" w:cs="Arial"/>
              <w:sz w:val="18"/>
              <w:szCs w:val="20"/>
              <w:lang w:val="es-ES_tradnl"/>
            </w:rPr>
            <m:t xml:space="preserve">+ </m:t>
          </m:r>
          <m:d>
            <m:dPr>
              <m:begChr m:val="["/>
              <m:endChr m:val="]"/>
              <m:ctrlPr>
                <w:rPr>
                  <w:rFonts w:ascii="Cambria Math" w:hAnsi="Cambria Math" w:cs="Arial"/>
                  <w:sz w:val="18"/>
                  <w:szCs w:val="20"/>
                  <w:lang w:val="es-ES_tradnl"/>
                </w:rPr>
              </m:ctrlPr>
            </m:dPr>
            <m:e>
              <m:f>
                <m:fPr>
                  <m:ctrlPr>
                    <w:rPr>
                      <w:rFonts w:ascii="Cambria Math" w:hAnsi="Cambria Math" w:cs="Arial"/>
                      <w:sz w:val="18"/>
                      <w:szCs w:val="20"/>
                      <w:lang w:val="es-ES_tradnl"/>
                    </w:rPr>
                  </m:ctrlPr>
                </m:fPr>
                <m:num>
                  <m:d>
                    <m:dPr>
                      <m:begChr m:val="["/>
                      <m:endChr m:val="]"/>
                      <m:ctrlPr>
                        <w:rPr>
                          <w:rFonts w:ascii="Cambria Math" w:hAnsi="Cambria Math" w:cs="Arial"/>
                          <w:sz w:val="18"/>
                          <w:szCs w:val="20"/>
                          <w:lang w:val="es-ES_tradnl"/>
                        </w:rPr>
                      </m:ctrlPr>
                    </m:dPr>
                    <m:e>
                      <m:sSub>
                        <m:sSubPr>
                          <m:ctrlPr>
                            <w:rPr>
                              <w:rFonts w:ascii="Cambria Math" w:hAnsi="Cambria Math" w:cs="Arial"/>
                              <w:sz w:val="18"/>
                              <w:szCs w:val="20"/>
                              <w:lang w:val="es-ES_tradnl"/>
                            </w:rPr>
                          </m:ctrlPr>
                        </m:sSubPr>
                        <m:e>
                          <m:r>
                            <m:rPr>
                              <m:sty m:val="p"/>
                            </m:rPr>
                            <w:rPr>
                              <w:rFonts w:ascii="Cambria Math" w:hAnsi="Cambria Math" w:cs="Arial"/>
                              <w:sz w:val="18"/>
                              <w:szCs w:val="20"/>
                              <w:lang w:val="es-ES_tradnl"/>
                            </w:rPr>
                            <m:t>AOM</m:t>
                          </m:r>
                        </m:e>
                        <m:sub>
                          <m:r>
                            <m:rPr>
                              <m:sty m:val="p"/>
                            </m:rPr>
                            <w:rPr>
                              <w:rFonts w:ascii="Cambria Math" w:hAnsi="Cambria Math" w:cs="Arial"/>
                              <w:sz w:val="18"/>
                              <w:szCs w:val="20"/>
                              <w:lang w:val="es-ES_tradnl"/>
                            </w:rPr>
                            <m:t>RS(NoRes)me</m:t>
                          </m:r>
                        </m:sub>
                      </m:sSub>
                      <m:r>
                        <w:rPr>
                          <w:rFonts w:ascii="Cambria Math" w:hAnsi="Cambria Math" w:cs="Arial"/>
                          <w:sz w:val="18"/>
                          <w:szCs w:val="20"/>
                          <w:lang w:val="es-ES_tradnl"/>
                        </w:rPr>
                        <m:t>+</m:t>
                      </m:r>
                      <m:sSub>
                        <m:sSubPr>
                          <m:ctrlPr>
                            <w:rPr>
                              <w:rFonts w:ascii="Cambria Math" w:hAnsi="Cambria Math" w:cs="Arial"/>
                              <w:sz w:val="18"/>
                              <w:szCs w:val="20"/>
                              <w:lang w:val="es-ES_tradnl"/>
                            </w:rPr>
                          </m:ctrlPr>
                        </m:sSubPr>
                        <m:e>
                          <m:r>
                            <m:rPr>
                              <m:sty m:val="p"/>
                            </m:rPr>
                            <w:rPr>
                              <w:rFonts w:ascii="Cambria Math" w:hAnsi="Cambria Math" w:cs="Arial"/>
                              <w:sz w:val="18"/>
                              <w:szCs w:val="20"/>
                              <w:lang w:val="es-ES_tradnl"/>
                            </w:rPr>
                            <m:t>CAE(VP(AOM</m:t>
                          </m:r>
                        </m:e>
                        <m:sub>
                          <m:r>
                            <m:rPr>
                              <m:sty m:val="p"/>
                            </m:rPr>
                            <w:rPr>
                              <w:rFonts w:ascii="Cambria Math" w:hAnsi="Cambria Math" w:cs="Arial"/>
                              <w:sz w:val="18"/>
                              <w:szCs w:val="20"/>
                              <w:lang w:val="es-ES_tradnl"/>
                            </w:rPr>
                            <m:t>RS(No Res)mn</m:t>
                          </m:r>
                        </m:sub>
                      </m:sSub>
                      <m:r>
                        <w:rPr>
                          <w:rFonts w:ascii="Cambria Math" w:hAnsi="Cambria Math" w:cs="Arial"/>
                          <w:sz w:val="18"/>
                          <w:szCs w:val="20"/>
                          <w:lang w:val="es-ES_tradnl"/>
                        </w:rPr>
                        <m:t>)</m:t>
                      </m:r>
                    </m:e>
                  </m:d>
                </m:num>
                <m:den>
                  <m:sSub>
                    <m:sSubPr>
                      <m:ctrlPr>
                        <w:rPr>
                          <w:rFonts w:ascii="Cambria Math" w:hAnsi="Cambria Math" w:cs="Arial"/>
                          <w:sz w:val="18"/>
                          <w:szCs w:val="20"/>
                          <w:lang w:val="es-ES_tradnl"/>
                        </w:rPr>
                      </m:ctrlPr>
                    </m:sSubPr>
                    <m:e>
                      <m:r>
                        <m:rPr>
                          <m:sty m:val="p"/>
                        </m:rPr>
                        <w:rPr>
                          <w:rFonts w:ascii="Cambria Math" w:hAnsi="Cambria Math" w:cs="Arial"/>
                          <w:sz w:val="18"/>
                          <w:szCs w:val="20"/>
                          <w:lang w:val="es-ES_tradnl"/>
                        </w:rPr>
                        <m:t>Q</m:t>
                      </m:r>
                    </m:e>
                    <m:sub>
                      <m:r>
                        <m:rPr>
                          <m:sty m:val="p"/>
                        </m:rPr>
                        <w:rPr>
                          <w:rFonts w:ascii="Cambria Math" w:hAnsi="Cambria Math" w:cs="Arial"/>
                          <w:sz w:val="18"/>
                          <w:szCs w:val="20"/>
                          <w:lang w:val="es-ES_tradnl"/>
                        </w:rPr>
                        <m:t>Tme</m:t>
                      </m:r>
                    </m:sub>
                  </m:sSub>
                  <m:r>
                    <m:rPr>
                      <m:sty m:val="p"/>
                    </m:rPr>
                    <w:rPr>
                      <w:rFonts w:ascii="Cambria Math" w:hAnsi="Cambria Math" w:cs="Arial"/>
                      <w:sz w:val="18"/>
                      <w:szCs w:val="20"/>
                      <w:lang w:val="es-ES_tradnl"/>
                    </w:rPr>
                    <m:t>-VAE (VP</m:t>
                  </m:r>
                  <m:d>
                    <m:dPr>
                      <m:ctrlPr>
                        <w:rPr>
                          <w:rFonts w:ascii="Cambria Math" w:hAnsi="Cambria Math" w:cs="Arial"/>
                          <w:sz w:val="18"/>
                          <w:szCs w:val="20"/>
                          <w:lang w:val="es-ES_tradnl"/>
                        </w:rPr>
                      </m:ctrlPr>
                    </m:dPr>
                    <m:e>
                      <m:sSub>
                        <m:sSubPr>
                          <m:ctrlPr>
                            <w:rPr>
                              <w:rFonts w:ascii="Cambria Math" w:hAnsi="Cambria Math" w:cs="Arial"/>
                              <w:sz w:val="18"/>
                              <w:szCs w:val="20"/>
                              <w:lang w:val="es-ES_tradnl"/>
                            </w:rPr>
                          </m:ctrlPr>
                        </m:sSubPr>
                        <m:e>
                          <m:r>
                            <m:rPr>
                              <m:sty m:val="p"/>
                            </m:rPr>
                            <w:rPr>
                              <w:rFonts w:ascii="Cambria Math" w:hAnsi="Cambria Math" w:cs="Arial"/>
                              <w:sz w:val="18"/>
                              <w:szCs w:val="20"/>
                              <w:lang w:val="es-ES_tradnl"/>
                            </w:rPr>
                            <m:t>Q(PR)</m:t>
                          </m:r>
                        </m:e>
                        <m:sub>
                          <m:r>
                            <m:rPr>
                              <m:sty m:val="p"/>
                            </m:rPr>
                            <w:rPr>
                              <w:rFonts w:ascii="Cambria Math" w:hAnsi="Cambria Math" w:cs="Arial"/>
                              <w:sz w:val="18"/>
                              <w:szCs w:val="20"/>
                              <w:lang w:val="es-ES_tradnl"/>
                            </w:rPr>
                            <m:t>Resmn</m:t>
                          </m:r>
                        </m:sub>
                      </m:sSub>
                    </m:e>
                  </m:d>
                  <m:r>
                    <m:rPr>
                      <m:sty m:val="p"/>
                    </m:rPr>
                    <w:rPr>
                      <w:rFonts w:ascii="Cambria Math" w:hAnsi="Cambria Math" w:cs="Arial"/>
                      <w:sz w:val="18"/>
                      <w:szCs w:val="20"/>
                      <w:lang w:val="es-ES_tradnl"/>
                    </w:rPr>
                    <m:t>)</m:t>
                  </m:r>
                </m:den>
              </m:f>
            </m:e>
          </m:d>
        </m:oMath>
      </m:oMathPara>
    </w:p>
    <w:p w:rsidR="000B65DE" w:rsidRPr="000B65DE" w:rsidRDefault="000B65DE" w:rsidP="000B65DE">
      <w:pPr>
        <w:ind w:left="0"/>
        <w:jc w:val="both"/>
        <w:rPr>
          <w:rFonts w:ascii="Bookman Old Style" w:hAnsi="Bookman Old Style" w:cs="Arial"/>
          <w:lang w:val="es-ES_tradnl"/>
        </w:rPr>
      </w:pPr>
    </w:p>
    <w:p w:rsidR="000B65DE" w:rsidRPr="000B65DE" w:rsidRDefault="000B65DE" w:rsidP="000B65DE">
      <w:pPr>
        <w:tabs>
          <w:tab w:val="left" w:pos="426"/>
        </w:tabs>
        <w:ind w:left="0"/>
        <w:jc w:val="both"/>
        <w:rPr>
          <w:rFonts w:ascii="Bookman Old Style" w:hAnsi="Bookman Old Style" w:cs="Arial"/>
          <w:lang w:val="es-ES_tradnl"/>
        </w:rPr>
      </w:pPr>
      <w:r w:rsidRPr="000B65DE">
        <w:rPr>
          <w:rFonts w:ascii="Bookman Old Style" w:hAnsi="Bookman Old Style" w:cs="Arial"/>
          <w:lang w:val="es-ES_tradnl"/>
        </w:rPr>
        <w:t>Donde:</w:t>
      </w:r>
    </w:p>
    <w:p w:rsidR="000B65DE" w:rsidRPr="000B65DE" w:rsidRDefault="000B65DE" w:rsidP="000B65DE">
      <w:pPr>
        <w:tabs>
          <w:tab w:val="left" w:pos="426"/>
        </w:tabs>
        <w:ind w:left="0"/>
        <w:jc w:val="both"/>
        <w:rPr>
          <w:rFonts w:ascii="Bookman Old Style" w:hAnsi="Bookman Old Style" w:cs="Arial"/>
          <w:lang w:val="es-ES_tradnl"/>
        </w:rPr>
      </w:pPr>
    </w:p>
    <w:tbl>
      <w:tblPr>
        <w:tblW w:w="0" w:type="auto"/>
        <w:tblInd w:w="108" w:type="dxa"/>
        <w:tblLook w:val="04A0" w:firstRow="1" w:lastRow="0" w:firstColumn="1" w:lastColumn="0" w:noHBand="0" w:noVBand="1"/>
      </w:tblPr>
      <w:tblGrid>
        <w:gridCol w:w="2806"/>
        <w:gridCol w:w="6602"/>
      </w:tblGrid>
      <w:tr w:rsidR="000B65DE" w:rsidRPr="000B65DE" w:rsidTr="00382E27">
        <w:tc>
          <w:tcPr>
            <w:tcW w:w="2806" w:type="dxa"/>
          </w:tcPr>
          <w:p w:rsidR="000B65DE" w:rsidRPr="0092172B" w:rsidRDefault="00364E59" w:rsidP="000B65DE">
            <w:pPr>
              <w:tabs>
                <w:tab w:val="left" w:pos="426"/>
              </w:tabs>
              <w:ind w:left="0"/>
              <w:jc w:val="both"/>
              <w:rPr>
                <w:rFonts w:ascii="Bookman Old Style" w:hAnsi="Bookman Old Style" w:cs="Arial"/>
                <w:lang w:val="es-ES_tradnl"/>
              </w:rPr>
            </w:pPr>
            <m:oMathPara>
              <m:oMathParaPr>
                <m:jc m:val="left"/>
              </m:oMathParaPr>
              <m:oMath>
                <m:sSub>
                  <m:sSubPr>
                    <m:ctrlPr>
                      <w:rPr>
                        <w:rFonts w:ascii="Cambria Math" w:eastAsia="Calibri" w:hAnsi="Cambria Math" w:cs="Arial"/>
                        <w:szCs w:val="22"/>
                        <w:lang w:val="es-CO" w:eastAsia="en-US"/>
                      </w:rPr>
                    </m:ctrlPr>
                  </m:sSubPr>
                  <m:e>
                    <m:r>
                      <m:rPr>
                        <m:sty m:val="p"/>
                      </m:rPr>
                      <w:rPr>
                        <w:rFonts w:ascii="Cambria Math" w:eastAsia="Calibri" w:hAnsi="Cambria Math" w:cs="Arial"/>
                        <w:szCs w:val="22"/>
                        <w:lang w:val="es-CO" w:eastAsia="en-US"/>
                      </w:rPr>
                      <m:t>IBME</m:t>
                    </m:r>
                  </m:e>
                  <m:sub>
                    <m:r>
                      <m:rPr>
                        <m:sty m:val="p"/>
                      </m:rPr>
                      <w:rPr>
                        <w:rFonts w:ascii="Cambria Math" w:eastAsia="Calibri" w:hAnsi="Cambria Math" w:cs="Arial"/>
                        <w:szCs w:val="22"/>
                        <w:lang w:val="es-CO" w:eastAsia="en-US"/>
                      </w:rPr>
                      <m:t>RPme</m:t>
                    </m:r>
                  </m:sub>
                </m:sSub>
              </m:oMath>
            </m:oMathPara>
          </w:p>
        </w:tc>
        <w:tc>
          <w:tcPr>
            <w:tcW w:w="6602" w:type="dxa"/>
          </w:tcPr>
          <w:p w:rsidR="000B65DE" w:rsidRPr="000B65DE" w:rsidRDefault="000B65DE" w:rsidP="000B65DE">
            <w:pPr>
              <w:tabs>
                <w:tab w:val="left" w:pos="426"/>
              </w:tabs>
              <w:ind w:left="0"/>
              <w:jc w:val="both"/>
              <w:rPr>
                <w:rFonts w:ascii="Bookman Old Style" w:hAnsi="Bookman Old Style" w:cs="Arial"/>
                <w:lang w:val="es-CO" w:eastAsia="en-US"/>
              </w:rPr>
            </w:pPr>
            <w:r w:rsidRPr="000B65DE">
              <w:rPr>
                <w:rFonts w:ascii="Bookman Old Style" w:hAnsi="Bookman Old Style" w:cs="Arial"/>
                <w:lang w:val="es-CO" w:eastAsia="en-US"/>
              </w:rPr>
              <w:t>Inversión Base correspondiente a la Red Primaria de lo(s) Mercado(s) Existente(s) de Distribución que van a constituir el Mercado Relevante de Distribución para el Siguiente Período Tarifario k conformado a partir de Anexar a Mercados Existentes de Distribución</w:t>
            </w:r>
            <w:r w:rsidR="008B5F84" w:rsidRPr="000B65DE">
              <w:rPr>
                <w:rFonts w:ascii="Bookman Old Style" w:hAnsi="Bookman Old Style" w:cs="Arial"/>
                <w:lang w:val="es-CO" w:eastAsia="en-US"/>
              </w:rPr>
              <w:t xml:space="preserve"> Municipios Nuevos</w:t>
            </w:r>
            <w:r w:rsidRPr="000B65DE">
              <w:rPr>
                <w:rFonts w:ascii="Bookman Old Style" w:hAnsi="Bookman Old Style" w:cs="Arial"/>
                <w:lang w:val="es-CO" w:eastAsia="en-US"/>
              </w:rPr>
              <w:t xml:space="preserve">, expresada en pesos de la Fecha Base. Esta se determina como se indica en el numeral </w:t>
            </w:r>
            <w:r w:rsidR="00AF6018" w:rsidRPr="000B65DE">
              <w:rPr>
                <w:rFonts w:ascii="Bookman Old Style" w:hAnsi="Bookman Old Style" w:cs="Arial"/>
                <w:lang w:val="es-CO" w:eastAsia="en-US"/>
              </w:rPr>
              <w:fldChar w:fldCharType="begin"/>
            </w:r>
            <w:r w:rsidRPr="000B65DE">
              <w:rPr>
                <w:rFonts w:ascii="Bookman Old Style" w:hAnsi="Bookman Old Style" w:cs="Arial"/>
                <w:lang w:val="es-CO" w:eastAsia="en-US"/>
              </w:rPr>
              <w:instrText xml:space="preserve"> REF _Ref289353052 \r \h </w:instrText>
            </w:r>
            <w:r w:rsidR="00AF6018" w:rsidRPr="000B65DE">
              <w:rPr>
                <w:rFonts w:ascii="Bookman Old Style" w:hAnsi="Bookman Old Style" w:cs="Arial"/>
                <w:lang w:val="es-CO" w:eastAsia="en-US"/>
              </w:rPr>
            </w:r>
            <w:r w:rsidR="00AF6018" w:rsidRPr="000B65DE">
              <w:rPr>
                <w:rFonts w:ascii="Bookman Old Style" w:hAnsi="Bookman Old Style" w:cs="Arial"/>
                <w:lang w:val="es-CO" w:eastAsia="en-US"/>
              </w:rPr>
              <w:fldChar w:fldCharType="separate"/>
            </w:r>
            <w:r w:rsidR="004D5C18">
              <w:rPr>
                <w:rFonts w:ascii="Bookman Old Style" w:hAnsi="Bookman Old Style" w:cs="Arial"/>
                <w:lang w:val="es-CO" w:eastAsia="en-US"/>
              </w:rPr>
              <w:t>9.5.1</w:t>
            </w:r>
            <w:r w:rsidR="00AF6018" w:rsidRPr="000B65DE">
              <w:rPr>
                <w:rFonts w:ascii="Bookman Old Style" w:hAnsi="Bookman Old Style" w:cs="Arial"/>
                <w:lang w:val="es-CO" w:eastAsia="en-US"/>
              </w:rPr>
              <w:fldChar w:fldCharType="end"/>
            </w:r>
            <w:r w:rsidRPr="000B65DE">
              <w:rPr>
                <w:rFonts w:ascii="Bookman Old Style" w:hAnsi="Bookman Old Style" w:cs="Arial"/>
                <w:lang w:val="es-CO" w:eastAsia="en-US"/>
              </w:rPr>
              <w:t xml:space="preserve"> de esta Resolución. </w:t>
            </w:r>
          </w:p>
          <w:p w:rsidR="000B65DE" w:rsidRPr="000B65DE" w:rsidRDefault="000B65DE" w:rsidP="000B65DE">
            <w:pPr>
              <w:tabs>
                <w:tab w:val="left" w:pos="426"/>
              </w:tabs>
              <w:ind w:left="0"/>
              <w:jc w:val="both"/>
              <w:rPr>
                <w:rFonts w:ascii="Bookman Old Style" w:hAnsi="Bookman Old Style" w:cs="Arial"/>
                <w:lang w:val="es-ES_tradnl"/>
              </w:rPr>
            </w:pPr>
          </w:p>
        </w:tc>
      </w:tr>
      <w:tr w:rsidR="000B65DE" w:rsidRPr="000B65DE" w:rsidTr="00382E27">
        <w:tc>
          <w:tcPr>
            <w:tcW w:w="2806" w:type="dxa"/>
          </w:tcPr>
          <w:p w:rsidR="000B65DE" w:rsidRPr="0092172B" w:rsidRDefault="00364E59" w:rsidP="000B65DE">
            <w:pPr>
              <w:tabs>
                <w:tab w:val="left" w:pos="426"/>
              </w:tabs>
              <w:ind w:left="0"/>
              <w:jc w:val="both"/>
              <w:rPr>
                <w:szCs w:val="22"/>
                <w:lang w:val="es-CO" w:eastAsia="en-US"/>
              </w:rPr>
            </w:pPr>
            <m:oMathPara>
              <m:oMathParaPr>
                <m:jc m:val="left"/>
              </m:oMathParaPr>
              <m:oMath>
                <m:sSub>
                  <m:sSubPr>
                    <m:ctrlPr>
                      <w:rPr>
                        <w:rFonts w:ascii="Cambria Math" w:hAnsi="Cambria Math" w:cs="Arial"/>
                        <w:szCs w:val="22"/>
                        <w:lang w:val="es-ES_tradnl"/>
                      </w:rPr>
                    </m:ctrlPr>
                  </m:sSubPr>
                  <m:e>
                    <m:r>
                      <m:rPr>
                        <m:sty m:val="p"/>
                      </m:rPr>
                      <w:rPr>
                        <w:rFonts w:ascii="Cambria Math" w:hAnsi="Cambria Math" w:cs="Arial"/>
                        <w:szCs w:val="22"/>
                        <w:lang w:val="es-ES_tradnl"/>
                      </w:rPr>
                      <m:t>IBMEN</m:t>
                    </m:r>
                  </m:e>
                  <m:sub>
                    <m:r>
                      <m:rPr>
                        <m:sty m:val="p"/>
                      </m:rPr>
                      <w:rPr>
                        <w:rFonts w:ascii="Cambria Math" w:hAnsi="Cambria Math" w:cs="Arial"/>
                        <w:szCs w:val="22"/>
                        <w:lang w:val="es-ES_tradnl"/>
                      </w:rPr>
                      <m:t>RPmn</m:t>
                    </m:r>
                  </m:sub>
                </m:sSub>
              </m:oMath>
            </m:oMathPara>
          </w:p>
        </w:tc>
        <w:tc>
          <w:tcPr>
            <w:tcW w:w="6602" w:type="dxa"/>
          </w:tcPr>
          <w:p w:rsidR="000B65DE" w:rsidRPr="000B65DE" w:rsidRDefault="000B65DE" w:rsidP="008B5F84">
            <w:pPr>
              <w:tabs>
                <w:tab w:val="left" w:pos="426"/>
              </w:tabs>
              <w:ind w:left="0"/>
              <w:jc w:val="both"/>
              <w:rPr>
                <w:rFonts w:ascii="Bookman Old Style" w:hAnsi="Bookman Old Style" w:cs="Arial"/>
                <w:lang w:val="es-CO" w:eastAsia="en-US"/>
              </w:rPr>
            </w:pPr>
            <w:r w:rsidRPr="000B65DE">
              <w:rPr>
                <w:rFonts w:ascii="Bookman Old Style" w:hAnsi="Bookman Old Style" w:cs="Arial"/>
                <w:lang w:val="es-CO" w:eastAsia="en-US"/>
              </w:rPr>
              <w:t>Inversión Base correspondiente a la Red Primaria de los Municipios Nuevos que van a constituir el Mercado Relevante de Distribución para el Siguiente Período Tarifario k conformado a partir de Anexar a Mercados Existentes de Distribución</w:t>
            </w:r>
            <w:r w:rsidR="008B5F84" w:rsidRPr="000B65DE">
              <w:rPr>
                <w:rFonts w:ascii="Bookman Old Style" w:hAnsi="Bookman Old Style" w:cs="Arial"/>
                <w:lang w:val="es-CO" w:eastAsia="en-US"/>
              </w:rPr>
              <w:t xml:space="preserve"> Municipios Nuevos</w:t>
            </w:r>
            <w:r w:rsidRPr="000B65DE">
              <w:rPr>
                <w:rFonts w:ascii="Bookman Old Style" w:hAnsi="Bookman Old Style" w:cs="Arial"/>
                <w:lang w:val="es-CO" w:eastAsia="en-US"/>
              </w:rPr>
              <w:t xml:space="preserve">, expresada en pesos de la Fecha Base. Esta se determina como se indica en el numeral </w:t>
            </w:r>
            <w:r w:rsidR="008B26D0">
              <w:fldChar w:fldCharType="begin"/>
            </w:r>
            <w:r w:rsidR="008B26D0">
              <w:instrText xml:space="preserve"> REF _Ref289671910 \r \h  \* MERGEFORMAT </w:instrText>
            </w:r>
            <w:r w:rsidR="008B26D0">
              <w:fldChar w:fldCharType="separate"/>
            </w:r>
            <w:r w:rsidR="004D5C18" w:rsidRPr="004D5C18">
              <w:rPr>
                <w:rFonts w:ascii="Bookman Old Style" w:hAnsi="Bookman Old Style" w:cs="Arial"/>
                <w:lang w:val="es-CO" w:eastAsia="en-US"/>
              </w:rPr>
              <w:t>9.5.2</w:t>
            </w:r>
            <w:r w:rsidR="008B26D0">
              <w:fldChar w:fldCharType="end"/>
            </w:r>
            <w:r w:rsidRPr="000B65DE">
              <w:rPr>
                <w:rFonts w:ascii="Bookman Old Style" w:hAnsi="Bookman Old Style" w:cs="Arial"/>
                <w:lang w:val="es-CO" w:eastAsia="en-US"/>
              </w:rPr>
              <w:t xml:space="preserve"> de esta Resolución.  </w:t>
            </w:r>
          </w:p>
        </w:tc>
      </w:tr>
      <w:tr w:rsidR="000B65DE" w:rsidRPr="000B65DE" w:rsidTr="00382E27">
        <w:tc>
          <w:tcPr>
            <w:tcW w:w="2806" w:type="dxa"/>
          </w:tcPr>
          <w:p w:rsidR="000B65DE" w:rsidRPr="000B65DE" w:rsidRDefault="000B65DE" w:rsidP="000B65DE">
            <w:pPr>
              <w:tabs>
                <w:tab w:val="left" w:pos="426"/>
              </w:tabs>
              <w:ind w:left="0"/>
              <w:jc w:val="both"/>
              <w:rPr>
                <w:szCs w:val="22"/>
                <w:lang w:val="es-CO" w:eastAsia="en-US"/>
              </w:rPr>
            </w:pPr>
          </w:p>
        </w:tc>
        <w:tc>
          <w:tcPr>
            <w:tcW w:w="6602" w:type="dxa"/>
          </w:tcPr>
          <w:p w:rsidR="000B65DE" w:rsidRPr="000B65DE" w:rsidRDefault="000B65DE" w:rsidP="000B65DE">
            <w:pPr>
              <w:tabs>
                <w:tab w:val="left" w:pos="426"/>
              </w:tabs>
              <w:ind w:left="0"/>
              <w:jc w:val="both"/>
              <w:rPr>
                <w:rFonts w:ascii="Bookman Old Style" w:hAnsi="Bookman Old Style" w:cs="Arial"/>
                <w:lang w:val="es-CO" w:eastAsia="en-US"/>
              </w:rPr>
            </w:pPr>
          </w:p>
        </w:tc>
      </w:tr>
      <w:tr w:rsidR="000B65DE" w:rsidRPr="000B65DE" w:rsidTr="00382E27">
        <w:tc>
          <w:tcPr>
            <w:tcW w:w="2806" w:type="dxa"/>
          </w:tcPr>
          <w:p w:rsidR="000B65DE" w:rsidRPr="0092172B" w:rsidRDefault="00364E59" w:rsidP="000B65DE">
            <w:pPr>
              <w:tabs>
                <w:tab w:val="left" w:pos="426"/>
              </w:tabs>
              <w:ind w:left="0"/>
              <w:jc w:val="both"/>
              <w:rPr>
                <w:szCs w:val="22"/>
                <w:lang w:val="es-ES_tradnl"/>
              </w:rPr>
            </w:pPr>
            <m:oMathPara>
              <m:oMathParaPr>
                <m:jc m:val="left"/>
              </m:oMathParaPr>
              <m:oMath>
                <m:sSub>
                  <m:sSubPr>
                    <m:ctrlPr>
                      <w:rPr>
                        <w:rFonts w:ascii="Cambria Math" w:hAnsi="Cambria Math" w:cs="Arial"/>
                        <w:lang w:val="es-ES_tradnl"/>
                      </w:rPr>
                    </m:ctrlPr>
                  </m:sSubPr>
                  <m:e>
                    <m:r>
                      <m:rPr>
                        <m:sty m:val="p"/>
                      </m:rPr>
                      <w:rPr>
                        <w:rFonts w:ascii="Cambria Math" w:hAnsi="Cambria Math" w:cs="Arial"/>
                        <w:lang w:val="es-ES_tradnl"/>
                      </w:rPr>
                      <m:t>IBME</m:t>
                    </m:r>
                  </m:e>
                  <m:sub>
                    <m:r>
                      <m:rPr>
                        <m:sty m:val="p"/>
                      </m:rPr>
                      <w:rPr>
                        <w:rFonts w:ascii="Cambria Math" w:hAnsi="Cambria Math" w:cs="Arial"/>
                        <w:lang w:val="es-ES_tradnl"/>
                      </w:rPr>
                      <m:t>RS(NoRes)me</m:t>
                    </m:r>
                  </m:sub>
                </m:sSub>
              </m:oMath>
            </m:oMathPara>
          </w:p>
        </w:tc>
        <w:tc>
          <w:tcPr>
            <w:tcW w:w="6602" w:type="dxa"/>
          </w:tcPr>
          <w:p w:rsidR="000B65DE" w:rsidRPr="000B65DE" w:rsidRDefault="000B65DE" w:rsidP="000B65DE">
            <w:pPr>
              <w:tabs>
                <w:tab w:val="left" w:pos="426"/>
              </w:tabs>
              <w:ind w:left="0"/>
              <w:jc w:val="both"/>
              <w:rPr>
                <w:rFonts w:ascii="Bookman Old Style" w:hAnsi="Bookman Old Style" w:cs="Arial"/>
                <w:lang w:val="es-CO" w:eastAsia="en-US"/>
              </w:rPr>
            </w:pPr>
            <w:r w:rsidRPr="000B65DE">
              <w:rPr>
                <w:rFonts w:ascii="Bookman Old Style" w:hAnsi="Bookman Old Style" w:cs="Arial"/>
                <w:lang w:val="es-CO" w:eastAsia="en-US"/>
              </w:rPr>
              <w:t>Inversión Base correspondiente a la Red Secundaria que es utilizada por usuarios diferentes al Uso Residencial de lo</w:t>
            </w:r>
            <w:r w:rsidR="008B5F84">
              <w:rPr>
                <w:rFonts w:ascii="Bookman Old Style" w:hAnsi="Bookman Old Style" w:cs="Arial"/>
                <w:lang w:val="es-CO" w:eastAsia="en-US"/>
              </w:rPr>
              <w:t>(</w:t>
            </w:r>
            <w:r w:rsidRPr="000B65DE">
              <w:rPr>
                <w:rFonts w:ascii="Bookman Old Style" w:hAnsi="Bookman Old Style" w:cs="Arial"/>
                <w:lang w:val="es-CO" w:eastAsia="en-US"/>
              </w:rPr>
              <w:t>s</w:t>
            </w:r>
            <w:r w:rsidR="008B5F84">
              <w:rPr>
                <w:rFonts w:ascii="Bookman Old Style" w:hAnsi="Bookman Old Style" w:cs="Arial"/>
                <w:lang w:val="es-CO" w:eastAsia="en-US"/>
              </w:rPr>
              <w:t>)</w:t>
            </w:r>
            <w:r w:rsidRPr="000B65DE">
              <w:rPr>
                <w:rFonts w:ascii="Bookman Old Style" w:hAnsi="Bookman Old Style" w:cs="Arial"/>
                <w:lang w:val="es-CO" w:eastAsia="en-US"/>
              </w:rPr>
              <w:t xml:space="preserve"> Mercado(s) Existente(s) de Distribución que van a constituir el Mercado Relevante de Distribución para el Siguiente Período Tarifario k conformado a partir de Anexar a Mercados Existentes </w:t>
            </w:r>
            <w:r w:rsidR="008B5F84" w:rsidRPr="000B65DE">
              <w:rPr>
                <w:rFonts w:ascii="Bookman Old Style" w:hAnsi="Bookman Old Style" w:cs="Arial"/>
                <w:lang w:val="es-CO" w:eastAsia="en-US"/>
              </w:rPr>
              <w:t>de Distribución Municipios Nuevos</w:t>
            </w:r>
            <w:r w:rsidRPr="000B65DE">
              <w:rPr>
                <w:rFonts w:ascii="Bookman Old Style" w:hAnsi="Bookman Old Style" w:cs="Arial"/>
                <w:lang w:val="es-CO" w:eastAsia="en-US"/>
              </w:rPr>
              <w:t>, expresada en pesos de la Fecha Base. Se calcula como la relación entre la demanda Diferente a la Residencial (Q</w:t>
            </w:r>
            <w:r w:rsidRPr="000B65DE">
              <w:rPr>
                <w:rFonts w:ascii="Bookman Old Style" w:hAnsi="Bookman Old Style" w:cs="Arial"/>
                <w:vertAlign w:val="subscript"/>
                <w:lang w:val="es-CO" w:eastAsia="en-US"/>
              </w:rPr>
              <w:t>NoRes</w:t>
            </w:r>
            <w:r w:rsidRPr="000B65DE">
              <w:rPr>
                <w:rFonts w:ascii="Bookman Old Style" w:hAnsi="Bookman Old Style" w:cs="Arial"/>
                <w:lang w:val="es-CO" w:eastAsia="en-US"/>
              </w:rPr>
              <w:t>)</w:t>
            </w:r>
            <w:r w:rsidRPr="000B65DE">
              <w:rPr>
                <w:rFonts w:ascii="Bookman Old Style" w:hAnsi="Bookman Old Style" w:cs="Arial"/>
                <w:vertAlign w:val="subscript"/>
                <w:lang w:val="es-CO" w:eastAsia="en-US"/>
              </w:rPr>
              <w:t>me</w:t>
            </w:r>
            <w:r w:rsidRPr="000B65DE">
              <w:rPr>
                <w:rFonts w:ascii="Bookman Old Style" w:hAnsi="Bookman Old Style" w:cs="Arial"/>
                <w:lang w:val="es-CO" w:eastAsia="en-US"/>
              </w:rPr>
              <w:t xml:space="preserve"> sobre el total de la demanda que utiliza la red secundaria (Q</w:t>
            </w:r>
            <w:r w:rsidRPr="000B65DE">
              <w:rPr>
                <w:rFonts w:ascii="Bookman Old Style" w:hAnsi="Bookman Old Style" w:cs="Arial"/>
                <w:vertAlign w:val="subscript"/>
                <w:lang w:val="es-CO" w:eastAsia="en-US"/>
              </w:rPr>
              <w:t>NoRes</w:t>
            </w:r>
            <w:r w:rsidRPr="000B65DE">
              <w:rPr>
                <w:rFonts w:ascii="Bookman Old Style" w:hAnsi="Bookman Old Style" w:cs="Arial"/>
                <w:lang w:val="es-CO" w:eastAsia="en-US"/>
              </w:rPr>
              <w:t xml:space="preserve"> + Q</w:t>
            </w:r>
            <w:r w:rsidRPr="000B65DE">
              <w:rPr>
                <w:rFonts w:ascii="Bookman Old Style" w:hAnsi="Bookman Old Style" w:cs="Arial"/>
                <w:vertAlign w:val="subscript"/>
                <w:lang w:val="es-CO" w:eastAsia="en-US"/>
              </w:rPr>
              <w:t>Res</w:t>
            </w:r>
            <w:r w:rsidRPr="000B65DE">
              <w:rPr>
                <w:rFonts w:ascii="Bookman Old Style" w:hAnsi="Bookman Old Style" w:cs="Arial"/>
                <w:lang w:val="es-CO" w:eastAsia="en-US"/>
              </w:rPr>
              <w:t>)</w:t>
            </w:r>
            <w:r w:rsidRPr="000B65DE">
              <w:rPr>
                <w:rFonts w:ascii="Bookman Old Style" w:hAnsi="Bookman Old Style" w:cs="Arial"/>
                <w:vertAlign w:val="subscript"/>
                <w:lang w:val="es-CO" w:eastAsia="en-US"/>
              </w:rPr>
              <w:t>me</w:t>
            </w:r>
            <w:r w:rsidRPr="000B65DE">
              <w:rPr>
                <w:rFonts w:ascii="Bookman Old Style" w:hAnsi="Bookman Old Style" w:cs="Arial"/>
                <w:lang w:val="es-CO" w:eastAsia="en-US"/>
              </w:rPr>
              <w:t xml:space="preserve"> y el resultado de esta relación por el Valor de la Inversión Base de la Red Secundaria. Esta se determina como se indica en el numeral </w:t>
            </w:r>
            <w:r w:rsidR="00AF6018" w:rsidRPr="000B65DE">
              <w:rPr>
                <w:rFonts w:ascii="Bookman Old Style" w:hAnsi="Bookman Old Style" w:cs="Arial"/>
                <w:lang w:val="es-CO" w:eastAsia="en-US"/>
              </w:rPr>
              <w:fldChar w:fldCharType="begin"/>
            </w:r>
            <w:r w:rsidRPr="000B65DE">
              <w:rPr>
                <w:rFonts w:ascii="Bookman Old Style" w:hAnsi="Bookman Old Style" w:cs="Arial"/>
                <w:lang w:val="es-CO" w:eastAsia="en-US"/>
              </w:rPr>
              <w:instrText xml:space="preserve"> REF _Ref289353052 \r \h </w:instrText>
            </w:r>
            <w:r w:rsidR="00AF6018" w:rsidRPr="000B65DE">
              <w:rPr>
                <w:rFonts w:ascii="Bookman Old Style" w:hAnsi="Bookman Old Style" w:cs="Arial"/>
                <w:lang w:val="es-CO" w:eastAsia="en-US"/>
              </w:rPr>
            </w:r>
            <w:r w:rsidR="00AF6018" w:rsidRPr="000B65DE">
              <w:rPr>
                <w:rFonts w:ascii="Bookman Old Style" w:hAnsi="Bookman Old Style" w:cs="Arial"/>
                <w:lang w:val="es-CO" w:eastAsia="en-US"/>
              </w:rPr>
              <w:fldChar w:fldCharType="separate"/>
            </w:r>
            <w:r w:rsidR="004D5C18">
              <w:rPr>
                <w:rFonts w:ascii="Bookman Old Style" w:hAnsi="Bookman Old Style" w:cs="Arial"/>
                <w:lang w:val="es-CO" w:eastAsia="en-US"/>
              </w:rPr>
              <w:t>9.5.1</w:t>
            </w:r>
            <w:r w:rsidR="00AF6018" w:rsidRPr="000B65DE">
              <w:rPr>
                <w:rFonts w:ascii="Bookman Old Style" w:hAnsi="Bookman Old Style" w:cs="Arial"/>
                <w:lang w:val="es-CO" w:eastAsia="en-US"/>
              </w:rPr>
              <w:fldChar w:fldCharType="end"/>
            </w:r>
            <w:r w:rsidRPr="000B65DE">
              <w:rPr>
                <w:rFonts w:ascii="Bookman Old Style" w:hAnsi="Bookman Old Style" w:cs="Arial"/>
                <w:lang w:val="es-CO" w:eastAsia="en-US"/>
              </w:rPr>
              <w:t xml:space="preserve"> de esta Resolución.</w:t>
            </w:r>
          </w:p>
          <w:p w:rsidR="000B65DE" w:rsidRDefault="000B65DE" w:rsidP="000B65DE">
            <w:pPr>
              <w:tabs>
                <w:tab w:val="left" w:pos="426"/>
              </w:tabs>
              <w:ind w:left="0"/>
              <w:jc w:val="both"/>
              <w:rPr>
                <w:rFonts w:ascii="Bookman Old Style" w:hAnsi="Bookman Old Style" w:cs="Arial"/>
                <w:lang w:val="es-CO"/>
              </w:rPr>
            </w:pPr>
          </w:p>
          <w:p w:rsidR="00C7068E" w:rsidRPr="00C7068E" w:rsidRDefault="00C7068E" w:rsidP="000B65DE">
            <w:pPr>
              <w:tabs>
                <w:tab w:val="left" w:pos="426"/>
              </w:tabs>
              <w:ind w:left="0"/>
              <w:jc w:val="both"/>
              <w:rPr>
                <w:rFonts w:ascii="Bookman Old Style" w:hAnsi="Bookman Old Style" w:cs="Arial"/>
                <w:sz w:val="18"/>
                <w:lang w:val="es-CO"/>
              </w:rPr>
            </w:pPr>
          </w:p>
        </w:tc>
      </w:tr>
      <w:tr w:rsidR="000B65DE" w:rsidRPr="000B65DE" w:rsidTr="00382E27">
        <w:tc>
          <w:tcPr>
            <w:tcW w:w="2806" w:type="dxa"/>
          </w:tcPr>
          <w:p w:rsidR="000B65DE" w:rsidRPr="0092172B" w:rsidRDefault="00364E59" w:rsidP="000B65DE">
            <w:pPr>
              <w:tabs>
                <w:tab w:val="left" w:pos="426"/>
              </w:tabs>
              <w:ind w:left="0"/>
              <w:jc w:val="both"/>
              <w:rPr>
                <w:lang w:val="es-ES_tradnl"/>
              </w:rPr>
            </w:pPr>
            <m:oMathPara>
              <m:oMathParaPr>
                <m:jc m:val="left"/>
              </m:oMathParaPr>
              <m:oMath>
                <m:sSub>
                  <m:sSubPr>
                    <m:ctrlPr>
                      <w:rPr>
                        <w:rFonts w:ascii="Cambria Math" w:hAnsi="Cambria Math" w:cs="Arial"/>
                        <w:sz w:val="20"/>
                        <w:szCs w:val="22"/>
                        <w:lang w:val="es-ES_tradnl"/>
                      </w:rPr>
                    </m:ctrlPr>
                  </m:sSubPr>
                  <m:e>
                    <m:r>
                      <m:rPr>
                        <m:sty m:val="p"/>
                      </m:rPr>
                      <w:rPr>
                        <w:rFonts w:ascii="Cambria Math" w:hAnsi="Cambria Math" w:cs="Arial"/>
                        <w:sz w:val="20"/>
                        <w:szCs w:val="22"/>
                        <w:lang w:val="es-ES_tradnl"/>
                      </w:rPr>
                      <m:t>IBMEN</m:t>
                    </m:r>
                  </m:e>
                  <m:sub>
                    <m:r>
                      <m:rPr>
                        <m:sty m:val="p"/>
                      </m:rPr>
                      <w:rPr>
                        <w:rFonts w:ascii="Cambria Math" w:hAnsi="Cambria Math" w:cs="Arial"/>
                        <w:sz w:val="20"/>
                        <w:szCs w:val="22"/>
                        <w:lang w:val="es-ES_tradnl"/>
                      </w:rPr>
                      <m:t>RS(NoRes)mn</m:t>
                    </m:r>
                  </m:sub>
                </m:sSub>
              </m:oMath>
            </m:oMathPara>
          </w:p>
        </w:tc>
        <w:tc>
          <w:tcPr>
            <w:tcW w:w="6602" w:type="dxa"/>
          </w:tcPr>
          <w:p w:rsidR="000B65DE" w:rsidRPr="000B65DE" w:rsidRDefault="000B65DE" w:rsidP="000B65DE">
            <w:pPr>
              <w:tabs>
                <w:tab w:val="left" w:pos="426"/>
              </w:tabs>
              <w:ind w:left="0"/>
              <w:jc w:val="both"/>
              <w:rPr>
                <w:rFonts w:ascii="Bookman Old Style" w:hAnsi="Bookman Old Style" w:cs="Arial"/>
                <w:lang w:val="es-CO" w:eastAsia="en-US"/>
              </w:rPr>
            </w:pPr>
            <w:r w:rsidRPr="000B65DE">
              <w:rPr>
                <w:rFonts w:ascii="Bookman Old Style" w:hAnsi="Bookman Old Style" w:cs="Arial"/>
                <w:lang w:val="es-CO" w:eastAsia="en-US"/>
              </w:rPr>
              <w:t>Inversión Base correspondiente a la Red Secundaria que es utilizada por usuarios diferentes al Uso Residencial de lo</w:t>
            </w:r>
            <w:r w:rsidR="008B5F84">
              <w:rPr>
                <w:rFonts w:ascii="Bookman Old Style" w:hAnsi="Bookman Old Style" w:cs="Arial"/>
                <w:lang w:val="es-CO" w:eastAsia="en-US"/>
              </w:rPr>
              <w:t>(</w:t>
            </w:r>
            <w:r w:rsidRPr="000B65DE">
              <w:rPr>
                <w:rFonts w:ascii="Bookman Old Style" w:hAnsi="Bookman Old Style" w:cs="Arial"/>
                <w:lang w:val="es-CO" w:eastAsia="en-US"/>
              </w:rPr>
              <w:t>s</w:t>
            </w:r>
            <w:r w:rsidR="008B5F84">
              <w:rPr>
                <w:rFonts w:ascii="Bookman Old Style" w:hAnsi="Bookman Old Style" w:cs="Arial"/>
                <w:lang w:val="es-CO" w:eastAsia="en-US"/>
              </w:rPr>
              <w:t>)</w:t>
            </w:r>
            <w:r w:rsidRPr="000B65DE">
              <w:rPr>
                <w:rFonts w:ascii="Bookman Old Style" w:hAnsi="Bookman Old Style" w:cs="Arial"/>
                <w:lang w:val="es-CO" w:eastAsia="en-US"/>
              </w:rPr>
              <w:t xml:space="preserve"> Mercado(s) Relevante(s) </w:t>
            </w:r>
            <w:r w:rsidR="008B5F84">
              <w:rPr>
                <w:rFonts w:ascii="Bookman Old Style" w:hAnsi="Bookman Old Style" w:cs="Arial"/>
                <w:lang w:val="es-CO" w:eastAsia="en-US"/>
              </w:rPr>
              <w:t>Ex</w:t>
            </w:r>
            <w:r w:rsidRPr="000B65DE">
              <w:rPr>
                <w:rFonts w:ascii="Bookman Old Style" w:hAnsi="Bookman Old Style" w:cs="Arial"/>
                <w:lang w:val="es-CO" w:eastAsia="en-US"/>
              </w:rPr>
              <w:t>istente(s) de Distribución que van a constituir el Mercado Relevante de Distribución para el Siguiente Período Tarifario k conformado a partir de Anexar a Mercados Existentes de Distribución</w:t>
            </w:r>
            <w:r w:rsidR="008B5F84" w:rsidRPr="000B65DE">
              <w:rPr>
                <w:rFonts w:ascii="Bookman Old Style" w:hAnsi="Bookman Old Style" w:cs="Arial"/>
                <w:lang w:val="es-CO" w:eastAsia="en-US"/>
              </w:rPr>
              <w:t xml:space="preserve"> Municipios Nuevos</w:t>
            </w:r>
            <w:r w:rsidRPr="000B65DE">
              <w:rPr>
                <w:rFonts w:ascii="Bookman Old Style" w:hAnsi="Bookman Old Style" w:cs="Arial"/>
                <w:lang w:val="es-CO" w:eastAsia="en-US"/>
              </w:rPr>
              <w:t xml:space="preserve">, expresada en pesos de la Fecha Base. Se calcula como la relación entre la Proyección de demanda para Uso Diferente al Residencial y  </w:t>
            </w:r>
            <w:r w:rsidRPr="000B65DE">
              <w:rPr>
                <w:rFonts w:ascii="Bookman Old Style" w:hAnsi="Bookman Old Style" w:cs="Arial"/>
                <w:lang w:val="es-CO" w:eastAsia="en-US"/>
              </w:rPr>
              <w:lastRenderedPageBreak/>
              <w:t>(Q</w:t>
            </w:r>
            <w:r w:rsidRPr="000B65DE">
              <w:rPr>
                <w:rFonts w:ascii="Bookman Old Style" w:hAnsi="Bookman Old Style" w:cs="Arial"/>
                <w:vertAlign w:val="subscript"/>
                <w:lang w:val="es-CO" w:eastAsia="en-US"/>
              </w:rPr>
              <w:t>NoRes</w:t>
            </w:r>
            <w:r w:rsidRPr="000B65DE">
              <w:rPr>
                <w:rFonts w:ascii="Bookman Old Style" w:hAnsi="Bookman Old Style" w:cs="Arial"/>
                <w:lang w:val="es-CO" w:eastAsia="en-US"/>
              </w:rPr>
              <w:t>)</w:t>
            </w:r>
            <w:r w:rsidRPr="000B65DE">
              <w:rPr>
                <w:rFonts w:ascii="Bookman Old Style" w:hAnsi="Bookman Old Style" w:cs="Arial"/>
                <w:vertAlign w:val="subscript"/>
                <w:lang w:val="es-CO" w:eastAsia="en-US"/>
              </w:rPr>
              <w:t>mn</w:t>
            </w:r>
            <w:r w:rsidRPr="000B65DE">
              <w:rPr>
                <w:rFonts w:ascii="Bookman Old Style" w:hAnsi="Bookman Old Style" w:cs="Arial"/>
                <w:lang w:val="es-CO" w:eastAsia="en-US"/>
              </w:rPr>
              <w:t xml:space="preserve"> sobre el total de la proyección de demanda que se conectará a la red secundaria (Q</w:t>
            </w:r>
            <w:r w:rsidRPr="000B65DE">
              <w:rPr>
                <w:rFonts w:ascii="Bookman Old Style" w:hAnsi="Bookman Old Style" w:cs="Arial"/>
                <w:vertAlign w:val="subscript"/>
                <w:lang w:val="es-CO" w:eastAsia="en-US"/>
              </w:rPr>
              <w:t>NoRes</w:t>
            </w:r>
            <w:r w:rsidRPr="000B65DE">
              <w:rPr>
                <w:rFonts w:ascii="Bookman Old Style" w:hAnsi="Bookman Old Style" w:cs="Arial"/>
                <w:lang w:val="es-CO" w:eastAsia="en-US"/>
              </w:rPr>
              <w:t xml:space="preserve"> + Q</w:t>
            </w:r>
            <w:r w:rsidRPr="000B65DE">
              <w:rPr>
                <w:rFonts w:ascii="Bookman Old Style" w:hAnsi="Bookman Old Style" w:cs="Arial"/>
                <w:vertAlign w:val="subscript"/>
                <w:lang w:val="es-CO" w:eastAsia="en-US"/>
              </w:rPr>
              <w:t>Res</w:t>
            </w:r>
            <w:r w:rsidRPr="000B65DE">
              <w:rPr>
                <w:rFonts w:ascii="Bookman Old Style" w:hAnsi="Bookman Old Style" w:cs="Arial"/>
                <w:lang w:val="es-CO" w:eastAsia="en-US"/>
              </w:rPr>
              <w:t>)</w:t>
            </w:r>
            <w:r w:rsidRPr="000B65DE">
              <w:rPr>
                <w:rFonts w:ascii="Bookman Old Style" w:hAnsi="Bookman Old Style" w:cs="Arial"/>
                <w:vertAlign w:val="subscript"/>
                <w:lang w:val="es-CO" w:eastAsia="en-US"/>
              </w:rPr>
              <w:t>mn</w:t>
            </w:r>
            <w:r w:rsidRPr="000B65DE">
              <w:rPr>
                <w:rFonts w:ascii="Bookman Old Style" w:hAnsi="Bookman Old Style" w:cs="Arial"/>
                <w:lang w:val="es-CO" w:eastAsia="en-US"/>
              </w:rPr>
              <w:t xml:space="preserve"> y el resultado de esta relación por el Valor de la Inversión Base de la Red Secundaria. Esta se determina como se indica en el numeral </w:t>
            </w:r>
            <w:r w:rsidR="008B26D0">
              <w:fldChar w:fldCharType="begin"/>
            </w:r>
            <w:r w:rsidR="008B26D0">
              <w:instrText xml:space="preserve"> REF _Ref289671910 \r \h  \* MERGEFORMAT </w:instrText>
            </w:r>
            <w:r w:rsidR="008B26D0">
              <w:fldChar w:fldCharType="separate"/>
            </w:r>
            <w:r w:rsidR="004D5C18" w:rsidRPr="004D5C18">
              <w:rPr>
                <w:rFonts w:ascii="Bookman Old Style" w:hAnsi="Bookman Old Style" w:cs="Arial"/>
                <w:lang w:val="es-CO" w:eastAsia="en-US"/>
              </w:rPr>
              <w:t>9.5.2</w:t>
            </w:r>
            <w:r w:rsidR="008B26D0">
              <w:fldChar w:fldCharType="end"/>
            </w:r>
            <w:r w:rsidRPr="000B65DE">
              <w:rPr>
                <w:rFonts w:ascii="Bookman Old Style" w:hAnsi="Bookman Old Style" w:cs="Arial"/>
                <w:lang w:val="es-CO" w:eastAsia="en-US"/>
              </w:rPr>
              <w:t xml:space="preserve"> de esta Resolución.  </w:t>
            </w:r>
          </w:p>
          <w:p w:rsidR="000B65DE" w:rsidRPr="00C7068E" w:rsidRDefault="000B65DE" w:rsidP="000B65DE">
            <w:pPr>
              <w:tabs>
                <w:tab w:val="left" w:pos="426"/>
              </w:tabs>
              <w:ind w:left="0"/>
              <w:jc w:val="both"/>
              <w:rPr>
                <w:rFonts w:ascii="Bookman Old Style" w:hAnsi="Bookman Old Style" w:cs="Arial"/>
                <w:sz w:val="20"/>
                <w:lang w:val="es-CO" w:eastAsia="en-US"/>
              </w:rPr>
            </w:pPr>
          </w:p>
        </w:tc>
      </w:tr>
      <w:tr w:rsidR="000B65DE" w:rsidRPr="000B65DE" w:rsidTr="00382E27">
        <w:tc>
          <w:tcPr>
            <w:tcW w:w="2806" w:type="dxa"/>
          </w:tcPr>
          <w:p w:rsidR="000B65DE" w:rsidRPr="0092172B" w:rsidRDefault="00364E59" w:rsidP="000B65DE">
            <w:pPr>
              <w:tabs>
                <w:tab w:val="left" w:pos="426"/>
              </w:tabs>
              <w:ind w:left="0"/>
              <w:jc w:val="both"/>
              <w:rPr>
                <w:rFonts w:ascii="Bookman Old Style" w:hAnsi="Bookman Old Style" w:cs="Arial"/>
                <w:lang w:val="es-ES_tradnl"/>
              </w:rPr>
            </w:pPr>
            <m:oMathPara>
              <m:oMathParaPr>
                <m:jc m:val="left"/>
              </m:oMathParaPr>
              <m:oMath>
                <m:sSub>
                  <m:sSubPr>
                    <m:ctrlPr>
                      <w:rPr>
                        <w:rFonts w:ascii="Cambria Math" w:hAnsi="Cambria Math" w:cs="Arial"/>
                        <w:szCs w:val="22"/>
                        <w:lang w:val="es-ES_tradnl"/>
                      </w:rPr>
                    </m:ctrlPr>
                  </m:sSubPr>
                  <m:e>
                    <m:r>
                      <m:rPr>
                        <m:sty m:val="p"/>
                      </m:rPr>
                      <w:rPr>
                        <w:rFonts w:ascii="Cambria Math" w:hAnsi="Cambria Math" w:cs="Arial"/>
                        <w:szCs w:val="22"/>
                        <w:lang w:val="es-ES_tradnl"/>
                      </w:rPr>
                      <m:t>AOM</m:t>
                    </m:r>
                  </m:e>
                  <m:sub>
                    <m:r>
                      <m:rPr>
                        <m:sty m:val="p"/>
                      </m:rPr>
                      <w:rPr>
                        <w:rFonts w:ascii="Cambria Math" w:hAnsi="Cambria Math" w:cs="Arial"/>
                        <w:szCs w:val="22"/>
                        <w:lang w:val="es-ES_tradnl"/>
                      </w:rPr>
                      <m:t>RPme</m:t>
                    </m:r>
                  </m:sub>
                </m:sSub>
              </m:oMath>
            </m:oMathPara>
          </w:p>
        </w:tc>
        <w:tc>
          <w:tcPr>
            <w:tcW w:w="6602" w:type="dxa"/>
          </w:tcPr>
          <w:p w:rsidR="000B65DE" w:rsidRPr="000B65DE" w:rsidRDefault="000B65DE" w:rsidP="008B5F84">
            <w:pPr>
              <w:tabs>
                <w:tab w:val="left" w:pos="426"/>
              </w:tabs>
              <w:ind w:left="0"/>
              <w:jc w:val="both"/>
              <w:rPr>
                <w:rFonts w:ascii="Bookman Old Style" w:hAnsi="Bookman Old Style" w:cs="Arial"/>
                <w:lang w:val="es-ES_tradnl"/>
              </w:rPr>
            </w:pPr>
            <w:r w:rsidRPr="000B65DE">
              <w:rPr>
                <w:rFonts w:ascii="Bookman Old Style" w:hAnsi="Bookman Old Style" w:cs="Arial"/>
                <w:lang w:val="es-ES_tradnl"/>
              </w:rPr>
              <w:t xml:space="preserve">Gastos anuales eficientes de Administración,  Operación y Mantenimiento, </w:t>
            </w:r>
            <w:r w:rsidRPr="000B65DE">
              <w:rPr>
                <w:rFonts w:ascii="Bookman Old Style" w:hAnsi="Bookman Old Style" w:cs="Arial"/>
                <w:lang w:val="es-CO" w:eastAsia="en-US"/>
              </w:rPr>
              <w:t xml:space="preserve">de los Mercado(s) Existente(s) de Distribución que van a constituir el Mercado Relevante de Distribución </w:t>
            </w:r>
            <w:r w:rsidR="008B5F84">
              <w:rPr>
                <w:rFonts w:ascii="Bookman Old Style" w:hAnsi="Bookman Old Style" w:cs="Arial"/>
                <w:lang w:val="es-CO" w:eastAsia="en-US"/>
              </w:rPr>
              <w:t xml:space="preserve">para el Siguiente Periodo Tarifario </w:t>
            </w:r>
            <w:r w:rsidRPr="000B65DE">
              <w:rPr>
                <w:rFonts w:ascii="Bookman Old Style" w:hAnsi="Bookman Old Style" w:cs="Arial"/>
                <w:lang w:val="es-CO" w:eastAsia="en-US"/>
              </w:rPr>
              <w:t>k para el tipo de Red Primaria</w:t>
            </w:r>
            <w:r w:rsidRPr="000B65DE">
              <w:rPr>
                <w:rFonts w:ascii="Bookman Old Style" w:hAnsi="Bookman Old Style" w:cs="Arial"/>
                <w:lang w:val="es-ES_tradnl"/>
              </w:rPr>
              <w:t xml:space="preserve">, </w:t>
            </w:r>
            <w:r w:rsidR="0061312F" w:rsidRPr="000B65DE">
              <w:rPr>
                <w:rFonts w:ascii="Bookman Old Style" w:hAnsi="Bookman Old Style" w:cs="Arial"/>
                <w:lang w:val="es-CO" w:eastAsia="en-US"/>
              </w:rPr>
              <w:t>conformado a partir de Anexar a Mercados Existentes de Distribución</w:t>
            </w:r>
            <w:r w:rsidR="008B5F84" w:rsidRPr="000B65DE">
              <w:rPr>
                <w:rFonts w:ascii="Bookman Old Style" w:hAnsi="Bookman Old Style" w:cs="Arial"/>
                <w:lang w:val="es-CO" w:eastAsia="en-US"/>
              </w:rPr>
              <w:t xml:space="preserve"> Municipios Nuevos</w:t>
            </w:r>
            <w:r w:rsidR="0061312F" w:rsidRPr="000B65DE">
              <w:rPr>
                <w:rFonts w:ascii="Bookman Old Style" w:hAnsi="Bookman Old Style" w:cs="Arial"/>
                <w:lang w:val="es-CO" w:eastAsia="en-US"/>
              </w:rPr>
              <w:t>,</w:t>
            </w:r>
            <w:r w:rsidR="0061312F">
              <w:rPr>
                <w:rFonts w:ascii="Bookman Old Style" w:hAnsi="Bookman Old Style" w:cs="Arial"/>
                <w:lang w:val="es-CO" w:eastAsia="en-US"/>
              </w:rPr>
              <w:t xml:space="preserve"> </w:t>
            </w:r>
            <w:r w:rsidRPr="000B65DE">
              <w:rPr>
                <w:rFonts w:ascii="Bookman Old Style" w:hAnsi="Bookman Old Style" w:cs="Arial"/>
                <w:lang w:val="es-ES_tradnl"/>
              </w:rPr>
              <w:t>expresado en pesos de la Fecha Base. Los gastos de AOM eficientes para la Red Primaria de Distribución, se determinarán de acuerdo con el promedio de las relaciones de  kilómetros de la Red Primaria sobre los kilómetros red total del Sistema de Distribución y la Inversión Base correspondiente a la Red Primaria de Distribución sobre la Inversión Base Total del Sistema de Distribución.</w:t>
            </w:r>
          </w:p>
        </w:tc>
      </w:tr>
      <w:tr w:rsidR="000B65DE" w:rsidRPr="000B65DE" w:rsidTr="00382E27">
        <w:tc>
          <w:tcPr>
            <w:tcW w:w="2806" w:type="dxa"/>
          </w:tcPr>
          <w:p w:rsidR="000B65DE" w:rsidRPr="000B65DE" w:rsidRDefault="000B65DE" w:rsidP="000B65DE">
            <w:pPr>
              <w:tabs>
                <w:tab w:val="left" w:pos="426"/>
              </w:tabs>
              <w:ind w:left="0"/>
              <w:jc w:val="both"/>
              <w:rPr>
                <w:szCs w:val="22"/>
                <w:lang w:val="es-ES_tradnl"/>
              </w:rPr>
            </w:pPr>
          </w:p>
        </w:tc>
        <w:tc>
          <w:tcPr>
            <w:tcW w:w="6602" w:type="dxa"/>
          </w:tcPr>
          <w:p w:rsidR="000B65DE" w:rsidRPr="00C7068E" w:rsidRDefault="000B65DE" w:rsidP="000B65DE">
            <w:pPr>
              <w:ind w:left="0"/>
              <w:jc w:val="both"/>
              <w:rPr>
                <w:rFonts w:ascii="Bookman Old Style" w:hAnsi="Bookman Old Style" w:cs="Arial"/>
                <w:sz w:val="16"/>
                <w:lang w:val="es-ES_tradnl"/>
              </w:rPr>
            </w:pPr>
          </w:p>
        </w:tc>
      </w:tr>
      <w:tr w:rsidR="000B65DE" w:rsidRPr="000B65DE" w:rsidTr="00382E27">
        <w:tc>
          <w:tcPr>
            <w:tcW w:w="2806" w:type="dxa"/>
          </w:tcPr>
          <w:p w:rsidR="000B65DE" w:rsidRPr="0092172B" w:rsidRDefault="00364E59" w:rsidP="000B65DE">
            <w:pPr>
              <w:tabs>
                <w:tab w:val="left" w:pos="426"/>
              </w:tabs>
              <w:ind w:left="0"/>
              <w:jc w:val="both"/>
              <w:rPr>
                <w:rFonts w:ascii="Bookman Old Style" w:hAnsi="Bookman Old Style" w:cs="Arial"/>
                <w:szCs w:val="22"/>
                <w:lang w:val="es-ES_tradnl"/>
              </w:rPr>
            </w:pPr>
            <m:oMathPara>
              <m:oMath>
                <m:sSub>
                  <m:sSubPr>
                    <m:ctrlPr>
                      <w:rPr>
                        <w:rFonts w:ascii="Cambria Math" w:hAnsi="Cambria Math" w:cs="Arial"/>
                        <w:szCs w:val="22"/>
                        <w:lang w:val="es-ES_tradnl"/>
                      </w:rPr>
                    </m:ctrlPr>
                  </m:sSubPr>
                  <m:e>
                    <m:r>
                      <m:rPr>
                        <m:sty m:val="p"/>
                      </m:rPr>
                      <w:rPr>
                        <w:rFonts w:ascii="Cambria Math" w:hAnsi="Cambria Math" w:cs="Arial"/>
                        <w:szCs w:val="22"/>
                        <w:lang w:val="es-ES_tradnl"/>
                      </w:rPr>
                      <m:t>CAE(VP(AOM(PR)</m:t>
                    </m:r>
                  </m:e>
                  <m:sub>
                    <m:r>
                      <m:rPr>
                        <m:sty m:val="p"/>
                      </m:rPr>
                      <w:rPr>
                        <w:rFonts w:ascii="Cambria Math" w:hAnsi="Cambria Math" w:cs="Arial"/>
                        <w:szCs w:val="22"/>
                        <w:lang w:val="es-ES_tradnl"/>
                      </w:rPr>
                      <m:t>RPmn</m:t>
                    </m:r>
                  </m:sub>
                </m:sSub>
                <m:r>
                  <m:rPr>
                    <m:sty m:val="p"/>
                  </m:rPr>
                  <w:rPr>
                    <w:rFonts w:ascii="Cambria Math" w:hAnsi="Cambria Math" w:cs="Arial"/>
                    <w:szCs w:val="22"/>
                    <w:lang w:val="es-ES_tradnl"/>
                  </w:rPr>
                  <m:t>)</m:t>
                </m:r>
              </m:oMath>
            </m:oMathPara>
          </w:p>
          <w:p w:rsidR="000B65DE" w:rsidRPr="000B65DE" w:rsidRDefault="000B65DE" w:rsidP="000B65DE">
            <w:pPr>
              <w:tabs>
                <w:tab w:val="left" w:pos="426"/>
              </w:tabs>
              <w:ind w:left="0"/>
              <w:jc w:val="both"/>
              <w:rPr>
                <w:rFonts w:ascii="Bookman Old Style" w:hAnsi="Bookman Old Style" w:cs="Arial"/>
                <w:lang w:val="es-ES_tradnl"/>
              </w:rPr>
            </w:pPr>
          </w:p>
        </w:tc>
        <w:tc>
          <w:tcPr>
            <w:tcW w:w="6602" w:type="dxa"/>
          </w:tcPr>
          <w:p w:rsidR="000B65DE" w:rsidRPr="000B65DE" w:rsidRDefault="000B65DE" w:rsidP="000B65DE">
            <w:pPr>
              <w:tabs>
                <w:tab w:val="left" w:pos="426"/>
              </w:tabs>
              <w:ind w:left="0"/>
              <w:jc w:val="both"/>
              <w:rPr>
                <w:rFonts w:ascii="Bookman Old Style" w:hAnsi="Bookman Old Style" w:cs="Arial"/>
                <w:lang w:val="es-ES_tradnl" w:eastAsia="en-US"/>
              </w:rPr>
            </w:pPr>
            <w:r w:rsidRPr="000B65DE">
              <w:rPr>
                <w:rFonts w:ascii="Bookman Old Style" w:hAnsi="Bookman Old Style" w:cs="Arial"/>
                <w:lang w:val="es-ES_tradnl"/>
              </w:rPr>
              <w:t xml:space="preserve">Costo anual equivalente del valor presente de la proyección </w:t>
            </w:r>
            <w:r w:rsidR="0061312F">
              <w:rPr>
                <w:rFonts w:ascii="Bookman Old Style" w:hAnsi="Bookman Old Style" w:cs="Arial"/>
                <w:lang w:val="es-ES_tradnl"/>
              </w:rPr>
              <w:t xml:space="preserve">anual </w:t>
            </w:r>
            <w:r w:rsidRPr="000B65DE">
              <w:rPr>
                <w:rFonts w:ascii="Bookman Old Style" w:hAnsi="Bookman Old Style" w:cs="Arial"/>
                <w:lang w:val="es-ES_tradnl"/>
              </w:rPr>
              <w:t xml:space="preserve">de gastos de AOM </w:t>
            </w:r>
            <w:r w:rsidR="0061312F">
              <w:rPr>
                <w:rFonts w:ascii="Bookman Old Style" w:hAnsi="Bookman Old Style" w:cs="Arial"/>
                <w:lang w:val="es-ES_tradnl"/>
              </w:rPr>
              <w:t xml:space="preserve">para 20 años </w:t>
            </w:r>
            <w:r w:rsidRPr="000B65DE">
              <w:rPr>
                <w:rFonts w:ascii="Bookman Old Style" w:hAnsi="Bookman Old Style" w:cs="Arial"/>
                <w:lang w:val="es-ES_tradnl"/>
              </w:rPr>
              <w:t xml:space="preserve">asociados a la Red Primaria para los Municipios Nuevos que van a constituir el Mercado Relevante de Distribución para el Siguiente Período Tarifario k, </w:t>
            </w:r>
            <w:r w:rsidRPr="000B65DE">
              <w:rPr>
                <w:rFonts w:ascii="Bookman Old Style" w:hAnsi="Bookman Old Style" w:cs="Arial"/>
                <w:lang w:val="es-CO" w:eastAsia="en-US"/>
              </w:rPr>
              <w:t xml:space="preserve">conformado </w:t>
            </w:r>
            <w:r w:rsidRPr="000B65DE">
              <w:rPr>
                <w:rFonts w:ascii="Bookman Old Style" w:hAnsi="Bookman Old Style"/>
                <w:bCs/>
              </w:rPr>
              <w:t>a partir de Anexar a Mercados Existentes de Distribución Municipios Nuevos</w:t>
            </w:r>
            <w:r w:rsidRPr="000B65DE">
              <w:rPr>
                <w:rFonts w:ascii="Bookman Old Style" w:hAnsi="Bookman Old Style" w:cs="Arial"/>
                <w:lang w:val="es-CO" w:eastAsia="en-US"/>
              </w:rPr>
              <w:t>, expresada en pesos de la Fecha Base.</w:t>
            </w:r>
            <w:r w:rsidRPr="000B65DE">
              <w:rPr>
                <w:rFonts w:ascii="Bookman Old Style" w:hAnsi="Bookman Old Style" w:cs="Arial"/>
                <w:lang w:val="es-ES_tradnl"/>
              </w:rPr>
              <w:t xml:space="preserve"> Los gastos de AOM eficientes para la Red Primaria, de acuerdo con el promedio de las relaciones de  kilómetros de la Red Primaria sobre los kilómetros red totales del Sistema de Distribución y la Inversión Base correspondiente a la Red Primaria de Distribución sobre la Inversión Base Total del Sistema de Distribución.</w:t>
            </w:r>
          </w:p>
          <w:p w:rsidR="000B65DE" w:rsidRPr="00C7068E" w:rsidRDefault="000B65DE" w:rsidP="000B65DE">
            <w:pPr>
              <w:tabs>
                <w:tab w:val="left" w:pos="426"/>
              </w:tabs>
              <w:ind w:left="0"/>
              <w:jc w:val="both"/>
              <w:rPr>
                <w:rFonts w:ascii="Bookman Old Style" w:hAnsi="Bookman Old Style" w:cs="Arial"/>
                <w:sz w:val="10"/>
                <w:lang w:val="es-ES_tradnl"/>
              </w:rPr>
            </w:pPr>
          </w:p>
        </w:tc>
      </w:tr>
      <w:tr w:rsidR="003A3414" w:rsidRPr="000B65DE" w:rsidTr="00382E27">
        <w:tc>
          <w:tcPr>
            <w:tcW w:w="2806" w:type="dxa"/>
          </w:tcPr>
          <w:p w:rsidR="003A3414" w:rsidRPr="003A3414" w:rsidRDefault="00364E59" w:rsidP="000B65DE">
            <w:pPr>
              <w:tabs>
                <w:tab w:val="left" w:pos="426"/>
              </w:tabs>
              <w:ind w:left="0"/>
              <w:jc w:val="both"/>
              <w:rPr>
                <w:szCs w:val="22"/>
                <w:lang w:val="es-ES_tradnl"/>
              </w:rPr>
            </w:pPr>
            <m:oMathPara>
              <m:oMathParaPr>
                <m:jc m:val="left"/>
              </m:oMathParaPr>
              <m:oMath>
                <m:sSub>
                  <m:sSubPr>
                    <m:ctrlPr>
                      <w:rPr>
                        <w:rFonts w:ascii="Cambria Math" w:hAnsi="Cambria Math" w:cs="Arial"/>
                        <w:sz w:val="22"/>
                        <w:szCs w:val="20"/>
                        <w:lang w:val="es-ES_tradnl"/>
                      </w:rPr>
                    </m:ctrlPr>
                  </m:sSubPr>
                  <m:e>
                    <m:r>
                      <m:rPr>
                        <m:sty m:val="p"/>
                      </m:rPr>
                      <w:rPr>
                        <w:rFonts w:ascii="Cambria Math" w:hAnsi="Cambria Math" w:cs="Arial"/>
                        <w:sz w:val="22"/>
                        <w:szCs w:val="20"/>
                        <w:lang w:val="es-ES_tradnl"/>
                      </w:rPr>
                      <m:t>AOM</m:t>
                    </m:r>
                  </m:e>
                  <m:sub>
                    <m:r>
                      <m:rPr>
                        <m:sty m:val="p"/>
                      </m:rPr>
                      <w:rPr>
                        <w:rFonts w:ascii="Cambria Math" w:hAnsi="Cambria Math" w:cs="Arial"/>
                        <w:sz w:val="22"/>
                        <w:szCs w:val="20"/>
                        <w:lang w:val="es-ES_tradnl"/>
                      </w:rPr>
                      <m:t>RS(NoRes)me</m:t>
                    </m:r>
                  </m:sub>
                </m:sSub>
              </m:oMath>
            </m:oMathPara>
          </w:p>
        </w:tc>
        <w:tc>
          <w:tcPr>
            <w:tcW w:w="6602" w:type="dxa"/>
          </w:tcPr>
          <w:p w:rsidR="008B0F98" w:rsidRPr="000B65DE" w:rsidRDefault="008B0F98" w:rsidP="008B0F98">
            <w:pPr>
              <w:tabs>
                <w:tab w:val="left" w:pos="426"/>
              </w:tabs>
              <w:ind w:left="0"/>
              <w:jc w:val="both"/>
              <w:rPr>
                <w:rFonts w:ascii="Bookman Old Style" w:hAnsi="Bookman Old Style" w:cs="Arial"/>
                <w:lang w:val="es-CO" w:eastAsia="en-US"/>
              </w:rPr>
            </w:pPr>
            <w:r w:rsidRPr="000B65DE">
              <w:rPr>
                <w:rFonts w:ascii="Bookman Old Style" w:hAnsi="Bookman Old Style" w:cs="Arial"/>
                <w:lang w:val="es-ES_tradnl"/>
              </w:rPr>
              <w:t>Gastos anuales eficientes de Administración, Operación y Mantenimiento</w:t>
            </w:r>
            <w:r w:rsidRPr="000B65DE">
              <w:rPr>
                <w:rFonts w:ascii="Bookman Old Style" w:hAnsi="Bookman Old Style" w:cs="Arial"/>
                <w:lang w:val="es-CO" w:eastAsia="en-US"/>
              </w:rPr>
              <w:t xml:space="preserve"> </w:t>
            </w:r>
            <w:r>
              <w:rPr>
                <w:rFonts w:ascii="Bookman Old Style" w:hAnsi="Bookman Old Style" w:cs="Arial"/>
                <w:lang w:val="es-CO" w:eastAsia="en-US"/>
              </w:rPr>
              <w:t>correspondientes a</w:t>
            </w:r>
            <w:r w:rsidRPr="000B65DE">
              <w:rPr>
                <w:rFonts w:ascii="Bookman Old Style" w:hAnsi="Bookman Old Style" w:cs="Arial"/>
                <w:lang w:val="es-CO" w:eastAsia="en-US"/>
              </w:rPr>
              <w:t xml:space="preserve"> la Red Secundaria que es utilizada por usuarios diferentes a los de Uso Residencial </w:t>
            </w:r>
            <w:r w:rsidRPr="000B65DE">
              <w:rPr>
                <w:rFonts w:ascii="Bookman Old Style" w:hAnsi="Bookman Old Style"/>
                <w:bCs/>
              </w:rPr>
              <w:t>del Mercado Relevante de Distribución para el Siguiente Período Tarifario</w:t>
            </w:r>
            <w:r w:rsidR="0061312F">
              <w:rPr>
                <w:rFonts w:ascii="Bookman Old Style" w:hAnsi="Bookman Old Style"/>
                <w:bCs/>
              </w:rPr>
              <w:t xml:space="preserve"> k</w:t>
            </w:r>
            <w:r w:rsidRPr="000B65DE">
              <w:rPr>
                <w:rFonts w:ascii="Bookman Old Style" w:hAnsi="Bookman Old Style"/>
                <w:bCs/>
              </w:rPr>
              <w:t xml:space="preserve"> </w:t>
            </w:r>
            <w:r w:rsidRPr="000B65DE">
              <w:rPr>
                <w:rFonts w:ascii="Bookman Old Style" w:hAnsi="Bookman Old Style" w:cs="Arial"/>
                <w:lang w:val="es-CO" w:eastAsia="en-US"/>
              </w:rPr>
              <w:t xml:space="preserve">conformado a partir </w:t>
            </w:r>
            <w:r w:rsidRPr="008B0F98">
              <w:rPr>
                <w:rFonts w:ascii="Bookman Old Style" w:hAnsi="Bookman Old Style"/>
                <w:bCs/>
                <w:lang w:val="es-CO"/>
              </w:rPr>
              <w:t>d</w:t>
            </w:r>
            <w:r w:rsidRPr="008B0F98">
              <w:rPr>
                <w:rFonts w:ascii="Bookman Old Style" w:hAnsi="Bookman Old Style"/>
                <w:bCs/>
              </w:rPr>
              <w:t>e Anexar a Mercados Existentes de Distribución Municipios Nuevos</w:t>
            </w:r>
            <w:r w:rsidRPr="000B65DE">
              <w:rPr>
                <w:rFonts w:ascii="Bookman Old Style" w:hAnsi="Bookman Old Style" w:cs="Arial"/>
                <w:lang w:val="es-CO" w:eastAsia="en-US"/>
              </w:rPr>
              <w:t>, expresada en pesos de la Fecha Base. Se calcula como la relación entre  la demanda diferente a la residencial (Q</w:t>
            </w:r>
            <w:r w:rsidRPr="000B65DE">
              <w:rPr>
                <w:rFonts w:ascii="Bookman Old Style" w:hAnsi="Bookman Old Style" w:cs="Arial"/>
                <w:vertAlign w:val="subscript"/>
                <w:lang w:val="es-CO" w:eastAsia="en-US"/>
              </w:rPr>
              <w:t>NoRes</w:t>
            </w:r>
            <w:r w:rsidRPr="000B65DE">
              <w:rPr>
                <w:rFonts w:ascii="Bookman Old Style" w:hAnsi="Bookman Old Style" w:cs="Arial"/>
                <w:lang w:val="es-CO" w:eastAsia="en-US"/>
              </w:rPr>
              <w:t xml:space="preserve">) sobre </w:t>
            </w:r>
            <w:r>
              <w:rPr>
                <w:rFonts w:ascii="Bookman Old Style" w:hAnsi="Bookman Old Style" w:cs="Arial"/>
                <w:lang w:val="es-CO" w:eastAsia="en-US"/>
              </w:rPr>
              <w:t>la sumatoria</w:t>
            </w:r>
            <w:r w:rsidRPr="000B65DE">
              <w:rPr>
                <w:rFonts w:ascii="Bookman Old Style" w:hAnsi="Bookman Old Style" w:cs="Arial"/>
                <w:lang w:val="es-CO" w:eastAsia="en-US"/>
              </w:rPr>
              <w:t xml:space="preserve"> de la demanda que utiliza la red secundaria (Q</w:t>
            </w:r>
            <w:r w:rsidRPr="000B65DE">
              <w:rPr>
                <w:rFonts w:ascii="Bookman Old Style" w:hAnsi="Bookman Old Style" w:cs="Arial"/>
                <w:vertAlign w:val="subscript"/>
                <w:lang w:val="es-CO" w:eastAsia="en-US"/>
              </w:rPr>
              <w:t>NoRes</w:t>
            </w:r>
            <w:r w:rsidRPr="000B65DE">
              <w:rPr>
                <w:rFonts w:ascii="Bookman Old Style" w:hAnsi="Bookman Old Style" w:cs="Arial"/>
                <w:lang w:val="es-CO" w:eastAsia="en-US"/>
              </w:rPr>
              <w:t xml:space="preserve"> + Q</w:t>
            </w:r>
            <w:r w:rsidRPr="000B65DE">
              <w:rPr>
                <w:rFonts w:ascii="Bookman Old Style" w:hAnsi="Bookman Old Style" w:cs="Arial"/>
                <w:vertAlign w:val="subscript"/>
                <w:lang w:val="es-CO" w:eastAsia="en-US"/>
              </w:rPr>
              <w:t>Res</w:t>
            </w:r>
            <w:r w:rsidRPr="000B65DE">
              <w:rPr>
                <w:rFonts w:ascii="Bookman Old Style" w:hAnsi="Bookman Old Style" w:cs="Arial"/>
                <w:lang w:val="es-CO" w:eastAsia="en-US"/>
              </w:rPr>
              <w:t xml:space="preserve">) y el resultado de esta relación por el Valor de </w:t>
            </w:r>
            <w:r>
              <w:rPr>
                <w:rFonts w:ascii="Bookman Old Style" w:hAnsi="Bookman Old Style" w:cs="Arial"/>
                <w:lang w:val="es-CO" w:eastAsia="en-US"/>
              </w:rPr>
              <w:t xml:space="preserve">los </w:t>
            </w:r>
            <w:r w:rsidRPr="000B65DE">
              <w:rPr>
                <w:rFonts w:ascii="Bookman Old Style" w:hAnsi="Bookman Old Style" w:cs="Arial"/>
                <w:lang w:val="es-ES_tradnl"/>
              </w:rPr>
              <w:t>Gastos anuales eficientes de Administración, Operación y Mantenimiento</w:t>
            </w:r>
            <w:r>
              <w:rPr>
                <w:rFonts w:ascii="Bookman Old Style" w:hAnsi="Bookman Old Style" w:cs="Arial"/>
                <w:lang w:val="es-ES_tradnl"/>
              </w:rPr>
              <w:t xml:space="preserve"> de la</w:t>
            </w:r>
            <w:r w:rsidRPr="000B65DE">
              <w:rPr>
                <w:rFonts w:ascii="Bookman Old Style" w:hAnsi="Bookman Old Style" w:cs="Arial"/>
                <w:lang w:val="es-CO" w:eastAsia="en-US"/>
              </w:rPr>
              <w:t xml:space="preserve"> </w:t>
            </w:r>
            <w:r w:rsidRPr="000B65DE">
              <w:rPr>
                <w:rFonts w:ascii="Bookman Old Style" w:hAnsi="Bookman Old Style" w:cs="Arial"/>
                <w:lang w:val="es-CO" w:eastAsia="en-US"/>
              </w:rPr>
              <w:lastRenderedPageBreak/>
              <w:t xml:space="preserve">Red Secundaria. Esta se determina como se indica en el numeral </w:t>
            </w:r>
            <w:r>
              <w:fldChar w:fldCharType="begin"/>
            </w:r>
            <w:r>
              <w:instrText xml:space="preserve"> REF _Ref289353052 \r \h  \* MERGEFORMAT </w:instrText>
            </w:r>
            <w:r>
              <w:fldChar w:fldCharType="separate"/>
            </w:r>
            <w:r w:rsidR="004D5C18" w:rsidRPr="004D5C18">
              <w:rPr>
                <w:rFonts w:ascii="Bookman Old Style" w:hAnsi="Bookman Old Style" w:cs="Arial"/>
                <w:lang w:val="es-CO" w:eastAsia="en-US"/>
              </w:rPr>
              <w:t>9.5.1</w:t>
            </w:r>
            <w:r>
              <w:fldChar w:fldCharType="end"/>
            </w:r>
            <w:r w:rsidRPr="000B65DE">
              <w:rPr>
                <w:rFonts w:ascii="Bookman Old Style" w:hAnsi="Bookman Old Style" w:cs="Arial"/>
                <w:lang w:val="es-CO" w:eastAsia="en-US"/>
              </w:rPr>
              <w:t xml:space="preserve"> de esta Resolución.</w:t>
            </w:r>
          </w:p>
          <w:p w:rsidR="008B0F98" w:rsidRPr="007F02D4" w:rsidRDefault="008B0F98" w:rsidP="000B65DE">
            <w:pPr>
              <w:ind w:left="0"/>
              <w:jc w:val="both"/>
              <w:rPr>
                <w:rFonts w:ascii="Bookman Old Style" w:hAnsi="Bookman Old Style" w:cs="Arial"/>
                <w:lang w:val="es-CO"/>
              </w:rPr>
            </w:pPr>
          </w:p>
          <w:p w:rsidR="003A3414" w:rsidRPr="000B65DE" w:rsidRDefault="003A3414" w:rsidP="000B65DE">
            <w:pPr>
              <w:ind w:left="0"/>
              <w:jc w:val="both"/>
              <w:rPr>
                <w:rFonts w:ascii="Bookman Old Style" w:hAnsi="Bookman Old Style" w:cs="Arial"/>
                <w:lang w:val="es-ES_tradnl"/>
              </w:rPr>
            </w:pPr>
          </w:p>
        </w:tc>
      </w:tr>
      <w:tr w:rsidR="003A3414" w:rsidRPr="000B65DE" w:rsidTr="00382E27">
        <w:tc>
          <w:tcPr>
            <w:tcW w:w="2806" w:type="dxa"/>
          </w:tcPr>
          <w:p w:rsidR="003A3414" w:rsidRPr="003A3414" w:rsidRDefault="00364E59" w:rsidP="000B65DE">
            <w:pPr>
              <w:tabs>
                <w:tab w:val="left" w:pos="426"/>
              </w:tabs>
              <w:ind w:left="0"/>
              <w:jc w:val="both"/>
              <w:rPr>
                <w:szCs w:val="22"/>
                <w:lang w:val="es-ES_tradnl"/>
              </w:rPr>
            </w:pPr>
            <m:oMathPara>
              <m:oMathParaPr>
                <m:jc m:val="left"/>
              </m:oMathParaPr>
              <m:oMath>
                <m:sSub>
                  <m:sSubPr>
                    <m:ctrlPr>
                      <w:rPr>
                        <w:rFonts w:ascii="Cambria Math" w:hAnsi="Cambria Math" w:cs="Arial"/>
                        <w:sz w:val="22"/>
                        <w:szCs w:val="20"/>
                        <w:lang w:val="es-ES_tradnl"/>
                      </w:rPr>
                    </m:ctrlPr>
                  </m:sSubPr>
                  <m:e>
                    <m:r>
                      <m:rPr>
                        <m:sty m:val="p"/>
                      </m:rPr>
                      <w:rPr>
                        <w:rFonts w:ascii="Cambria Math" w:hAnsi="Cambria Math" w:cs="Arial"/>
                        <w:sz w:val="22"/>
                        <w:szCs w:val="20"/>
                        <w:lang w:val="es-ES_tradnl"/>
                      </w:rPr>
                      <m:t>CAE(VP(AOM</m:t>
                    </m:r>
                  </m:e>
                  <m:sub>
                    <m:r>
                      <m:rPr>
                        <m:sty m:val="p"/>
                      </m:rPr>
                      <w:rPr>
                        <w:rFonts w:ascii="Cambria Math" w:hAnsi="Cambria Math" w:cs="Arial"/>
                        <w:sz w:val="22"/>
                        <w:szCs w:val="20"/>
                        <w:lang w:val="es-ES_tradnl"/>
                      </w:rPr>
                      <m:t>RS(No Res)mn</m:t>
                    </m:r>
                  </m:sub>
                </m:sSub>
                <m:r>
                  <w:rPr>
                    <w:rFonts w:ascii="Cambria Math" w:hAnsi="Cambria Math" w:cs="Arial"/>
                    <w:sz w:val="22"/>
                    <w:szCs w:val="20"/>
                    <w:lang w:val="es-ES_tradnl"/>
                  </w:rPr>
                  <m:t>)</m:t>
                </m:r>
              </m:oMath>
            </m:oMathPara>
          </w:p>
        </w:tc>
        <w:tc>
          <w:tcPr>
            <w:tcW w:w="6602" w:type="dxa"/>
          </w:tcPr>
          <w:p w:rsidR="008B0F98" w:rsidRPr="000B65DE" w:rsidRDefault="008B0F98" w:rsidP="008B0F98">
            <w:pPr>
              <w:tabs>
                <w:tab w:val="left" w:pos="426"/>
              </w:tabs>
              <w:ind w:left="0"/>
              <w:jc w:val="both"/>
              <w:rPr>
                <w:rFonts w:ascii="Bookman Old Style" w:hAnsi="Bookman Old Style" w:cs="Arial"/>
                <w:lang w:val="es-CO" w:eastAsia="en-US"/>
              </w:rPr>
            </w:pPr>
            <w:r>
              <w:rPr>
                <w:rFonts w:ascii="Bookman Old Style" w:hAnsi="Bookman Old Style" w:cs="Arial"/>
                <w:lang w:val="es-ES_tradnl"/>
              </w:rPr>
              <w:t xml:space="preserve">Costo anual equivalente del valor presente de la </w:t>
            </w:r>
            <w:r w:rsidR="0061312F">
              <w:rPr>
                <w:rFonts w:ascii="Bookman Old Style" w:hAnsi="Bookman Old Style" w:cs="Arial"/>
                <w:lang w:val="es-ES_tradnl"/>
              </w:rPr>
              <w:t>proyección anual</w:t>
            </w:r>
            <w:r>
              <w:rPr>
                <w:rFonts w:ascii="Bookman Old Style" w:hAnsi="Bookman Old Style" w:cs="Arial"/>
                <w:lang w:val="es-ES_tradnl"/>
              </w:rPr>
              <w:t xml:space="preserve"> de g</w:t>
            </w:r>
            <w:r w:rsidRPr="000B65DE">
              <w:rPr>
                <w:rFonts w:ascii="Bookman Old Style" w:hAnsi="Bookman Old Style" w:cs="Arial"/>
                <w:lang w:val="es-ES_tradnl"/>
              </w:rPr>
              <w:t>astos</w:t>
            </w:r>
            <w:r>
              <w:rPr>
                <w:rFonts w:ascii="Bookman Old Style" w:hAnsi="Bookman Old Style" w:cs="Arial"/>
                <w:lang w:val="es-ES_tradnl"/>
              </w:rPr>
              <w:t xml:space="preserve"> de AOM </w:t>
            </w:r>
            <w:r w:rsidR="0061312F">
              <w:rPr>
                <w:rFonts w:ascii="Bookman Old Style" w:hAnsi="Bookman Old Style" w:cs="Arial"/>
                <w:lang w:val="es-ES_tradnl"/>
              </w:rPr>
              <w:t xml:space="preserve">para 20 años </w:t>
            </w:r>
            <w:r>
              <w:rPr>
                <w:rFonts w:ascii="Bookman Old Style" w:hAnsi="Bookman Old Style" w:cs="Arial"/>
                <w:lang w:val="es-ES_tradnl"/>
              </w:rPr>
              <w:t>asociados</w:t>
            </w:r>
            <w:r>
              <w:rPr>
                <w:rFonts w:ascii="Bookman Old Style" w:hAnsi="Bookman Old Style" w:cs="Arial"/>
                <w:lang w:val="es-CO" w:eastAsia="en-US"/>
              </w:rPr>
              <w:t xml:space="preserve"> a</w:t>
            </w:r>
            <w:r w:rsidRPr="000B65DE">
              <w:rPr>
                <w:rFonts w:ascii="Bookman Old Style" w:hAnsi="Bookman Old Style" w:cs="Arial"/>
                <w:lang w:val="es-CO" w:eastAsia="en-US"/>
              </w:rPr>
              <w:t xml:space="preserve"> la Red Secundaria que es utilizada por usuarios diferentes a los de Uso Residencial </w:t>
            </w:r>
            <w:r>
              <w:rPr>
                <w:rFonts w:ascii="Bookman Old Style" w:hAnsi="Bookman Old Style" w:cs="Arial"/>
                <w:lang w:val="es-CO" w:eastAsia="en-US"/>
              </w:rPr>
              <w:t>para los municipios nuevos que van a constituir el Mercado Relevante de Distribución para el siguiente periodo tarifario k</w:t>
            </w:r>
            <w:r w:rsidRPr="000B65DE">
              <w:rPr>
                <w:rFonts w:ascii="Bookman Old Style" w:hAnsi="Bookman Old Style" w:cs="Arial"/>
                <w:lang w:val="es-CO" w:eastAsia="en-US"/>
              </w:rPr>
              <w:t xml:space="preserve">, </w:t>
            </w:r>
            <w:r w:rsidR="0061312F" w:rsidRPr="000B65DE">
              <w:rPr>
                <w:rFonts w:ascii="Bookman Old Style" w:hAnsi="Bookman Old Style" w:cs="Arial"/>
                <w:lang w:val="es-CO" w:eastAsia="en-US"/>
              </w:rPr>
              <w:t>conformado a partir de Anexar Municipios Nuevos a Mercados Existentes de Distribución</w:t>
            </w:r>
            <w:r w:rsidR="0061312F">
              <w:rPr>
                <w:rFonts w:ascii="Bookman Old Style" w:hAnsi="Bookman Old Style" w:cs="Arial"/>
                <w:lang w:val="es-CO" w:eastAsia="en-US"/>
              </w:rPr>
              <w:t xml:space="preserve">, </w:t>
            </w:r>
            <w:r w:rsidRPr="000B65DE">
              <w:rPr>
                <w:rFonts w:ascii="Bookman Old Style" w:hAnsi="Bookman Old Style" w:cs="Arial"/>
                <w:lang w:val="es-CO" w:eastAsia="en-US"/>
              </w:rPr>
              <w:t>expresad</w:t>
            </w:r>
            <w:r w:rsidR="0061312F">
              <w:rPr>
                <w:rFonts w:ascii="Bookman Old Style" w:hAnsi="Bookman Old Style" w:cs="Arial"/>
                <w:lang w:val="es-CO" w:eastAsia="en-US"/>
              </w:rPr>
              <w:t>o</w:t>
            </w:r>
            <w:r w:rsidRPr="000B65DE">
              <w:rPr>
                <w:rFonts w:ascii="Bookman Old Style" w:hAnsi="Bookman Old Style" w:cs="Arial"/>
                <w:lang w:val="es-CO" w:eastAsia="en-US"/>
              </w:rPr>
              <w:t xml:space="preserve"> en pesos de la Fecha Base. Se calcula como la relación entre  la demanda diferente a la residencial (Q</w:t>
            </w:r>
            <w:r w:rsidRPr="000B65DE">
              <w:rPr>
                <w:rFonts w:ascii="Bookman Old Style" w:hAnsi="Bookman Old Style" w:cs="Arial"/>
                <w:vertAlign w:val="subscript"/>
                <w:lang w:val="es-CO" w:eastAsia="en-US"/>
              </w:rPr>
              <w:t>NoRes</w:t>
            </w:r>
            <w:r w:rsidRPr="000B65DE">
              <w:rPr>
                <w:rFonts w:ascii="Bookman Old Style" w:hAnsi="Bookman Old Style" w:cs="Arial"/>
                <w:lang w:val="es-CO" w:eastAsia="en-US"/>
              </w:rPr>
              <w:t xml:space="preserve">) sobre </w:t>
            </w:r>
            <w:r>
              <w:rPr>
                <w:rFonts w:ascii="Bookman Old Style" w:hAnsi="Bookman Old Style" w:cs="Arial"/>
                <w:lang w:val="es-CO" w:eastAsia="en-US"/>
              </w:rPr>
              <w:t>la sumatoria</w:t>
            </w:r>
            <w:r w:rsidRPr="000B65DE">
              <w:rPr>
                <w:rFonts w:ascii="Bookman Old Style" w:hAnsi="Bookman Old Style" w:cs="Arial"/>
                <w:lang w:val="es-CO" w:eastAsia="en-US"/>
              </w:rPr>
              <w:t xml:space="preserve"> de la demanda que utiliza la red secundaria (Q</w:t>
            </w:r>
            <w:r w:rsidRPr="000B65DE">
              <w:rPr>
                <w:rFonts w:ascii="Bookman Old Style" w:hAnsi="Bookman Old Style" w:cs="Arial"/>
                <w:vertAlign w:val="subscript"/>
                <w:lang w:val="es-CO" w:eastAsia="en-US"/>
              </w:rPr>
              <w:t>NoRes</w:t>
            </w:r>
            <w:r w:rsidRPr="000B65DE">
              <w:rPr>
                <w:rFonts w:ascii="Bookman Old Style" w:hAnsi="Bookman Old Style" w:cs="Arial"/>
                <w:lang w:val="es-CO" w:eastAsia="en-US"/>
              </w:rPr>
              <w:t xml:space="preserve"> + Q</w:t>
            </w:r>
            <w:r w:rsidRPr="000B65DE">
              <w:rPr>
                <w:rFonts w:ascii="Bookman Old Style" w:hAnsi="Bookman Old Style" w:cs="Arial"/>
                <w:vertAlign w:val="subscript"/>
                <w:lang w:val="es-CO" w:eastAsia="en-US"/>
              </w:rPr>
              <w:t>Res</w:t>
            </w:r>
            <w:r w:rsidRPr="000B65DE">
              <w:rPr>
                <w:rFonts w:ascii="Bookman Old Style" w:hAnsi="Bookman Old Style" w:cs="Arial"/>
                <w:lang w:val="es-CO" w:eastAsia="en-US"/>
              </w:rPr>
              <w:t xml:space="preserve">) y el resultado de esta relación por el Valor de </w:t>
            </w:r>
            <w:r>
              <w:rPr>
                <w:rFonts w:ascii="Bookman Old Style" w:hAnsi="Bookman Old Style" w:cs="Arial"/>
                <w:lang w:val="es-CO" w:eastAsia="en-US"/>
              </w:rPr>
              <w:t xml:space="preserve">los </w:t>
            </w:r>
            <w:r w:rsidRPr="000B65DE">
              <w:rPr>
                <w:rFonts w:ascii="Bookman Old Style" w:hAnsi="Bookman Old Style" w:cs="Arial"/>
                <w:lang w:val="es-ES_tradnl"/>
              </w:rPr>
              <w:t>Gastos anuales eficientes de Administración, Operación y Mantenimiento</w:t>
            </w:r>
            <w:r>
              <w:rPr>
                <w:rFonts w:ascii="Bookman Old Style" w:hAnsi="Bookman Old Style" w:cs="Arial"/>
                <w:lang w:val="es-ES_tradnl"/>
              </w:rPr>
              <w:t xml:space="preserve"> de la</w:t>
            </w:r>
            <w:r w:rsidRPr="000B65DE">
              <w:rPr>
                <w:rFonts w:ascii="Bookman Old Style" w:hAnsi="Bookman Old Style" w:cs="Arial"/>
                <w:lang w:val="es-CO" w:eastAsia="en-US"/>
              </w:rPr>
              <w:t xml:space="preserve"> Red Secundaria. Esta se determina como se indica en el numeral </w:t>
            </w:r>
            <w:r>
              <w:fldChar w:fldCharType="begin"/>
            </w:r>
            <w:r>
              <w:instrText xml:space="preserve"> REF _Ref289353052 \r \h  \* MERGEFORMAT </w:instrText>
            </w:r>
            <w:r>
              <w:fldChar w:fldCharType="separate"/>
            </w:r>
            <w:r w:rsidR="004D5C18" w:rsidRPr="004D5C18">
              <w:rPr>
                <w:rFonts w:ascii="Bookman Old Style" w:hAnsi="Bookman Old Style" w:cs="Arial"/>
                <w:lang w:val="es-CO" w:eastAsia="en-US"/>
              </w:rPr>
              <w:t>9.5.1</w:t>
            </w:r>
            <w:r>
              <w:fldChar w:fldCharType="end"/>
            </w:r>
            <w:r w:rsidRPr="000B65DE">
              <w:rPr>
                <w:rFonts w:ascii="Bookman Old Style" w:hAnsi="Bookman Old Style" w:cs="Arial"/>
                <w:lang w:val="es-CO" w:eastAsia="en-US"/>
              </w:rPr>
              <w:t xml:space="preserve"> de esta Resolución.</w:t>
            </w:r>
          </w:p>
          <w:p w:rsidR="003A3414" w:rsidRPr="00A179EE" w:rsidRDefault="003A3414" w:rsidP="000B65DE">
            <w:pPr>
              <w:ind w:left="0"/>
              <w:jc w:val="both"/>
              <w:rPr>
                <w:rFonts w:ascii="Bookman Old Style" w:hAnsi="Bookman Old Style" w:cs="Arial"/>
                <w:lang w:val="es-CO"/>
              </w:rPr>
            </w:pPr>
          </w:p>
        </w:tc>
      </w:tr>
      <w:tr w:rsidR="000B65DE" w:rsidRPr="000B65DE" w:rsidTr="00382E27">
        <w:tc>
          <w:tcPr>
            <w:tcW w:w="2806" w:type="dxa"/>
          </w:tcPr>
          <w:p w:rsidR="000B65DE" w:rsidRPr="0092172B" w:rsidRDefault="00364E59" w:rsidP="000B65DE">
            <w:pPr>
              <w:tabs>
                <w:tab w:val="left" w:pos="426"/>
              </w:tabs>
              <w:ind w:left="0"/>
              <w:jc w:val="both"/>
              <w:rPr>
                <w:szCs w:val="22"/>
                <w:lang w:val="es-ES_tradnl"/>
              </w:rPr>
            </w:pPr>
            <m:oMathPara>
              <m:oMathParaPr>
                <m:jc m:val="left"/>
              </m:oMathParaPr>
              <m:oMath>
                <m:sSub>
                  <m:sSubPr>
                    <m:ctrlPr>
                      <w:rPr>
                        <w:rFonts w:ascii="Cambria Math" w:hAnsi="Cambria Math" w:cs="Arial"/>
                        <w:szCs w:val="22"/>
                        <w:lang w:val="es-ES_tradnl"/>
                      </w:rPr>
                    </m:ctrlPr>
                  </m:sSubPr>
                  <m:e>
                    <m:r>
                      <m:rPr>
                        <m:sty m:val="p"/>
                      </m:rPr>
                      <w:rPr>
                        <w:rFonts w:ascii="Cambria Math" w:hAnsi="Cambria Math" w:cs="Arial"/>
                        <w:szCs w:val="22"/>
                        <w:lang w:val="es-ES_tradnl"/>
                      </w:rPr>
                      <m:t>Q</m:t>
                    </m:r>
                  </m:e>
                  <m:sub>
                    <m:r>
                      <m:rPr>
                        <m:sty m:val="p"/>
                      </m:rPr>
                      <w:rPr>
                        <w:rFonts w:ascii="Cambria Math" w:hAnsi="Cambria Math" w:cs="Arial"/>
                        <w:szCs w:val="22"/>
                        <w:lang w:val="es-ES_tradnl"/>
                      </w:rPr>
                      <m:t>Tme</m:t>
                    </m:r>
                  </m:sub>
                </m:sSub>
              </m:oMath>
            </m:oMathPara>
          </w:p>
        </w:tc>
        <w:tc>
          <w:tcPr>
            <w:tcW w:w="6602" w:type="dxa"/>
          </w:tcPr>
          <w:p w:rsidR="000B65DE" w:rsidRPr="000B65DE" w:rsidRDefault="000B65DE" w:rsidP="00A179EE">
            <w:pPr>
              <w:ind w:left="0"/>
              <w:jc w:val="both"/>
              <w:rPr>
                <w:rFonts w:ascii="Bookman Old Style" w:hAnsi="Bookman Old Style" w:cs="Arial"/>
                <w:lang w:val="es-ES_tradnl"/>
              </w:rPr>
            </w:pPr>
            <w:r w:rsidRPr="000B65DE">
              <w:rPr>
                <w:rFonts w:ascii="Bookman Old Style" w:hAnsi="Bookman Old Style" w:cs="Arial"/>
                <w:lang w:val="es-ES_tradnl"/>
              </w:rPr>
              <w:t xml:space="preserve">Demanda </w:t>
            </w:r>
            <w:r w:rsidR="0061312F">
              <w:rPr>
                <w:rFonts w:ascii="Bookman Old Style" w:hAnsi="Bookman Old Style" w:cs="Arial"/>
                <w:lang w:val="es-ES_tradnl"/>
              </w:rPr>
              <w:t>t</w:t>
            </w:r>
            <w:r w:rsidR="0061312F" w:rsidRPr="000B65DE">
              <w:rPr>
                <w:rFonts w:ascii="Bookman Old Style" w:hAnsi="Bookman Old Style" w:cs="Arial"/>
                <w:lang w:val="es-ES_tradnl"/>
              </w:rPr>
              <w:t xml:space="preserve">otal </w:t>
            </w:r>
            <w:r w:rsidRPr="000B65DE">
              <w:rPr>
                <w:rFonts w:ascii="Bookman Old Style" w:hAnsi="Bookman Old Style" w:cs="Arial"/>
                <w:lang w:val="es-ES_tradnl"/>
              </w:rPr>
              <w:t xml:space="preserve">real </w:t>
            </w:r>
            <w:r w:rsidR="0061312F">
              <w:rPr>
                <w:rFonts w:ascii="Bookman Old Style" w:hAnsi="Bookman Old Style" w:cs="Arial"/>
                <w:lang w:val="es-ES_tradnl"/>
              </w:rPr>
              <w:t xml:space="preserve">anual </w:t>
            </w:r>
            <w:r w:rsidRPr="000B65DE">
              <w:rPr>
                <w:rFonts w:ascii="Bookman Old Style" w:hAnsi="Bookman Old Style" w:cs="Arial"/>
                <w:lang w:val="es-ES_tradnl"/>
              </w:rPr>
              <w:t xml:space="preserve">de los Mercados Existentes de Distribución </w:t>
            </w:r>
            <w:r w:rsidRPr="000B65DE">
              <w:rPr>
                <w:rFonts w:ascii="Bookman Old Style" w:hAnsi="Bookman Old Style" w:cs="Arial"/>
                <w:lang w:val="es-CO" w:eastAsia="en-US"/>
              </w:rPr>
              <w:t xml:space="preserve">que van a conformar el Mercado Relevante de Distribución para el Siguiente Período Tarifario k, </w:t>
            </w:r>
            <w:r w:rsidR="0061312F" w:rsidRPr="000B65DE">
              <w:rPr>
                <w:rFonts w:ascii="Bookman Old Style" w:hAnsi="Bookman Old Style" w:cs="Arial"/>
                <w:lang w:val="es-CO" w:eastAsia="en-US"/>
              </w:rPr>
              <w:t>conformado a partir de Anexar Municipios Nuevos a Mercados Existentes de Distribución</w:t>
            </w:r>
            <w:r w:rsidR="0061312F" w:rsidRPr="000B65DE">
              <w:rPr>
                <w:rFonts w:ascii="Bookman Old Style" w:hAnsi="Bookman Old Style" w:cs="Arial"/>
                <w:lang w:val="es-ES_tradnl"/>
              </w:rPr>
              <w:t xml:space="preserve"> </w:t>
            </w:r>
            <w:r w:rsidRPr="000B65DE">
              <w:rPr>
                <w:rFonts w:ascii="Bookman Old Style" w:hAnsi="Bookman Old Style" w:cs="Arial"/>
                <w:lang w:val="es-ES_tradnl"/>
              </w:rPr>
              <w:t>obtenida a la Fecha de Corte, expresada en metros cúbicos (m</w:t>
            </w:r>
            <w:r w:rsidRPr="000B65DE">
              <w:rPr>
                <w:rFonts w:ascii="Bookman Old Style" w:hAnsi="Bookman Old Style" w:cs="Arial"/>
                <w:vertAlign w:val="superscript"/>
                <w:lang w:val="es-ES_tradnl"/>
              </w:rPr>
              <w:t>3</w:t>
            </w:r>
            <w:r w:rsidRPr="000B65DE">
              <w:rPr>
                <w:rFonts w:ascii="Bookman Old Style" w:hAnsi="Bookman Old Style" w:cs="Arial"/>
                <w:lang w:val="es-ES_tradnl"/>
              </w:rPr>
              <w:t xml:space="preserve">). </w:t>
            </w:r>
          </w:p>
        </w:tc>
      </w:tr>
      <w:tr w:rsidR="000B65DE" w:rsidRPr="000B65DE" w:rsidTr="00382E27">
        <w:tc>
          <w:tcPr>
            <w:tcW w:w="2806" w:type="dxa"/>
          </w:tcPr>
          <w:p w:rsidR="000B65DE" w:rsidRPr="000B65DE" w:rsidRDefault="000B65DE" w:rsidP="000B65DE">
            <w:pPr>
              <w:tabs>
                <w:tab w:val="left" w:pos="426"/>
              </w:tabs>
              <w:ind w:left="0"/>
              <w:jc w:val="both"/>
              <w:rPr>
                <w:szCs w:val="22"/>
                <w:lang w:val="es-ES_tradnl"/>
              </w:rPr>
            </w:pPr>
          </w:p>
        </w:tc>
        <w:tc>
          <w:tcPr>
            <w:tcW w:w="6602" w:type="dxa"/>
          </w:tcPr>
          <w:p w:rsidR="000B65DE" w:rsidRPr="000B65DE" w:rsidRDefault="000B65DE" w:rsidP="000B65DE">
            <w:pPr>
              <w:ind w:left="0"/>
              <w:jc w:val="both"/>
              <w:rPr>
                <w:rFonts w:ascii="Bookman Old Style" w:hAnsi="Bookman Old Style" w:cs="Arial"/>
                <w:lang w:val="es-ES_tradnl"/>
              </w:rPr>
            </w:pPr>
          </w:p>
        </w:tc>
      </w:tr>
      <w:tr w:rsidR="000B65DE" w:rsidRPr="000B65DE" w:rsidTr="00382E27">
        <w:tc>
          <w:tcPr>
            <w:tcW w:w="2806" w:type="dxa"/>
          </w:tcPr>
          <w:p w:rsidR="000B65DE" w:rsidRPr="0092172B" w:rsidRDefault="0092172B" w:rsidP="000B65DE">
            <w:pPr>
              <w:tabs>
                <w:tab w:val="left" w:pos="426"/>
              </w:tabs>
              <w:ind w:left="0"/>
              <w:jc w:val="both"/>
              <w:rPr>
                <w:rFonts w:ascii="Calibri" w:eastAsia="Calibri" w:hAnsi="Calibri"/>
                <w:sz w:val="16"/>
                <w:lang w:val="es-ES_tradnl"/>
              </w:rPr>
            </w:pPr>
            <m:oMathPara>
              <m:oMathParaPr>
                <m:jc m:val="left"/>
              </m:oMathParaPr>
              <m:oMath>
                <m:r>
                  <m:rPr>
                    <m:sty m:val="p"/>
                  </m:rPr>
                  <w:rPr>
                    <w:rFonts w:ascii="Cambria Math" w:hAnsi="Cambria Math" w:cs="Arial"/>
                    <w:sz w:val="22"/>
                    <w:szCs w:val="22"/>
                    <w:lang w:val="es-ES_tradnl"/>
                  </w:rPr>
                  <m:t>VAE (VP</m:t>
                </m:r>
                <m:d>
                  <m:dPr>
                    <m:ctrlPr>
                      <w:rPr>
                        <w:rFonts w:ascii="Cambria Math" w:hAnsi="Cambria Math" w:cs="Arial"/>
                        <w:sz w:val="22"/>
                        <w:szCs w:val="22"/>
                        <w:lang w:val="es-ES_tradnl"/>
                      </w:rPr>
                    </m:ctrlPr>
                  </m:dPr>
                  <m:e>
                    <m:sSub>
                      <m:sSubPr>
                        <m:ctrlPr>
                          <w:rPr>
                            <w:rFonts w:ascii="Cambria Math" w:hAnsi="Cambria Math" w:cs="Arial"/>
                            <w:sz w:val="22"/>
                            <w:szCs w:val="22"/>
                            <w:lang w:val="es-ES_tradnl"/>
                          </w:rPr>
                        </m:ctrlPr>
                      </m:sSubPr>
                      <m:e>
                        <m:r>
                          <m:rPr>
                            <m:sty m:val="p"/>
                          </m:rPr>
                          <w:rPr>
                            <w:rFonts w:ascii="Cambria Math" w:hAnsi="Cambria Math" w:cs="Arial"/>
                            <w:sz w:val="22"/>
                            <w:szCs w:val="22"/>
                            <w:lang w:val="es-ES_tradnl"/>
                          </w:rPr>
                          <m:t>Q(PR)</m:t>
                        </m:r>
                      </m:e>
                      <m:sub>
                        <m:r>
                          <m:rPr>
                            <m:sty m:val="p"/>
                          </m:rPr>
                          <w:rPr>
                            <w:rFonts w:ascii="Cambria Math" w:hAnsi="Cambria Math" w:cs="Arial"/>
                            <w:sz w:val="22"/>
                            <w:szCs w:val="22"/>
                            <w:lang w:val="es-ES_tradnl"/>
                          </w:rPr>
                          <m:t>Resmn</m:t>
                        </m:r>
                      </m:sub>
                    </m:sSub>
                  </m:e>
                </m:d>
                <m:r>
                  <m:rPr>
                    <m:sty m:val="p"/>
                  </m:rPr>
                  <w:rPr>
                    <w:rFonts w:ascii="Cambria Math" w:hAnsi="Cambria Math" w:cs="Arial"/>
                    <w:sz w:val="22"/>
                    <w:szCs w:val="22"/>
                    <w:lang w:val="es-ES_tradnl"/>
                  </w:rPr>
                  <m:t>)</m:t>
                </m:r>
              </m:oMath>
            </m:oMathPara>
          </w:p>
        </w:tc>
        <w:tc>
          <w:tcPr>
            <w:tcW w:w="6602" w:type="dxa"/>
          </w:tcPr>
          <w:p w:rsidR="000B65DE" w:rsidRPr="000B65DE" w:rsidRDefault="000B65DE" w:rsidP="0061312F">
            <w:pPr>
              <w:tabs>
                <w:tab w:val="left" w:pos="426"/>
              </w:tabs>
              <w:ind w:left="0"/>
              <w:jc w:val="both"/>
              <w:rPr>
                <w:rFonts w:ascii="Bookman Old Style" w:hAnsi="Bookman Old Style" w:cs="Arial"/>
                <w:lang w:val="es-ES_tradnl"/>
              </w:rPr>
            </w:pPr>
            <w:r w:rsidRPr="000B65DE">
              <w:rPr>
                <w:rFonts w:ascii="Bookman Old Style" w:hAnsi="Bookman Old Style" w:cs="Arial"/>
                <w:lang w:val="es-ES_tradnl"/>
              </w:rPr>
              <w:t xml:space="preserve">Valor anual equivalente del valor presente de la proyección de demanda de la sumatoria de la Demanda de los Usuarios de Uso Residencial </w:t>
            </w:r>
            <w:r w:rsidRPr="000B65DE">
              <w:rPr>
                <w:rFonts w:ascii="Bookman Old Style" w:hAnsi="Bookman Old Style" w:cs="Arial"/>
                <w:lang w:val="es-CO" w:eastAsia="en-US"/>
              </w:rPr>
              <w:t xml:space="preserve">de los Municipios Nuevos  que van a constituir </w:t>
            </w:r>
            <w:r w:rsidRPr="006C3460">
              <w:rPr>
                <w:rFonts w:ascii="Bookman Old Style" w:hAnsi="Bookman Old Style" w:cs="Arial"/>
                <w:lang w:val="es-CO" w:eastAsia="en-US"/>
              </w:rPr>
              <w:t>el</w:t>
            </w:r>
            <w:r w:rsidRPr="000B65DE">
              <w:rPr>
                <w:rFonts w:ascii="Bookman Old Style" w:hAnsi="Bookman Old Style" w:cs="Arial"/>
                <w:lang w:val="es-CO" w:eastAsia="en-US"/>
              </w:rPr>
              <w:t xml:space="preserve">  </w:t>
            </w:r>
            <w:r w:rsidRPr="000B65DE">
              <w:rPr>
                <w:rFonts w:ascii="Bookman Old Style" w:hAnsi="Bookman Old Style"/>
                <w:bCs/>
              </w:rPr>
              <w:t>Mercado Relevante de Distribución para el Siguiente Período Tarifario</w:t>
            </w:r>
            <w:r w:rsidRPr="000B65DE">
              <w:rPr>
                <w:rFonts w:ascii="Bookman Old Style" w:hAnsi="Bookman Old Style" w:cs="Arial"/>
                <w:lang w:val="es-CO" w:eastAsia="en-US"/>
              </w:rPr>
              <w:t xml:space="preserve"> k conformado </w:t>
            </w:r>
            <w:r w:rsidRPr="000B65DE">
              <w:rPr>
                <w:rFonts w:ascii="Bookman Old Style" w:hAnsi="Bookman Old Style"/>
                <w:bCs/>
              </w:rPr>
              <w:t xml:space="preserve">a partir de Anexar </w:t>
            </w:r>
            <w:r w:rsidR="0061312F" w:rsidRPr="000B65DE">
              <w:rPr>
                <w:rFonts w:ascii="Bookman Old Style" w:hAnsi="Bookman Old Style"/>
                <w:bCs/>
              </w:rPr>
              <w:t xml:space="preserve">Municipios Nuevos </w:t>
            </w:r>
            <w:r w:rsidRPr="000B65DE">
              <w:rPr>
                <w:rFonts w:ascii="Bookman Old Style" w:hAnsi="Bookman Old Style"/>
                <w:bCs/>
              </w:rPr>
              <w:t>a Mercados Existentes de Distribución</w:t>
            </w:r>
            <w:r w:rsidRPr="000B65DE">
              <w:rPr>
                <w:rFonts w:ascii="Bookman Old Style" w:hAnsi="Bookman Old Style" w:cs="Arial"/>
                <w:lang w:val="es-ES_tradnl"/>
              </w:rPr>
              <w:t>, expresada en metros cúbicos (m</w:t>
            </w:r>
            <w:r w:rsidRPr="000B65DE">
              <w:rPr>
                <w:rFonts w:ascii="Bookman Old Style" w:hAnsi="Bookman Old Style" w:cs="Arial"/>
                <w:vertAlign w:val="superscript"/>
                <w:lang w:val="es-ES_tradnl"/>
              </w:rPr>
              <w:t>3</w:t>
            </w:r>
            <w:r w:rsidRPr="000B65DE">
              <w:rPr>
                <w:rFonts w:ascii="Bookman Old Style" w:hAnsi="Bookman Old Style" w:cs="Arial"/>
                <w:lang w:val="es-ES_tradnl"/>
              </w:rPr>
              <w:t xml:space="preserve">). </w:t>
            </w:r>
          </w:p>
        </w:tc>
      </w:tr>
    </w:tbl>
    <w:p w:rsidR="000B65DE" w:rsidRPr="000B65DE" w:rsidRDefault="000B65DE" w:rsidP="000B65DE">
      <w:pPr>
        <w:tabs>
          <w:tab w:val="left" w:pos="426"/>
        </w:tabs>
        <w:ind w:left="708"/>
        <w:jc w:val="both"/>
        <w:rPr>
          <w:rFonts w:ascii="Arial" w:hAnsi="Arial" w:cs="Arial"/>
          <w:lang w:val="es-ES_tradnl"/>
        </w:rPr>
      </w:pPr>
    </w:p>
    <w:p w:rsidR="000B65DE" w:rsidRPr="000B65DE" w:rsidRDefault="000B65DE" w:rsidP="008F4D9F">
      <w:pPr>
        <w:numPr>
          <w:ilvl w:val="3"/>
          <w:numId w:val="16"/>
        </w:numPr>
        <w:overflowPunct w:val="0"/>
        <w:autoSpaceDE w:val="0"/>
        <w:autoSpaceDN w:val="0"/>
        <w:adjustRightInd w:val="0"/>
        <w:ind w:left="1134" w:hanging="1134"/>
        <w:jc w:val="both"/>
        <w:textAlignment w:val="baseline"/>
        <w:outlineLvl w:val="1"/>
        <w:rPr>
          <w:rFonts w:ascii="Bookman Old Style" w:hAnsi="Bookman Old Style"/>
          <w:b/>
          <w:bCs/>
          <w:lang w:val="es-CO"/>
        </w:rPr>
      </w:pPr>
      <w:r w:rsidRPr="000B65DE">
        <w:rPr>
          <w:rFonts w:ascii="Bookman Old Style" w:hAnsi="Bookman Old Style"/>
          <w:b/>
          <w:bCs/>
          <w:lang w:val="es-CO"/>
        </w:rPr>
        <w:t xml:space="preserve">Mercados Relevantes de Distribución para el Siguiente Período Tarifario conformados por Municipios Nuevos </w:t>
      </w:r>
    </w:p>
    <w:p w:rsidR="000B65DE" w:rsidRPr="000B65DE" w:rsidRDefault="000B65DE" w:rsidP="000B65DE">
      <w:pPr>
        <w:tabs>
          <w:tab w:val="left" w:pos="426"/>
        </w:tabs>
        <w:ind w:left="720"/>
        <w:jc w:val="both"/>
        <w:rPr>
          <w:rFonts w:ascii="Bookman Old Style" w:hAnsi="Bookman Old Style"/>
          <w:sz w:val="20"/>
          <w:szCs w:val="20"/>
          <w:lang w:val="es-ES_tradnl"/>
        </w:rPr>
      </w:pPr>
    </w:p>
    <w:p w:rsidR="000B65DE" w:rsidRPr="000B65DE" w:rsidRDefault="000B65DE" w:rsidP="000B65DE">
      <w:pPr>
        <w:tabs>
          <w:tab w:val="left" w:pos="426"/>
        </w:tabs>
        <w:ind w:left="0"/>
        <w:jc w:val="both"/>
        <w:rPr>
          <w:rFonts w:ascii="Bookman Old Style" w:hAnsi="Bookman Old Style" w:cs="Arial"/>
          <w:lang w:val="es-ES_tradnl"/>
        </w:rPr>
      </w:pPr>
    </w:p>
    <w:p w:rsidR="006C18B6" w:rsidRPr="0092172B" w:rsidRDefault="00364E59" w:rsidP="006C18B6">
      <w:pPr>
        <w:tabs>
          <w:tab w:val="left" w:pos="426"/>
        </w:tabs>
        <w:ind w:left="0"/>
        <w:jc w:val="center"/>
        <w:rPr>
          <w:rFonts w:ascii="Bookman Old Style" w:hAnsi="Bookman Old Style" w:cs="Arial"/>
          <w:lang w:val="es-ES_tradnl"/>
        </w:rPr>
      </w:pPr>
      <m:oMathPara>
        <m:oMath>
          <m:sSub>
            <m:sSubPr>
              <m:ctrlPr>
                <w:rPr>
                  <w:rFonts w:ascii="Cambria Math" w:hAnsi="Cambria Math" w:cs="Arial"/>
                  <w:lang w:val="es-ES_tradnl"/>
                </w:rPr>
              </m:ctrlPr>
            </m:sSubPr>
            <m:e>
              <m:r>
                <m:rPr>
                  <m:sty m:val="p"/>
                </m:rPr>
                <w:rPr>
                  <w:rFonts w:ascii="Cambria Math" w:hAnsi="Cambria Math" w:cs="Arial"/>
                  <w:lang w:val="es-ES_tradnl"/>
                </w:rPr>
                <m:t>D</m:t>
              </m:r>
            </m:e>
            <m:sub>
              <m:r>
                <m:rPr>
                  <m:sty m:val="p"/>
                </m:rPr>
                <w:rPr>
                  <w:rFonts w:ascii="Cambria Math" w:hAnsi="Cambria Math" w:cs="Arial"/>
                  <w:lang w:val="es-ES_tradnl"/>
                </w:rPr>
                <m:t>inv(AUNR)k</m:t>
              </m:r>
            </m:sub>
          </m:sSub>
          <m:r>
            <m:rPr>
              <m:sty m:val="p"/>
            </m:rPr>
            <w:rPr>
              <w:rFonts w:ascii="Cambria Math" w:hAnsi="Cambria Math" w:cs="Arial"/>
              <w:lang w:val="es-ES_tradnl"/>
            </w:rPr>
            <m:t xml:space="preserve">= </m:t>
          </m:r>
          <m:f>
            <m:fPr>
              <m:ctrlPr>
                <w:rPr>
                  <w:rFonts w:ascii="Cambria Math" w:hAnsi="Cambria Math" w:cs="Arial"/>
                  <w:lang w:val="es-ES_tradnl"/>
                </w:rPr>
              </m:ctrlPr>
            </m:fPr>
            <m:num>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IBMN</m:t>
                  </m:r>
                </m:e>
                <m:sub>
                  <m:r>
                    <m:rPr>
                      <m:sty m:val="p"/>
                    </m:rPr>
                    <w:rPr>
                      <w:rFonts w:ascii="Cambria Math" w:eastAsia="Calibri" w:hAnsi="Cambria Math" w:cs="Arial"/>
                      <w:lang w:val="es-CO" w:eastAsia="en-US"/>
                    </w:rPr>
                    <m:t>RPk</m:t>
                  </m:r>
                </m:sub>
              </m:sSub>
            </m:num>
            <m:den>
              <m:r>
                <m:rPr>
                  <m:sty m:val="p"/>
                </m:rPr>
                <w:rPr>
                  <w:rFonts w:ascii="Cambria Math" w:hAnsi="Cambria Math" w:cs="Arial"/>
                  <w:lang w:val="es-ES_tradnl"/>
                </w:rPr>
                <m:t>VP</m:t>
              </m:r>
              <m:d>
                <m:dPr>
                  <m:ctrlPr>
                    <w:rPr>
                      <w:rFonts w:ascii="Cambria Math" w:hAnsi="Cambria Math" w:cs="Arial"/>
                      <w:lang w:val="es-ES_tradnl"/>
                    </w:rPr>
                  </m:ctrlPr>
                </m:dPr>
                <m:e>
                  <m:sSub>
                    <m:sSubPr>
                      <m:ctrlPr>
                        <w:rPr>
                          <w:rFonts w:ascii="Cambria Math" w:hAnsi="Cambria Math" w:cs="Arial"/>
                          <w:lang w:val="es-ES_tradnl"/>
                        </w:rPr>
                      </m:ctrlPr>
                    </m:sSubPr>
                    <m:e>
                      <m:r>
                        <m:rPr>
                          <m:sty m:val="p"/>
                        </m:rPr>
                        <w:rPr>
                          <w:rFonts w:ascii="Cambria Math" w:hAnsi="Cambria Math" w:cs="Arial"/>
                          <w:lang w:val="es-ES_tradnl"/>
                        </w:rPr>
                        <m:t>Q(PR)</m:t>
                      </m:r>
                    </m:e>
                    <m:sub>
                      <m:r>
                        <m:rPr>
                          <m:sty m:val="p"/>
                        </m:rPr>
                        <w:rPr>
                          <w:rFonts w:ascii="Cambria Math" w:hAnsi="Cambria Math" w:cs="Arial"/>
                          <w:lang w:val="es-ES_tradnl"/>
                        </w:rPr>
                        <m:t>Tk</m:t>
                      </m:r>
                    </m:sub>
                  </m:sSub>
                </m:e>
              </m:d>
            </m:den>
          </m:f>
          <m:r>
            <w:rPr>
              <w:rFonts w:ascii="Cambria Math" w:hAnsi="Cambria Math" w:cs="Arial"/>
              <w:lang w:val="es-ES_tradnl"/>
            </w:rPr>
            <m:t>+</m:t>
          </m:r>
          <m:f>
            <m:fPr>
              <m:ctrlPr>
                <w:rPr>
                  <w:rFonts w:ascii="Cambria Math" w:hAnsi="Cambria Math" w:cs="Arial"/>
                  <w:lang w:val="es-ES_tradnl"/>
                </w:rPr>
              </m:ctrlPr>
            </m:fPr>
            <m:num>
              <m:sSub>
                <m:sSubPr>
                  <m:ctrlPr>
                    <w:rPr>
                      <w:rFonts w:ascii="Cambria Math" w:hAnsi="Cambria Math" w:cs="Arial"/>
                      <w:lang w:val="es-ES_tradnl"/>
                    </w:rPr>
                  </m:ctrlPr>
                </m:sSubPr>
                <m:e>
                  <m:r>
                    <m:rPr>
                      <m:sty m:val="p"/>
                    </m:rPr>
                    <w:rPr>
                      <w:rFonts w:ascii="Cambria Math" w:hAnsi="Cambria Math" w:cs="Arial"/>
                      <w:lang w:val="es-ES_tradnl"/>
                    </w:rPr>
                    <m:t>IBMN</m:t>
                  </m:r>
                </m:e>
                <m:sub>
                  <m:r>
                    <m:rPr>
                      <m:sty m:val="p"/>
                    </m:rPr>
                    <w:rPr>
                      <w:rFonts w:ascii="Cambria Math" w:hAnsi="Cambria Math" w:cs="Arial"/>
                      <w:lang w:val="es-ES_tradnl"/>
                    </w:rPr>
                    <m:t>RS(NoRes)k</m:t>
                  </m:r>
                </m:sub>
              </m:sSub>
            </m:num>
            <m:den>
              <m:r>
                <m:rPr>
                  <m:sty m:val="p"/>
                </m:rPr>
                <w:rPr>
                  <w:rFonts w:ascii="Cambria Math" w:hAnsi="Cambria Math" w:cs="Arial"/>
                  <w:lang w:val="es-ES_tradnl"/>
                </w:rPr>
                <m:t>VP</m:t>
              </m:r>
              <m:d>
                <m:dPr>
                  <m:ctrlPr>
                    <w:rPr>
                      <w:rFonts w:ascii="Cambria Math" w:hAnsi="Cambria Math" w:cs="Arial"/>
                      <w:lang w:val="es-ES_tradnl"/>
                    </w:rPr>
                  </m:ctrlPr>
                </m:dPr>
                <m:e>
                  <m:sSub>
                    <m:sSubPr>
                      <m:ctrlPr>
                        <w:rPr>
                          <w:rFonts w:ascii="Cambria Math" w:hAnsi="Cambria Math" w:cs="Arial"/>
                          <w:lang w:val="es-ES_tradnl"/>
                        </w:rPr>
                      </m:ctrlPr>
                    </m:sSubPr>
                    <m:e>
                      <m:r>
                        <m:rPr>
                          <m:sty m:val="p"/>
                        </m:rPr>
                        <w:rPr>
                          <w:rFonts w:ascii="Cambria Math" w:hAnsi="Cambria Math" w:cs="Arial"/>
                          <w:lang w:val="es-ES_tradnl"/>
                        </w:rPr>
                        <m:t>Q(PR)</m:t>
                      </m:r>
                    </m:e>
                    <m:sub>
                      <m:r>
                        <m:rPr>
                          <m:sty m:val="p"/>
                        </m:rPr>
                        <w:rPr>
                          <w:rFonts w:ascii="Cambria Math" w:hAnsi="Cambria Math" w:cs="Arial"/>
                          <w:lang w:val="es-ES_tradnl"/>
                        </w:rPr>
                        <m:t>Tk</m:t>
                      </m:r>
                    </m:sub>
                  </m:sSub>
                  <m:r>
                    <w:rPr>
                      <w:rFonts w:ascii="Cambria Math" w:hAnsi="Cambria Math" w:cs="Arial"/>
                      <w:lang w:val="es-ES_tradnl"/>
                    </w:rPr>
                    <m:t>-</m:t>
                  </m:r>
                  <m:sSub>
                    <m:sSubPr>
                      <m:ctrlPr>
                        <w:rPr>
                          <w:rFonts w:ascii="Cambria Math" w:hAnsi="Cambria Math" w:cs="Arial"/>
                          <w:lang w:val="es-ES_tradnl"/>
                        </w:rPr>
                      </m:ctrlPr>
                    </m:sSubPr>
                    <m:e>
                      <m:r>
                        <m:rPr>
                          <m:sty m:val="p"/>
                        </m:rPr>
                        <w:rPr>
                          <w:rFonts w:ascii="Cambria Math" w:hAnsi="Cambria Math" w:cs="Arial"/>
                          <w:lang w:val="es-ES_tradnl"/>
                        </w:rPr>
                        <m:t>Q(PR)</m:t>
                      </m:r>
                    </m:e>
                    <m:sub>
                      <m:r>
                        <m:rPr>
                          <m:sty m:val="p"/>
                        </m:rPr>
                        <w:rPr>
                          <w:rFonts w:ascii="Cambria Math" w:hAnsi="Cambria Math" w:cs="Arial"/>
                          <w:lang w:val="es-ES_tradnl"/>
                        </w:rPr>
                        <m:t>Resk</m:t>
                      </m:r>
                    </m:sub>
                  </m:sSub>
                </m:e>
              </m:d>
            </m:den>
          </m:f>
        </m:oMath>
      </m:oMathPara>
    </w:p>
    <w:p w:rsidR="000B65DE" w:rsidRPr="000B65DE" w:rsidRDefault="000B65DE" w:rsidP="000B65DE">
      <w:pPr>
        <w:ind w:left="284" w:hanging="284"/>
        <w:jc w:val="both"/>
        <w:rPr>
          <w:rFonts w:ascii="Bookman Old Style" w:hAnsi="Bookman Old Style"/>
        </w:rPr>
      </w:pPr>
    </w:p>
    <w:p w:rsidR="000B65DE" w:rsidRPr="000B65DE" w:rsidRDefault="000B65DE" w:rsidP="000B65DE">
      <w:pPr>
        <w:tabs>
          <w:tab w:val="left" w:pos="426"/>
        </w:tabs>
        <w:ind w:left="0"/>
        <w:jc w:val="both"/>
        <w:rPr>
          <w:rFonts w:ascii="Arial" w:hAnsi="Arial" w:cs="Arial"/>
          <w:lang w:val="es-ES_tradnl"/>
        </w:rPr>
      </w:pPr>
    </w:p>
    <w:p w:rsidR="00F87F77" w:rsidRPr="0092172B" w:rsidRDefault="00364E59" w:rsidP="00F87F77">
      <w:pPr>
        <w:tabs>
          <w:tab w:val="left" w:pos="426"/>
        </w:tabs>
        <w:ind w:left="0"/>
        <w:jc w:val="center"/>
        <w:rPr>
          <w:rFonts w:ascii="Bookman Old Style" w:hAnsi="Bookman Old Style" w:cs="Arial"/>
          <w:lang w:val="es-ES_tradnl"/>
        </w:rPr>
      </w:pPr>
      <m:oMathPara>
        <m:oMath>
          <m:sSub>
            <m:sSubPr>
              <m:ctrlPr>
                <w:rPr>
                  <w:rFonts w:ascii="Cambria Math" w:hAnsi="Cambria Math" w:cs="Arial"/>
                  <w:lang w:val="es-ES_tradnl"/>
                </w:rPr>
              </m:ctrlPr>
            </m:sSubPr>
            <m:e>
              <m:r>
                <m:rPr>
                  <m:sty m:val="p"/>
                </m:rPr>
                <w:rPr>
                  <w:rFonts w:ascii="Cambria Math" w:hAnsi="Cambria Math" w:cs="Arial"/>
                  <w:lang w:val="es-ES_tradnl"/>
                </w:rPr>
                <m:t>D</m:t>
              </m:r>
            </m:e>
            <m:sub>
              <m:r>
                <m:rPr>
                  <m:sty m:val="p"/>
                </m:rPr>
                <w:rPr>
                  <w:rFonts w:ascii="Cambria Math" w:hAnsi="Cambria Math" w:cs="Arial"/>
                  <w:lang w:val="es-ES_tradnl"/>
                </w:rPr>
                <m:t>AOM(AUNR)k</m:t>
              </m:r>
            </m:sub>
          </m:sSub>
          <m:r>
            <m:rPr>
              <m:sty m:val="p"/>
            </m:rPr>
            <w:rPr>
              <w:rFonts w:ascii="Cambria Math" w:hAnsi="Cambria Math" w:cs="Arial"/>
              <w:lang w:val="es-ES_tradnl"/>
            </w:rPr>
            <m:t xml:space="preserve">= </m:t>
          </m:r>
          <m:f>
            <m:fPr>
              <m:ctrlPr>
                <w:rPr>
                  <w:rFonts w:ascii="Cambria Math" w:hAnsi="Cambria Math" w:cs="Arial"/>
                  <w:lang w:val="es-ES_tradnl"/>
                </w:rPr>
              </m:ctrlPr>
            </m:fPr>
            <m:num>
              <m:r>
                <m:rPr>
                  <m:sty m:val="p"/>
                </m:rPr>
                <w:rPr>
                  <w:rFonts w:ascii="Cambria Math" w:hAnsi="Cambria Math" w:cs="Arial"/>
                  <w:lang w:val="es-ES_tradnl"/>
                </w:rPr>
                <m:t>VP</m:t>
              </m:r>
              <m:r>
                <w:rPr>
                  <w:rFonts w:ascii="Cambria Math" w:hAnsi="Cambria Math" w:cs="Arial"/>
                  <w:lang w:val="es-ES_tradnl"/>
                </w:rPr>
                <m:t>(</m:t>
              </m:r>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AOM</m:t>
                  </m:r>
                </m:e>
                <m:sub>
                  <m:r>
                    <m:rPr>
                      <m:sty m:val="p"/>
                    </m:rPr>
                    <w:rPr>
                      <w:rFonts w:ascii="Cambria Math" w:eastAsia="Calibri" w:hAnsi="Cambria Math" w:cs="Arial"/>
                      <w:lang w:val="es-CO" w:eastAsia="en-US"/>
                    </w:rPr>
                    <m:t>RPk</m:t>
                  </m:r>
                </m:sub>
              </m:sSub>
              <m:r>
                <w:rPr>
                  <w:rFonts w:ascii="Cambria Math" w:eastAsia="Calibri" w:hAnsi="Cambria Math" w:cs="Arial"/>
                  <w:lang w:val="es-CO" w:eastAsia="en-US"/>
                </w:rPr>
                <m:t>)</m:t>
              </m:r>
            </m:num>
            <m:den>
              <m:r>
                <m:rPr>
                  <m:sty m:val="p"/>
                </m:rPr>
                <w:rPr>
                  <w:rFonts w:ascii="Cambria Math" w:hAnsi="Cambria Math" w:cs="Arial"/>
                  <w:lang w:val="es-ES_tradnl"/>
                </w:rPr>
                <m:t>VP</m:t>
              </m:r>
              <m:d>
                <m:dPr>
                  <m:ctrlPr>
                    <w:rPr>
                      <w:rFonts w:ascii="Cambria Math" w:hAnsi="Cambria Math" w:cs="Arial"/>
                      <w:lang w:val="es-ES_tradnl"/>
                    </w:rPr>
                  </m:ctrlPr>
                </m:dPr>
                <m:e>
                  <m:sSub>
                    <m:sSubPr>
                      <m:ctrlPr>
                        <w:rPr>
                          <w:rFonts w:ascii="Cambria Math" w:hAnsi="Cambria Math" w:cs="Arial"/>
                          <w:lang w:val="es-ES_tradnl"/>
                        </w:rPr>
                      </m:ctrlPr>
                    </m:sSubPr>
                    <m:e>
                      <m:r>
                        <m:rPr>
                          <m:sty m:val="p"/>
                        </m:rPr>
                        <w:rPr>
                          <w:rFonts w:ascii="Cambria Math" w:hAnsi="Cambria Math" w:cs="Arial"/>
                          <w:lang w:val="es-ES_tradnl"/>
                        </w:rPr>
                        <m:t>Q(PR)</m:t>
                      </m:r>
                    </m:e>
                    <m:sub>
                      <m:r>
                        <m:rPr>
                          <m:sty m:val="p"/>
                        </m:rPr>
                        <w:rPr>
                          <w:rFonts w:ascii="Cambria Math" w:hAnsi="Cambria Math" w:cs="Arial"/>
                          <w:lang w:val="es-ES_tradnl"/>
                        </w:rPr>
                        <m:t>Tk</m:t>
                      </m:r>
                    </m:sub>
                  </m:sSub>
                </m:e>
              </m:d>
            </m:den>
          </m:f>
          <m:r>
            <w:rPr>
              <w:rFonts w:ascii="Cambria Math" w:hAnsi="Cambria Math" w:cs="Arial"/>
              <w:lang w:val="es-ES_tradnl"/>
            </w:rPr>
            <m:t>+</m:t>
          </m:r>
          <m:f>
            <m:fPr>
              <m:ctrlPr>
                <w:rPr>
                  <w:rFonts w:ascii="Cambria Math" w:hAnsi="Cambria Math" w:cs="Arial"/>
                  <w:lang w:val="es-ES_tradnl"/>
                </w:rPr>
              </m:ctrlPr>
            </m:fPr>
            <m:num>
              <m:r>
                <m:rPr>
                  <m:sty m:val="p"/>
                </m:rPr>
                <w:rPr>
                  <w:rFonts w:ascii="Cambria Math" w:hAnsi="Cambria Math" w:cs="Arial"/>
                  <w:lang w:val="es-ES_tradnl"/>
                </w:rPr>
                <m:t>VP</m:t>
              </m:r>
              <m:r>
                <w:rPr>
                  <w:rFonts w:ascii="Cambria Math" w:hAnsi="Cambria Math" w:cs="Arial"/>
                  <w:lang w:val="es-ES_tradnl"/>
                </w:rPr>
                <m:t>(</m:t>
              </m:r>
              <m:sSub>
                <m:sSubPr>
                  <m:ctrlPr>
                    <w:rPr>
                      <w:rFonts w:ascii="Cambria Math" w:hAnsi="Cambria Math" w:cs="Arial"/>
                      <w:lang w:val="es-ES_tradnl"/>
                    </w:rPr>
                  </m:ctrlPr>
                </m:sSubPr>
                <m:e>
                  <m:r>
                    <m:rPr>
                      <m:sty m:val="p"/>
                    </m:rPr>
                    <w:rPr>
                      <w:rFonts w:ascii="Cambria Math" w:hAnsi="Cambria Math" w:cs="Arial"/>
                      <w:lang w:val="es-ES_tradnl"/>
                    </w:rPr>
                    <m:t>AOM</m:t>
                  </m:r>
                </m:e>
                <m:sub>
                  <m:r>
                    <m:rPr>
                      <m:sty m:val="p"/>
                    </m:rPr>
                    <w:rPr>
                      <w:rFonts w:ascii="Cambria Math" w:hAnsi="Cambria Math" w:cs="Arial"/>
                      <w:lang w:val="es-ES_tradnl"/>
                    </w:rPr>
                    <m:t>RS</m:t>
                  </m:r>
                  <m:d>
                    <m:dPr>
                      <m:ctrlPr>
                        <w:rPr>
                          <w:rFonts w:ascii="Cambria Math" w:hAnsi="Cambria Math" w:cs="Arial"/>
                          <w:lang w:val="es-ES_tradnl"/>
                        </w:rPr>
                      </m:ctrlPr>
                    </m:dPr>
                    <m:e>
                      <m:r>
                        <m:rPr>
                          <m:sty m:val="p"/>
                        </m:rPr>
                        <w:rPr>
                          <w:rFonts w:ascii="Cambria Math" w:hAnsi="Cambria Math" w:cs="Arial"/>
                          <w:lang w:val="es-ES_tradnl"/>
                        </w:rPr>
                        <m:t>NoRes</m:t>
                      </m:r>
                    </m:e>
                  </m:d>
                  <m:r>
                    <m:rPr>
                      <m:sty m:val="p"/>
                    </m:rPr>
                    <w:rPr>
                      <w:rFonts w:ascii="Cambria Math" w:hAnsi="Cambria Math" w:cs="Arial"/>
                      <w:lang w:val="es-ES_tradnl"/>
                    </w:rPr>
                    <m:t>k</m:t>
                  </m:r>
                </m:sub>
              </m:sSub>
              <m:r>
                <w:rPr>
                  <w:rFonts w:ascii="Cambria Math" w:hAnsi="Cambria Math" w:cs="Arial"/>
                  <w:lang w:val="es-ES_tradnl"/>
                </w:rPr>
                <m:t>)</m:t>
              </m:r>
            </m:num>
            <m:den>
              <m:r>
                <m:rPr>
                  <m:sty m:val="p"/>
                </m:rPr>
                <w:rPr>
                  <w:rFonts w:ascii="Cambria Math" w:hAnsi="Cambria Math" w:cs="Arial"/>
                  <w:lang w:val="es-ES_tradnl"/>
                </w:rPr>
                <m:t>VP</m:t>
              </m:r>
              <m:d>
                <m:dPr>
                  <m:ctrlPr>
                    <w:rPr>
                      <w:rFonts w:ascii="Cambria Math" w:hAnsi="Cambria Math" w:cs="Arial"/>
                      <w:lang w:val="es-ES_tradnl"/>
                    </w:rPr>
                  </m:ctrlPr>
                </m:dPr>
                <m:e>
                  <m:sSub>
                    <m:sSubPr>
                      <m:ctrlPr>
                        <w:rPr>
                          <w:rFonts w:ascii="Cambria Math" w:hAnsi="Cambria Math" w:cs="Arial"/>
                          <w:lang w:val="es-ES_tradnl"/>
                        </w:rPr>
                      </m:ctrlPr>
                    </m:sSubPr>
                    <m:e>
                      <m:r>
                        <m:rPr>
                          <m:sty m:val="p"/>
                        </m:rPr>
                        <w:rPr>
                          <w:rFonts w:ascii="Cambria Math" w:hAnsi="Cambria Math" w:cs="Arial"/>
                          <w:lang w:val="es-ES_tradnl"/>
                        </w:rPr>
                        <m:t>Q(PR)</m:t>
                      </m:r>
                    </m:e>
                    <m:sub>
                      <m:r>
                        <m:rPr>
                          <m:sty m:val="p"/>
                        </m:rPr>
                        <w:rPr>
                          <w:rFonts w:ascii="Cambria Math" w:hAnsi="Cambria Math" w:cs="Arial"/>
                          <w:lang w:val="es-ES_tradnl"/>
                        </w:rPr>
                        <m:t>Tk</m:t>
                      </m:r>
                    </m:sub>
                  </m:sSub>
                  <m:r>
                    <w:rPr>
                      <w:rFonts w:ascii="Cambria Math" w:hAnsi="Cambria Math" w:cs="Arial"/>
                      <w:lang w:val="es-ES_tradnl"/>
                    </w:rPr>
                    <m:t>-</m:t>
                  </m:r>
                  <m:sSub>
                    <m:sSubPr>
                      <m:ctrlPr>
                        <w:rPr>
                          <w:rFonts w:ascii="Cambria Math" w:hAnsi="Cambria Math" w:cs="Arial"/>
                          <w:lang w:val="es-ES_tradnl"/>
                        </w:rPr>
                      </m:ctrlPr>
                    </m:sSubPr>
                    <m:e>
                      <m:r>
                        <m:rPr>
                          <m:sty m:val="p"/>
                        </m:rPr>
                        <w:rPr>
                          <w:rFonts w:ascii="Cambria Math" w:hAnsi="Cambria Math" w:cs="Arial"/>
                          <w:lang w:val="es-ES_tradnl"/>
                        </w:rPr>
                        <m:t>Q(PR)</m:t>
                      </m:r>
                    </m:e>
                    <m:sub>
                      <m:r>
                        <m:rPr>
                          <m:sty m:val="p"/>
                        </m:rPr>
                        <w:rPr>
                          <w:rFonts w:ascii="Cambria Math" w:hAnsi="Cambria Math" w:cs="Arial"/>
                          <w:lang w:val="es-ES_tradnl"/>
                        </w:rPr>
                        <m:t>Resk</m:t>
                      </m:r>
                    </m:sub>
                  </m:sSub>
                </m:e>
              </m:d>
            </m:den>
          </m:f>
        </m:oMath>
      </m:oMathPara>
    </w:p>
    <w:p w:rsidR="000B65DE" w:rsidRPr="000B65DE" w:rsidRDefault="000B65DE" w:rsidP="000B65DE">
      <w:pPr>
        <w:tabs>
          <w:tab w:val="left" w:pos="426"/>
        </w:tabs>
        <w:ind w:left="0"/>
        <w:jc w:val="both"/>
        <w:rPr>
          <w:rFonts w:ascii="Arial" w:hAnsi="Arial" w:cs="Arial"/>
          <w:lang w:val="es-ES_tradnl"/>
        </w:rPr>
      </w:pPr>
    </w:p>
    <w:tbl>
      <w:tblPr>
        <w:tblW w:w="0" w:type="auto"/>
        <w:tblInd w:w="108" w:type="dxa"/>
        <w:tblLook w:val="04A0" w:firstRow="1" w:lastRow="0" w:firstColumn="1" w:lastColumn="0" w:noHBand="0" w:noVBand="1"/>
      </w:tblPr>
      <w:tblGrid>
        <w:gridCol w:w="2268"/>
        <w:gridCol w:w="6602"/>
      </w:tblGrid>
      <w:tr w:rsidR="000B65DE" w:rsidRPr="000B65DE" w:rsidTr="00382E27">
        <w:tc>
          <w:tcPr>
            <w:tcW w:w="2268" w:type="dxa"/>
          </w:tcPr>
          <w:p w:rsidR="000B65DE" w:rsidRPr="0092172B" w:rsidRDefault="00364E59" w:rsidP="000B65DE">
            <w:pPr>
              <w:tabs>
                <w:tab w:val="left" w:pos="426"/>
              </w:tabs>
              <w:ind w:left="0"/>
              <w:jc w:val="both"/>
              <w:rPr>
                <w:rFonts w:ascii="Bookman Old Style" w:hAnsi="Bookman Old Style" w:cs="Arial"/>
                <w:lang w:val="es-ES_tradnl"/>
              </w:rPr>
            </w:pPr>
            <m:oMathPara>
              <m:oMathParaPr>
                <m:jc m:val="left"/>
              </m:oMathParaPr>
              <m:oMath>
                <m:sSub>
                  <m:sSubPr>
                    <m:ctrlPr>
                      <w:rPr>
                        <w:rFonts w:ascii="Cambria Math" w:eastAsia="Calibri" w:hAnsi="Cambria Math" w:cs="Arial"/>
                        <w:sz w:val="22"/>
                        <w:lang w:val="es-CO" w:eastAsia="en-US"/>
                      </w:rPr>
                    </m:ctrlPr>
                  </m:sSubPr>
                  <m:e>
                    <m:r>
                      <m:rPr>
                        <m:sty m:val="p"/>
                      </m:rPr>
                      <w:rPr>
                        <w:rFonts w:ascii="Cambria Math" w:eastAsia="Calibri" w:hAnsi="Cambria Math" w:cs="Arial"/>
                        <w:sz w:val="22"/>
                        <w:lang w:val="es-CO" w:eastAsia="en-US"/>
                      </w:rPr>
                      <m:t>IBMN</m:t>
                    </m:r>
                  </m:e>
                  <m:sub>
                    <m:r>
                      <m:rPr>
                        <m:sty m:val="p"/>
                      </m:rPr>
                      <w:rPr>
                        <w:rFonts w:ascii="Cambria Math" w:eastAsia="Calibri" w:hAnsi="Cambria Math" w:cs="Arial"/>
                        <w:sz w:val="22"/>
                        <w:lang w:val="es-CO" w:eastAsia="en-US"/>
                      </w:rPr>
                      <m:t>RPk</m:t>
                    </m:r>
                  </m:sub>
                </m:sSub>
              </m:oMath>
            </m:oMathPara>
          </w:p>
        </w:tc>
        <w:tc>
          <w:tcPr>
            <w:tcW w:w="6602" w:type="dxa"/>
          </w:tcPr>
          <w:p w:rsidR="000B65DE" w:rsidRPr="000B65DE" w:rsidRDefault="000B65DE" w:rsidP="000B65DE">
            <w:pPr>
              <w:tabs>
                <w:tab w:val="left" w:pos="426"/>
              </w:tabs>
              <w:ind w:left="0"/>
              <w:jc w:val="both"/>
              <w:rPr>
                <w:rFonts w:ascii="Bookman Old Style" w:hAnsi="Bookman Old Style" w:cs="Arial"/>
                <w:lang w:val="es-CO" w:eastAsia="en-US"/>
              </w:rPr>
            </w:pPr>
            <w:r w:rsidRPr="000B65DE">
              <w:rPr>
                <w:rFonts w:ascii="Bookman Old Style" w:hAnsi="Bookman Old Style" w:cs="Arial"/>
                <w:lang w:val="es-CO" w:eastAsia="en-US"/>
              </w:rPr>
              <w:t xml:space="preserve">Inversión Base de la Red Primaria del Mercado </w:t>
            </w:r>
            <w:r w:rsidRPr="000B65DE">
              <w:rPr>
                <w:rFonts w:ascii="Bookman Old Style" w:hAnsi="Bookman Old Style" w:cs="Arial"/>
                <w:lang w:val="es-CO" w:eastAsia="en-US"/>
              </w:rPr>
              <w:lastRenderedPageBreak/>
              <w:t xml:space="preserve">Relevante de Distribución para el Siguiente Período Tarifario k, conformado por Municipios Nuevos, expresada en pesos de la Fecha Base. Esta se determina como se indica en el numeral </w:t>
            </w:r>
            <w:r w:rsidR="008B26D0">
              <w:fldChar w:fldCharType="begin"/>
            </w:r>
            <w:r w:rsidR="008B26D0">
              <w:instrText xml:space="preserve"> REF _Ref289671930 \r \h  \* MERGEFORMAT </w:instrText>
            </w:r>
            <w:r w:rsidR="008B26D0">
              <w:fldChar w:fldCharType="separate"/>
            </w:r>
            <w:r w:rsidR="004D5C18" w:rsidRPr="004D5C18">
              <w:rPr>
                <w:rFonts w:ascii="Bookman Old Style" w:hAnsi="Bookman Old Style" w:cs="Arial"/>
                <w:lang w:val="es-CO" w:eastAsia="en-US"/>
              </w:rPr>
              <w:t>9.5.3</w:t>
            </w:r>
            <w:r w:rsidR="008B26D0">
              <w:fldChar w:fldCharType="end"/>
            </w:r>
            <w:r w:rsidRPr="000B65DE">
              <w:rPr>
                <w:rFonts w:ascii="Bookman Old Style" w:hAnsi="Bookman Old Style" w:cs="Arial"/>
                <w:lang w:val="es-CO" w:eastAsia="en-US"/>
              </w:rPr>
              <w:t xml:space="preserve"> de esta Resolución. </w:t>
            </w:r>
          </w:p>
          <w:p w:rsidR="000B65DE" w:rsidRPr="000B65DE" w:rsidRDefault="000B65DE" w:rsidP="000B65DE">
            <w:pPr>
              <w:tabs>
                <w:tab w:val="left" w:pos="426"/>
              </w:tabs>
              <w:ind w:left="0"/>
              <w:jc w:val="both"/>
              <w:rPr>
                <w:rFonts w:ascii="Bookman Old Style" w:hAnsi="Bookman Old Style" w:cs="Arial"/>
                <w:lang w:val="es-ES_tradnl"/>
              </w:rPr>
            </w:pPr>
          </w:p>
        </w:tc>
      </w:tr>
      <w:tr w:rsidR="000B65DE" w:rsidRPr="000B65DE" w:rsidTr="00382E27">
        <w:tc>
          <w:tcPr>
            <w:tcW w:w="2268" w:type="dxa"/>
          </w:tcPr>
          <w:p w:rsidR="000B65DE" w:rsidRPr="0092172B" w:rsidRDefault="00364E59" w:rsidP="000B65DE">
            <w:pPr>
              <w:tabs>
                <w:tab w:val="left" w:pos="426"/>
              </w:tabs>
              <w:ind w:left="0"/>
              <w:jc w:val="both"/>
              <w:rPr>
                <w:rFonts w:ascii="Arial" w:hAnsi="Arial" w:cs="Arial"/>
                <w:sz w:val="22"/>
                <w:lang w:val="es-CO" w:eastAsia="en-US"/>
              </w:rPr>
            </w:pPr>
            <m:oMathPara>
              <m:oMathParaPr>
                <m:jc m:val="left"/>
              </m:oMathParaPr>
              <m:oMath>
                <m:sSub>
                  <m:sSubPr>
                    <m:ctrlPr>
                      <w:rPr>
                        <w:rFonts w:ascii="Cambria Math" w:hAnsi="Cambria Math" w:cs="Arial"/>
                        <w:lang w:val="es-ES_tradnl"/>
                      </w:rPr>
                    </m:ctrlPr>
                  </m:sSubPr>
                  <m:e>
                    <m:r>
                      <m:rPr>
                        <m:sty m:val="p"/>
                      </m:rPr>
                      <w:rPr>
                        <w:rFonts w:ascii="Cambria Math" w:hAnsi="Cambria Math" w:cs="Arial"/>
                        <w:lang w:val="es-ES_tradnl"/>
                      </w:rPr>
                      <m:t>IBMN</m:t>
                    </m:r>
                  </m:e>
                  <m:sub>
                    <m:r>
                      <m:rPr>
                        <m:sty m:val="p"/>
                      </m:rPr>
                      <w:rPr>
                        <w:rFonts w:ascii="Cambria Math" w:hAnsi="Cambria Math" w:cs="Arial"/>
                        <w:lang w:val="es-ES_tradnl"/>
                      </w:rPr>
                      <m:t>RS(NoRes)k</m:t>
                    </m:r>
                  </m:sub>
                </m:sSub>
              </m:oMath>
            </m:oMathPara>
          </w:p>
        </w:tc>
        <w:tc>
          <w:tcPr>
            <w:tcW w:w="6602" w:type="dxa"/>
          </w:tcPr>
          <w:p w:rsidR="000B65DE" w:rsidRPr="000B65DE" w:rsidRDefault="000B65DE" w:rsidP="000B65DE">
            <w:pPr>
              <w:tabs>
                <w:tab w:val="left" w:pos="426"/>
              </w:tabs>
              <w:ind w:left="0"/>
              <w:jc w:val="both"/>
              <w:rPr>
                <w:rFonts w:ascii="Bookman Old Style" w:hAnsi="Bookman Old Style" w:cs="Arial"/>
                <w:lang w:val="es-CO" w:eastAsia="en-US"/>
              </w:rPr>
            </w:pPr>
            <w:r w:rsidRPr="000B65DE">
              <w:rPr>
                <w:rFonts w:ascii="Bookman Old Style" w:hAnsi="Bookman Old Style" w:cs="Arial"/>
                <w:lang w:val="es-CO" w:eastAsia="en-US"/>
              </w:rPr>
              <w:t>Inversión Base correspondiente a la Red Secundaria que va a ser utilizada por Usuarios Diferentes a los de Uso Residencial del Mercado Relevante de Distribución para el Siguiente Período Tarifario k conformado por Municipios Nuevos, expresada en pesos de la Fecha Base. Se calcula como la relación entre  la Proyección de demanda para Uso Diferente al Residencial (Q</w:t>
            </w:r>
            <w:r w:rsidRPr="000B65DE">
              <w:rPr>
                <w:rFonts w:ascii="Bookman Old Style" w:hAnsi="Bookman Old Style" w:cs="Arial"/>
                <w:vertAlign w:val="subscript"/>
                <w:lang w:val="es-CO" w:eastAsia="en-US"/>
              </w:rPr>
              <w:t>NoRes</w:t>
            </w:r>
            <w:r w:rsidRPr="000B65DE">
              <w:rPr>
                <w:rFonts w:ascii="Bookman Old Style" w:hAnsi="Bookman Old Style" w:cs="Arial"/>
                <w:lang w:val="es-CO" w:eastAsia="en-US"/>
              </w:rPr>
              <w:t>)</w:t>
            </w:r>
            <w:r w:rsidRPr="000B65DE">
              <w:rPr>
                <w:rFonts w:ascii="Bookman Old Style" w:hAnsi="Bookman Old Style" w:cs="Arial"/>
                <w:vertAlign w:val="subscript"/>
                <w:lang w:val="es-CO" w:eastAsia="en-US"/>
              </w:rPr>
              <w:t>mn</w:t>
            </w:r>
            <w:r w:rsidRPr="000B65DE">
              <w:rPr>
                <w:rFonts w:ascii="Bookman Old Style" w:hAnsi="Bookman Old Style" w:cs="Arial"/>
                <w:lang w:val="es-CO" w:eastAsia="en-US"/>
              </w:rPr>
              <w:t xml:space="preserve"> sobre el total de la proyección de demanda que se conectará a la red secundaria (Q</w:t>
            </w:r>
            <w:r w:rsidRPr="000B65DE">
              <w:rPr>
                <w:rFonts w:ascii="Bookman Old Style" w:hAnsi="Bookman Old Style" w:cs="Arial"/>
                <w:vertAlign w:val="subscript"/>
                <w:lang w:val="es-CO" w:eastAsia="en-US"/>
              </w:rPr>
              <w:t>NoRes</w:t>
            </w:r>
            <w:r w:rsidRPr="000B65DE">
              <w:rPr>
                <w:rFonts w:ascii="Bookman Old Style" w:hAnsi="Bookman Old Style" w:cs="Arial"/>
                <w:lang w:val="es-CO" w:eastAsia="en-US"/>
              </w:rPr>
              <w:t>+ Q</w:t>
            </w:r>
            <w:r w:rsidRPr="000B65DE">
              <w:rPr>
                <w:rFonts w:ascii="Bookman Old Style" w:hAnsi="Bookman Old Style" w:cs="Arial"/>
                <w:vertAlign w:val="subscript"/>
                <w:lang w:val="es-CO" w:eastAsia="en-US"/>
              </w:rPr>
              <w:t>Res</w:t>
            </w:r>
            <w:r w:rsidRPr="000B65DE">
              <w:rPr>
                <w:rFonts w:ascii="Bookman Old Style" w:hAnsi="Bookman Old Style" w:cs="Arial"/>
                <w:lang w:val="es-CO" w:eastAsia="en-US"/>
              </w:rPr>
              <w:t>)</w:t>
            </w:r>
            <w:r w:rsidRPr="000B65DE">
              <w:rPr>
                <w:rFonts w:ascii="Bookman Old Style" w:hAnsi="Bookman Old Style" w:cs="Arial"/>
                <w:vertAlign w:val="subscript"/>
                <w:lang w:val="es-CO" w:eastAsia="en-US"/>
              </w:rPr>
              <w:t>mn</w:t>
            </w:r>
            <w:r w:rsidRPr="000B65DE">
              <w:rPr>
                <w:rFonts w:ascii="Bookman Old Style" w:hAnsi="Bookman Old Style" w:cs="Arial"/>
                <w:lang w:val="es-CO" w:eastAsia="en-US"/>
              </w:rPr>
              <w:t xml:space="preserve"> y el resultado de esta relación por el Valor de la Inversión Base de la Red Secundaria. Esta se determina como se indica en el numeral </w:t>
            </w:r>
            <w:r w:rsidR="00AF6018" w:rsidRPr="000B65DE">
              <w:rPr>
                <w:rFonts w:ascii="Bookman Old Style" w:hAnsi="Bookman Old Style" w:cs="Arial"/>
                <w:lang w:val="es-CO" w:eastAsia="en-US"/>
              </w:rPr>
              <w:fldChar w:fldCharType="begin"/>
            </w:r>
            <w:r w:rsidRPr="000B65DE">
              <w:rPr>
                <w:rFonts w:ascii="Bookman Old Style" w:hAnsi="Bookman Old Style" w:cs="Arial"/>
                <w:lang w:val="es-CO" w:eastAsia="en-US"/>
              </w:rPr>
              <w:instrText xml:space="preserve"> REF _Ref329957394 \r \h </w:instrText>
            </w:r>
            <w:r w:rsidR="00AF6018" w:rsidRPr="000B65DE">
              <w:rPr>
                <w:rFonts w:ascii="Bookman Old Style" w:hAnsi="Bookman Old Style" w:cs="Arial"/>
                <w:lang w:val="es-CO" w:eastAsia="en-US"/>
              </w:rPr>
            </w:r>
            <w:r w:rsidR="00AF6018" w:rsidRPr="000B65DE">
              <w:rPr>
                <w:rFonts w:ascii="Bookman Old Style" w:hAnsi="Bookman Old Style" w:cs="Arial"/>
                <w:lang w:val="es-CO" w:eastAsia="en-US"/>
              </w:rPr>
              <w:fldChar w:fldCharType="separate"/>
            </w:r>
            <w:r w:rsidR="004D5C18">
              <w:rPr>
                <w:rFonts w:ascii="Bookman Old Style" w:hAnsi="Bookman Old Style" w:cs="Arial"/>
                <w:lang w:val="es-CO" w:eastAsia="en-US"/>
              </w:rPr>
              <w:t>9.5.3</w:t>
            </w:r>
            <w:r w:rsidR="00AF6018" w:rsidRPr="000B65DE">
              <w:rPr>
                <w:rFonts w:ascii="Bookman Old Style" w:hAnsi="Bookman Old Style" w:cs="Arial"/>
                <w:lang w:val="es-CO" w:eastAsia="en-US"/>
              </w:rPr>
              <w:fldChar w:fldCharType="end"/>
            </w:r>
            <w:r w:rsidRPr="000B65DE">
              <w:rPr>
                <w:rFonts w:ascii="Bookman Old Style" w:hAnsi="Bookman Old Style" w:cs="Arial"/>
                <w:lang w:val="es-CO" w:eastAsia="en-US"/>
              </w:rPr>
              <w:t xml:space="preserve"> de esta Resolución.  </w:t>
            </w:r>
          </w:p>
          <w:p w:rsidR="000B65DE" w:rsidRPr="000B65DE" w:rsidRDefault="000B65DE" w:rsidP="000B65DE">
            <w:pPr>
              <w:tabs>
                <w:tab w:val="left" w:pos="426"/>
              </w:tabs>
              <w:ind w:left="0"/>
              <w:jc w:val="both"/>
              <w:rPr>
                <w:rFonts w:ascii="Bookman Old Style" w:hAnsi="Bookman Old Style" w:cs="Arial"/>
                <w:lang w:val="es-CO" w:eastAsia="en-US"/>
              </w:rPr>
            </w:pPr>
          </w:p>
        </w:tc>
      </w:tr>
      <w:tr w:rsidR="000B65DE" w:rsidRPr="000B65DE" w:rsidTr="00382E27">
        <w:tc>
          <w:tcPr>
            <w:tcW w:w="2268" w:type="dxa"/>
          </w:tcPr>
          <w:p w:rsidR="000B65DE" w:rsidRPr="0092172B" w:rsidRDefault="00364E59" w:rsidP="00D812E1">
            <w:pPr>
              <w:tabs>
                <w:tab w:val="left" w:pos="426"/>
              </w:tabs>
              <w:ind w:left="34"/>
              <w:rPr>
                <w:rFonts w:ascii="Bookman Old Style" w:hAnsi="Bookman Old Style" w:cs="Arial"/>
                <w:lang w:val="es-ES_tradnl"/>
              </w:rPr>
            </w:pPr>
            <m:oMathPara>
              <m:oMath>
                <m:sSub>
                  <m:sSubPr>
                    <m:ctrlPr>
                      <w:rPr>
                        <w:rFonts w:ascii="Cambria Math" w:hAnsi="Cambria Math" w:cs="Arial"/>
                        <w:sz w:val="22"/>
                        <w:lang w:val="es-ES_tradnl"/>
                      </w:rPr>
                    </m:ctrlPr>
                  </m:sSubPr>
                  <m:e>
                    <m:r>
                      <m:rPr>
                        <m:sty m:val="p"/>
                      </m:rPr>
                      <w:rPr>
                        <w:rFonts w:ascii="Cambria Math" w:hAnsi="Cambria Math" w:cs="Arial"/>
                        <w:sz w:val="22"/>
                        <w:lang w:val="es-ES_tradnl"/>
                      </w:rPr>
                      <m:t>VP (AOM</m:t>
                    </m:r>
                  </m:e>
                  <m:sub>
                    <m:r>
                      <m:rPr>
                        <m:sty m:val="p"/>
                      </m:rPr>
                      <w:rPr>
                        <w:rFonts w:ascii="Cambria Math" w:hAnsi="Cambria Math" w:cs="Arial"/>
                        <w:sz w:val="22"/>
                        <w:lang w:val="es-ES_tradnl"/>
                      </w:rPr>
                      <m:t>RPk</m:t>
                    </m:r>
                  </m:sub>
                </m:sSub>
                <m:r>
                  <w:rPr>
                    <w:rFonts w:ascii="Cambria Math" w:hAnsi="Cambria Math" w:cs="Arial"/>
                    <w:sz w:val="22"/>
                    <w:lang w:val="es-ES_tradnl"/>
                  </w:rPr>
                  <m:t>)</m:t>
                </m:r>
              </m:oMath>
            </m:oMathPara>
          </w:p>
        </w:tc>
        <w:tc>
          <w:tcPr>
            <w:tcW w:w="6602" w:type="dxa"/>
          </w:tcPr>
          <w:p w:rsidR="000B65DE" w:rsidRPr="000B65DE" w:rsidRDefault="000B65DE" w:rsidP="000B65DE">
            <w:pPr>
              <w:tabs>
                <w:tab w:val="left" w:pos="426"/>
              </w:tabs>
              <w:ind w:left="0"/>
              <w:jc w:val="both"/>
              <w:rPr>
                <w:rFonts w:ascii="Bookman Old Style" w:hAnsi="Bookman Old Style" w:cs="Arial"/>
                <w:lang w:val="es-ES_tradnl"/>
              </w:rPr>
            </w:pPr>
            <w:r w:rsidRPr="000B65DE">
              <w:rPr>
                <w:rFonts w:ascii="Bookman Old Style" w:hAnsi="Bookman Old Style" w:cs="Arial"/>
                <w:lang w:val="es-ES_tradnl"/>
              </w:rPr>
              <w:t>Valor Presente de la proyección</w:t>
            </w:r>
            <w:r w:rsidR="0061312F">
              <w:rPr>
                <w:rFonts w:ascii="Bookman Old Style" w:hAnsi="Bookman Old Style" w:cs="Arial"/>
                <w:lang w:val="es-ES_tradnl"/>
              </w:rPr>
              <w:t xml:space="preserve"> anual</w:t>
            </w:r>
            <w:r w:rsidRPr="000B65DE">
              <w:rPr>
                <w:rFonts w:ascii="Bookman Old Style" w:hAnsi="Bookman Old Style" w:cs="Arial"/>
                <w:lang w:val="es-ES_tradnl"/>
              </w:rPr>
              <w:t xml:space="preserve"> de gastos de AOM </w:t>
            </w:r>
            <w:r w:rsidR="0061312F">
              <w:rPr>
                <w:rFonts w:ascii="Bookman Old Style" w:hAnsi="Bookman Old Style" w:cs="Arial"/>
                <w:lang w:val="es-ES_tradnl"/>
              </w:rPr>
              <w:t xml:space="preserve">para 20 años </w:t>
            </w:r>
            <w:r w:rsidRPr="000B65DE">
              <w:rPr>
                <w:rFonts w:ascii="Bookman Old Style" w:hAnsi="Bookman Old Style" w:cs="Arial"/>
                <w:lang w:val="es-ES_tradnl"/>
              </w:rPr>
              <w:t>de la Red Primaria, expresada en pesos de la Fecha Base</w:t>
            </w:r>
            <w:r w:rsidRPr="000B65DE">
              <w:rPr>
                <w:rFonts w:ascii="Bookman Old Style" w:hAnsi="Bookman Old Style" w:cs="Arial"/>
                <w:lang w:val="es-CO" w:eastAsia="en-US"/>
              </w:rPr>
              <w:t xml:space="preserve"> del Mercado Relevante de Distribución para el Siguiente Período Tarifario k conformado por Municipios Nuevos</w:t>
            </w:r>
            <w:r w:rsidRPr="000B65DE">
              <w:rPr>
                <w:rFonts w:ascii="Bookman Old Style" w:hAnsi="Bookman Old Style" w:cs="Arial"/>
                <w:lang w:val="es-ES_tradnl"/>
              </w:rPr>
              <w:t>. Los gastos de AOM eficientes para la Red Primaria, se calculan de acuerdo con el promedio de las relaciones de  kilómetros de la Red Primaria sobre los kilómetros red total del Sistema de Distribución y la Inversión Base correspondiente a la Red Primaria de Distribución sobre la Inversión Base Total del Sistema de Distribución.</w:t>
            </w:r>
          </w:p>
        </w:tc>
      </w:tr>
      <w:tr w:rsidR="000B65DE" w:rsidRPr="000B65DE" w:rsidTr="00382E27">
        <w:tc>
          <w:tcPr>
            <w:tcW w:w="2268" w:type="dxa"/>
          </w:tcPr>
          <w:p w:rsidR="000B65DE" w:rsidRPr="000B65DE" w:rsidRDefault="000B65DE" w:rsidP="000B65DE">
            <w:pPr>
              <w:tabs>
                <w:tab w:val="left" w:pos="426"/>
              </w:tabs>
              <w:ind w:left="176"/>
              <w:jc w:val="both"/>
              <w:rPr>
                <w:szCs w:val="22"/>
                <w:lang w:val="es-ES_tradnl"/>
              </w:rPr>
            </w:pPr>
          </w:p>
        </w:tc>
        <w:tc>
          <w:tcPr>
            <w:tcW w:w="6602" w:type="dxa"/>
          </w:tcPr>
          <w:p w:rsidR="000B65DE" w:rsidRPr="000B65DE" w:rsidRDefault="000B65DE" w:rsidP="000B65DE">
            <w:pPr>
              <w:tabs>
                <w:tab w:val="left" w:pos="426"/>
              </w:tabs>
              <w:ind w:left="0"/>
              <w:jc w:val="both"/>
              <w:rPr>
                <w:rFonts w:ascii="Bookman Old Style" w:hAnsi="Bookman Old Style"/>
                <w:lang w:val="es-ES_tradnl"/>
              </w:rPr>
            </w:pPr>
          </w:p>
        </w:tc>
      </w:tr>
      <w:tr w:rsidR="005B17AB" w:rsidRPr="000B65DE" w:rsidTr="00382E27">
        <w:tc>
          <w:tcPr>
            <w:tcW w:w="2268" w:type="dxa"/>
          </w:tcPr>
          <w:p w:rsidR="005B17AB" w:rsidRDefault="005B17AB" w:rsidP="000B65DE">
            <w:pPr>
              <w:tabs>
                <w:tab w:val="left" w:pos="426"/>
              </w:tabs>
              <w:ind w:left="0"/>
              <w:jc w:val="both"/>
              <w:rPr>
                <w:lang w:val="es-ES_tradnl"/>
              </w:rPr>
            </w:pPr>
            <m:oMathPara>
              <m:oMath>
                <m:r>
                  <m:rPr>
                    <m:sty m:val="p"/>
                  </m:rPr>
                  <w:rPr>
                    <w:rFonts w:ascii="Cambria Math" w:hAnsi="Cambria Math" w:cs="Arial"/>
                    <w:lang w:val="es-ES_tradnl"/>
                  </w:rPr>
                  <m:t>VP</m:t>
                </m:r>
                <m:r>
                  <w:rPr>
                    <w:rFonts w:ascii="Cambria Math" w:hAnsi="Cambria Math" w:cs="Arial"/>
                    <w:lang w:val="es-ES_tradnl"/>
                  </w:rPr>
                  <m:t>(</m:t>
                </m:r>
                <m:sSub>
                  <m:sSubPr>
                    <m:ctrlPr>
                      <w:rPr>
                        <w:rFonts w:ascii="Cambria Math" w:hAnsi="Cambria Math" w:cs="Arial"/>
                        <w:lang w:val="es-ES_tradnl"/>
                      </w:rPr>
                    </m:ctrlPr>
                  </m:sSubPr>
                  <m:e>
                    <m:r>
                      <m:rPr>
                        <m:sty m:val="p"/>
                      </m:rPr>
                      <w:rPr>
                        <w:rFonts w:ascii="Cambria Math" w:hAnsi="Cambria Math" w:cs="Arial"/>
                        <w:lang w:val="es-ES_tradnl"/>
                      </w:rPr>
                      <m:t>AOM</m:t>
                    </m:r>
                  </m:e>
                  <m:sub>
                    <m:r>
                      <m:rPr>
                        <m:sty m:val="p"/>
                      </m:rPr>
                      <w:rPr>
                        <w:rFonts w:ascii="Cambria Math" w:hAnsi="Cambria Math" w:cs="Arial"/>
                        <w:lang w:val="es-ES_tradnl"/>
                      </w:rPr>
                      <m:t>RS</m:t>
                    </m:r>
                    <m:d>
                      <m:dPr>
                        <m:ctrlPr>
                          <w:rPr>
                            <w:rFonts w:ascii="Cambria Math" w:hAnsi="Cambria Math" w:cs="Arial"/>
                            <w:lang w:val="es-ES_tradnl"/>
                          </w:rPr>
                        </m:ctrlPr>
                      </m:dPr>
                      <m:e>
                        <m:r>
                          <m:rPr>
                            <m:sty m:val="p"/>
                          </m:rPr>
                          <w:rPr>
                            <w:rFonts w:ascii="Cambria Math" w:hAnsi="Cambria Math" w:cs="Arial"/>
                            <w:lang w:val="es-ES_tradnl"/>
                          </w:rPr>
                          <m:t>NoRes</m:t>
                        </m:r>
                      </m:e>
                    </m:d>
                    <m:r>
                      <m:rPr>
                        <m:sty m:val="p"/>
                      </m:rPr>
                      <w:rPr>
                        <w:rFonts w:ascii="Cambria Math" w:hAnsi="Cambria Math" w:cs="Arial"/>
                        <w:lang w:val="es-ES_tradnl"/>
                      </w:rPr>
                      <m:t>k</m:t>
                    </m:r>
                  </m:sub>
                </m:sSub>
                <m:r>
                  <w:rPr>
                    <w:rFonts w:ascii="Cambria Math" w:hAnsi="Cambria Math" w:cs="Arial"/>
                    <w:lang w:val="es-ES_tradnl"/>
                  </w:rPr>
                  <m:t>)</m:t>
                </m:r>
              </m:oMath>
            </m:oMathPara>
          </w:p>
        </w:tc>
        <w:tc>
          <w:tcPr>
            <w:tcW w:w="6602" w:type="dxa"/>
          </w:tcPr>
          <w:p w:rsidR="005B17AB" w:rsidRPr="000B65DE" w:rsidRDefault="005B17AB" w:rsidP="005B17AB">
            <w:pPr>
              <w:tabs>
                <w:tab w:val="left" w:pos="426"/>
              </w:tabs>
              <w:ind w:left="0"/>
              <w:jc w:val="both"/>
              <w:rPr>
                <w:rFonts w:ascii="Bookman Old Style" w:hAnsi="Bookman Old Style" w:cs="Arial"/>
                <w:lang w:val="es-CO" w:eastAsia="en-US"/>
              </w:rPr>
            </w:pPr>
            <w:r>
              <w:rPr>
                <w:rFonts w:ascii="Bookman Old Style" w:hAnsi="Bookman Old Style" w:cs="Arial"/>
                <w:lang w:val="es-ES_tradnl"/>
              </w:rPr>
              <w:t xml:space="preserve">Valor Presente de la proyección </w:t>
            </w:r>
            <w:r w:rsidR="0061312F">
              <w:rPr>
                <w:rFonts w:ascii="Bookman Old Style" w:hAnsi="Bookman Old Style" w:cs="Arial"/>
                <w:lang w:val="es-ES_tradnl"/>
              </w:rPr>
              <w:t xml:space="preserve">anual </w:t>
            </w:r>
            <w:r>
              <w:rPr>
                <w:rFonts w:ascii="Bookman Old Style" w:hAnsi="Bookman Old Style" w:cs="Arial"/>
                <w:lang w:val="es-ES_tradnl"/>
              </w:rPr>
              <w:t xml:space="preserve">de gastos de AOM </w:t>
            </w:r>
            <w:r w:rsidR="0061312F">
              <w:rPr>
                <w:rFonts w:ascii="Bookman Old Style" w:hAnsi="Bookman Old Style" w:cs="Arial"/>
                <w:lang w:val="es-ES_tradnl"/>
              </w:rPr>
              <w:t xml:space="preserve">para 20 años </w:t>
            </w:r>
            <w:r>
              <w:rPr>
                <w:rFonts w:ascii="Bookman Old Style" w:hAnsi="Bookman Old Style" w:cs="Arial"/>
                <w:lang w:val="es-CO" w:eastAsia="en-US"/>
              </w:rPr>
              <w:t>correspondientes a</w:t>
            </w:r>
            <w:r w:rsidRPr="000B65DE">
              <w:rPr>
                <w:rFonts w:ascii="Bookman Old Style" w:hAnsi="Bookman Old Style" w:cs="Arial"/>
                <w:lang w:val="es-CO" w:eastAsia="en-US"/>
              </w:rPr>
              <w:t xml:space="preserve"> la Red Secundaria que es utilizada por usuarios diferentes a los de Uso Residencial </w:t>
            </w:r>
            <w:r w:rsidRPr="000B65DE">
              <w:rPr>
                <w:rFonts w:ascii="Bookman Old Style" w:hAnsi="Bookman Old Style"/>
                <w:bCs/>
              </w:rPr>
              <w:t xml:space="preserve">del </w:t>
            </w:r>
            <w:r w:rsidRPr="000B65DE">
              <w:rPr>
                <w:rFonts w:ascii="Bookman Old Style" w:hAnsi="Bookman Old Style" w:cs="Arial"/>
                <w:lang w:val="es-CO" w:eastAsia="en-US"/>
              </w:rPr>
              <w:t>del Mercado Relevante de Distribución para el Siguiente Período Tarifario k conformado por Municipios Nuevos, expresad</w:t>
            </w:r>
            <w:r>
              <w:rPr>
                <w:rFonts w:ascii="Bookman Old Style" w:hAnsi="Bookman Old Style" w:cs="Arial"/>
                <w:lang w:val="es-CO" w:eastAsia="en-US"/>
              </w:rPr>
              <w:t>o</w:t>
            </w:r>
            <w:r w:rsidRPr="000B65DE">
              <w:rPr>
                <w:rFonts w:ascii="Bookman Old Style" w:hAnsi="Bookman Old Style" w:cs="Arial"/>
                <w:lang w:val="es-CO" w:eastAsia="en-US"/>
              </w:rPr>
              <w:t xml:space="preserve"> en pesos de la Fecha Base. Se calcula como la relación entre  la demanda diferente a la residencial (Q</w:t>
            </w:r>
            <w:r w:rsidRPr="000B65DE">
              <w:rPr>
                <w:rFonts w:ascii="Bookman Old Style" w:hAnsi="Bookman Old Style" w:cs="Arial"/>
                <w:vertAlign w:val="subscript"/>
                <w:lang w:val="es-CO" w:eastAsia="en-US"/>
              </w:rPr>
              <w:t>NoRes</w:t>
            </w:r>
            <w:r w:rsidRPr="000B65DE">
              <w:rPr>
                <w:rFonts w:ascii="Bookman Old Style" w:hAnsi="Bookman Old Style" w:cs="Arial"/>
                <w:lang w:val="es-CO" w:eastAsia="en-US"/>
              </w:rPr>
              <w:t xml:space="preserve">) sobre </w:t>
            </w:r>
            <w:r>
              <w:rPr>
                <w:rFonts w:ascii="Bookman Old Style" w:hAnsi="Bookman Old Style" w:cs="Arial"/>
                <w:lang w:val="es-CO" w:eastAsia="en-US"/>
              </w:rPr>
              <w:t>la sumatoria</w:t>
            </w:r>
            <w:r w:rsidRPr="000B65DE">
              <w:rPr>
                <w:rFonts w:ascii="Bookman Old Style" w:hAnsi="Bookman Old Style" w:cs="Arial"/>
                <w:lang w:val="es-CO" w:eastAsia="en-US"/>
              </w:rPr>
              <w:t xml:space="preserve"> de la demanda que utiliza la red secundaria (Q</w:t>
            </w:r>
            <w:r w:rsidRPr="000B65DE">
              <w:rPr>
                <w:rFonts w:ascii="Bookman Old Style" w:hAnsi="Bookman Old Style" w:cs="Arial"/>
                <w:vertAlign w:val="subscript"/>
                <w:lang w:val="es-CO" w:eastAsia="en-US"/>
              </w:rPr>
              <w:t>NoRes</w:t>
            </w:r>
            <w:r w:rsidRPr="000B65DE">
              <w:rPr>
                <w:rFonts w:ascii="Bookman Old Style" w:hAnsi="Bookman Old Style" w:cs="Arial"/>
                <w:lang w:val="es-CO" w:eastAsia="en-US"/>
              </w:rPr>
              <w:t xml:space="preserve"> + Q</w:t>
            </w:r>
            <w:r w:rsidRPr="000B65DE">
              <w:rPr>
                <w:rFonts w:ascii="Bookman Old Style" w:hAnsi="Bookman Old Style" w:cs="Arial"/>
                <w:vertAlign w:val="subscript"/>
                <w:lang w:val="es-CO" w:eastAsia="en-US"/>
              </w:rPr>
              <w:t>Res</w:t>
            </w:r>
            <w:r w:rsidRPr="000B65DE">
              <w:rPr>
                <w:rFonts w:ascii="Bookman Old Style" w:hAnsi="Bookman Old Style" w:cs="Arial"/>
                <w:lang w:val="es-CO" w:eastAsia="en-US"/>
              </w:rPr>
              <w:t xml:space="preserve">) y el resultado de esta relación por el Valor de </w:t>
            </w:r>
            <w:r>
              <w:rPr>
                <w:rFonts w:ascii="Bookman Old Style" w:hAnsi="Bookman Old Style" w:cs="Arial"/>
                <w:lang w:val="es-CO" w:eastAsia="en-US"/>
              </w:rPr>
              <w:t xml:space="preserve">los </w:t>
            </w:r>
            <w:r w:rsidRPr="000B65DE">
              <w:rPr>
                <w:rFonts w:ascii="Bookman Old Style" w:hAnsi="Bookman Old Style" w:cs="Arial"/>
                <w:lang w:val="es-ES_tradnl"/>
              </w:rPr>
              <w:t>Gastos anuales eficientes de Administración, Operación y Mantenimiento</w:t>
            </w:r>
            <w:r>
              <w:rPr>
                <w:rFonts w:ascii="Bookman Old Style" w:hAnsi="Bookman Old Style" w:cs="Arial"/>
                <w:lang w:val="es-ES_tradnl"/>
              </w:rPr>
              <w:t xml:space="preserve"> de la</w:t>
            </w:r>
            <w:r w:rsidRPr="000B65DE">
              <w:rPr>
                <w:rFonts w:ascii="Bookman Old Style" w:hAnsi="Bookman Old Style" w:cs="Arial"/>
                <w:lang w:val="es-CO" w:eastAsia="en-US"/>
              </w:rPr>
              <w:t xml:space="preserve"> Red Secundaria. Esta se determina como se indica en el numeral </w:t>
            </w:r>
            <w:r>
              <w:fldChar w:fldCharType="begin"/>
            </w:r>
            <w:r>
              <w:instrText xml:space="preserve"> REF _Ref289353052 \r \h  \* MERGEFORMAT </w:instrText>
            </w:r>
            <w:r>
              <w:fldChar w:fldCharType="separate"/>
            </w:r>
            <w:r w:rsidR="004D5C18" w:rsidRPr="004D5C18">
              <w:rPr>
                <w:rFonts w:ascii="Bookman Old Style" w:hAnsi="Bookman Old Style" w:cs="Arial"/>
                <w:lang w:val="es-CO" w:eastAsia="en-US"/>
              </w:rPr>
              <w:t>9.5.1</w:t>
            </w:r>
            <w:r>
              <w:fldChar w:fldCharType="end"/>
            </w:r>
            <w:r w:rsidRPr="000B65DE">
              <w:rPr>
                <w:rFonts w:ascii="Bookman Old Style" w:hAnsi="Bookman Old Style" w:cs="Arial"/>
                <w:lang w:val="es-CO" w:eastAsia="en-US"/>
              </w:rPr>
              <w:t xml:space="preserve"> de esta Resolución.</w:t>
            </w:r>
          </w:p>
          <w:p w:rsidR="005B17AB" w:rsidRPr="00A179EE" w:rsidRDefault="005B17AB" w:rsidP="000B65DE">
            <w:pPr>
              <w:ind w:left="0"/>
              <w:jc w:val="both"/>
              <w:rPr>
                <w:rFonts w:ascii="Bookman Old Style" w:hAnsi="Bookman Old Style" w:cs="Arial"/>
                <w:lang w:val="es-CO"/>
              </w:rPr>
            </w:pPr>
          </w:p>
        </w:tc>
      </w:tr>
      <w:tr w:rsidR="000B65DE" w:rsidRPr="000B65DE" w:rsidTr="00382E27">
        <w:tc>
          <w:tcPr>
            <w:tcW w:w="2268" w:type="dxa"/>
          </w:tcPr>
          <w:p w:rsidR="000B65DE" w:rsidRPr="0092172B" w:rsidRDefault="00364E59" w:rsidP="000B65DE">
            <w:pPr>
              <w:tabs>
                <w:tab w:val="left" w:pos="426"/>
              </w:tabs>
              <w:ind w:left="0"/>
              <w:jc w:val="both"/>
              <w:rPr>
                <w:rFonts w:ascii="Bookman Old Style" w:hAnsi="Bookman Old Style" w:cs="Arial"/>
                <w:lang w:val="es-ES_tradnl"/>
              </w:rPr>
            </w:pPr>
            <m:oMathPara>
              <m:oMathParaPr>
                <m:jc m:val="left"/>
              </m:oMathParaPr>
              <m:oMath>
                <m:sSub>
                  <m:sSubPr>
                    <m:ctrlPr>
                      <w:rPr>
                        <w:rFonts w:ascii="Cambria Math" w:hAnsi="Cambria Math" w:cs="Arial"/>
                        <w:lang w:val="es-ES_tradnl"/>
                      </w:rPr>
                    </m:ctrlPr>
                  </m:sSubPr>
                  <m:e>
                    <m:r>
                      <m:rPr>
                        <m:sty m:val="p"/>
                      </m:rPr>
                      <w:rPr>
                        <w:rFonts w:ascii="Cambria Math" w:hAnsi="Cambria Math" w:cs="Arial"/>
                        <w:lang w:val="es-ES_tradnl"/>
                      </w:rPr>
                      <m:t>VP(Q(PR)</m:t>
                    </m:r>
                  </m:e>
                  <m:sub>
                    <m:r>
                      <m:rPr>
                        <m:sty m:val="p"/>
                      </m:rPr>
                      <w:rPr>
                        <w:rFonts w:ascii="Cambria Math" w:hAnsi="Cambria Math" w:cs="Arial"/>
                        <w:lang w:val="es-ES_tradnl"/>
                      </w:rPr>
                      <m:t>Tk</m:t>
                    </m:r>
                  </m:sub>
                </m:sSub>
              </m:oMath>
            </m:oMathPara>
          </w:p>
        </w:tc>
        <w:tc>
          <w:tcPr>
            <w:tcW w:w="6602" w:type="dxa"/>
          </w:tcPr>
          <w:p w:rsidR="000B65DE" w:rsidRPr="000B65DE" w:rsidRDefault="000B65DE" w:rsidP="000B65DE">
            <w:pPr>
              <w:ind w:left="0"/>
              <w:jc w:val="both"/>
              <w:rPr>
                <w:rFonts w:ascii="Bookman Old Style" w:hAnsi="Bookman Old Style" w:cs="Arial"/>
                <w:lang w:val="es-ES_tradnl"/>
              </w:rPr>
            </w:pPr>
            <w:r w:rsidRPr="000B65DE">
              <w:rPr>
                <w:rFonts w:ascii="Bookman Old Style" w:hAnsi="Bookman Old Style" w:cs="Arial"/>
                <w:lang w:val="es-ES_tradnl"/>
              </w:rPr>
              <w:t xml:space="preserve">Valor Presente de la proyección </w:t>
            </w:r>
            <w:r w:rsidR="0061312F">
              <w:rPr>
                <w:rFonts w:ascii="Bookman Old Style" w:hAnsi="Bookman Old Style" w:cs="Arial"/>
                <w:lang w:val="es-ES_tradnl"/>
              </w:rPr>
              <w:t xml:space="preserve">anual </w:t>
            </w:r>
            <w:r w:rsidRPr="000B65DE">
              <w:rPr>
                <w:rFonts w:ascii="Bookman Old Style" w:hAnsi="Bookman Old Style" w:cs="Arial"/>
                <w:lang w:val="es-ES_tradnl"/>
              </w:rPr>
              <w:t xml:space="preserve">de demanda total </w:t>
            </w:r>
            <w:r w:rsidR="00697854">
              <w:rPr>
                <w:rFonts w:ascii="Bookman Old Style" w:hAnsi="Bookman Old Style" w:cs="Arial"/>
                <w:lang w:val="es-ES_tradnl"/>
              </w:rPr>
              <w:t>para 20 años</w:t>
            </w:r>
            <w:r w:rsidRPr="000B65DE">
              <w:rPr>
                <w:rFonts w:ascii="Bookman Old Style" w:hAnsi="Bookman Old Style" w:cs="Arial"/>
                <w:lang w:val="es-ES_tradnl"/>
              </w:rPr>
              <w:t xml:space="preserve"> para </w:t>
            </w:r>
            <w:r w:rsidRPr="000B65DE">
              <w:rPr>
                <w:rFonts w:ascii="Bookman Old Style" w:hAnsi="Bookman Old Style" w:cs="Arial"/>
                <w:lang w:val="es-CO" w:eastAsia="en-US"/>
              </w:rPr>
              <w:t xml:space="preserve">el Mercado Relevante de Distribución para el Siguiente Período Tarifario k </w:t>
            </w:r>
            <w:r w:rsidRPr="000B65DE">
              <w:rPr>
                <w:rFonts w:ascii="Bookman Old Style" w:hAnsi="Bookman Old Style" w:cs="Arial"/>
                <w:lang w:val="es-CO" w:eastAsia="en-US"/>
              </w:rPr>
              <w:lastRenderedPageBreak/>
              <w:t>conformado por Municipios Nuevos</w:t>
            </w:r>
            <w:r w:rsidRPr="000B65DE">
              <w:rPr>
                <w:rFonts w:ascii="Bookman Old Style" w:hAnsi="Bookman Old Style" w:cs="Arial"/>
                <w:lang w:val="es-ES_tradnl"/>
              </w:rPr>
              <w:t>,  expresada en metros cúbicos (m</w:t>
            </w:r>
            <w:r w:rsidRPr="000B65DE">
              <w:rPr>
                <w:rFonts w:ascii="Bookman Old Style" w:hAnsi="Bookman Old Style" w:cs="Arial"/>
                <w:vertAlign w:val="superscript"/>
                <w:lang w:val="es-ES_tradnl"/>
              </w:rPr>
              <w:t>3</w:t>
            </w:r>
            <w:r w:rsidRPr="000B65DE">
              <w:rPr>
                <w:rFonts w:ascii="Bookman Old Style" w:hAnsi="Bookman Old Style" w:cs="Arial"/>
                <w:lang w:val="es-ES_tradnl"/>
              </w:rPr>
              <w:t xml:space="preserve">). </w:t>
            </w:r>
          </w:p>
          <w:p w:rsidR="000B65DE" w:rsidRPr="000B65DE" w:rsidRDefault="000B65DE" w:rsidP="000B65DE">
            <w:pPr>
              <w:tabs>
                <w:tab w:val="left" w:pos="426"/>
              </w:tabs>
              <w:ind w:left="0"/>
              <w:jc w:val="both"/>
              <w:rPr>
                <w:rFonts w:ascii="Bookman Old Style" w:hAnsi="Bookman Old Style" w:cs="Arial"/>
                <w:lang w:val="es-ES_tradnl"/>
              </w:rPr>
            </w:pPr>
          </w:p>
        </w:tc>
      </w:tr>
      <w:tr w:rsidR="000B65DE" w:rsidRPr="000B65DE" w:rsidTr="00382E27">
        <w:tc>
          <w:tcPr>
            <w:tcW w:w="2268" w:type="dxa"/>
          </w:tcPr>
          <w:p w:rsidR="000B65DE" w:rsidRPr="0092172B" w:rsidRDefault="00364E59" w:rsidP="000B65DE">
            <w:pPr>
              <w:tabs>
                <w:tab w:val="left" w:pos="426"/>
              </w:tabs>
              <w:ind w:left="0"/>
              <w:jc w:val="both"/>
              <w:rPr>
                <w:sz w:val="22"/>
                <w:lang w:val="es-ES_tradnl"/>
              </w:rPr>
            </w:pPr>
            <m:oMathPara>
              <m:oMathParaPr>
                <m:jc m:val="left"/>
              </m:oMathParaPr>
              <m:oMath>
                <m:sSub>
                  <m:sSubPr>
                    <m:ctrlPr>
                      <w:rPr>
                        <w:rFonts w:ascii="Cambria Math" w:hAnsi="Cambria Math" w:cs="Arial"/>
                        <w:lang w:val="es-ES_tradnl"/>
                      </w:rPr>
                    </m:ctrlPr>
                  </m:sSubPr>
                  <m:e>
                    <m:r>
                      <m:rPr>
                        <m:sty m:val="p"/>
                      </m:rPr>
                      <w:rPr>
                        <w:rFonts w:ascii="Cambria Math" w:hAnsi="Cambria Math" w:cs="Arial"/>
                        <w:lang w:val="es-ES_tradnl"/>
                      </w:rPr>
                      <m:t>VP(Q(PR)</m:t>
                    </m:r>
                  </m:e>
                  <m:sub>
                    <m:r>
                      <m:rPr>
                        <m:sty m:val="p"/>
                      </m:rPr>
                      <w:rPr>
                        <w:rFonts w:ascii="Cambria Math" w:hAnsi="Cambria Math" w:cs="Arial"/>
                        <w:lang w:val="es-ES_tradnl"/>
                      </w:rPr>
                      <m:t>Resk</m:t>
                    </m:r>
                  </m:sub>
                </m:sSub>
                <m:r>
                  <w:rPr>
                    <w:rFonts w:ascii="Cambria Math" w:hAnsi="Cambria Math" w:cs="Arial"/>
                    <w:lang w:val="es-ES_tradnl"/>
                  </w:rPr>
                  <m:t>)</m:t>
                </m:r>
              </m:oMath>
            </m:oMathPara>
          </w:p>
        </w:tc>
        <w:tc>
          <w:tcPr>
            <w:tcW w:w="6602" w:type="dxa"/>
          </w:tcPr>
          <w:p w:rsidR="000B65DE" w:rsidRPr="000B65DE" w:rsidRDefault="000B65DE" w:rsidP="000B65DE">
            <w:pPr>
              <w:ind w:left="0"/>
              <w:jc w:val="both"/>
              <w:rPr>
                <w:rFonts w:ascii="Bookman Old Style" w:hAnsi="Bookman Old Style" w:cs="Arial"/>
                <w:lang w:val="es-ES_tradnl"/>
              </w:rPr>
            </w:pPr>
            <w:r w:rsidRPr="000B65DE">
              <w:rPr>
                <w:rFonts w:ascii="Bookman Old Style" w:hAnsi="Bookman Old Style" w:cs="Arial"/>
                <w:lang w:val="es-ES_tradnl"/>
              </w:rPr>
              <w:t xml:space="preserve">Valor Presente de la proyección </w:t>
            </w:r>
            <w:r w:rsidR="00697854">
              <w:rPr>
                <w:rFonts w:ascii="Bookman Old Style" w:hAnsi="Bookman Old Style" w:cs="Arial"/>
                <w:lang w:val="es-ES_tradnl"/>
              </w:rPr>
              <w:t xml:space="preserve">anual </w:t>
            </w:r>
            <w:r w:rsidRPr="000B65DE">
              <w:rPr>
                <w:rFonts w:ascii="Bookman Old Style" w:hAnsi="Bookman Old Style" w:cs="Arial"/>
                <w:lang w:val="es-ES_tradnl"/>
              </w:rPr>
              <w:t xml:space="preserve">de demanda </w:t>
            </w:r>
            <w:r w:rsidR="00697854">
              <w:rPr>
                <w:rFonts w:ascii="Bookman Old Style" w:hAnsi="Bookman Old Style" w:cs="Arial"/>
                <w:lang w:val="es-ES_tradnl"/>
              </w:rPr>
              <w:t xml:space="preserve"> para 20 años </w:t>
            </w:r>
            <w:r w:rsidRPr="000B65DE">
              <w:rPr>
                <w:rFonts w:ascii="Bookman Old Style" w:hAnsi="Bookman Old Style" w:cs="Arial"/>
                <w:lang w:val="es-ES_tradnl"/>
              </w:rPr>
              <w:t xml:space="preserve">de Usuarios de Uso Residencial </w:t>
            </w:r>
            <w:r w:rsidRPr="000B65DE">
              <w:rPr>
                <w:rFonts w:ascii="Bookman Old Style" w:hAnsi="Bookman Old Style" w:cs="Arial"/>
                <w:lang w:val="es-CO" w:eastAsia="en-US"/>
              </w:rPr>
              <w:t>del Mercado Relevante de Distribución para el Siguiente Período Tarifario k conformado por Municipios Nuevos</w:t>
            </w:r>
            <w:r w:rsidRPr="000B65DE" w:rsidDel="007253E1">
              <w:rPr>
                <w:rFonts w:ascii="Bookman Old Style" w:hAnsi="Bookman Old Style" w:cs="Arial"/>
                <w:lang w:val="es-ES_tradnl"/>
              </w:rPr>
              <w:t xml:space="preserve"> </w:t>
            </w:r>
            <w:r w:rsidRPr="000B65DE">
              <w:rPr>
                <w:rFonts w:ascii="Bookman Old Style" w:hAnsi="Bookman Old Style" w:cs="Arial"/>
                <w:lang w:val="es-ES_tradnl"/>
              </w:rPr>
              <w:t>expresada en metros cúbicos (m</w:t>
            </w:r>
            <w:r w:rsidRPr="000B65DE">
              <w:rPr>
                <w:rFonts w:ascii="Bookman Old Style" w:hAnsi="Bookman Old Style" w:cs="Arial"/>
                <w:vertAlign w:val="superscript"/>
                <w:lang w:val="es-ES_tradnl"/>
              </w:rPr>
              <w:t>3</w:t>
            </w:r>
            <w:r w:rsidRPr="000B65DE">
              <w:rPr>
                <w:rFonts w:ascii="Bookman Old Style" w:hAnsi="Bookman Old Style" w:cs="Arial"/>
                <w:lang w:val="es-ES_tradnl"/>
              </w:rPr>
              <w:t xml:space="preserve">). </w:t>
            </w:r>
          </w:p>
          <w:p w:rsidR="000B65DE" w:rsidRDefault="000B65DE" w:rsidP="000B65DE">
            <w:pPr>
              <w:ind w:left="0"/>
              <w:jc w:val="both"/>
              <w:rPr>
                <w:rFonts w:ascii="Bookman Old Style" w:hAnsi="Bookman Old Style" w:cs="Arial"/>
                <w:lang w:val="es-ES_tradnl"/>
              </w:rPr>
            </w:pPr>
          </w:p>
          <w:p w:rsidR="00D830E1" w:rsidRPr="000B65DE" w:rsidRDefault="00D830E1" w:rsidP="000B65DE">
            <w:pPr>
              <w:ind w:left="0"/>
              <w:jc w:val="both"/>
              <w:rPr>
                <w:rFonts w:ascii="Bookman Old Style" w:hAnsi="Bookman Old Style" w:cs="Arial"/>
                <w:lang w:val="es-ES_tradnl"/>
              </w:rPr>
            </w:pPr>
          </w:p>
        </w:tc>
      </w:tr>
    </w:tbl>
    <w:p w:rsidR="005F547A" w:rsidRPr="000B65DE" w:rsidRDefault="005F547A" w:rsidP="008F4D9F">
      <w:pPr>
        <w:keepNext/>
        <w:numPr>
          <w:ilvl w:val="1"/>
          <w:numId w:val="16"/>
        </w:numPr>
        <w:spacing w:before="240" w:after="60"/>
        <w:jc w:val="both"/>
        <w:outlineLvl w:val="0"/>
        <w:rPr>
          <w:rFonts w:ascii="Bookman Old Style" w:hAnsi="Bookman Old Style"/>
          <w:b/>
          <w:bCs/>
          <w:szCs w:val="20"/>
          <w:lang w:val="es-ES_tradnl"/>
        </w:rPr>
      </w:pPr>
      <w:r w:rsidRPr="000B65DE">
        <w:rPr>
          <w:rFonts w:ascii="Bookman Old Style" w:hAnsi="Bookman Old Style"/>
          <w:b/>
          <w:bCs/>
          <w:szCs w:val="20"/>
          <w:lang w:val="es-ES_tradnl"/>
        </w:rPr>
        <w:t>CARGO</w:t>
      </w:r>
      <w:r>
        <w:rPr>
          <w:rFonts w:ascii="Bookman Old Style" w:hAnsi="Bookman Old Style"/>
          <w:b/>
          <w:bCs/>
          <w:szCs w:val="20"/>
          <w:lang w:val="es-ES_tradnl"/>
        </w:rPr>
        <w:t>S DE</w:t>
      </w:r>
      <w:r w:rsidRPr="000B65DE">
        <w:rPr>
          <w:rFonts w:ascii="Bookman Old Style" w:hAnsi="Bookman Old Style"/>
          <w:b/>
          <w:bCs/>
          <w:szCs w:val="20"/>
          <w:lang w:val="es-ES_tradnl"/>
        </w:rPr>
        <w:t xml:space="preserve"> DISTRIBUCIÓN </w:t>
      </w:r>
      <w:r>
        <w:rPr>
          <w:rFonts w:ascii="Bookman Old Style" w:hAnsi="Bookman Old Style"/>
          <w:b/>
          <w:bCs/>
          <w:szCs w:val="20"/>
          <w:lang w:val="es-ES_tradnl"/>
        </w:rPr>
        <w:t xml:space="preserve">EN SISTEMAS DE DISTRIBUCIÓN QUE NO </w:t>
      </w:r>
      <w:r w:rsidR="00A523D8">
        <w:rPr>
          <w:rFonts w:ascii="Bookman Old Style" w:hAnsi="Bookman Old Style"/>
          <w:b/>
          <w:bCs/>
          <w:szCs w:val="20"/>
          <w:lang w:val="es-ES_tradnl"/>
        </w:rPr>
        <w:t xml:space="preserve">TIENEN </w:t>
      </w:r>
      <w:r>
        <w:rPr>
          <w:rFonts w:ascii="Bookman Old Style" w:hAnsi="Bookman Old Style"/>
          <w:b/>
          <w:bCs/>
          <w:szCs w:val="20"/>
          <w:lang w:val="es-ES_tradnl"/>
        </w:rPr>
        <w:t>CONECTADOS</w:t>
      </w:r>
      <w:r w:rsidRPr="000B65DE">
        <w:rPr>
          <w:rFonts w:ascii="Bookman Old Style" w:hAnsi="Bookman Old Style"/>
          <w:b/>
          <w:bCs/>
          <w:szCs w:val="20"/>
          <w:lang w:val="es-ES_tradnl"/>
        </w:rPr>
        <w:t xml:space="preserve"> USUARIOS A L</w:t>
      </w:r>
      <w:r>
        <w:rPr>
          <w:rFonts w:ascii="Bookman Old Style" w:hAnsi="Bookman Old Style"/>
          <w:b/>
          <w:bCs/>
          <w:szCs w:val="20"/>
          <w:lang w:val="es-ES_tradnl"/>
        </w:rPr>
        <w:t xml:space="preserve">A RED PRIMARIA </w:t>
      </w:r>
    </w:p>
    <w:p w:rsidR="00D83291" w:rsidRDefault="00D83291" w:rsidP="00D83291">
      <w:pPr>
        <w:ind w:left="0"/>
        <w:jc w:val="both"/>
        <w:rPr>
          <w:rFonts w:ascii="Bookman Old Style" w:hAnsi="Bookman Old Style"/>
        </w:rPr>
      </w:pPr>
    </w:p>
    <w:p w:rsidR="00A523D8" w:rsidRPr="00D83291" w:rsidRDefault="00D830E1" w:rsidP="00D83291">
      <w:pPr>
        <w:ind w:left="0"/>
        <w:jc w:val="both"/>
        <w:rPr>
          <w:rFonts w:ascii="Bookman Old Style" w:hAnsi="Bookman Old Style"/>
        </w:rPr>
      </w:pPr>
      <w:r w:rsidRPr="00D83291">
        <w:rPr>
          <w:rFonts w:ascii="Bookman Old Style" w:hAnsi="Bookman Old Style"/>
        </w:rPr>
        <w:t xml:space="preserve">Cuando un </w:t>
      </w:r>
      <w:r w:rsidR="00FB606F" w:rsidRPr="00D83291">
        <w:rPr>
          <w:rFonts w:ascii="Bookman Old Style" w:hAnsi="Bookman Old Style"/>
        </w:rPr>
        <w:t>S</w:t>
      </w:r>
      <w:r w:rsidRPr="00D83291">
        <w:rPr>
          <w:rFonts w:ascii="Bookman Old Style" w:hAnsi="Bookman Old Style"/>
        </w:rPr>
        <w:t xml:space="preserve">istema de </w:t>
      </w:r>
      <w:r w:rsidR="00FB606F" w:rsidRPr="00D83291">
        <w:rPr>
          <w:rFonts w:ascii="Bookman Old Style" w:hAnsi="Bookman Old Style"/>
        </w:rPr>
        <w:t>D</w:t>
      </w:r>
      <w:r w:rsidRPr="00D83291">
        <w:rPr>
          <w:rFonts w:ascii="Bookman Old Style" w:hAnsi="Bookman Old Style"/>
        </w:rPr>
        <w:t xml:space="preserve">istribución tenga red primaria y secundaria pero </w:t>
      </w:r>
      <w:r w:rsidR="005F547A" w:rsidRPr="00D83291">
        <w:rPr>
          <w:rFonts w:ascii="Bookman Old Style" w:hAnsi="Bookman Old Style"/>
        </w:rPr>
        <w:t>todos los</w:t>
      </w:r>
      <w:r w:rsidRPr="00D83291">
        <w:rPr>
          <w:rFonts w:ascii="Bookman Old Style" w:hAnsi="Bookman Old Style"/>
        </w:rPr>
        <w:t xml:space="preserve"> usuarios </w:t>
      </w:r>
      <w:r w:rsidR="005F547A" w:rsidRPr="00D83291">
        <w:rPr>
          <w:rFonts w:ascii="Bookman Old Style" w:hAnsi="Bookman Old Style"/>
        </w:rPr>
        <w:t>estén conectados a la red secundaria</w:t>
      </w:r>
      <w:r w:rsidRPr="00D83291">
        <w:rPr>
          <w:rFonts w:ascii="Bookman Old Style" w:hAnsi="Bookman Old Style"/>
        </w:rPr>
        <w:t xml:space="preserve"> se podrá </w:t>
      </w:r>
      <w:r w:rsidR="005F547A" w:rsidRPr="00D83291">
        <w:rPr>
          <w:rFonts w:ascii="Bookman Old Style" w:hAnsi="Bookman Old Style"/>
        </w:rPr>
        <w:t xml:space="preserve">determinar </w:t>
      </w:r>
      <w:r w:rsidR="00A523D8" w:rsidRPr="00D83291">
        <w:rPr>
          <w:rFonts w:ascii="Bookman Old Style" w:hAnsi="Bookman Old Style"/>
        </w:rPr>
        <w:t xml:space="preserve">en ese Mercado Relevante </w:t>
      </w:r>
      <w:r w:rsidR="005F547A" w:rsidRPr="00D83291">
        <w:rPr>
          <w:rFonts w:ascii="Bookman Old Style" w:hAnsi="Bookman Old Style"/>
        </w:rPr>
        <w:t xml:space="preserve">un solo cargo de </w:t>
      </w:r>
      <w:r w:rsidR="00A523D8" w:rsidRPr="00D83291">
        <w:rPr>
          <w:rFonts w:ascii="Bookman Old Style" w:hAnsi="Bookman Old Style"/>
        </w:rPr>
        <w:t>distribución</w:t>
      </w:r>
      <w:r w:rsidR="005F547A" w:rsidRPr="00D83291">
        <w:rPr>
          <w:rFonts w:ascii="Bookman Old Style" w:hAnsi="Bookman Old Style"/>
        </w:rPr>
        <w:t xml:space="preserve"> que se</w:t>
      </w:r>
      <w:r w:rsidR="00A523D8" w:rsidRPr="00D83291">
        <w:rPr>
          <w:rFonts w:ascii="Bookman Old Style" w:hAnsi="Bookman Old Style"/>
        </w:rPr>
        <w:t>rá</w:t>
      </w:r>
      <w:r w:rsidR="005F547A" w:rsidRPr="00D83291">
        <w:rPr>
          <w:rFonts w:ascii="Bookman Old Style" w:hAnsi="Bookman Old Style"/>
        </w:rPr>
        <w:t xml:space="preserve"> </w:t>
      </w:r>
      <w:r w:rsidR="00A523D8" w:rsidRPr="00D83291">
        <w:rPr>
          <w:rFonts w:ascii="Bookman Old Style" w:hAnsi="Bookman Old Style"/>
        </w:rPr>
        <w:t>aplicable</w:t>
      </w:r>
      <w:r w:rsidR="005F547A" w:rsidRPr="00D83291">
        <w:rPr>
          <w:rFonts w:ascii="Bookman Old Style" w:hAnsi="Bookman Old Style"/>
        </w:rPr>
        <w:t xml:space="preserve"> a usuarios </w:t>
      </w:r>
      <w:r w:rsidR="00A523D8" w:rsidRPr="00D83291">
        <w:rPr>
          <w:rFonts w:ascii="Bookman Old Style" w:hAnsi="Bookman Old Style"/>
        </w:rPr>
        <w:t>residenciales</w:t>
      </w:r>
      <w:r w:rsidR="005F547A" w:rsidRPr="00D83291">
        <w:rPr>
          <w:rFonts w:ascii="Bookman Old Style" w:hAnsi="Bookman Old Style"/>
        </w:rPr>
        <w:t xml:space="preserve"> y a usuarios diferentes al </w:t>
      </w:r>
      <w:r w:rsidR="00A523D8" w:rsidRPr="00D83291">
        <w:rPr>
          <w:rFonts w:ascii="Bookman Old Style" w:hAnsi="Bookman Old Style"/>
        </w:rPr>
        <w:t xml:space="preserve">de </w:t>
      </w:r>
      <w:r w:rsidR="005F547A" w:rsidRPr="00D83291">
        <w:rPr>
          <w:rFonts w:ascii="Bookman Old Style" w:hAnsi="Bookman Old Style"/>
        </w:rPr>
        <w:t>uso residencial</w:t>
      </w:r>
      <w:r w:rsidR="00BA3BEF">
        <w:rPr>
          <w:rFonts w:ascii="Bookman Old Style" w:hAnsi="Bookman Old Style"/>
        </w:rPr>
        <w:t>. La canasta de tarifas de estos mercados deben excluir a los usuarios residenciales.</w:t>
      </w:r>
    </w:p>
    <w:p w:rsidR="000B65DE" w:rsidRPr="000B65DE" w:rsidRDefault="000B65DE" w:rsidP="008F4D9F">
      <w:pPr>
        <w:keepNext/>
        <w:numPr>
          <w:ilvl w:val="1"/>
          <w:numId w:val="16"/>
        </w:numPr>
        <w:spacing w:before="240" w:after="60"/>
        <w:ind w:hanging="567"/>
        <w:jc w:val="both"/>
        <w:outlineLvl w:val="0"/>
        <w:rPr>
          <w:rFonts w:ascii="Bookman Old Style" w:hAnsi="Bookman Old Style"/>
          <w:b/>
          <w:bCs/>
          <w:szCs w:val="20"/>
          <w:lang w:val="es-ES_tradnl"/>
        </w:rPr>
      </w:pPr>
      <w:bookmarkStart w:id="12" w:name="_Ref375545126"/>
      <w:r w:rsidRPr="000B65DE">
        <w:rPr>
          <w:rFonts w:ascii="Bookman Old Style" w:hAnsi="Bookman Old Style"/>
          <w:b/>
          <w:bCs/>
          <w:szCs w:val="20"/>
          <w:lang w:val="es-ES_tradnl"/>
        </w:rPr>
        <w:t>INVERSIÓN BASE</w:t>
      </w:r>
      <w:bookmarkEnd w:id="12"/>
    </w:p>
    <w:p w:rsidR="000B65DE" w:rsidRPr="000B65DE" w:rsidRDefault="00BA3BEF" w:rsidP="000B65DE">
      <w:pPr>
        <w:ind w:left="0"/>
        <w:jc w:val="both"/>
        <w:rPr>
          <w:rFonts w:ascii="Bookman Old Style" w:hAnsi="Bookman Old Style"/>
        </w:rPr>
      </w:pPr>
      <w:r>
        <w:rPr>
          <w:rFonts w:ascii="Bookman Old Style" w:hAnsi="Bookman Old Style"/>
        </w:rPr>
        <w:t xml:space="preserve"> </w:t>
      </w:r>
    </w:p>
    <w:p w:rsidR="000B65DE" w:rsidRPr="000B65DE" w:rsidRDefault="000B65DE" w:rsidP="000B65DE">
      <w:pPr>
        <w:ind w:left="0"/>
        <w:jc w:val="both"/>
        <w:rPr>
          <w:rFonts w:ascii="Bookman Old Style" w:hAnsi="Bookman Old Style"/>
        </w:rPr>
      </w:pPr>
      <w:r w:rsidRPr="000B65DE">
        <w:rPr>
          <w:rFonts w:ascii="Bookman Old Style" w:hAnsi="Bookman Old Style"/>
        </w:rPr>
        <w:t>La Inversión Base denominada IBME, IBMEN o IBMN, comprenderá la Inversión realizada o la Inversión a realizar en los activos  que se describen a continuación y en el Mercado Relevante de Distribución para el Siguiente Período Tarifario:</w:t>
      </w:r>
    </w:p>
    <w:p w:rsidR="000B65DE" w:rsidRPr="000B65DE" w:rsidRDefault="000B65DE" w:rsidP="000B65DE">
      <w:pPr>
        <w:ind w:left="0"/>
        <w:jc w:val="both"/>
        <w:rPr>
          <w:rFonts w:ascii="Bookman Old Style" w:hAnsi="Bookman Old Style"/>
        </w:rPr>
      </w:pPr>
    </w:p>
    <w:p w:rsidR="000B65DE" w:rsidRDefault="000B65DE" w:rsidP="00382E27">
      <w:pPr>
        <w:keepNext/>
        <w:numPr>
          <w:ilvl w:val="0"/>
          <w:numId w:val="7"/>
        </w:numPr>
        <w:tabs>
          <w:tab w:val="left" w:pos="468"/>
        </w:tabs>
        <w:spacing w:after="200" w:line="276" w:lineRule="auto"/>
        <w:contextualSpacing/>
        <w:jc w:val="both"/>
        <w:rPr>
          <w:rFonts w:ascii="Bookman Old Style" w:eastAsia="Calibri" w:hAnsi="Bookman Old Style" w:cs="Arial"/>
          <w:b/>
          <w:lang w:eastAsia="en-US"/>
        </w:rPr>
      </w:pPr>
      <w:r w:rsidRPr="000B65DE">
        <w:rPr>
          <w:rFonts w:ascii="Bookman Old Style" w:eastAsia="Calibri" w:hAnsi="Bookman Old Style" w:cs="Arial"/>
          <w:b/>
          <w:lang w:eastAsia="en-US"/>
        </w:rPr>
        <w:t>Activos Inherentes a la Operación</w:t>
      </w:r>
    </w:p>
    <w:p w:rsidR="00A179EE" w:rsidRPr="000B65DE" w:rsidRDefault="00A179EE" w:rsidP="00A179EE">
      <w:pPr>
        <w:keepNext/>
        <w:tabs>
          <w:tab w:val="left" w:pos="468"/>
        </w:tabs>
        <w:spacing w:after="200" w:line="276" w:lineRule="auto"/>
        <w:ind w:left="723"/>
        <w:contextualSpacing/>
        <w:jc w:val="both"/>
        <w:rPr>
          <w:rFonts w:ascii="Bookman Old Style" w:eastAsia="Calibri" w:hAnsi="Bookman Old Style" w:cs="Arial"/>
          <w:b/>
          <w:lang w:eastAsia="en-US"/>
        </w:rPr>
      </w:pPr>
    </w:p>
    <w:p w:rsidR="000B65DE" w:rsidRPr="000B65DE" w:rsidRDefault="000B65DE" w:rsidP="000B65DE">
      <w:pPr>
        <w:spacing w:after="200"/>
        <w:ind w:left="468"/>
        <w:jc w:val="both"/>
        <w:rPr>
          <w:rFonts w:ascii="Bookman Old Style" w:eastAsia="Calibri" w:hAnsi="Bookman Old Style" w:cs="Arial"/>
          <w:lang w:eastAsia="en-US"/>
        </w:rPr>
      </w:pPr>
      <w:r w:rsidRPr="000B65DE">
        <w:rPr>
          <w:rFonts w:ascii="Bookman Old Style" w:eastAsia="Calibri" w:hAnsi="Bookman Old Style" w:cs="Arial"/>
          <w:lang w:eastAsia="en-US"/>
        </w:rPr>
        <w:t xml:space="preserve">Corresponde al inventario de activos que se utilizan en la prestación del servicio (estaciones de puertas de ciudad, gasoductos, estaciones de regulación, accesorios, entre otros). Este inventario se debe realizar de acuerdo con las Unidades Constructivas definidas en el </w:t>
      </w:r>
      <w:r w:rsidR="00AF6018" w:rsidRPr="000B65DE">
        <w:rPr>
          <w:rFonts w:ascii="Bookman Old Style" w:eastAsia="Calibri" w:hAnsi="Bookman Old Style" w:cs="Arial"/>
          <w:lang w:eastAsia="en-US"/>
        </w:rPr>
        <w:fldChar w:fldCharType="begin"/>
      </w:r>
      <w:r w:rsidRPr="000B65DE">
        <w:rPr>
          <w:rFonts w:ascii="Bookman Old Style" w:eastAsia="Calibri" w:hAnsi="Bookman Old Style" w:cs="Arial"/>
          <w:lang w:eastAsia="en-US"/>
        </w:rPr>
        <w:instrText xml:space="preserve"> REF _Ref289697078 \r \h </w:instrText>
      </w:r>
      <w:r w:rsidR="00AF6018" w:rsidRPr="000B65DE">
        <w:rPr>
          <w:rFonts w:ascii="Bookman Old Style" w:eastAsia="Calibri" w:hAnsi="Bookman Old Style" w:cs="Arial"/>
          <w:lang w:eastAsia="en-US"/>
        </w:rPr>
      </w:r>
      <w:r w:rsidR="00AF6018" w:rsidRPr="000B65DE">
        <w:rPr>
          <w:rFonts w:ascii="Bookman Old Style" w:eastAsia="Calibri" w:hAnsi="Bookman Old Style" w:cs="Arial"/>
          <w:lang w:eastAsia="en-US"/>
        </w:rPr>
        <w:fldChar w:fldCharType="separate"/>
      </w:r>
      <w:r w:rsidR="004D5C18">
        <w:rPr>
          <w:rFonts w:ascii="Bookman Old Style" w:eastAsia="Calibri" w:hAnsi="Bookman Old Style" w:cs="Arial"/>
          <w:lang w:eastAsia="en-US"/>
        </w:rPr>
        <w:t>ANEXO 4</w:t>
      </w:r>
      <w:r w:rsidR="00AF6018" w:rsidRPr="000B65DE">
        <w:rPr>
          <w:rFonts w:ascii="Bookman Old Style" w:eastAsia="Calibri" w:hAnsi="Bookman Old Style" w:cs="Arial"/>
          <w:lang w:eastAsia="en-US"/>
        </w:rPr>
        <w:fldChar w:fldCharType="end"/>
      </w:r>
      <w:r w:rsidRPr="000B65DE">
        <w:rPr>
          <w:rFonts w:ascii="Bookman Old Style" w:eastAsia="Calibri" w:hAnsi="Bookman Old Style" w:cs="Arial"/>
          <w:lang w:eastAsia="en-US"/>
        </w:rPr>
        <w:t xml:space="preserve">, </w:t>
      </w:r>
      <w:r w:rsidR="00AF6018" w:rsidRPr="000B65DE">
        <w:rPr>
          <w:rFonts w:ascii="Bookman Old Style" w:eastAsia="Calibri" w:hAnsi="Bookman Old Style" w:cs="Arial"/>
          <w:lang w:eastAsia="en-US"/>
        </w:rPr>
        <w:fldChar w:fldCharType="begin"/>
      </w:r>
      <w:r w:rsidRPr="000B65DE">
        <w:rPr>
          <w:rFonts w:ascii="Bookman Old Style" w:eastAsia="Calibri" w:hAnsi="Bookman Old Style" w:cs="Arial"/>
          <w:lang w:eastAsia="en-US"/>
        </w:rPr>
        <w:instrText xml:space="preserve"> REF _Ref320543087 \r \h </w:instrText>
      </w:r>
      <w:r w:rsidR="00AF6018" w:rsidRPr="000B65DE">
        <w:rPr>
          <w:rFonts w:ascii="Bookman Old Style" w:eastAsia="Calibri" w:hAnsi="Bookman Old Style" w:cs="Arial"/>
          <w:lang w:eastAsia="en-US"/>
        </w:rPr>
      </w:r>
      <w:r w:rsidR="00AF6018" w:rsidRPr="000B65DE">
        <w:rPr>
          <w:rFonts w:ascii="Bookman Old Style" w:eastAsia="Calibri" w:hAnsi="Bookman Old Style" w:cs="Arial"/>
          <w:lang w:eastAsia="en-US"/>
        </w:rPr>
        <w:fldChar w:fldCharType="separate"/>
      </w:r>
      <w:r w:rsidR="004D5C18">
        <w:rPr>
          <w:rFonts w:ascii="Bookman Old Style" w:eastAsia="Calibri" w:hAnsi="Bookman Old Style" w:cs="Arial"/>
          <w:lang w:eastAsia="en-US"/>
        </w:rPr>
        <w:t>ANEXO 5</w:t>
      </w:r>
      <w:r w:rsidR="00AF6018" w:rsidRPr="000B65DE">
        <w:rPr>
          <w:rFonts w:ascii="Bookman Old Style" w:eastAsia="Calibri" w:hAnsi="Bookman Old Style" w:cs="Arial"/>
          <w:lang w:eastAsia="en-US"/>
        </w:rPr>
        <w:fldChar w:fldCharType="end"/>
      </w:r>
      <w:r w:rsidRPr="000B65DE">
        <w:rPr>
          <w:rFonts w:ascii="Bookman Old Style" w:eastAsia="Calibri" w:hAnsi="Bookman Old Style" w:cs="Arial"/>
          <w:lang w:eastAsia="en-US"/>
        </w:rPr>
        <w:t xml:space="preserve">, </w:t>
      </w:r>
      <w:r w:rsidR="00AF6018" w:rsidRPr="000B65DE">
        <w:rPr>
          <w:rFonts w:ascii="Bookman Old Style" w:eastAsia="Calibri" w:hAnsi="Bookman Old Style" w:cs="Arial"/>
          <w:lang w:eastAsia="en-US"/>
        </w:rPr>
        <w:fldChar w:fldCharType="begin"/>
      </w:r>
      <w:r w:rsidRPr="000B65DE">
        <w:rPr>
          <w:rFonts w:ascii="Bookman Old Style" w:eastAsia="Calibri" w:hAnsi="Bookman Old Style" w:cs="Arial"/>
          <w:lang w:eastAsia="en-US"/>
        </w:rPr>
        <w:instrText xml:space="preserve"> REF _Ref332815662 \r \h </w:instrText>
      </w:r>
      <w:r w:rsidR="00AF6018" w:rsidRPr="000B65DE">
        <w:rPr>
          <w:rFonts w:ascii="Bookman Old Style" w:eastAsia="Calibri" w:hAnsi="Bookman Old Style" w:cs="Arial"/>
          <w:lang w:eastAsia="en-US"/>
        </w:rPr>
      </w:r>
      <w:r w:rsidR="00AF6018" w:rsidRPr="000B65DE">
        <w:rPr>
          <w:rFonts w:ascii="Bookman Old Style" w:eastAsia="Calibri" w:hAnsi="Bookman Old Style" w:cs="Arial"/>
          <w:lang w:eastAsia="en-US"/>
        </w:rPr>
        <w:fldChar w:fldCharType="separate"/>
      </w:r>
      <w:r w:rsidR="004D5C18">
        <w:rPr>
          <w:rFonts w:ascii="Bookman Old Style" w:eastAsia="Calibri" w:hAnsi="Bookman Old Style" w:cs="Arial"/>
          <w:lang w:eastAsia="en-US"/>
        </w:rPr>
        <w:t>ANEXO 6</w:t>
      </w:r>
      <w:r w:rsidR="00AF6018" w:rsidRPr="000B65DE">
        <w:rPr>
          <w:rFonts w:ascii="Bookman Old Style" w:eastAsia="Calibri" w:hAnsi="Bookman Old Style" w:cs="Arial"/>
          <w:lang w:eastAsia="en-US"/>
        </w:rPr>
        <w:fldChar w:fldCharType="end"/>
      </w:r>
      <w:r w:rsidRPr="000B65DE">
        <w:rPr>
          <w:rFonts w:ascii="Bookman Old Style" w:eastAsia="Calibri" w:hAnsi="Bookman Old Style" w:cs="Arial"/>
          <w:lang w:eastAsia="en-US"/>
        </w:rPr>
        <w:t xml:space="preserve">, </w:t>
      </w:r>
      <w:r w:rsidR="00AF6018" w:rsidRPr="000B65DE">
        <w:rPr>
          <w:rFonts w:ascii="Bookman Old Style" w:eastAsia="Calibri" w:hAnsi="Bookman Old Style" w:cs="Arial"/>
          <w:lang w:eastAsia="en-US"/>
        </w:rPr>
        <w:fldChar w:fldCharType="begin"/>
      </w:r>
      <w:r w:rsidRPr="000B65DE">
        <w:rPr>
          <w:rFonts w:ascii="Bookman Old Style" w:eastAsia="Calibri" w:hAnsi="Bookman Old Style" w:cs="Arial"/>
          <w:lang w:eastAsia="en-US"/>
        </w:rPr>
        <w:instrText xml:space="preserve"> REF _Ref332815666 \r \h </w:instrText>
      </w:r>
      <w:r w:rsidR="00AF6018" w:rsidRPr="000B65DE">
        <w:rPr>
          <w:rFonts w:ascii="Bookman Old Style" w:eastAsia="Calibri" w:hAnsi="Bookman Old Style" w:cs="Arial"/>
          <w:lang w:eastAsia="en-US"/>
        </w:rPr>
      </w:r>
      <w:r w:rsidR="00AF6018" w:rsidRPr="000B65DE">
        <w:rPr>
          <w:rFonts w:ascii="Bookman Old Style" w:eastAsia="Calibri" w:hAnsi="Bookman Old Style" w:cs="Arial"/>
          <w:lang w:eastAsia="en-US"/>
        </w:rPr>
        <w:fldChar w:fldCharType="separate"/>
      </w:r>
      <w:r w:rsidR="004D5C18">
        <w:rPr>
          <w:rFonts w:ascii="Bookman Old Style" w:eastAsia="Calibri" w:hAnsi="Bookman Old Style" w:cs="Arial"/>
          <w:lang w:eastAsia="en-US"/>
        </w:rPr>
        <w:t>ANEXO 7</w:t>
      </w:r>
      <w:r w:rsidR="00AF6018" w:rsidRPr="000B65DE">
        <w:rPr>
          <w:rFonts w:ascii="Bookman Old Style" w:eastAsia="Calibri" w:hAnsi="Bookman Old Style" w:cs="Arial"/>
          <w:lang w:eastAsia="en-US"/>
        </w:rPr>
        <w:fldChar w:fldCharType="end"/>
      </w:r>
      <w:r w:rsidRPr="000B65DE">
        <w:rPr>
          <w:rFonts w:ascii="Bookman Old Style" w:eastAsia="Calibri" w:hAnsi="Bookman Old Style" w:cs="Arial"/>
          <w:lang w:eastAsia="en-US"/>
        </w:rPr>
        <w:t xml:space="preserve"> y </w:t>
      </w:r>
      <w:r w:rsidR="00AF6018" w:rsidRPr="000B65DE">
        <w:rPr>
          <w:rFonts w:ascii="Bookman Old Style" w:eastAsia="Calibri" w:hAnsi="Bookman Old Style" w:cs="Arial"/>
          <w:lang w:eastAsia="en-US"/>
        </w:rPr>
        <w:fldChar w:fldCharType="begin"/>
      </w:r>
      <w:r w:rsidRPr="000B65DE">
        <w:rPr>
          <w:rFonts w:ascii="Bookman Old Style" w:eastAsia="Calibri" w:hAnsi="Bookman Old Style" w:cs="Arial"/>
          <w:lang w:eastAsia="en-US"/>
        </w:rPr>
        <w:instrText xml:space="preserve"> REF _Ref330910423 \r \h </w:instrText>
      </w:r>
      <w:r w:rsidR="00AF6018" w:rsidRPr="000B65DE">
        <w:rPr>
          <w:rFonts w:ascii="Bookman Old Style" w:eastAsia="Calibri" w:hAnsi="Bookman Old Style" w:cs="Arial"/>
          <w:lang w:eastAsia="en-US"/>
        </w:rPr>
      </w:r>
      <w:r w:rsidR="00AF6018" w:rsidRPr="000B65DE">
        <w:rPr>
          <w:rFonts w:ascii="Bookman Old Style" w:eastAsia="Calibri" w:hAnsi="Bookman Old Style" w:cs="Arial"/>
          <w:lang w:eastAsia="en-US"/>
        </w:rPr>
        <w:fldChar w:fldCharType="separate"/>
      </w:r>
      <w:r w:rsidR="004D5C18">
        <w:rPr>
          <w:rFonts w:ascii="Bookman Old Style" w:eastAsia="Calibri" w:hAnsi="Bookman Old Style" w:cs="Arial"/>
          <w:lang w:eastAsia="en-US"/>
        </w:rPr>
        <w:t>ANEXO 8</w:t>
      </w:r>
      <w:r w:rsidR="00AF6018" w:rsidRPr="000B65DE">
        <w:rPr>
          <w:rFonts w:ascii="Bookman Old Style" w:eastAsia="Calibri" w:hAnsi="Bookman Old Style" w:cs="Arial"/>
          <w:lang w:eastAsia="en-US"/>
        </w:rPr>
        <w:fldChar w:fldCharType="end"/>
      </w:r>
      <w:r w:rsidRPr="000B65DE">
        <w:rPr>
          <w:rFonts w:ascii="Bookman Old Style" w:eastAsia="Calibri" w:hAnsi="Bookman Old Style" w:cs="Arial"/>
          <w:lang w:eastAsia="en-US"/>
        </w:rPr>
        <w:t>.</w:t>
      </w:r>
      <w:r w:rsidRPr="000B65DE" w:rsidDel="00B34304">
        <w:rPr>
          <w:rFonts w:ascii="Bookman Old Style" w:eastAsia="Calibri" w:hAnsi="Bookman Old Style" w:cs="Arial"/>
          <w:highlight w:val="green"/>
          <w:lang w:eastAsia="en-US"/>
        </w:rPr>
        <w:t xml:space="preserve"> </w:t>
      </w:r>
    </w:p>
    <w:p w:rsidR="000B65DE" w:rsidRPr="000B65DE" w:rsidRDefault="000B65DE" w:rsidP="000B65DE">
      <w:pPr>
        <w:spacing w:after="200"/>
        <w:ind w:left="468"/>
        <w:jc w:val="both"/>
        <w:rPr>
          <w:rFonts w:ascii="Bookman Old Style" w:eastAsia="Calibri" w:hAnsi="Bookman Old Style" w:cs="Arial"/>
          <w:lang w:eastAsia="en-US"/>
        </w:rPr>
      </w:pPr>
      <w:r w:rsidRPr="000B65DE">
        <w:rPr>
          <w:rFonts w:ascii="Bookman Old Style" w:eastAsia="Calibri" w:hAnsi="Bookman Old Style" w:cs="Arial"/>
          <w:lang w:eastAsia="en-US"/>
        </w:rPr>
        <w:t>Activos tales como cruces subfluviales</w:t>
      </w:r>
      <w:r w:rsidR="00187958">
        <w:rPr>
          <w:rFonts w:ascii="Bookman Old Style" w:eastAsia="Calibri" w:hAnsi="Bookman Old Style" w:cs="Arial"/>
          <w:lang w:eastAsia="en-US"/>
        </w:rPr>
        <w:t>, cargos de conexión al sistema nacional de transporte</w:t>
      </w:r>
      <w:r w:rsidRPr="000B65DE">
        <w:rPr>
          <w:rFonts w:ascii="Bookman Old Style" w:eastAsia="Calibri" w:hAnsi="Bookman Old Style" w:cs="Arial"/>
          <w:lang w:eastAsia="en-US"/>
        </w:rPr>
        <w:t xml:space="preserve"> y otros</w:t>
      </w:r>
      <w:r w:rsidR="00187958">
        <w:rPr>
          <w:rFonts w:ascii="Bookman Old Style" w:eastAsia="Calibri" w:hAnsi="Bookman Old Style" w:cs="Arial"/>
          <w:lang w:eastAsia="en-US"/>
        </w:rPr>
        <w:t xml:space="preserve"> </w:t>
      </w:r>
      <w:r w:rsidR="00F87F77">
        <w:rPr>
          <w:rFonts w:ascii="Bookman Old Style" w:eastAsia="Calibri" w:hAnsi="Bookman Old Style" w:cs="Arial"/>
          <w:lang w:eastAsia="en-US"/>
        </w:rPr>
        <w:t>activos</w:t>
      </w:r>
      <w:r w:rsidR="00F87F77" w:rsidRPr="000B65DE">
        <w:rPr>
          <w:rFonts w:ascii="Bookman Old Style" w:eastAsia="Calibri" w:hAnsi="Bookman Old Style" w:cs="Arial"/>
          <w:lang w:eastAsia="en-US"/>
        </w:rPr>
        <w:t xml:space="preserve"> no</w:t>
      </w:r>
      <w:r w:rsidRPr="000B65DE">
        <w:rPr>
          <w:rFonts w:ascii="Bookman Old Style" w:eastAsia="Calibri" w:hAnsi="Bookman Old Style" w:cs="Arial"/>
          <w:lang w:eastAsia="en-US"/>
        </w:rPr>
        <w:t xml:space="preserve"> homologables a las Unidades Constructivas, deberán ser reportados separadamente como Activos Especiales.</w:t>
      </w:r>
    </w:p>
    <w:p w:rsidR="000B65DE" w:rsidRPr="000B65DE" w:rsidRDefault="000B65DE" w:rsidP="000B65DE">
      <w:pPr>
        <w:numPr>
          <w:ilvl w:val="12"/>
          <w:numId w:val="0"/>
        </w:numPr>
        <w:spacing w:after="200"/>
        <w:ind w:left="468"/>
        <w:jc w:val="both"/>
        <w:rPr>
          <w:rFonts w:ascii="Bookman Old Style" w:eastAsia="Calibri" w:hAnsi="Bookman Old Style" w:cs="Arial"/>
          <w:lang w:eastAsia="en-US"/>
        </w:rPr>
      </w:pPr>
      <w:r w:rsidRPr="000B65DE">
        <w:rPr>
          <w:rFonts w:ascii="Bookman Old Style" w:eastAsia="Calibri" w:hAnsi="Bookman Old Style" w:cs="Arial"/>
          <w:lang w:eastAsia="en-US"/>
        </w:rPr>
        <w:t>En caso de justificarse, el Distribuidor podrá solicitar a la Comisión la especificación de nuevas unidades constructivas. La CREG estudiará la solicitud y con base en su justificación evaluará la definición de estas nuevas Unidades Constructivas.</w:t>
      </w:r>
    </w:p>
    <w:p w:rsidR="000B65DE" w:rsidRDefault="000B65DE" w:rsidP="00382E27">
      <w:pPr>
        <w:keepNext/>
        <w:numPr>
          <w:ilvl w:val="0"/>
          <w:numId w:val="7"/>
        </w:numPr>
        <w:tabs>
          <w:tab w:val="left" w:pos="468"/>
        </w:tabs>
        <w:spacing w:after="200" w:line="276" w:lineRule="auto"/>
        <w:contextualSpacing/>
        <w:jc w:val="both"/>
        <w:rPr>
          <w:rFonts w:ascii="Bookman Old Style" w:eastAsia="Calibri" w:hAnsi="Bookman Old Style" w:cs="Arial"/>
          <w:b/>
          <w:lang w:eastAsia="en-US"/>
        </w:rPr>
      </w:pPr>
      <w:bookmarkStart w:id="13" w:name="_Ref375545062"/>
      <w:r w:rsidRPr="000B65DE">
        <w:rPr>
          <w:rFonts w:ascii="Bookman Old Style" w:eastAsia="Calibri" w:hAnsi="Bookman Old Style" w:cs="Arial"/>
          <w:b/>
          <w:lang w:eastAsia="en-US"/>
        </w:rPr>
        <w:t>Otros Activos</w:t>
      </w:r>
      <w:bookmarkEnd w:id="13"/>
    </w:p>
    <w:p w:rsidR="00A179EE" w:rsidRPr="000B65DE" w:rsidRDefault="00A179EE" w:rsidP="00A179EE">
      <w:pPr>
        <w:keepNext/>
        <w:tabs>
          <w:tab w:val="left" w:pos="468"/>
        </w:tabs>
        <w:spacing w:after="200" w:line="276" w:lineRule="auto"/>
        <w:ind w:left="723"/>
        <w:contextualSpacing/>
        <w:jc w:val="both"/>
        <w:rPr>
          <w:rFonts w:ascii="Bookman Old Style" w:eastAsia="Calibri" w:hAnsi="Bookman Old Style" w:cs="Arial"/>
          <w:b/>
          <w:lang w:eastAsia="en-US"/>
        </w:rPr>
      </w:pPr>
    </w:p>
    <w:p w:rsidR="000B65DE" w:rsidRPr="000B65DE" w:rsidRDefault="000B65DE" w:rsidP="000B65DE">
      <w:pPr>
        <w:numPr>
          <w:ilvl w:val="12"/>
          <w:numId w:val="0"/>
        </w:numPr>
        <w:spacing w:after="200"/>
        <w:ind w:left="468"/>
        <w:jc w:val="both"/>
        <w:rPr>
          <w:rFonts w:ascii="Bookman Old Style" w:eastAsia="Calibri" w:hAnsi="Bookman Old Style" w:cs="Arial"/>
          <w:lang w:eastAsia="en-US"/>
        </w:rPr>
      </w:pPr>
      <w:r w:rsidRPr="000B65DE">
        <w:rPr>
          <w:rFonts w:ascii="Bookman Old Style" w:eastAsia="Calibri" w:hAnsi="Bookman Old Style" w:cs="Arial"/>
          <w:lang w:eastAsia="en-US"/>
        </w:rPr>
        <w:t>Corresponden a activos asociados a las actividades de distribución como: maquinaria y equipos (</w:t>
      </w:r>
      <w:r w:rsidRPr="000B65DE">
        <w:rPr>
          <w:rFonts w:ascii="Bookman Old Style" w:eastAsia="Calibri" w:hAnsi="Bookman Old Style" w:cs="Arial"/>
          <w:spacing w:val="-4"/>
          <w:lang w:val="es-CO" w:eastAsia="en-US"/>
        </w:rPr>
        <w:t>vehículos, herramientas, etc</w:t>
      </w:r>
      <w:r w:rsidRPr="000B65DE">
        <w:rPr>
          <w:rFonts w:ascii="Bookman Old Style" w:eastAsia="Calibri" w:hAnsi="Bookman Old Style" w:cs="Arial"/>
          <w:lang w:eastAsia="en-US"/>
        </w:rPr>
        <w:t xml:space="preserve">), muebles, equipos de cómputo y de comunicación y sistemas de información. </w:t>
      </w:r>
    </w:p>
    <w:p w:rsidR="000B65DE" w:rsidRDefault="000B65DE" w:rsidP="000B65DE">
      <w:pPr>
        <w:numPr>
          <w:ilvl w:val="12"/>
          <w:numId w:val="0"/>
        </w:numPr>
        <w:spacing w:after="200"/>
        <w:ind w:left="468"/>
        <w:jc w:val="both"/>
        <w:rPr>
          <w:rFonts w:ascii="Bookman Old Style" w:eastAsia="Calibri" w:hAnsi="Bookman Old Style" w:cs="Arial"/>
          <w:lang w:eastAsia="en-US"/>
        </w:rPr>
      </w:pPr>
      <w:r w:rsidRPr="000B65DE">
        <w:rPr>
          <w:rFonts w:ascii="Bookman Old Style" w:eastAsia="Calibri" w:hAnsi="Bookman Old Style" w:cs="Arial"/>
          <w:lang w:eastAsia="en-US"/>
        </w:rPr>
        <w:lastRenderedPageBreak/>
        <w:t xml:space="preserve">El monto de los Otros Activos reportados por la empresa tanto en Inversión Existente como en Programa de Nuevas Inversiones no podrá ser superior al monto de la inversión en Activos Inherentes a la operación e Inversiones en Terrenos e inmuebles por el porcentaje establecido en el </w:t>
      </w:r>
      <w:r w:rsidR="00AF6018" w:rsidRPr="000B65DE">
        <w:rPr>
          <w:rFonts w:ascii="Bookman Old Style" w:eastAsia="Calibri" w:hAnsi="Bookman Old Style" w:cs="Arial"/>
          <w:lang w:eastAsia="en-US"/>
        </w:rPr>
        <w:fldChar w:fldCharType="begin"/>
      </w:r>
      <w:r w:rsidRPr="000B65DE">
        <w:rPr>
          <w:rFonts w:ascii="Bookman Old Style" w:eastAsia="Calibri" w:hAnsi="Bookman Old Style" w:cs="Arial"/>
          <w:lang w:eastAsia="en-US"/>
        </w:rPr>
        <w:instrText xml:space="preserve"> REF _Ref320543022 \r \h </w:instrText>
      </w:r>
      <w:r w:rsidR="00AF6018" w:rsidRPr="000B65DE">
        <w:rPr>
          <w:rFonts w:ascii="Bookman Old Style" w:eastAsia="Calibri" w:hAnsi="Bookman Old Style" w:cs="Arial"/>
          <w:lang w:eastAsia="en-US"/>
        </w:rPr>
      </w:r>
      <w:r w:rsidR="00AF6018" w:rsidRPr="000B65DE">
        <w:rPr>
          <w:rFonts w:ascii="Bookman Old Style" w:eastAsia="Calibri" w:hAnsi="Bookman Old Style" w:cs="Arial"/>
          <w:lang w:eastAsia="en-US"/>
        </w:rPr>
        <w:fldChar w:fldCharType="separate"/>
      </w:r>
      <w:r w:rsidR="004D5C18">
        <w:rPr>
          <w:rFonts w:ascii="Bookman Old Style" w:eastAsia="Calibri" w:hAnsi="Bookman Old Style" w:cs="Arial"/>
          <w:lang w:eastAsia="en-US"/>
        </w:rPr>
        <w:t>ANEXO 9</w:t>
      </w:r>
      <w:r w:rsidR="00AF6018" w:rsidRPr="000B65DE">
        <w:rPr>
          <w:rFonts w:ascii="Bookman Old Style" w:eastAsia="Calibri" w:hAnsi="Bookman Old Style" w:cs="Arial"/>
          <w:lang w:eastAsia="en-US"/>
        </w:rPr>
        <w:fldChar w:fldCharType="end"/>
      </w:r>
      <w:r w:rsidRPr="000B65DE">
        <w:rPr>
          <w:rFonts w:ascii="Bookman Old Style" w:eastAsia="Calibri" w:hAnsi="Bookman Old Style" w:cs="Arial"/>
          <w:lang w:eastAsia="en-US"/>
        </w:rPr>
        <w:t xml:space="preserve"> de la presente resolución. </w:t>
      </w:r>
    </w:p>
    <w:p w:rsidR="000B65DE" w:rsidRDefault="000B65DE" w:rsidP="00382E27">
      <w:pPr>
        <w:keepNext/>
        <w:numPr>
          <w:ilvl w:val="0"/>
          <w:numId w:val="7"/>
        </w:numPr>
        <w:tabs>
          <w:tab w:val="left" w:pos="468"/>
        </w:tabs>
        <w:spacing w:after="200" w:line="276" w:lineRule="auto"/>
        <w:contextualSpacing/>
        <w:jc w:val="both"/>
        <w:rPr>
          <w:rFonts w:ascii="Bookman Old Style" w:eastAsia="Calibri" w:hAnsi="Bookman Old Style" w:cs="Arial"/>
          <w:b/>
          <w:lang w:eastAsia="en-US"/>
        </w:rPr>
      </w:pPr>
      <w:r w:rsidRPr="000B65DE">
        <w:rPr>
          <w:rFonts w:ascii="Bookman Old Style" w:eastAsia="Calibri" w:hAnsi="Bookman Old Style" w:cs="Arial"/>
          <w:b/>
          <w:lang w:eastAsia="en-US"/>
        </w:rPr>
        <w:t>Activos asociados al control de la calidad del servicio</w:t>
      </w:r>
    </w:p>
    <w:p w:rsidR="00A179EE" w:rsidRPr="000B65DE" w:rsidRDefault="00A179EE" w:rsidP="00A179EE">
      <w:pPr>
        <w:keepNext/>
        <w:tabs>
          <w:tab w:val="left" w:pos="468"/>
        </w:tabs>
        <w:spacing w:after="200" w:line="276" w:lineRule="auto"/>
        <w:ind w:left="723"/>
        <w:contextualSpacing/>
        <w:jc w:val="both"/>
        <w:rPr>
          <w:rFonts w:ascii="Bookman Old Style" w:eastAsia="Calibri" w:hAnsi="Bookman Old Style" w:cs="Arial"/>
          <w:b/>
          <w:lang w:eastAsia="en-US"/>
        </w:rPr>
      </w:pPr>
    </w:p>
    <w:p w:rsidR="000B65DE" w:rsidRPr="000B65DE" w:rsidRDefault="000B65DE" w:rsidP="000B65DE">
      <w:pPr>
        <w:numPr>
          <w:ilvl w:val="12"/>
          <w:numId w:val="0"/>
        </w:numPr>
        <w:spacing w:after="200"/>
        <w:ind w:left="468"/>
        <w:jc w:val="both"/>
        <w:rPr>
          <w:rFonts w:ascii="Bookman Old Style" w:eastAsia="Calibri" w:hAnsi="Bookman Old Style" w:cs="Arial"/>
          <w:lang w:eastAsia="en-US"/>
        </w:rPr>
      </w:pPr>
      <w:r w:rsidRPr="000B65DE">
        <w:rPr>
          <w:rFonts w:ascii="Bookman Old Style" w:eastAsia="Calibri" w:hAnsi="Bookman Old Style" w:cs="Arial"/>
          <w:lang w:eastAsia="en-US"/>
        </w:rPr>
        <w:t>Serán los activos asociados al control y monitoreo de la calidad del servicio, los cuales deben reportarse de acuerdo con las Unidades Constructivas que están definidas para el monitoreo de la calidad.</w:t>
      </w:r>
    </w:p>
    <w:p w:rsidR="000B65DE" w:rsidRDefault="000B65DE" w:rsidP="00382E27">
      <w:pPr>
        <w:keepNext/>
        <w:numPr>
          <w:ilvl w:val="0"/>
          <w:numId w:val="7"/>
        </w:numPr>
        <w:tabs>
          <w:tab w:val="left" w:pos="468"/>
        </w:tabs>
        <w:spacing w:after="200" w:line="276" w:lineRule="auto"/>
        <w:contextualSpacing/>
        <w:jc w:val="both"/>
        <w:rPr>
          <w:rFonts w:ascii="Bookman Old Style" w:eastAsia="Calibri" w:hAnsi="Bookman Old Style" w:cs="Arial"/>
          <w:b/>
          <w:lang w:eastAsia="en-US"/>
        </w:rPr>
      </w:pPr>
      <w:r w:rsidRPr="000B65DE">
        <w:rPr>
          <w:rFonts w:ascii="Bookman Old Style" w:eastAsia="Calibri" w:hAnsi="Bookman Old Style" w:cs="Arial"/>
          <w:b/>
          <w:lang w:eastAsia="en-US"/>
        </w:rPr>
        <w:t xml:space="preserve">Inversiones en terrenos, servidumbres e inmuebles. </w:t>
      </w:r>
    </w:p>
    <w:p w:rsidR="00A179EE" w:rsidRPr="000B65DE" w:rsidRDefault="00A179EE" w:rsidP="00A179EE">
      <w:pPr>
        <w:keepNext/>
        <w:tabs>
          <w:tab w:val="left" w:pos="468"/>
        </w:tabs>
        <w:spacing w:after="200" w:line="276" w:lineRule="auto"/>
        <w:ind w:left="723"/>
        <w:contextualSpacing/>
        <w:jc w:val="both"/>
        <w:rPr>
          <w:rFonts w:ascii="Bookman Old Style" w:eastAsia="Calibri" w:hAnsi="Bookman Old Style" w:cs="Arial"/>
          <w:b/>
          <w:lang w:eastAsia="en-US"/>
        </w:rPr>
      </w:pPr>
    </w:p>
    <w:p w:rsidR="000B65DE" w:rsidRPr="000B65DE" w:rsidRDefault="000B65DE" w:rsidP="000B65DE">
      <w:pPr>
        <w:numPr>
          <w:ilvl w:val="12"/>
          <w:numId w:val="0"/>
        </w:numPr>
        <w:spacing w:after="200"/>
        <w:ind w:left="468"/>
        <w:jc w:val="both"/>
        <w:rPr>
          <w:rFonts w:ascii="Bookman Old Style" w:eastAsia="Calibri" w:hAnsi="Bookman Old Style" w:cs="Arial"/>
          <w:lang w:eastAsia="en-US"/>
        </w:rPr>
      </w:pPr>
      <w:r w:rsidRPr="000B65DE">
        <w:rPr>
          <w:rFonts w:ascii="Bookman Old Style" w:eastAsia="Calibri" w:hAnsi="Bookman Old Style" w:cs="Arial"/>
          <w:lang w:eastAsia="en-US"/>
        </w:rPr>
        <w:t>Los terrenos, servidumbres e inmuebles serán excluidos de la Inversión Base y se remunerarán como un gasto de AOM.</w:t>
      </w:r>
    </w:p>
    <w:p w:rsidR="000B65DE" w:rsidRPr="000B65DE" w:rsidRDefault="000B65DE" w:rsidP="000B65DE">
      <w:pPr>
        <w:numPr>
          <w:ilvl w:val="12"/>
          <w:numId w:val="0"/>
        </w:numPr>
        <w:spacing w:after="200"/>
        <w:ind w:left="468"/>
        <w:jc w:val="both"/>
        <w:rPr>
          <w:rFonts w:ascii="Bookman Old Style" w:eastAsia="Calibri" w:hAnsi="Bookman Old Style" w:cs="Arial"/>
          <w:lang w:eastAsia="en-US"/>
        </w:rPr>
      </w:pPr>
      <w:r w:rsidRPr="000B65DE">
        <w:rPr>
          <w:rFonts w:ascii="Bookman Old Style" w:eastAsia="Calibri" w:hAnsi="Bookman Old Style" w:cs="Arial"/>
          <w:lang w:eastAsia="en-US"/>
        </w:rPr>
        <w:t xml:space="preserve">El valor anual a incorporar en los gastos de AOM por este concepto, será el 12,7% del valor catastral en caso de terrenos e inmuebles. </w:t>
      </w:r>
    </w:p>
    <w:p w:rsidR="000B65DE" w:rsidRPr="000B65DE" w:rsidRDefault="000B65DE" w:rsidP="000B65DE">
      <w:pPr>
        <w:numPr>
          <w:ilvl w:val="12"/>
          <w:numId w:val="0"/>
        </w:numPr>
        <w:spacing w:after="200"/>
        <w:ind w:left="468"/>
        <w:jc w:val="both"/>
        <w:rPr>
          <w:rFonts w:ascii="Bookman Old Style" w:eastAsia="Calibri" w:hAnsi="Bookman Old Style" w:cs="Arial"/>
          <w:lang w:eastAsia="en-US"/>
        </w:rPr>
      </w:pPr>
      <w:r w:rsidRPr="000B65DE">
        <w:rPr>
          <w:rFonts w:ascii="Bookman Old Style" w:eastAsia="Calibri" w:hAnsi="Bookman Old Style" w:cs="Arial"/>
          <w:lang w:eastAsia="en-US"/>
        </w:rPr>
        <w:t>Los valores de las servidumbres serán incluidas en el concepto de arrendamientos de los gastos AOM.</w:t>
      </w:r>
    </w:p>
    <w:p w:rsidR="000B65DE" w:rsidRDefault="000B65DE" w:rsidP="000B65DE">
      <w:pPr>
        <w:ind w:left="426"/>
        <w:jc w:val="both"/>
        <w:rPr>
          <w:rFonts w:ascii="Bookman Old Style" w:eastAsia="Calibri" w:hAnsi="Bookman Old Style" w:cs="Arial"/>
          <w:lang w:val="es-CO" w:eastAsia="en-US"/>
        </w:rPr>
      </w:pPr>
      <w:r w:rsidRPr="000B65DE">
        <w:rPr>
          <w:rFonts w:ascii="Bookman Old Style" w:eastAsia="Calibri" w:hAnsi="Bookman Old Style" w:cs="Arial"/>
          <w:lang w:val="es-CO" w:eastAsia="en-US"/>
        </w:rPr>
        <w:t>Para el reporte de la información de servidumbres el Distribuidor deberá diseñar un formato en Excel donde se incluyan los valores pagados por este concepto (ya sea un solo pago o pagos periódicos), la cuota anual equivalente de estos pagos calculada a perpetuidad, expresada en pesos de la Fecha Base, utilizando el IPC donde se requiera, junto con la identificación de los documentos que originan estas obligaciones, los cuales deben estar disponibles para que la CREG pueda revisarlos cuando lo considere necesario. Así mismo deberán enviar la metodología de cálculo de esta cuota anual.</w:t>
      </w:r>
    </w:p>
    <w:p w:rsidR="0029277F" w:rsidRDefault="0029277F" w:rsidP="000B65DE">
      <w:pPr>
        <w:ind w:left="426"/>
        <w:jc w:val="both"/>
        <w:rPr>
          <w:rFonts w:ascii="Bookman Old Style" w:eastAsia="Calibri" w:hAnsi="Bookman Old Style"/>
          <w:lang w:val="es-CO" w:eastAsia="en-US"/>
        </w:rPr>
      </w:pPr>
    </w:p>
    <w:p w:rsidR="00CB6E66" w:rsidRDefault="00CB6E66" w:rsidP="00CB6E66">
      <w:pPr>
        <w:ind w:left="0"/>
        <w:jc w:val="both"/>
        <w:rPr>
          <w:rFonts w:ascii="Bookman Old Style" w:hAnsi="Bookman Old Style"/>
        </w:rPr>
      </w:pPr>
      <w:r w:rsidRPr="00CB6E66">
        <w:rPr>
          <w:rFonts w:ascii="Bookman Old Style" w:hAnsi="Bookman Old Style"/>
        </w:rPr>
        <w:t>Las unidades constructivas que forman parte de los activos inherentes a la operación, los  otros activos, los activos asociados a control de la calidad del servicio, serán llevados a pesos de la Fecha Base de cálculo con el Índice de Precios al Consumidor – IPC publicado por el DANE.</w:t>
      </w:r>
    </w:p>
    <w:p w:rsidR="00A523D8" w:rsidRPr="00CB6E66" w:rsidRDefault="00A523D8" w:rsidP="00CB6E66">
      <w:pPr>
        <w:ind w:left="0"/>
        <w:jc w:val="both"/>
        <w:rPr>
          <w:rFonts w:ascii="Bookman Old Style" w:hAnsi="Bookman Old Style"/>
        </w:rPr>
      </w:pPr>
    </w:p>
    <w:p w:rsidR="000B65DE" w:rsidRPr="000B65DE" w:rsidRDefault="000B65DE" w:rsidP="008F4D9F">
      <w:pPr>
        <w:keepNext/>
        <w:numPr>
          <w:ilvl w:val="1"/>
          <w:numId w:val="16"/>
        </w:numPr>
        <w:spacing w:before="240" w:after="60"/>
        <w:ind w:hanging="567"/>
        <w:jc w:val="both"/>
        <w:outlineLvl w:val="0"/>
        <w:rPr>
          <w:rFonts w:ascii="Bookman Old Style" w:hAnsi="Bookman Old Style"/>
          <w:b/>
          <w:bCs/>
          <w:szCs w:val="20"/>
          <w:lang w:val="es-ES_tradnl"/>
        </w:rPr>
      </w:pPr>
      <w:r w:rsidRPr="000B65DE">
        <w:rPr>
          <w:rFonts w:ascii="Bookman Old Style" w:hAnsi="Bookman Old Style"/>
          <w:b/>
          <w:bCs/>
          <w:szCs w:val="20"/>
          <w:lang w:val="es-ES_tradnl"/>
        </w:rPr>
        <w:t>VALORACIÓN DE LA INVERSIÓN BASE</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rPr>
        <w:t xml:space="preserve">La Inversión Base estará comprendida por la Inversión Existente (IE), la Inversión en </w:t>
      </w:r>
      <w:r w:rsidRPr="000B65DE">
        <w:rPr>
          <w:rFonts w:ascii="Bookman Old Style" w:hAnsi="Bookman Old Style"/>
          <w:lang w:val="es-ES_tradnl"/>
        </w:rPr>
        <w:t>Nuevas Inversiones que fue reconocida y ejecutada en la anterior revisión tarifaria (IPE), la Inversión Ejecutada durante el Período Tarifario que culmina y no Prevista en el Programa de Nuevas Inversiones (INPE) y el Programa de Nuevas Inversiones para Municipios Nuevos (IPNI).</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 xml:space="preserve">Los Distribuidores deberán elaborar para la solicitud tarifaria un inventario de activos de acuerdo con cada inversión así:  </w:t>
      </w:r>
    </w:p>
    <w:p w:rsidR="000B65DE" w:rsidRPr="000B65DE" w:rsidRDefault="000B65DE" w:rsidP="000B65DE">
      <w:pPr>
        <w:ind w:left="0"/>
        <w:jc w:val="both"/>
        <w:rPr>
          <w:rFonts w:ascii="Bookman Old Style" w:hAnsi="Bookman Old Style"/>
          <w:highlight w:val="green"/>
          <w:lang w:val="es-ES_tradnl"/>
        </w:rPr>
      </w:pPr>
    </w:p>
    <w:p w:rsidR="000B65DE" w:rsidRPr="000B65DE" w:rsidRDefault="000B65DE" w:rsidP="00382E27">
      <w:pPr>
        <w:numPr>
          <w:ilvl w:val="0"/>
          <w:numId w:val="8"/>
        </w:numPr>
        <w:contextualSpacing/>
        <w:jc w:val="both"/>
        <w:rPr>
          <w:rFonts w:ascii="Bookman Old Style" w:hAnsi="Bookman Old Style"/>
          <w:lang w:val="es-ES_tradnl"/>
        </w:rPr>
      </w:pPr>
      <w:r w:rsidRPr="000B65DE">
        <w:rPr>
          <w:rFonts w:ascii="Bookman Old Style" w:hAnsi="Bookman Old Style"/>
          <w:b/>
          <w:lang w:val="es-ES_tradnl"/>
        </w:rPr>
        <w:lastRenderedPageBreak/>
        <w:t>Inversión Existente (IE):</w:t>
      </w:r>
      <w:r w:rsidRPr="000B65DE">
        <w:rPr>
          <w:rFonts w:ascii="Bookman Old Style" w:hAnsi="Bookman Old Style"/>
          <w:lang w:val="es-ES_tradnl"/>
        </w:rPr>
        <w:t xml:space="preserve"> Inversión reconocida como existente en la última revisión tarifaria, correspondiente a activos reconocidos antes que iniciara el Período Tarifario que culmina, homologada a las Unidades Constructivas definidas en el Período Tarifario que culmina y valoradas a los costos reconocidos en dicho momento y ajustados conforme se encuentran definidas en el </w:t>
      </w:r>
      <w:r w:rsidR="00AF6018" w:rsidRPr="000B65DE">
        <w:rPr>
          <w:rFonts w:ascii="Bookman Old Style" w:hAnsi="Bookman Old Style"/>
          <w:lang w:val="es-ES_tradnl"/>
        </w:rPr>
        <w:fldChar w:fldCharType="begin"/>
      </w:r>
      <w:r w:rsidRPr="000B65DE">
        <w:rPr>
          <w:rFonts w:ascii="Bookman Old Style" w:hAnsi="Bookman Old Style"/>
          <w:lang w:val="es-ES_tradnl"/>
        </w:rPr>
        <w:instrText xml:space="preserve"> REF _Ref289697078 \r \h </w:instrText>
      </w:r>
      <w:r w:rsidR="00AF6018" w:rsidRPr="000B65DE">
        <w:rPr>
          <w:rFonts w:ascii="Bookman Old Style" w:hAnsi="Bookman Old Style"/>
          <w:lang w:val="es-ES_tradnl"/>
        </w:rPr>
      </w:r>
      <w:r w:rsidR="00AF6018" w:rsidRPr="000B65DE">
        <w:rPr>
          <w:rFonts w:ascii="Bookman Old Style" w:hAnsi="Bookman Old Style"/>
          <w:lang w:val="es-ES_tradnl"/>
        </w:rPr>
        <w:fldChar w:fldCharType="separate"/>
      </w:r>
      <w:r w:rsidR="004D5C18">
        <w:rPr>
          <w:rFonts w:ascii="Bookman Old Style" w:hAnsi="Bookman Old Style"/>
          <w:lang w:val="es-ES_tradnl"/>
        </w:rPr>
        <w:t>ANEXO 4</w:t>
      </w:r>
      <w:r w:rsidR="00AF6018" w:rsidRPr="000B65DE">
        <w:rPr>
          <w:rFonts w:ascii="Bookman Old Style" w:hAnsi="Bookman Old Style"/>
          <w:lang w:val="es-ES_tradnl"/>
        </w:rPr>
        <w:fldChar w:fldCharType="end"/>
      </w:r>
      <w:r w:rsidRPr="000B65DE">
        <w:rPr>
          <w:rFonts w:ascii="Bookman Old Style" w:hAnsi="Bookman Old Style"/>
          <w:lang w:val="es-ES_tradnl"/>
        </w:rPr>
        <w:t xml:space="preserve"> y </w:t>
      </w:r>
      <w:r w:rsidR="00AF6018" w:rsidRPr="000B65DE">
        <w:rPr>
          <w:rFonts w:ascii="Bookman Old Style" w:hAnsi="Bookman Old Style"/>
          <w:lang w:val="es-ES_tradnl"/>
        </w:rPr>
        <w:fldChar w:fldCharType="begin"/>
      </w:r>
      <w:r w:rsidRPr="000B65DE">
        <w:rPr>
          <w:rFonts w:ascii="Bookman Old Style" w:hAnsi="Bookman Old Style"/>
          <w:lang w:val="es-ES_tradnl"/>
        </w:rPr>
        <w:instrText xml:space="preserve"> REF _Ref320543087 \r \h </w:instrText>
      </w:r>
      <w:r w:rsidR="00AF6018" w:rsidRPr="000B65DE">
        <w:rPr>
          <w:rFonts w:ascii="Bookman Old Style" w:hAnsi="Bookman Old Style"/>
          <w:lang w:val="es-ES_tradnl"/>
        </w:rPr>
      </w:r>
      <w:r w:rsidR="00AF6018" w:rsidRPr="000B65DE">
        <w:rPr>
          <w:rFonts w:ascii="Bookman Old Style" w:hAnsi="Bookman Old Style"/>
          <w:lang w:val="es-ES_tradnl"/>
        </w:rPr>
        <w:fldChar w:fldCharType="separate"/>
      </w:r>
      <w:r w:rsidR="004D5C18">
        <w:rPr>
          <w:rFonts w:ascii="Bookman Old Style" w:hAnsi="Bookman Old Style"/>
          <w:lang w:val="es-ES_tradnl"/>
        </w:rPr>
        <w:t>ANEXO 5</w:t>
      </w:r>
      <w:r w:rsidR="00AF6018" w:rsidRPr="000B65DE">
        <w:rPr>
          <w:rFonts w:ascii="Bookman Old Style" w:hAnsi="Bookman Old Style"/>
          <w:lang w:val="es-ES_tradnl"/>
        </w:rPr>
        <w:fldChar w:fldCharType="end"/>
      </w:r>
      <w:r w:rsidRPr="000B65DE">
        <w:rPr>
          <w:rFonts w:ascii="Bookman Old Style" w:hAnsi="Bookman Old Style"/>
          <w:lang w:val="es-ES_tradnl"/>
        </w:rPr>
        <w:t xml:space="preserve"> Estas inversiones deberán estar expresadas a pesos de la Fecha Base. </w:t>
      </w:r>
    </w:p>
    <w:p w:rsidR="000B65DE" w:rsidRPr="000B65DE" w:rsidRDefault="000B65DE" w:rsidP="000B65DE">
      <w:pPr>
        <w:ind w:left="454"/>
        <w:contextualSpacing/>
        <w:jc w:val="both"/>
        <w:rPr>
          <w:rFonts w:ascii="Bookman Old Style" w:hAnsi="Bookman Old Style"/>
          <w:lang w:val="es-ES_tradnl"/>
        </w:rPr>
      </w:pPr>
    </w:p>
    <w:p w:rsidR="000B65DE" w:rsidRPr="000B65DE" w:rsidRDefault="000B65DE" w:rsidP="00382E27">
      <w:pPr>
        <w:numPr>
          <w:ilvl w:val="0"/>
          <w:numId w:val="8"/>
        </w:numPr>
        <w:contextualSpacing/>
        <w:jc w:val="both"/>
        <w:rPr>
          <w:rFonts w:ascii="Bookman Old Style" w:hAnsi="Bookman Old Style"/>
          <w:lang w:val="es-ES_tradnl"/>
        </w:rPr>
      </w:pPr>
      <w:r w:rsidRPr="000B65DE">
        <w:rPr>
          <w:rFonts w:ascii="Bookman Old Style" w:hAnsi="Bookman Old Style"/>
          <w:b/>
          <w:lang w:val="es-ES_tradnl"/>
        </w:rPr>
        <w:t xml:space="preserve">Inversión Programada en nuevas inversiones que fue reconocida y ejecutada en la anterior revisión tarifaria (IPE): </w:t>
      </w:r>
      <w:r w:rsidRPr="000B65DE">
        <w:rPr>
          <w:rFonts w:ascii="Bookman Old Style" w:hAnsi="Bookman Old Style"/>
          <w:lang w:val="es-ES_tradnl"/>
        </w:rPr>
        <w:t xml:space="preserve">Inversión en activos que fueron reportados en el programa de nuevas inversiones en la anterior solicitud tarifaria y que se ejecutaron hasta la fecha de corte, homologadas a las Unidades Constructivas y valoradas a los costos unitarios que fueron establecidos en la Resolución CREG 011 de 2003 y ajustados conforme se relacionan en el </w:t>
      </w:r>
      <w:r w:rsidR="00AF6018" w:rsidRPr="000B65DE">
        <w:rPr>
          <w:rFonts w:ascii="Bookman Old Style" w:hAnsi="Bookman Old Style"/>
          <w:lang w:val="es-ES_tradnl"/>
        </w:rPr>
        <w:fldChar w:fldCharType="begin"/>
      </w:r>
      <w:r w:rsidRPr="000B65DE">
        <w:rPr>
          <w:rFonts w:ascii="Bookman Old Style" w:hAnsi="Bookman Old Style"/>
          <w:lang w:val="es-ES_tradnl"/>
        </w:rPr>
        <w:instrText xml:space="preserve"> REF _Ref332815662 \r \h </w:instrText>
      </w:r>
      <w:r w:rsidR="00AF6018" w:rsidRPr="000B65DE">
        <w:rPr>
          <w:rFonts w:ascii="Bookman Old Style" w:hAnsi="Bookman Old Style"/>
          <w:lang w:val="es-ES_tradnl"/>
        </w:rPr>
      </w:r>
      <w:r w:rsidR="00AF6018" w:rsidRPr="000B65DE">
        <w:rPr>
          <w:rFonts w:ascii="Bookman Old Style" w:hAnsi="Bookman Old Style"/>
          <w:lang w:val="es-ES_tradnl"/>
        </w:rPr>
        <w:fldChar w:fldCharType="separate"/>
      </w:r>
      <w:r w:rsidR="004D5C18">
        <w:rPr>
          <w:rFonts w:ascii="Bookman Old Style" w:hAnsi="Bookman Old Style"/>
          <w:lang w:val="es-ES_tradnl"/>
        </w:rPr>
        <w:t>ANEXO 6</w:t>
      </w:r>
      <w:r w:rsidR="00AF6018" w:rsidRPr="000B65DE">
        <w:rPr>
          <w:rFonts w:ascii="Bookman Old Style" w:hAnsi="Bookman Old Style"/>
          <w:lang w:val="es-ES_tradnl"/>
        </w:rPr>
        <w:fldChar w:fldCharType="end"/>
      </w:r>
      <w:r w:rsidRPr="000B65DE">
        <w:rPr>
          <w:rFonts w:ascii="Bookman Old Style" w:hAnsi="Bookman Old Style"/>
          <w:lang w:val="es-ES_tradnl"/>
        </w:rPr>
        <w:t>. Esta inversión debe estar expresada a pesos de la Fecha Base.</w:t>
      </w:r>
    </w:p>
    <w:p w:rsidR="000B65DE" w:rsidRPr="000B65DE" w:rsidRDefault="000B65DE" w:rsidP="000B65DE">
      <w:pPr>
        <w:ind w:left="454"/>
        <w:contextualSpacing/>
        <w:jc w:val="both"/>
        <w:rPr>
          <w:rFonts w:ascii="Bookman Old Style" w:hAnsi="Bookman Old Style"/>
          <w:lang w:val="es-ES_tradnl"/>
        </w:rPr>
      </w:pPr>
    </w:p>
    <w:p w:rsidR="000B65DE" w:rsidRPr="000B65DE" w:rsidRDefault="000B65DE" w:rsidP="00382E27">
      <w:pPr>
        <w:numPr>
          <w:ilvl w:val="0"/>
          <w:numId w:val="8"/>
        </w:numPr>
        <w:contextualSpacing/>
        <w:jc w:val="both"/>
        <w:rPr>
          <w:rFonts w:ascii="Bookman Old Style" w:hAnsi="Bookman Old Style"/>
          <w:lang w:val="es-ES_tradnl"/>
        </w:rPr>
      </w:pPr>
      <w:r w:rsidRPr="000B65DE">
        <w:rPr>
          <w:rFonts w:ascii="Bookman Old Style" w:hAnsi="Bookman Old Style"/>
          <w:b/>
          <w:lang w:val="es-ES_tradnl"/>
        </w:rPr>
        <w:t xml:space="preserve">Inversión Ejecutada durante el período tarifario y No Prevista en el Programa de Nuevas Inversiones (INPE): </w:t>
      </w:r>
      <w:r w:rsidRPr="000B65DE">
        <w:rPr>
          <w:rFonts w:ascii="Bookman Old Style" w:hAnsi="Bookman Old Style"/>
          <w:lang w:val="es-ES_tradnl"/>
        </w:rPr>
        <w:t xml:space="preserve">Inversión en activos que fueron ejecutados hasta la fecha de corte y que no fueron reportados en el Programa de Nuevas Inversiones, homologados a las Unidades Constructivas y valorados a los costos establecidos en la Resolución CREG 011 de 2003 y listados en el </w:t>
      </w:r>
      <w:r w:rsidR="00AF6018" w:rsidRPr="000B65DE">
        <w:rPr>
          <w:rFonts w:ascii="Bookman Old Style" w:hAnsi="Bookman Old Style"/>
          <w:lang w:val="es-ES_tradnl"/>
        </w:rPr>
        <w:fldChar w:fldCharType="begin"/>
      </w:r>
      <w:r w:rsidRPr="000B65DE">
        <w:rPr>
          <w:rFonts w:ascii="Bookman Old Style" w:hAnsi="Bookman Old Style"/>
          <w:lang w:val="es-ES_tradnl"/>
        </w:rPr>
        <w:instrText xml:space="preserve"> REF _Ref332815662 \r \h </w:instrText>
      </w:r>
      <w:r w:rsidR="00AF6018" w:rsidRPr="000B65DE">
        <w:rPr>
          <w:rFonts w:ascii="Bookman Old Style" w:hAnsi="Bookman Old Style"/>
          <w:lang w:val="es-ES_tradnl"/>
        </w:rPr>
      </w:r>
      <w:r w:rsidR="00AF6018" w:rsidRPr="000B65DE">
        <w:rPr>
          <w:rFonts w:ascii="Bookman Old Style" w:hAnsi="Bookman Old Style"/>
          <w:lang w:val="es-ES_tradnl"/>
        </w:rPr>
        <w:fldChar w:fldCharType="separate"/>
      </w:r>
      <w:r w:rsidR="004D5C18">
        <w:rPr>
          <w:rFonts w:ascii="Bookman Old Style" w:hAnsi="Bookman Old Style"/>
          <w:lang w:val="es-ES_tradnl"/>
        </w:rPr>
        <w:t>ANEXO 6</w:t>
      </w:r>
      <w:r w:rsidR="00AF6018" w:rsidRPr="000B65DE">
        <w:rPr>
          <w:rFonts w:ascii="Bookman Old Style" w:hAnsi="Bookman Old Style"/>
          <w:lang w:val="es-ES_tradnl"/>
        </w:rPr>
        <w:fldChar w:fldCharType="end"/>
      </w:r>
      <w:r w:rsidRPr="000B65DE">
        <w:rPr>
          <w:rFonts w:ascii="Bookman Old Style" w:hAnsi="Bookman Old Style"/>
          <w:lang w:val="es-ES_tradnl"/>
        </w:rPr>
        <w:t>. Éstas podrán incluir la reposición de Inversión Existente (IE) ejecutada</w:t>
      </w:r>
      <w:r w:rsidRPr="000B65DE" w:rsidDel="007E23AD">
        <w:rPr>
          <w:rFonts w:ascii="Bookman Old Style" w:hAnsi="Bookman Old Style"/>
          <w:lang w:val="es-ES_tradnl"/>
        </w:rPr>
        <w:t xml:space="preserve"> </w:t>
      </w:r>
      <w:r w:rsidRPr="000B65DE">
        <w:rPr>
          <w:rFonts w:ascii="Bookman Old Style" w:hAnsi="Bookman Old Style"/>
          <w:lang w:val="es-ES_tradnl"/>
        </w:rPr>
        <w:t xml:space="preserve">durante el período tarifario que culmina. En caso de corresponder a nuevas Unidades Constructivas se toma el valor de éstas tal y como están definidas en el </w:t>
      </w:r>
      <w:r w:rsidR="00AF6018" w:rsidRPr="000B65DE">
        <w:rPr>
          <w:rFonts w:ascii="Bookman Old Style" w:hAnsi="Bookman Old Style"/>
          <w:lang w:val="es-ES_tradnl"/>
        </w:rPr>
        <w:fldChar w:fldCharType="begin"/>
      </w:r>
      <w:r w:rsidRPr="000B65DE">
        <w:rPr>
          <w:rFonts w:ascii="Bookman Old Style" w:hAnsi="Bookman Old Style"/>
          <w:lang w:val="es-ES_tradnl"/>
        </w:rPr>
        <w:instrText xml:space="preserve"> REF _Ref330910423 \r \h </w:instrText>
      </w:r>
      <w:r w:rsidR="00AF6018" w:rsidRPr="000B65DE">
        <w:rPr>
          <w:rFonts w:ascii="Bookman Old Style" w:hAnsi="Bookman Old Style"/>
          <w:lang w:val="es-ES_tradnl"/>
        </w:rPr>
      </w:r>
      <w:r w:rsidR="00AF6018" w:rsidRPr="000B65DE">
        <w:rPr>
          <w:rFonts w:ascii="Bookman Old Style" w:hAnsi="Bookman Old Style"/>
          <w:lang w:val="es-ES_tradnl"/>
        </w:rPr>
        <w:fldChar w:fldCharType="separate"/>
      </w:r>
      <w:r w:rsidR="004D5C18">
        <w:rPr>
          <w:rFonts w:ascii="Bookman Old Style" w:hAnsi="Bookman Old Style"/>
          <w:lang w:val="es-ES_tradnl"/>
        </w:rPr>
        <w:t>ANEXO 8</w:t>
      </w:r>
      <w:r w:rsidR="00AF6018" w:rsidRPr="000B65DE">
        <w:rPr>
          <w:rFonts w:ascii="Bookman Old Style" w:hAnsi="Bookman Old Style"/>
          <w:lang w:val="es-ES_tradnl"/>
        </w:rPr>
        <w:fldChar w:fldCharType="end"/>
      </w:r>
      <w:r w:rsidRPr="000B65DE">
        <w:rPr>
          <w:rFonts w:ascii="Bookman Old Style" w:hAnsi="Bookman Old Style"/>
          <w:lang w:val="es-ES_tradnl"/>
        </w:rPr>
        <w:t>. Esta inversión expresada a pesos de la Fecha Base.</w:t>
      </w:r>
    </w:p>
    <w:p w:rsidR="000B65DE" w:rsidRPr="000B65DE" w:rsidRDefault="000B65DE" w:rsidP="000B65DE">
      <w:pPr>
        <w:ind w:left="454"/>
        <w:contextualSpacing/>
        <w:jc w:val="both"/>
        <w:rPr>
          <w:rFonts w:ascii="Bookman Old Style" w:hAnsi="Bookman Old Style"/>
          <w:lang w:val="es-ES_tradnl"/>
        </w:rPr>
      </w:pPr>
    </w:p>
    <w:p w:rsidR="000B65DE" w:rsidRPr="000B65DE" w:rsidRDefault="000B65DE" w:rsidP="00382E27">
      <w:pPr>
        <w:numPr>
          <w:ilvl w:val="0"/>
          <w:numId w:val="8"/>
        </w:numPr>
        <w:contextualSpacing/>
        <w:jc w:val="both"/>
        <w:rPr>
          <w:rFonts w:ascii="Bookman Old Style" w:hAnsi="Bookman Old Style"/>
          <w:lang w:val="es-ES_tradnl"/>
        </w:rPr>
      </w:pPr>
      <w:r w:rsidRPr="000B65DE">
        <w:rPr>
          <w:rFonts w:ascii="Bookman Old Style" w:hAnsi="Bookman Old Style"/>
          <w:b/>
          <w:lang w:val="es-ES_tradnl"/>
        </w:rPr>
        <w:t xml:space="preserve">Programa de Nuevas Inversiones para Municipios Nuevos (IPNI): </w:t>
      </w:r>
      <w:r w:rsidRPr="000B65DE">
        <w:rPr>
          <w:rFonts w:ascii="Bookman Old Style" w:hAnsi="Bookman Old Style"/>
          <w:lang w:val="es-ES_tradnl"/>
        </w:rPr>
        <w:t xml:space="preserve">Inversión a reconocer para el Programa de Nuevas Inversiones que se realizará en el Siguiente Período Tarifario. Esta deberá ser homologada a las Unidades Constructivas que se definan para el Siguiente Período Tarifario y valorada a los costos unitarios que se establecen en esta Resolución y que están definidos en el </w:t>
      </w:r>
      <w:r w:rsidR="00AF6018" w:rsidRPr="000B65DE">
        <w:rPr>
          <w:rFonts w:ascii="Bookman Old Style" w:hAnsi="Bookman Old Style"/>
          <w:lang w:val="es-ES_tradnl"/>
        </w:rPr>
        <w:fldChar w:fldCharType="begin"/>
      </w:r>
      <w:r w:rsidRPr="000B65DE">
        <w:rPr>
          <w:rFonts w:ascii="Bookman Old Style" w:hAnsi="Bookman Old Style"/>
          <w:lang w:val="es-ES_tradnl"/>
        </w:rPr>
        <w:instrText xml:space="preserve"> REF _Ref330910423 \r \h </w:instrText>
      </w:r>
      <w:r w:rsidR="00AF6018" w:rsidRPr="000B65DE">
        <w:rPr>
          <w:rFonts w:ascii="Bookman Old Style" w:hAnsi="Bookman Old Style"/>
          <w:lang w:val="es-ES_tradnl"/>
        </w:rPr>
      </w:r>
      <w:r w:rsidR="00AF6018" w:rsidRPr="000B65DE">
        <w:rPr>
          <w:rFonts w:ascii="Bookman Old Style" w:hAnsi="Bookman Old Style"/>
          <w:lang w:val="es-ES_tradnl"/>
        </w:rPr>
        <w:fldChar w:fldCharType="separate"/>
      </w:r>
      <w:r w:rsidR="004D5C18">
        <w:rPr>
          <w:rFonts w:ascii="Bookman Old Style" w:hAnsi="Bookman Old Style"/>
          <w:lang w:val="es-ES_tradnl"/>
        </w:rPr>
        <w:t>ANEXO 8</w:t>
      </w:r>
      <w:r w:rsidR="00AF6018" w:rsidRPr="000B65DE">
        <w:rPr>
          <w:rFonts w:ascii="Bookman Old Style" w:hAnsi="Bookman Old Style"/>
          <w:lang w:val="es-ES_tradnl"/>
        </w:rPr>
        <w:fldChar w:fldCharType="end"/>
      </w:r>
      <w:r w:rsidRPr="000B65DE">
        <w:rPr>
          <w:rFonts w:ascii="Bookman Old Style" w:hAnsi="Bookman Old Style"/>
          <w:lang w:val="es-ES_tradnl"/>
        </w:rPr>
        <w:t>. Esta inversión debe estar expresada a pesos de la Fecha Base.</w:t>
      </w:r>
    </w:p>
    <w:p w:rsidR="000B65DE" w:rsidRPr="000B65DE" w:rsidRDefault="000B65DE" w:rsidP="000B65DE">
      <w:pPr>
        <w:ind w:left="708"/>
        <w:rPr>
          <w:rFonts w:ascii="Bookman Old Style" w:hAnsi="Bookman Old Style"/>
          <w:sz w:val="20"/>
          <w:szCs w:val="20"/>
          <w:lang w:val="es-ES_tradnl"/>
        </w:rPr>
      </w:pPr>
    </w:p>
    <w:p w:rsidR="000B65DE" w:rsidRPr="000B65DE" w:rsidRDefault="000B65DE" w:rsidP="00382E27">
      <w:pPr>
        <w:numPr>
          <w:ilvl w:val="0"/>
          <w:numId w:val="8"/>
        </w:numPr>
        <w:contextualSpacing/>
        <w:jc w:val="both"/>
        <w:rPr>
          <w:rFonts w:ascii="Bookman Old Style" w:hAnsi="Bookman Old Style"/>
          <w:lang w:val="es-ES_tradnl"/>
        </w:rPr>
      </w:pPr>
      <w:r w:rsidRPr="000B65DE">
        <w:rPr>
          <w:rFonts w:ascii="Bookman Old Style" w:hAnsi="Bookman Old Style"/>
          <w:b/>
          <w:lang w:val="es-ES_tradnl"/>
        </w:rPr>
        <w:t xml:space="preserve">Inversión Base de Reposición de activos (IRAIE): </w:t>
      </w:r>
      <w:r w:rsidRPr="000B65DE">
        <w:rPr>
          <w:rFonts w:ascii="Bookman Old Style" w:hAnsi="Bookman Old Style"/>
          <w:lang w:val="es-ES_tradnl"/>
        </w:rPr>
        <w:t xml:space="preserve">Inversión a reconocer para el programa de reposición de activos de la </w:t>
      </w:r>
      <w:r w:rsidRPr="000B65DE">
        <w:rPr>
          <w:rFonts w:ascii="Bookman Old Style" w:hAnsi="Bookman Old Style" w:cs="Arial"/>
          <w:lang w:val="es-CO" w:eastAsia="en-US"/>
        </w:rPr>
        <w:t>Inversión Existente</w:t>
      </w:r>
      <w:r w:rsidRPr="000B65DE">
        <w:rPr>
          <w:rFonts w:ascii="Bookman Old Style" w:hAnsi="Bookman Old Style"/>
          <w:lang w:val="es-ES_tradnl"/>
        </w:rPr>
        <w:t xml:space="preserve"> (IE) que se realizará durante en el Siguiente Período Tarifario. Esta deberá ser homologada a las Unidades Constructivas que se definan para el Siguiente Período Tarifario y valorada a los costos unitarios que se establecen en esta Resolución en el </w:t>
      </w:r>
      <w:r w:rsidR="00AF6018" w:rsidRPr="000B65DE">
        <w:rPr>
          <w:rFonts w:ascii="Bookman Old Style" w:hAnsi="Bookman Old Style"/>
          <w:lang w:val="es-ES_tradnl"/>
        </w:rPr>
        <w:fldChar w:fldCharType="begin"/>
      </w:r>
      <w:r w:rsidRPr="000B65DE">
        <w:rPr>
          <w:rFonts w:ascii="Bookman Old Style" w:hAnsi="Bookman Old Style"/>
          <w:lang w:val="es-ES_tradnl"/>
        </w:rPr>
        <w:instrText xml:space="preserve"> REF _Ref330910423 \r \h </w:instrText>
      </w:r>
      <w:r w:rsidR="00AF6018" w:rsidRPr="000B65DE">
        <w:rPr>
          <w:rFonts w:ascii="Bookman Old Style" w:hAnsi="Bookman Old Style"/>
          <w:lang w:val="es-ES_tradnl"/>
        </w:rPr>
      </w:r>
      <w:r w:rsidR="00AF6018" w:rsidRPr="000B65DE">
        <w:rPr>
          <w:rFonts w:ascii="Bookman Old Style" w:hAnsi="Bookman Old Style"/>
          <w:lang w:val="es-ES_tradnl"/>
        </w:rPr>
        <w:fldChar w:fldCharType="separate"/>
      </w:r>
      <w:r w:rsidR="004D5C18">
        <w:rPr>
          <w:rFonts w:ascii="Bookman Old Style" w:hAnsi="Bookman Old Style"/>
          <w:lang w:val="es-ES_tradnl"/>
        </w:rPr>
        <w:t>ANEXO 8</w:t>
      </w:r>
      <w:r w:rsidR="00AF6018" w:rsidRPr="000B65DE">
        <w:rPr>
          <w:rFonts w:ascii="Bookman Old Style" w:hAnsi="Bookman Old Style"/>
          <w:lang w:val="es-ES_tradnl"/>
        </w:rPr>
        <w:fldChar w:fldCharType="end"/>
      </w:r>
      <w:r w:rsidRPr="000B65DE">
        <w:rPr>
          <w:rFonts w:ascii="Bookman Old Style" w:hAnsi="Bookman Old Style"/>
          <w:lang w:val="es-ES_tradnl"/>
        </w:rPr>
        <w:t>. Esta inversión debe estar expresada a pesos de la Fecha Base.</w:t>
      </w:r>
    </w:p>
    <w:p w:rsidR="000B65DE" w:rsidRPr="000B65DE" w:rsidRDefault="000B65DE" w:rsidP="000B65DE">
      <w:pPr>
        <w:ind w:left="708"/>
        <w:rPr>
          <w:rFonts w:ascii="Bookman Old Style" w:hAnsi="Bookman Old Style"/>
          <w:sz w:val="20"/>
          <w:szCs w:val="20"/>
          <w:lang w:val="es-ES_tradnl"/>
        </w:rPr>
      </w:pPr>
    </w:p>
    <w:p w:rsidR="00667022" w:rsidRDefault="000B65DE" w:rsidP="000B65DE">
      <w:pPr>
        <w:ind w:left="0"/>
        <w:jc w:val="both"/>
        <w:rPr>
          <w:rFonts w:ascii="Bookman Old Style" w:hAnsi="Bookman Old Style"/>
          <w:lang w:val="es-ES_tradnl"/>
        </w:rPr>
      </w:pPr>
      <w:r w:rsidRPr="000B65DE">
        <w:rPr>
          <w:rFonts w:ascii="Bookman Old Style" w:hAnsi="Bookman Old Style"/>
          <w:b/>
          <w:lang w:val="es-ES_tradnl"/>
        </w:rPr>
        <w:t>Parágrafo</w:t>
      </w:r>
      <w:r w:rsidR="00667022">
        <w:rPr>
          <w:rFonts w:ascii="Bookman Old Style" w:hAnsi="Bookman Old Style"/>
          <w:b/>
          <w:lang w:val="es-ES_tradnl"/>
        </w:rPr>
        <w:t xml:space="preserve"> 1</w:t>
      </w:r>
      <w:r w:rsidRPr="000B65DE">
        <w:rPr>
          <w:rFonts w:ascii="Bookman Old Style" w:hAnsi="Bookman Old Style"/>
          <w:b/>
          <w:lang w:val="es-ES_tradnl"/>
        </w:rPr>
        <w:t>.</w:t>
      </w:r>
      <w:r w:rsidRPr="000B65DE">
        <w:rPr>
          <w:rFonts w:ascii="Bookman Old Style" w:hAnsi="Bookman Old Style"/>
          <w:lang w:val="es-ES_tradnl"/>
        </w:rPr>
        <w:t xml:space="preserve"> </w:t>
      </w:r>
      <w:r w:rsidR="00667022">
        <w:rPr>
          <w:rFonts w:ascii="Bookman Old Style" w:hAnsi="Bookman Old Style"/>
          <w:lang w:val="es-ES_tradnl"/>
        </w:rPr>
        <w:t>La inversión requerida para conectar un Mercado Existente de Distribución servido con GNC a otro Sistema de Distribución o al Sistema Nacional de Transporte; o un municipio servido con GNC, dentro de un Mercado Existente de Distribución, que se conecta a la red de otro municipio en el mismo mercado</w:t>
      </w:r>
      <w:r w:rsidR="00DB779E">
        <w:rPr>
          <w:rFonts w:ascii="Bookman Old Style" w:hAnsi="Bookman Old Style"/>
          <w:lang w:val="es-ES_tradnl"/>
        </w:rPr>
        <w:t>;</w:t>
      </w:r>
      <w:r w:rsidR="00667022">
        <w:rPr>
          <w:rFonts w:ascii="Bookman Old Style" w:hAnsi="Bookman Old Style"/>
          <w:lang w:val="es-ES_tradnl"/>
        </w:rPr>
        <w:t xml:space="preserve"> será considerada como </w:t>
      </w:r>
      <w:r w:rsidR="00667022" w:rsidRPr="00667022">
        <w:rPr>
          <w:rFonts w:ascii="Bookman Old Style" w:hAnsi="Bookman Old Style"/>
          <w:lang w:val="es-ES_tradnl"/>
        </w:rPr>
        <w:t>Inversión Ejecutada durante el período tarifario y No Prevista en el Programa de Nuevas Inversiones (INPE)</w:t>
      </w:r>
      <w:r w:rsidR="00DB779E">
        <w:rPr>
          <w:rFonts w:ascii="Bookman Old Style" w:hAnsi="Bookman Old Style"/>
          <w:lang w:val="es-ES_tradnl"/>
        </w:rPr>
        <w:t xml:space="preserve">. </w:t>
      </w:r>
      <w:r w:rsidR="00DB779E">
        <w:rPr>
          <w:rFonts w:ascii="Bookman Old Style" w:hAnsi="Bookman Old Style"/>
          <w:lang w:val="es-ES_tradnl"/>
        </w:rPr>
        <w:lastRenderedPageBreak/>
        <w:t xml:space="preserve">Esta </w:t>
      </w:r>
      <w:r w:rsidR="00667022" w:rsidRPr="000B65DE">
        <w:rPr>
          <w:rFonts w:ascii="Bookman Old Style" w:hAnsi="Bookman Old Style"/>
          <w:b/>
          <w:lang w:val="es-ES_tradnl"/>
        </w:rPr>
        <w:t xml:space="preserve"> </w:t>
      </w:r>
      <w:r w:rsidR="00667022">
        <w:rPr>
          <w:rFonts w:ascii="Bookman Old Style" w:hAnsi="Bookman Old Style"/>
          <w:lang w:val="es-ES_tradnl"/>
        </w:rPr>
        <w:t>deberá ser realizada durante el primer año del nuevo periodo tarifario y ho</w:t>
      </w:r>
      <w:r w:rsidR="00DB779E">
        <w:rPr>
          <w:rFonts w:ascii="Bookman Old Style" w:hAnsi="Bookman Old Style"/>
          <w:lang w:val="es-ES_tradnl"/>
        </w:rPr>
        <w:t>mologarse a unidad constructiva respectiva</w:t>
      </w:r>
    </w:p>
    <w:p w:rsidR="00667022" w:rsidRDefault="00667022" w:rsidP="000B65DE">
      <w:pPr>
        <w:ind w:left="0"/>
        <w:jc w:val="both"/>
        <w:rPr>
          <w:rFonts w:ascii="Bookman Old Style" w:hAnsi="Bookman Old Style"/>
          <w:lang w:val="es-ES_tradnl"/>
        </w:rPr>
      </w:pPr>
    </w:p>
    <w:p w:rsidR="000B65DE" w:rsidRDefault="00667022" w:rsidP="000B65DE">
      <w:pPr>
        <w:ind w:left="0"/>
        <w:jc w:val="both"/>
      </w:pPr>
      <w:r w:rsidRPr="00667022">
        <w:rPr>
          <w:rFonts w:ascii="Bookman Old Style" w:hAnsi="Bookman Old Style"/>
          <w:b/>
          <w:lang w:val="es-ES_tradnl"/>
        </w:rPr>
        <w:t>Parágrafo 2.</w:t>
      </w:r>
      <w:r>
        <w:rPr>
          <w:rFonts w:ascii="Bookman Old Style" w:hAnsi="Bookman Old Style"/>
          <w:lang w:val="es-ES_tradnl"/>
        </w:rPr>
        <w:t xml:space="preserve"> </w:t>
      </w:r>
      <w:r w:rsidR="000B65DE" w:rsidRPr="000B65DE">
        <w:rPr>
          <w:rFonts w:ascii="Bookman Old Style" w:hAnsi="Bookman Old Style"/>
          <w:lang w:val="es-ES_tradnl"/>
        </w:rPr>
        <w:t xml:space="preserve">La Comisión podrá ordenar a través de una auditoria la verificación de los inventarios de activos en servicio que los Distribuidores reporten en su solicitud tarifaria y que formen parte de la Inversión Base descrita en los numerales a), b) y c) del presente numeral y de acuerdo con la metodología establecida en el </w:t>
      </w:r>
      <w:r w:rsidR="00AF6018" w:rsidRPr="000B65DE">
        <w:rPr>
          <w:highlight w:val="green"/>
        </w:rPr>
        <w:fldChar w:fldCharType="begin"/>
      </w:r>
      <w:r w:rsidR="000B65DE" w:rsidRPr="000B65DE">
        <w:rPr>
          <w:rFonts w:ascii="Bookman Old Style" w:hAnsi="Bookman Old Style"/>
          <w:lang w:val="es-ES_tradnl"/>
        </w:rPr>
        <w:instrText xml:space="preserve"> REF _Ref291665114 \r \h </w:instrText>
      </w:r>
      <w:r w:rsidR="00AF6018" w:rsidRPr="000B65DE">
        <w:rPr>
          <w:highlight w:val="green"/>
        </w:rPr>
      </w:r>
      <w:r w:rsidR="00AF6018" w:rsidRPr="000B65DE">
        <w:rPr>
          <w:highlight w:val="green"/>
        </w:rPr>
        <w:fldChar w:fldCharType="separate"/>
      </w:r>
      <w:r w:rsidR="004D5C18">
        <w:rPr>
          <w:rFonts w:ascii="Bookman Old Style" w:hAnsi="Bookman Old Style"/>
          <w:lang w:val="es-ES_tradnl"/>
        </w:rPr>
        <w:t>ANEXO 3</w:t>
      </w:r>
      <w:r w:rsidR="00AF6018" w:rsidRPr="000B65DE">
        <w:rPr>
          <w:highlight w:val="green"/>
        </w:rPr>
        <w:fldChar w:fldCharType="end"/>
      </w:r>
      <w:r w:rsidR="000B65DE" w:rsidRPr="000B65DE">
        <w:t>.</w:t>
      </w:r>
    </w:p>
    <w:p w:rsidR="00A179EE" w:rsidRDefault="00A179EE" w:rsidP="000B65DE">
      <w:pPr>
        <w:ind w:left="0"/>
        <w:jc w:val="both"/>
      </w:pPr>
    </w:p>
    <w:p w:rsidR="000B65DE" w:rsidRPr="000B65DE" w:rsidRDefault="000B65DE" w:rsidP="008F4D9F">
      <w:pPr>
        <w:numPr>
          <w:ilvl w:val="2"/>
          <w:numId w:val="16"/>
        </w:numPr>
        <w:overflowPunct w:val="0"/>
        <w:autoSpaceDE w:val="0"/>
        <w:autoSpaceDN w:val="0"/>
        <w:adjustRightInd w:val="0"/>
        <w:ind w:left="851" w:hanging="851"/>
        <w:jc w:val="both"/>
        <w:textAlignment w:val="baseline"/>
        <w:outlineLvl w:val="1"/>
        <w:rPr>
          <w:rFonts w:ascii="Bookman Old Style" w:hAnsi="Bookman Old Style"/>
          <w:b/>
          <w:bCs/>
          <w:szCs w:val="20"/>
          <w:lang w:val="es-CO"/>
        </w:rPr>
      </w:pPr>
      <w:bookmarkStart w:id="14" w:name="_Toc276025283"/>
      <w:bookmarkStart w:id="15" w:name="_Ref289353052"/>
      <w:r w:rsidRPr="000B65DE">
        <w:rPr>
          <w:rFonts w:ascii="Bookman Old Style" w:hAnsi="Bookman Old Style"/>
          <w:b/>
          <w:bCs/>
          <w:szCs w:val="20"/>
          <w:lang w:val="es-CO"/>
        </w:rPr>
        <w:t xml:space="preserve">Valoración de la Inversión Base de </w:t>
      </w:r>
      <w:bookmarkEnd w:id="14"/>
      <w:r w:rsidRPr="000B65DE">
        <w:rPr>
          <w:rFonts w:ascii="Bookman Old Style" w:hAnsi="Bookman Old Style"/>
          <w:b/>
          <w:bCs/>
          <w:szCs w:val="20"/>
          <w:lang w:val="es-CO"/>
        </w:rPr>
        <w:t>Mercados Relevantes de Distribución para el Siguiente Período Tarifario conformados a partir de Mercados Existentes de Distribución o la Agregación de Mercados Existentes de Distribución</w:t>
      </w:r>
      <w:bookmarkEnd w:id="15"/>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La valoración de los activos reportados en el inventario de la Inversión Base se hará a partir de la siguiente fórmula:</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454"/>
        <w:contextualSpacing/>
        <w:jc w:val="both"/>
        <w:rPr>
          <w:rFonts w:ascii="Bookman Old Style" w:hAnsi="Bookman Old Style"/>
          <w:lang w:val="es-ES_tradnl"/>
        </w:rPr>
      </w:pPr>
    </w:p>
    <w:p w:rsidR="000B65DE" w:rsidRPr="0092172B" w:rsidRDefault="00364E59" w:rsidP="000B65DE">
      <w:pPr>
        <w:spacing w:after="200" w:line="276" w:lineRule="auto"/>
        <w:ind w:left="0"/>
        <w:contextualSpacing/>
        <w:jc w:val="center"/>
        <w:rPr>
          <w:rFonts w:ascii="Bookman Old Style" w:eastAsia="Calibri" w:hAnsi="Bookman Old Style" w:cs="Arial"/>
          <w:lang w:val="es-CO" w:eastAsia="en-US"/>
        </w:rPr>
      </w:pPr>
      <m:oMathPara>
        <m:oMath>
          <m:sSub>
            <m:sSubPr>
              <m:ctrlPr>
                <w:rPr>
                  <w:rFonts w:ascii="Cambria Math" w:eastAsia="Calibri" w:hAnsi="Cambria Math" w:cs="Arial"/>
                  <w:lang w:val="es-CO" w:eastAsia="en-US"/>
                </w:rPr>
              </m:ctrlPr>
            </m:sSubPr>
            <m:e>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IBME</m:t>
                  </m:r>
                </m:e>
                <m:sub>
                  <m:r>
                    <m:rPr>
                      <m:sty m:val="p"/>
                    </m:rPr>
                    <w:rPr>
                      <w:rFonts w:ascii="Cambria Math" w:eastAsia="Calibri" w:hAnsi="Cambria Math" w:cs="Arial"/>
                      <w:lang w:val="es-CO" w:eastAsia="en-US"/>
                    </w:rPr>
                    <m:t>kl</m:t>
                  </m:r>
                </m:sub>
              </m:sSub>
              <m:r>
                <m:rPr>
                  <m:sty m:val="p"/>
                </m:rPr>
                <w:rPr>
                  <w:rFonts w:ascii="Cambria Math" w:eastAsia="Calibri" w:hAnsi="Cambria Math" w:cs="Arial"/>
                  <w:lang w:val="es-CO" w:eastAsia="en-US"/>
                </w:rPr>
                <m:t>=CAE</m:t>
              </m:r>
            </m:e>
            <m:sub>
              <m:r>
                <m:rPr>
                  <m:sty m:val="p"/>
                </m:rPr>
                <w:rPr>
                  <w:rFonts w:ascii="Cambria Math" w:eastAsia="Calibri" w:hAnsi="Cambria Math" w:cs="Arial"/>
                  <w:lang w:val="es-CO" w:eastAsia="en-US"/>
                </w:rPr>
                <m:t>kl</m:t>
              </m:r>
            </m:sub>
          </m:sSub>
          <m:d>
            <m:dPr>
              <m:ctrlPr>
                <w:rPr>
                  <w:rFonts w:ascii="Cambria Math" w:eastAsia="Calibri" w:hAnsi="Cambria Math" w:cs="Arial"/>
                  <w:lang w:val="es-CO" w:eastAsia="en-US"/>
                </w:rPr>
              </m:ctrlPr>
            </m:dPr>
            <m:e>
              <m:r>
                <m:rPr>
                  <m:sty m:val="p"/>
                </m:rPr>
                <w:rPr>
                  <w:rFonts w:ascii="Cambria Math" w:eastAsia="Calibri" w:hAnsi="Cambria Math" w:cs="Arial"/>
                  <w:lang w:val="es-CO" w:eastAsia="en-US"/>
                </w:rPr>
                <m:t>IE</m:t>
              </m:r>
            </m:e>
          </m:d>
          <m:r>
            <m:rPr>
              <m:sty m:val="p"/>
            </m:rPr>
            <w:rPr>
              <w:rFonts w:ascii="Cambria Math" w:eastAsia="Calibri" w:hAnsi="Cambria Math" w:cs="Arial"/>
              <w:lang w:val="es-CO" w:eastAsia="en-US"/>
            </w:rPr>
            <m:t>+</m:t>
          </m:r>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CAE</m:t>
              </m:r>
            </m:e>
            <m:sub>
              <m:r>
                <m:rPr>
                  <m:sty m:val="p"/>
                </m:rPr>
                <w:rPr>
                  <w:rFonts w:ascii="Cambria Math" w:eastAsia="Calibri" w:hAnsi="Cambria Math" w:cs="Arial"/>
                  <w:lang w:val="es-CO" w:eastAsia="en-US"/>
                </w:rPr>
                <m:t>kl</m:t>
              </m:r>
            </m:sub>
          </m:sSub>
          <m:d>
            <m:dPr>
              <m:ctrlPr>
                <w:rPr>
                  <w:rFonts w:ascii="Cambria Math" w:eastAsia="Calibri" w:hAnsi="Cambria Math" w:cs="Arial"/>
                  <w:lang w:val="es-CO" w:eastAsia="en-US"/>
                </w:rPr>
              </m:ctrlPr>
            </m:dPr>
            <m:e>
              <m:r>
                <m:rPr>
                  <m:sty m:val="p"/>
                </m:rPr>
                <w:rPr>
                  <w:rFonts w:ascii="Cambria Math" w:eastAsia="Calibri" w:hAnsi="Cambria Math" w:cs="Arial"/>
                  <w:lang w:val="es-CO" w:eastAsia="en-US"/>
                </w:rPr>
                <m:t>IPE, INPE</m:t>
              </m:r>
            </m:e>
          </m:d>
        </m:oMath>
      </m:oMathPara>
    </w:p>
    <w:p w:rsidR="000B65DE" w:rsidRPr="000B65DE" w:rsidRDefault="000B65DE" w:rsidP="000B65DE">
      <w:pPr>
        <w:spacing w:after="200" w:line="276" w:lineRule="auto"/>
        <w:ind w:left="0"/>
        <w:contextualSpacing/>
        <w:rPr>
          <w:rFonts w:ascii="Bookman Old Style" w:eastAsia="Calibri" w:hAnsi="Bookman Old Style" w:cs="Arial"/>
          <w:lang w:val="es-CO" w:eastAsia="en-US"/>
        </w:rPr>
      </w:pPr>
    </w:p>
    <w:p w:rsidR="000B65DE" w:rsidRPr="000B65DE" w:rsidRDefault="000B65DE" w:rsidP="000B65DE">
      <w:pPr>
        <w:spacing w:after="200" w:line="276" w:lineRule="auto"/>
        <w:ind w:left="0"/>
        <w:contextualSpacing/>
        <w:rPr>
          <w:rFonts w:ascii="Bookman Old Style" w:eastAsia="Calibri" w:hAnsi="Bookman Old Style" w:cs="Arial"/>
          <w:lang w:val="es-CO" w:eastAsia="en-US"/>
        </w:rPr>
      </w:pPr>
      <w:r w:rsidRPr="000B65DE">
        <w:rPr>
          <w:rFonts w:ascii="Bookman Old Style" w:eastAsia="Calibri" w:hAnsi="Bookman Old Style" w:cs="Arial"/>
          <w:lang w:val="es-CO" w:eastAsia="en-US"/>
        </w:rPr>
        <w:t>Donde:</w:t>
      </w:r>
    </w:p>
    <w:p w:rsidR="000B65DE" w:rsidRDefault="000B65DE" w:rsidP="000B65DE">
      <w:pPr>
        <w:spacing w:after="200" w:line="276" w:lineRule="auto"/>
        <w:ind w:left="0"/>
        <w:contextualSpacing/>
        <w:rPr>
          <w:rFonts w:ascii="Arial" w:eastAsia="Calibri" w:hAnsi="Arial" w:cs="Arial"/>
          <w:lang w:val="es-CO" w:eastAsia="en-US"/>
        </w:rPr>
      </w:pPr>
    </w:p>
    <w:p w:rsidR="00C7068E" w:rsidRPr="000B65DE" w:rsidRDefault="00C7068E" w:rsidP="000B65DE">
      <w:pPr>
        <w:spacing w:after="200" w:line="276" w:lineRule="auto"/>
        <w:ind w:left="0"/>
        <w:contextualSpacing/>
        <w:rPr>
          <w:rFonts w:ascii="Arial" w:eastAsia="Calibri" w:hAnsi="Arial" w:cs="Arial"/>
          <w:lang w:val="es-CO" w:eastAsia="en-US"/>
        </w:rPr>
      </w:pPr>
    </w:p>
    <w:tbl>
      <w:tblPr>
        <w:tblW w:w="9497" w:type="dxa"/>
        <w:tblInd w:w="250" w:type="dxa"/>
        <w:tblLayout w:type="fixed"/>
        <w:tblLook w:val="04A0" w:firstRow="1" w:lastRow="0" w:firstColumn="1" w:lastColumn="0" w:noHBand="0" w:noVBand="1"/>
      </w:tblPr>
      <w:tblGrid>
        <w:gridCol w:w="2029"/>
        <w:gridCol w:w="7327"/>
        <w:gridCol w:w="141"/>
      </w:tblGrid>
      <w:tr w:rsidR="000B65DE" w:rsidRPr="000B65DE" w:rsidTr="00382E27">
        <w:tc>
          <w:tcPr>
            <w:tcW w:w="2029" w:type="dxa"/>
          </w:tcPr>
          <w:p w:rsidR="000B65DE" w:rsidRPr="0092172B" w:rsidRDefault="00364E59" w:rsidP="000B65DE">
            <w:pPr>
              <w:spacing w:after="200" w:line="276" w:lineRule="auto"/>
              <w:ind w:left="0"/>
              <w:contextualSpacing/>
              <w:rPr>
                <w:rFonts w:ascii="Bookman Old Style" w:hAnsi="Bookman Old Style" w:cs="Arial"/>
                <w:lang w:val="es-CO" w:eastAsia="en-US"/>
              </w:rPr>
            </w:pPr>
            <m:oMathPara>
              <m:oMathParaPr>
                <m:jc m:val="left"/>
              </m:oMathParaPr>
              <m:oMath>
                <m:sSub>
                  <m:sSubPr>
                    <m:ctrlPr>
                      <w:rPr>
                        <w:rFonts w:ascii="Cambria Math" w:hAnsi="Cambria Math" w:cs="Arial"/>
                        <w:lang w:val="es-CO" w:eastAsia="en-US"/>
                      </w:rPr>
                    </m:ctrlPr>
                  </m:sSubPr>
                  <m:e>
                    <m:r>
                      <m:rPr>
                        <m:sty m:val="p"/>
                      </m:rPr>
                      <w:rPr>
                        <w:rFonts w:ascii="Cambria Math" w:hAnsi="Cambria Math" w:cs="Arial"/>
                        <w:lang w:val="es-CO" w:eastAsia="en-US"/>
                      </w:rPr>
                      <m:t>IBME</m:t>
                    </m:r>
                  </m:e>
                  <m:sub>
                    <m:r>
                      <m:rPr>
                        <m:sty m:val="p"/>
                      </m:rPr>
                      <w:rPr>
                        <w:rFonts w:ascii="Cambria Math" w:hAnsi="Cambria Math" w:cs="Arial"/>
                        <w:lang w:val="es-CO" w:eastAsia="en-US"/>
                      </w:rPr>
                      <m:t>kl</m:t>
                    </m:r>
                  </m:sub>
                </m:sSub>
              </m:oMath>
            </m:oMathPara>
          </w:p>
        </w:tc>
        <w:tc>
          <w:tcPr>
            <w:tcW w:w="7468" w:type="dxa"/>
            <w:gridSpan w:val="2"/>
          </w:tcPr>
          <w:p w:rsidR="000B65DE" w:rsidRPr="000B65DE" w:rsidRDefault="000B65DE" w:rsidP="000B65DE">
            <w:pPr>
              <w:spacing w:after="200"/>
              <w:ind w:left="0"/>
              <w:contextualSpacing/>
              <w:jc w:val="both"/>
              <w:rPr>
                <w:rFonts w:ascii="Bookman Old Style" w:hAnsi="Bookman Old Style" w:cs="Arial"/>
                <w:lang w:val="es-CO" w:eastAsia="en-US"/>
              </w:rPr>
            </w:pPr>
            <w:r w:rsidRPr="000B65DE">
              <w:rPr>
                <w:rFonts w:ascii="Bookman Old Style" w:hAnsi="Bookman Old Style" w:cs="Arial"/>
                <w:lang w:val="es-CO" w:eastAsia="en-US"/>
              </w:rPr>
              <w:t xml:space="preserve">Inversión Base para el tipo de red l del Mercado Relevante de Distribución para el Siguiente Período Tarifario k conformado a partir de Mercado Existente </w:t>
            </w:r>
            <w:r w:rsidR="00A179EE">
              <w:rPr>
                <w:rFonts w:ascii="Bookman Old Style" w:hAnsi="Bookman Old Style" w:cs="Arial"/>
                <w:lang w:val="es-CO" w:eastAsia="en-US"/>
              </w:rPr>
              <w:t xml:space="preserve">de </w:t>
            </w:r>
            <w:r w:rsidR="00A179EE" w:rsidRPr="000B65DE">
              <w:rPr>
                <w:rFonts w:ascii="Bookman Old Style" w:hAnsi="Bookman Old Style" w:cs="Arial"/>
                <w:lang w:val="es-CO" w:eastAsia="en-US"/>
              </w:rPr>
              <w:t xml:space="preserve">Distribución </w:t>
            </w:r>
            <w:r w:rsidRPr="000B65DE">
              <w:rPr>
                <w:rFonts w:ascii="Bookman Old Style" w:hAnsi="Bookman Old Style" w:cs="Arial"/>
                <w:lang w:val="es-CO" w:eastAsia="en-US"/>
              </w:rPr>
              <w:t xml:space="preserve">o de la Agregación de Mercados </w:t>
            </w:r>
            <w:r w:rsidR="00A179EE" w:rsidRPr="000B65DE">
              <w:rPr>
                <w:rFonts w:ascii="Bookman Old Style" w:hAnsi="Bookman Old Style" w:cs="Arial"/>
                <w:lang w:val="es-CO" w:eastAsia="en-US"/>
              </w:rPr>
              <w:t xml:space="preserve">Existentes </w:t>
            </w:r>
            <w:r w:rsidR="00A179EE">
              <w:rPr>
                <w:rFonts w:ascii="Bookman Old Style" w:hAnsi="Bookman Old Style" w:cs="Arial"/>
                <w:lang w:val="es-CO" w:eastAsia="en-US"/>
              </w:rPr>
              <w:t xml:space="preserve">de </w:t>
            </w:r>
            <w:r w:rsidRPr="000B65DE">
              <w:rPr>
                <w:rFonts w:ascii="Bookman Old Style" w:hAnsi="Bookman Old Style" w:cs="Arial"/>
                <w:lang w:val="es-CO" w:eastAsia="en-US"/>
              </w:rPr>
              <w:t xml:space="preserve">Distribución, expresada en pesos de la Fecha Base. </w:t>
            </w:r>
          </w:p>
          <w:p w:rsidR="000B65DE" w:rsidRPr="000B65DE" w:rsidRDefault="000B65DE" w:rsidP="000B65DE">
            <w:pPr>
              <w:spacing w:after="200"/>
              <w:ind w:left="0"/>
              <w:contextualSpacing/>
              <w:jc w:val="both"/>
              <w:rPr>
                <w:rFonts w:ascii="Bookman Old Style" w:hAnsi="Bookman Old Style" w:cs="Arial"/>
                <w:lang w:val="es-CO" w:eastAsia="en-US"/>
              </w:rPr>
            </w:pPr>
          </w:p>
        </w:tc>
      </w:tr>
      <w:tr w:rsidR="000B65DE" w:rsidRPr="000B65DE" w:rsidTr="00382E27">
        <w:tc>
          <w:tcPr>
            <w:tcW w:w="2029" w:type="dxa"/>
          </w:tcPr>
          <w:p w:rsidR="000B65DE" w:rsidRPr="0092172B" w:rsidRDefault="00364E59" w:rsidP="000B65DE">
            <w:pPr>
              <w:spacing w:after="200" w:line="276" w:lineRule="auto"/>
              <w:ind w:left="0"/>
              <w:contextualSpacing/>
              <w:rPr>
                <w:rFonts w:ascii="Bookman Old Style" w:hAnsi="Bookman Old Style" w:cs="Arial"/>
                <w:lang w:val="es-CO" w:eastAsia="en-US"/>
              </w:rPr>
            </w:pPr>
            <m:oMathPara>
              <m:oMathParaPr>
                <m:jc m:val="left"/>
              </m:oMathParaPr>
              <m:oMath>
                <m:sSub>
                  <m:sSubPr>
                    <m:ctrlPr>
                      <w:rPr>
                        <w:rFonts w:ascii="Cambria Math" w:hAnsi="Cambria Math" w:cs="Arial"/>
                        <w:lang w:val="es-CO" w:eastAsia="en-US"/>
                      </w:rPr>
                    </m:ctrlPr>
                  </m:sSubPr>
                  <m:e>
                    <m:r>
                      <m:rPr>
                        <m:sty m:val="p"/>
                      </m:rPr>
                      <w:rPr>
                        <w:rFonts w:ascii="Cambria Math" w:hAnsi="Cambria Math" w:cs="Arial"/>
                        <w:lang w:val="es-CO" w:eastAsia="en-US"/>
                      </w:rPr>
                      <m:t>CAE</m:t>
                    </m:r>
                  </m:e>
                  <m:sub>
                    <m:r>
                      <m:rPr>
                        <m:sty m:val="p"/>
                      </m:rPr>
                      <w:rPr>
                        <w:rFonts w:ascii="Cambria Math" w:hAnsi="Cambria Math" w:cs="Arial"/>
                        <w:lang w:val="es-CO" w:eastAsia="en-US"/>
                      </w:rPr>
                      <m:t>kl</m:t>
                    </m:r>
                  </m:sub>
                </m:sSub>
                <m:d>
                  <m:dPr>
                    <m:ctrlPr>
                      <w:rPr>
                        <w:rFonts w:ascii="Cambria Math" w:hAnsi="Cambria Math" w:cs="Arial"/>
                        <w:lang w:val="es-CO" w:eastAsia="en-US"/>
                      </w:rPr>
                    </m:ctrlPr>
                  </m:dPr>
                  <m:e>
                    <m:r>
                      <m:rPr>
                        <m:sty m:val="p"/>
                      </m:rPr>
                      <w:rPr>
                        <w:rFonts w:ascii="Cambria Math" w:hAnsi="Cambria Math" w:cs="Arial"/>
                        <w:lang w:val="es-CO" w:eastAsia="en-US"/>
                      </w:rPr>
                      <m:t>IE</m:t>
                    </m:r>
                  </m:e>
                </m:d>
              </m:oMath>
            </m:oMathPara>
          </w:p>
        </w:tc>
        <w:tc>
          <w:tcPr>
            <w:tcW w:w="7468" w:type="dxa"/>
            <w:gridSpan w:val="2"/>
          </w:tcPr>
          <w:p w:rsidR="000B65DE" w:rsidRPr="000B65DE" w:rsidRDefault="000B65DE" w:rsidP="000B65DE">
            <w:pPr>
              <w:spacing w:after="200"/>
              <w:ind w:left="0"/>
              <w:contextualSpacing/>
              <w:jc w:val="both"/>
              <w:rPr>
                <w:rFonts w:ascii="Bookman Old Style" w:hAnsi="Bookman Old Style" w:cs="Arial"/>
                <w:lang w:val="es-CO" w:eastAsia="en-US"/>
              </w:rPr>
            </w:pPr>
            <w:r w:rsidRPr="000B65DE">
              <w:rPr>
                <w:rFonts w:ascii="Bookman Old Style" w:hAnsi="Bookman Old Style" w:cs="Arial"/>
                <w:lang w:val="es-CO" w:eastAsia="en-US"/>
              </w:rPr>
              <w:t>Costo anual equivalente de la Inversión Existente (IE) para el tipo de red l</w:t>
            </w:r>
            <w:r w:rsidRPr="000B65DE">
              <w:rPr>
                <w:rFonts w:ascii="Bookman Old Style" w:hAnsi="Bookman Old Style" w:cs="Arial"/>
                <w:i/>
                <w:lang w:val="es-CO" w:eastAsia="en-US"/>
              </w:rPr>
              <w:t xml:space="preserve"> </w:t>
            </w:r>
            <w:r w:rsidRPr="000B65DE">
              <w:rPr>
                <w:rFonts w:ascii="Bookman Old Style" w:hAnsi="Bookman Old Style" w:cs="Arial"/>
                <w:lang w:val="es-CO" w:eastAsia="en-US"/>
              </w:rPr>
              <w:t xml:space="preserve">antes de la aplicación de la Resolución CREG 011 de 2003 y que forma parte del Mercado Relevante de Distribución para el Siguiente Período Tarifario k conformado a partir de Mercado </w:t>
            </w:r>
            <w:r w:rsidR="00A179EE" w:rsidRPr="000B65DE">
              <w:rPr>
                <w:rFonts w:ascii="Bookman Old Style" w:hAnsi="Bookman Old Style" w:cs="Arial"/>
                <w:lang w:val="es-CO" w:eastAsia="en-US"/>
              </w:rPr>
              <w:t xml:space="preserve">Existente </w:t>
            </w:r>
            <w:r w:rsidR="00A179EE">
              <w:rPr>
                <w:rFonts w:ascii="Bookman Old Style" w:hAnsi="Bookman Old Style" w:cs="Arial"/>
                <w:lang w:val="es-CO" w:eastAsia="en-US"/>
              </w:rPr>
              <w:t xml:space="preserve">de </w:t>
            </w:r>
            <w:r w:rsidRPr="000B65DE">
              <w:rPr>
                <w:rFonts w:ascii="Bookman Old Style" w:hAnsi="Bookman Old Style" w:cs="Arial"/>
                <w:lang w:val="es-CO" w:eastAsia="en-US"/>
              </w:rPr>
              <w:t xml:space="preserve">Distribución o de la Agregación de Mercados </w:t>
            </w:r>
            <w:r w:rsidR="00A179EE">
              <w:rPr>
                <w:rFonts w:ascii="Bookman Old Style" w:hAnsi="Bookman Old Style" w:cs="Arial"/>
                <w:lang w:val="es-CO" w:eastAsia="en-US"/>
              </w:rPr>
              <w:t xml:space="preserve">Existentes </w:t>
            </w:r>
            <w:r w:rsidRPr="000B65DE">
              <w:rPr>
                <w:rFonts w:ascii="Bookman Old Style" w:hAnsi="Bookman Old Style" w:cs="Arial"/>
                <w:lang w:val="es-CO" w:eastAsia="en-US"/>
              </w:rPr>
              <w:t>de Distribución</w:t>
            </w:r>
            <w:r w:rsidRPr="000B65DE">
              <w:rPr>
                <w:rFonts w:ascii="Bookman Old Style" w:hAnsi="Bookman Old Style" w:cs="Arial"/>
                <w:i/>
                <w:lang w:val="es-CO" w:eastAsia="en-US"/>
              </w:rPr>
              <w:t>,</w:t>
            </w:r>
            <w:r w:rsidRPr="000B65DE">
              <w:rPr>
                <w:rFonts w:ascii="Bookman Old Style" w:hAnsi="Bookman Old Style" w:cs="Arial"/>
                <w:lang w:val="es-CO" w:eastAsia="en-US"/>
              </w:rPr>
              <w:t xml:space="preserve"> expresada en pesos de la Fecha Base. Se calcula de acuerdo con la siguiente fórmula: </w:t>
            </w:r>
          </w:p>
          <w:p w:rsidR="000B65DE" w:rsidRPr="000B65DE" w:rsidRDefault="000B65DE" w:rsidP="000B65DE">
            <w:pPr>
              <w:spacing w:after="200"/>
              <w:ind w:left="0"/>
              <w:contextualSpacing/>
              <w:jc w:val="both"/>
              <w:rPr>
                <w:rFonts w:ascii="Bookman Old Style" w:hAnsi="Bookman Old Style" w:cs="Arial"/>
                <w:lang w:val="es-CO" w:eastAsia="en-US"/>
              </w:rPr>
            </w:pPr>
          </w:p>
          <w:p w:rsidR="000B65DE" w:rsidRPr="0092172B" w:rsidRDefault="00364E59" w:rsidP="000B65DE">
            <w:pPr>
              <w:spacing w:after="200"/>
              <w:ind w:left="0"/>
              <w:contextualSpacing/>
              <w:jc w:val="center"/>
              <w:rPr>
                <w:rFonts w:ascii="Bookman Old Style" w:hAnsi="Bookman Old Style" w:cs="Arial"/>
                <w:lang w:val="es-CO" w:eastAsia="en-US"/>
              </w:rPr>
            </w:pPr>
            <m:oMathPara>
              <m:oMath>
                <m:sSub>
                  <m:sSubPr>
                    <m:ctrlPr>
                      <w:rPr>
                        <w:rFonts w:ascii="Cambria Math" w:hAnsi="Cambria Math" w:cs="Arial"/>
                        <w:lang w:val="es-CO" w:eastAsia="en-US"/>
                      </w:rPr>
                    </m:ctrlPr>
                  </m:sSubPr>
                  <m:e>
                    <m:r>
                      <m:rPr>
                        <m:sty m:val="p"/>
                      </m:rPr>
                      <w:rPr>
                        <w:rFonts w:ascii="Cambria Math" w:hAnsi="Cambria Math" w:cs="Arial"/>
                        <w:lang w:val="es-CO" w:eastAsia="en-US"/>
                      </w:rPr>
                      <m:t>CAE</m:t>
                    </m:r>
                  </m:e>
                  <m:sub>
                    <m:r>
                      <m:rPr>
                        <m:sty m:val="p"/>
                      </m:rPr>
                      <w:rPr>
                        <w:rFonts w:ascii="Cambria Math" w:hAnsi="Cambria Math" w:cs="Arial"/>
                        <w:lang w:val="es-CO" w:eastAsia="en-US"/>
                      </w:rPr>
                      <m:t>kl</m:t>
                    </m:r>
                  </m:sub>
                </m:sSub>
                <m:r>
                  <m:rPr>
                    <m:sty m:val="p"/>
                  </m:rPr>
                  <w:rPr>
                    <w:rFonts w:ascii="Cambria Math" w:hAnsi="Arial" w:cs="Arial"/>
                    <w:lang w:val="es-CO" w:eastAsia="en-US"/>
                  </w:rPr>
                  <m:t xml:space="preserve"> </m:t>
                </m:r>
                <m:d>
                  <m:dPr>
                    <m:ctrlPr>
                      <w:rPr>
                        <w:rFonts w:ascii="Cambria Math" w:hAnsi="Arial" w:cs="Arial"/>
                        <w:lang w:val="es-CO" w:eastAsia="en-US"/>
                      </w:rPr>
                    </m:ctrlPr>
                  </m:dPr>
                  <m:e>
                    <m:r>
                      <m:rPr>
                        <m:sty m:val="p"/>
                      </m:rPr>
                      <w:rPr>
                        <w:rFonts w:ascii="Cambria Math" w:hAnsi="Cambria Math" w:cs="Arial"/>
                        <w:lang w:val="es-CO" w:eastAsia="en-US"/>
                      </w:rPr>
                      <m:t>IE</m:t>
                    </m:r>
                  </m:e>
                </m:d>
                <m:r>
                  <m:rPr>
                    <m:sty m:val="p"/>
                  </m:rPr>
                  <w:rPr>
                    <w:rFonts w:ascii="Cambria Math" w:hAnsi="Arial" w:cs="Arial"/>
                    <w:lang w:val="es-CO" w:eastAsia="en-US"/>
                  </w:rPr>
                  <m:t xml:space="preserve">= </m:t>
                </m:r>
                <m:d>
                  <m:dPr>
                    <m:begChr m:val="["/>
                    <m:endChr m:val="]"/>
                    <m:ctrlPr>
                      <w:rPr>
                        <w:rFonts w:ascii="Cambria Math" w:hAnsi="Arial" w:cs="Arial"/>
                        <w:lang w:val="es-CO" w:eastAsia="en-US"/>
                      </w:rPr>
                    </m:ctrlPr>
                  </m:dPr>
                  <m:e>
                    <m:nary>
                      <m:naryPr>
                        <m:chr m:val="∑"/>
                        <m:limLoc m:val="undOvr"/>
                        <m:ctrlPr>
                          <w:rPr>
                            <w:rFonts w:ascii="Cambria Math" w:hAnsi="Arial" w:cs="Arial"/>
                            <w:lang w:val="es-CO" w:eastAsia="en-US"/>
                          </w:rPr>
                        </m:ctrlPr>
                      </m:naryPr>
                      <m:sub>
                        <m:r>
                          <m:rPr>
                            <m:sty m:val="p"/>
                          </m:rPr>
                          <w:rPr>
                            <w:rFonts w:ascii="Cambria Math" w:hAnsi="Cambria Math" w:cs="Arial"/>
                            <w:lang w:val="es-CO" w:eastAsia="en-US"/>
                          </w:rPr>
                          <m:t>i</m:t>
                        </m:r>
                        <m:r>
                          <m:rPr>
                            <m:sty m:val="p"/>
                          </m:rPr>
                          <w:rPr>
                            <w:rFonts w:ascii="Cambria Math" w:hAnsi="Arial" w:cs="Arial"/>
                            <w:lang w:val="es-CO" w:eastAsia="en-US"/>
                          </w:rPr>
                          <m:t>=1</m:t>
                        </m:r>
                      </m:sub>
                      <m:sup>
                        <m:r>
                          <m:rPr>
                            <m:sty m:val="p"/>
                          </m:rPr>
                          <w:rPr>
                            <w:rFonts w:ascii="Cambria Math" w:hAnsi="Cambria Math" w:cs="Arial"/>
                            <w:lang w:val="es-CO" w:eastAsia="en-US"/>
                          </w:rPr>
                          <m:t>NR</m:t>
                        </m:r>
                      </m:sup>
                      <m:e>
                        <m:r>
                          <m:rPr>
                            <m:sty m:val="p"/>
                          </m:rPr>
                          <w:rPr>
                            <w:rFonts w:ascii="Cambria Math" w:hAnsi="Arial" w:cs="Arial"/>
                            <w:lang w:val="es-CO" w:eastAsia="en-US"/>
                          </w:rPr>
                          <m:t>(</m:t>
                        </m:r>
                        <m:sSub>
                          <m:sSubPr>
                            <m:ctrlPr>
                              <w:rPr>
                                <w:rFonts w:ascii="Cambria Math" w:hAnsi="Arial" w:cs="Arial"/>
                                <w:lang w:val="es-CO" w:eastAsia="en-US"/>
                              </w:rPr>
                            </m:ctrlPr>
                          </m:sSubPr>
                          <m:e>
                            <m:r>
                              <m:rPr>
                                <m:sty m:val="p"/>
                              </m:rPr>
                              <w:rPr>
                                <w:rFonts w:ascii="Cambria Math" w:hAnsi="Arial" w:cs="Arial"/>
                                <w:lang w:val="es-CO" w:eastAsia="en-US"/>
                              </w:rPr>
                              <m:t>QUCIE</m:t>
                            </m:r>
                          </m:e>
                          <m:sub>
                            <m:r>
                              <m:rPr>
                                <m:sty m:val="p"/>
                              </m:rPr>
                              <w:rPr>
                                <w:rFonts w:ascii="Cambria Math" w:hAnsi="Arial" w:cs="Arial"/>
                                <w:lang w:val="es-CO" w:eastAsia="en-US"/>
                              </w:rPr>
                              <m:t>ik</m:t>
                            </m:r>
                          </m:sub>
                        </m:sSub>
                        <m:r>
                          <m:rPr>
                            <m:sty m:val="p"/>
                          </m:rPr>
                          <w:rPr>
                            <w:rFonts w:ascii="Cambria Math" w:hAnsi="Cambria Math" w:cs="Arial"/>
                            <w:lang w:val="es-CO" w:eastAsia="en-US"/>
                          </w:rPr>
                          <m:t>×</m:t>
                        </m:r>
                        <m:sSub>
                          <m:sSubPr>
                            <m:ctrlPr>
                              <w:rPr>
                                <w:rFonts w:ascii="Cambria Math" w:hAnsi="Arial" w:cs="Arial"/>
                                <w:lang w:val="es-CO" w:eastAsia="en-US"/>
                              </w:rPr>
                            </m:ctrlPr>
                          </m:sSubPr>
                          <m:e>
                            <m:r>
                              <m:rPr>
                                <m:sty m:val="p"/>
                              </m:rPr>
                              <w:rPr>
                                <w:rFonts w:ascii="Cambria Math" w:hAnsi="Cambria Math" w:cs="Arial"/>
                                <w:lang w:val="es-CO" w:eastAsia="en-US"/>
                              </w:rPr>
                              <m:t>PUCIE</m:t>
                            </m:r>
                          </m:e>
                          <m:sub>
                            <m:r>
                              <m:rPr>
                                <m:sty m:val="p"/>
                              </m:rPr>
                              <w:rPr>
                                <w:rFonts w:ascii="Cambria Math" w:hAnsi="Cambria Math" w:cs="Arial"/>
                                <w:lang w:val="es-CO" w:eastAsia="en-US"/>
                              </w:rPr>
                              <m:t>i</m:t>
                            </m:r>
                          </m:sub>
                        </m:sSub>
                        <m:r>
                          <m:rPr>
                            <m:sty m:val="p"/>
                          </m:rPr>
                          <w:rPr>
                            <w:rFonts w:ascii="Cambria Math" w:hAnsi="Arial" w:cs="Arial"/>
                            <w:lang w:val="es-CO" w:eastAsia="en-US"/>
                          </w:rPr>
                          <m:t>)</m:t>
                        </m:r>
                      </m:e>
                    </m:nary>
                  </m:e>
                </m:d>
                <m:r>
                  <m:rPr>
                    <m:sty m:val="p"/>
                  </m:rPr>
                  <w:rPr>
                    <w:rFonts w:ascii="Cambria Math" w:hAnsi="Arial" w:cs="Arial"/>
                    <w:lang w:val="es-CO" w:eastAsia="en-US"/>
                  </w:rPr>
                  <m:t>×</m:t>
                </m:r>
                <m:f>
                  <m:fPr>
                    <m:ctrlPr>
                      <w:rPr>
                        <w:rFonts w:ascii="Cambria Math" w:hAnsi="Arial" w:cs="Arial"/>
                        <w:lang w:val="es-CO" w:eastAsia="en-US"/>
                      </w:rPr>
                    </m:ctrlPr>
                  </m:fPr>
                  <m:num>
                    <m:r>
                      <m:rPr>
                        <m:sty m:val="p"/>
                      </m:rPr>
                      <w:rPr>
                        <w:rFonts w:ascii="Cambria Math" w:hAnsi="Cambria Math" w:cs="Arial"/>
                        <w:lang w:val="es-CO" w:eastAsia="en-US"/>
                      </w:rPr>
                      <m:t>r</m:t>
                    </m:r>
                  </m:num>
                  <m:den>
                    <m:r>
                      <m:rPr>
                        <m:sty m:val="p"/>
                      </m:rPr>
                      <w:rPr>
                        <w:rFonts w:ascii="Cambria Math" w:hAnsi="Arial" w:cs="Arial"/>
                        <w:lang w:val="es-CO" w:eastAsia="en-US"/>
                      </w:rPr>
                      <m:t>1</m:t>
                    </m:r>
                    <m:r>
                      <m:rPr>
                        <m:sty m:val="p"/>
                      </m:rPr>
                      <w:rPr>
                        <w:rFonts w:ascii="Cambria Math" w:hAnsi="Arial" w:cs="Arial"/>
                        <w:lang w:val="es-CO" w:eastAsia="en-US"/>
                      </w:rPr>
                      <m:t>-</m:t>
                    </m:r>
                    <m:sSup>
                      <m:sSupPr>
                        <m:ctrlPr>
                          <w:rPr>
                            <w:rFonts w:ascii="Cambria Math" w:hAnsi="Arial" w:cs="Arial"/>
                            <w:lang w:val="es-CO" w:eastAsia="en-US"/>
                          </w:rPr>
                        </m:ctrlPr>
                      </m:sSupPr>
                      <m:e>
                        <m:r>
                          <m:rPr>
                            <m:sty m:val="p"/>
                          </m:rPr>
                          <w:rPr>
                            <w:rFonts w:ascii="Cambria Math" w:hAnsi="Arial" w:cs="Arial"/>
                            <w:lang w:val="es-CO" w:eastAsia="en-US"/>
                          </w:rPr>
                          <m:t>(1+</m:t>
                        </m:r>
                        <m:r>
                          <m:rPr>
                            <m:sty m:val="p"/>
                          </m:rPr>
                          <w:rPr>
                            <w:rFonts w:ascii="Cambria Math" w:hAnsi="Cambria Math" w:cs="Arial"/>
                            <w:lang w:val="es-CO" w:eastAsia="en-US"/>
                          </w:rPr>
                          <m:t>r</m:t>
                        </m:r>
                        <m:r>
                          <m:rPr>
                            <m:sty m:val="p"/>
                          </m:rPr>
                          <w:rPr>
                            <w:rFonts w:ascii="Cambria Math" w:hAnsi="Arial" w:cs="Arial"/>
                            <w:lang w:val="es-CO" w:eastAsia="en-US"/>
                          </w:rPr>
                          <m:t>)</m:t>
                        </m:r>
                      </m:e>
                      <m:sup>
                        <m:r>
                          <m:rPr>
                            <m:sty m:val="p"/>
                          </m:rPr>
                          <w:rPr>
                            <w:rFonts w:ascii="Cambria Math" w:hAnsi="Cambria Math" w:cs="Arial"/>
                            <w:lang w:val="es-CO" w:eastAsia="en-US"/>
                          </w:rPr>
                          <m:t>-u</m:t>
                        </m:r>
                      </m:sup>
                    </m:sSup>
                  </m:den>
                </m:f>
              </m:oMath>
            </m:oMathPara>
          </w:p>
          <w:p w:rsidR="000B65DE" w:rsidRPr="000B65DE" w:rsidRDefault="000B65DE" w:rsidP="000B65DE">
            <w:pPr>
              <w:spacing w:after="200"/>
              <w:ind w:left="0"/>
              <w:contextualSpacing/>
              <w:jc w:val="center"/>
              <w:rPr>
                <w:rFonts w:ascii="Bookman Old Style" w:hAnsi="Bookman Old Style" w:cs="Arial"/>
                <w:lang w:val="es-CO" w:eastAsia="en-US"/>
              </w:rPr>
            </w:pPr>
          </w:p>
          <w:tbl>
            <w:tblPr>
              <w:tblW w:w="8363" w:type="dxa"/>
              <w:tblLayout w:type="fixed"/>
              <w:tblLook w:val="04A0" w:firstRow="1" w:lastRow="0" w:firstColumn="1" w:lastColumn="0" w:noHBand="0" w:noVBand="1"/>
            </w:tblPr>
            <w:tblGrid>
              <w:gridCol w:w="1495"/>
              <w:gridCol w:w="773"/>
              <w:gridCol w:w="4760"/>
              <w:gridCol w:w="1335"/>
            </w:tblGrid>
            <w:tr w:rsidR="000B65DE" w:rsidRPr="000B65DE" w:rsidTr="00382E27">
              <w:tc>
                <w:tcPr>
                  <w:tcW w:w="2268" w:type="dxa"/>
                  <w:gridSpan w:val="2"/>
                </w:tcPr>
                <w:p w:rsidR="000B65DE" w:rsidRPr="000B65DE" w:rsidRDefault="000B65DE" w:rsidP="000B65DE">
                  <w:pPr>
                    <w:tabs>
                      <w:tab w:val="left" w:pos="426"/>
                    </w:tabs>
                    <w:spacing w:after="200" w:line="276" w:lineRule="auto"/>
                    <w:ind w:left="0"/>
                    <w:rPr>
                      <w:rFonts w:ascii="Bookman Old Style" w:hAnsi="Bookman Old Style" w:cs="Arial"/>
                      <w:lang w:val="es-CO" w:eastAsia="en-US"/>
                    </w:rPr>
                  </w:pPr>
                  <w:r w:rsidRPr="000B65DE">
                    <w:rPr>
                      <w:rFonts w:ascii="Bookman Old Style" w:hAnsi="Bookman Old Style" w:cs="Arial"/>
                      <w:lang w:val="es-CO" w:eastAsia="en-US"/>
                    </w:rPr>
                    <w:t>Donde:</w:t>
                  </w:r>
                </w:p>
              </w:tc>
              <w:tc>
                <w:tcPr>
                  <w:tcW w:w="6095" w:type="dxa"/>
                  <w:gridSpan w:val="2"/>
                </w:tcPr>
                <w:p w:rsidR="000B65DE" w:rsidRPr="000B65DE" w:rsidRDefault="000B65DE" w:rsidP="000B65DE">
                  <w:pPr>
                    <w:tabs>
                      <w:tab w:val="left" w:pos="426"/>
                    </w:tabs>
                    <w:spacing w:after="200"/>
                    <w:ind w:left="0"/>
                    <w:jc w:val="both"/>
                    <w:rPr>
                      <w:rFonts w:ascii="Bookman Old Style" w:hAnsi="Bookman Old Style" w:cs="Arial"/>
                      <w:lang w:val="es-CO" w:eastAsia="en-US"/>
                    </w:rPr>
                  </w:pPr>
                </w:p>
              </w:tc>
            </w:tr>
            <w:tr w:rsidR="000B65DE" w:rsidRPr="000B65DE" w:rsidTr="00382E27">
              <w:trPr>
                <w:gridAfter w:val="1"/>
                <w:wAfter w:w="1335" w:type="dxa"/>
              </w:trPr>
              <w:tc>
                <w:tcPr>
                  <w:tcW w:w="1495" w:type="dxa"/>
                </w:tcPr>
                <w:p w:rsidR="000B65DE" w:rsidRPr="000B65DE" w:rsidRDefault="000B65DE" w:rsidP="000B65DE">
                  <w:pPr>
                    <w:tabs>
                      <w:tab w:val="left" w:pos="426"/>
                    </w:tabs>
                    <w:spacing w:after="200" w:line="276" w:lineRule="auto"/>
                    <w:ind w:left="0"/>
                    <w:jc w:val="both"/>
                    <w:rPr>
                      <w:rFonts w:ascii="Bookman Old Style" w:hAnsi="Bookman Old Style" w:cs="Arial"/>
                      <w:lang w:val="es-CO" w:eastAsia="en-US"/>
                    </w:rPr>
                  </w:pPr>
                  <w:r w:rsidRPr="000B65DE">
                    <w:rPr>
                      <w:rFonts w:ascii="Bookman Old Style" w:hAnsi="Bookman Old Style" w:cs="Arial"/>
                      <w:lang w:val="es-CO" w:eastAsia="en-US"/>
                    </w:rPr>
                    <w:t>NR</w:t>
                  </w:r>
                </w:p>
              </w:tc>
              <w:tc>
                <w:tcPr>
                  <w:tcW w:w="5533" w:type="dxa"/>
                  <w:gridSpan w:val="2"/>
                </w:tcPr>
                <w:p w:rsidR="000B65DE" w:rsidRPr="000B65DE" w:rsidRDefault="000B65DE" w:rsidP="00A179EE">
                  <w:pPr>
                    <w:tabs>
                      <w:tab w:val="left" w:pos="426"/>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 xml:space="preserve">Número total de QUCIE reportadas para el Mercado Relevante de Distribución para el Siguiente Período Tarifario k conformado a partir de Mercado </w:t>
                  </w:r>
                  <w:r w:rsidR="00A179EE">
                    <w:rPr>
                      <w:rFonts w:ascii="Bookman Old Style" w:hAnsi="Bookman Old Style" w:cs="Arial"/>
                      <w:lang w:val="es-CO" w:eastAsia="en-US"/>
                    </w:rPr>
                    <w:t>Existente</w:t>
                  </w:r>
                  <w:r w:rsidRPr="000B65DE">
                    <w:rPr>
                      <w:rFonts w:ascii="Bookman Old Style" w:hAnsi="Bookman Old Style" w:cs="Arial"/>
                      <w:lang w:val="es-CO" w:eastAsia="en-US"/>
                    </w:rPr>
                    <w:t xml:space="preserve"> de Distribución o de la Agregación de Mercados </w:t>
                  </w:r>
                  <w:r w:rsidR="00A179EE" w:rsidRPr="000B65DE">
                    <w:rPr>
                      <w:rFonts w:ascii="Bookman Old Style" w:hAnsi="Bookman Old Style" w:cs="Arial"/>
                      <w:lang w:val="es-CO" w:eastAsia="en-US"/>
                    </w:rPr>
                    <w:t xml:space="preserve">Existentes </w:t>
                  </w:r>
                  <w:r w:rsidRPr="000B65DE">
                    <w:rPr>
                      <w:rFonts w:ascii="Bookman Old Style" w:hAnsi="Bookman Old Style" w:cs="Arial"/>
                      <w:lang w:val="es-CO" w:eastAsia="en-US"/>
                    </w:rPr>
                    <w:lastRenderedPageBreak/>
                    <w:t>de Distribución, a la Fecha de Corte.</w:t>
                  </w:r>
                </w:p>
              </w:tc>
            </w:tr>
            <w:tr w:rsidR="000B65DE" w:rsidRPr="000B65DE" w:rsidTr="00382E27">
              <w:trPr>
                <w:gridAfter w:val="1"/>
                <w:wAfter w:w="1335" w:type="dxa"/>
              </w:trPr>
              <w:tc>
                <w:tcPr>
                  <w:tcW w:w="1495" w:type="dxa"/>
                </w:tcPr>
                <w:p w:rsidR="000B65DE" w:rsidRPr="0092172B" w:rsidRDefault="00364E59" w:rsidP="000B65DE">
                  <w:pPr>
                    <w:tabs>
                      <w:tab w:val="left" w:pos="426"/>
                    </w:tabs>
                    <w:spacing w:after="200" w:line="276" w:lineRule="auto"/>
                    <w:ind w:left="0"/>
                    <w:jc w:val="both"/>
                    <w:rPr>
                      <w:rFonts w:ascii="Bookman Old Style" w:hAnsi="Bookman Old Style" w:cs="Arial"/>
                      <w:lang w:val="es-CO" w:eastAsia="en-US"/>
                    </w:rPr>
                  </w:pPr>
                  <m:oMathPara>
                    <m:oMathParaPr>
                      <m:jc m:val="left"/>
                    </m:oMathParaPr>
                    <m:oMath>
                      <m:sSub>
                        <m:sSubPr>
                          <m:ctrlPr>
                            <w:rPr>
                              <w:rFonts w:ascii="Cambria Math" w:eastAsia="Calibri" w:hAnsi="Arial" w:cs="Arial"/>
                              <w:lang w:val="es-CO" w:eastAsia="en-US"/>
                            </w:rPr>
                          </m:ctrlPr>
                        </m:sSubPr>
                        <m:e>
                          <m:r>
                            <m:rPr>
                              <m:sty m:val="p"/>
                            </m:rPr>
                            <w:rPr>
                              <w:rFonts w:ascii="Cambria Math" w:eastAsia="Calibri" w:hAnsi="Cambria Math" w:cs="Arial"/>
                              <w:lang w:val="es-CO" w:eastAsia="en-US"/>
                            </w:rPr>
                            <m:t>UCIE</m:t>
                          </m:r>
                        </m:e>
                        <m:sub>
                          <m:r>
                            <m:rPr>
                              <m:sty m:val="p"/>
                            </m:rPr>
                            <w:rPr>
                              <w:rFonts w:ascii="Cambria Math" w:eastAsia="Calibri" w:hAnsi="Cambria Math" w:cs="Arial"/>
                              <w:lang w:val="es-CO" w:eastAsia="en-US"/>
                            </w:rPr>
                            <m:t>i</m:t>
                          </m:r>
                        </m:sub>
                      </m:sSub>
                    </m:oMath>
                  </m:oMathPara>
                </w:p>
              </w:tc>
              <w:tc>
                <w:tcPr>
                  <w:tcW w:w="5533" w:type="dxa"/>
                  <w:gridSpan w:val="2"/>
                </w:tcPr>
                <w:p w:rsidR="000B65DE" w:rsidRPr="000B65DE" w:rsidRDefault="000B65DE" w:rsidP="000B65DE">
                  <w:pPr>
                    <w:tabs>
                      <w:tab w:val="left" w:pos="426"/>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Unidad Constructiva de Inversión</w:t>
                  </w:r>
                  <w:r w:rsidRPr="000B65DE">
                    <w:rPr>
                      <w:rFonts w:ascii="Bookman Old Style" w:hAnsi="Bookman Old Style" w:cs="Arial"/>
                      <w:lang w:val="es-CO" w:eastAsia="en-US"/>
                    </w:rPr>
                    <w:cr/>
                    <w:t xml:space="preserve">Existente (IE) i, conforme al listado del </w:t>
                  </w:r>
                  <w:r w:rsidR="00AF6018" w:rsidRPr="000B65DE">
                    <w:rPr>
                      <w:rFonts w:ascii="Bookman Old Style" w:hAnsi="Bookman Old Style" w:cs="Arial"/>
                      <w:lang w:val="es-CO" w:eastAsia="en-US"/>
                    </w:rPr>
                    <w:fldChar w:fldCharType="begin"/>
                  </w:r>
                  <w:r w:rsidRPr="000B65DE">
                    <w:rPr>
                      <w:rFonts w:ascii="Bookman Old Style" w:hAnsi="Bookman Old Style" w:cs="Arial"/>
                      <w:lang w:val="es-CO" w:eastAsia="en-US"/>
                    </w:rPr>
                    <w:instrText xml:space="preserve"> REF _Ref289697078 \r \h </w:instrText>
                  </w:r>
                  <w:r w:rsidR="00AF6018" w:rsidRPr="000B65DE">
                    <w:rPr>
                      <w:rFonts w:ascii="Bookman Old Style" w:hAnsi="Bookman Old Style" w:cs="Arial"/>
                      <w:lang w:val="es-CO" w:eastAsia="en-US"/>
                    </w:rPr>
                  </w:r>
                  <w:r w:rsidR="00AF6018" w:rsidRPr="000B65DE">
                    <w:rPr>
                      <w:rFonts w:ascii="Bookman Old Style" w:hAnsi="Bookman Old Style" w:cs="Arial"/>
                      <w:lang w:val="es-CO" w:eastAsia="en-US"/>
                    </w:rPr>
                    <w:fldChar w:fldCharType="separate"/>
                  </w:r>
                  <w:r w:rsidR="004D5C18">
                    <w:rPr>
                      <w:rFonts w:ascii="Bookman Old Style" w:hAnsi="Bookman Old Style" w:cs="Arial"/>
                      <w:lang w:val="es-CO" w:eastAsia="en-US"/>
                    </w:rPr>
                    <w:t>ANEXO 4</w:t>
                  </w:r>
                  <w:r w:rsidR="00AF6018" w:rsidRPr="000B65DE">
                    <w:rPr>
                      <w:rFonts w:ascii="Bookman Old Style" w:hAnsi="Bookman Old Style" w:cs="Arial"/>
                      <w:lang w:val="es-CO" w:eastAsia="en-US"/>
                    </w:rPr>
                    <w:fldChar w:fldCharType="end"/>
                  </w:r>
                </w:p>
              </w:tc>
            </w:tr>
            <w:tr w:rsidR="000B65DE" w:rsidRPr="000B65DE" w:rsidTr="00382E27">
              <w:trPr>
                <w:gridAfter w:val="1"/>
                <w:wAfter w:w="1335" w:type="dxa"/>
              </w:trPr>
              <w:tc>
                <w:tcPr>
                  <w:tcW w:w="1495" w:type="dxa"/>
                </w:tcPr>
                <w:p w:rsidR="000B65DE" w:rsidRPr="0092172B" w:rsidRDefault="00364E59" w:rsidP="000B65DE">
                  <w:pPr>
                    <w:tabs>
                      <w:tab w:val="left" w:pos="426"/>
                    </w:tabs>
                    <w:spacing w:after="200" w:line="276" w:lineRule="auto"/>
                    <w:ind w:left="0"/>
                    <w:jc w:val="both"/>
                    <w:rPr>
                      <w:rFonts w:ascii="Bookman Old Style" w:hAnsi="Bookman Old Style" w:cs="Arial"/>
                      <w:lang w:val="es-CO" w:eastAsia="en-US"/>
                    </w:rPr>
                  </w:pPr>
                  <m:oMathPara>
                    <m:oMathParaPr>
                      <m:jc m:val="left"/>
                    </m:oMathParaPr>
                    <m:oMath>
                      <m:sSub>
                        <m:sSubPr>
                          <m:ctrlPr>
                            <w:rPr>
                              <w:rFonts w:ascii="Cambria Math" w:eastAsia="Calibri" w:hAnsi="Arial" w:cs="Arial"/>
                              <w:lang w:val="es-CO" w:eastAsia="en-US"/>
                            </w:rPr>
                          </m:ctrlPr>
                        </m:sSubPr>
                        <m:e>
                          <m:r>
                            <m:rPr>
                              <m:sty m:val="p"/>
                            </m:rPr>
                            <w:rPr>
                              <w:rFonts w:ascii="Cambria Math" w:eastAsia="Calibri" w:hAnsi="Arial" w:cs="Arial"/>
                              <w:lang w:val="es-CO" w:eastAsia="en-US"/>
                            </w:rPr>
                            <m:t>QUCIE</m:t>
                          </m:r>
                        </m:e>
                        <m:sub>
                          <m:r>
                            <m:rPr>
                              <m:sty m:val="p"/>
                            </m:rPr>
                            <w:rPr>
                              <w:rFonts w:ascii="Cambria Math" w:eastAsia="Calibri" w:hAnsi="Arial" w:cs="Arial"/>
                              <w:lang w:val="es-CO" w:eastAsia="en-US"/>
                            </w:rPr>
                            <m:t>ik</m:t>
                          </m:r>
                        </m:sub>
                      </m:sSub>
                    </m:oMath>
                  </m:oMathPara>
                </w:p>
              </w:tc>
              <w:tc>
                <w:tcPr>
                  <w:tcW w:w="5533" w:type="dxa"/>
                  <w:gridSpan w:val="2"/>
                </w:tcPr>
                <w:p w:rsidR="000B65DE" w:rsidRPr="000B65DE" w:rsidRDefault="000B65DE" w:rsidP="00A179EE">
                  <w:pPr>
                    <w:tabs>
                      <w:tab w:val="left" w:pos="426"/>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 xml:space="preserve">Número total de Unidades Constructivas de Inversión Existente </w:t>
                  </w:r>
                  <m:oMath>
                    <m:sSub>
                      <m:sSubPr>
                        <m:ctrlPr>
                          <w:rPr>
                            <w:rFonts w:ascii="Cambria Math" w:eastAsia="Calibri" w:hAnsi="Arial" w:cs="Arial"/>
                            <w:lang w:val="es-CO" w:eastAsia="en-US"/>
                          </w:rPr>
                        </m:ctrlPr>
                      </m:sSubPr>
                      <m:e>
                        <m:r>
                          <m:rPr>
                            <m:sty m:val="p"/>
                          </m:rPr>
                          <w:rPr>
                            <w:rFonts w:ascii="Cambria Math" w:eastAsia="Calibri" w:hAnsi="Cambria Math" w:cs="Arial"/>
                            <w:lang w:val="es-CO" w:eastAsia="en-US"/>
                          </w:rPr>
                          <m:t>UCIE</m:t>
                        </m:r>
                      </m:e>
                      <m:sub>
                        <m:r>
                          <m:rPr>
                            <m:sty m:val="p"/>
                          </m:rPr>
                          <w:rPr>
                            <w:rFonts w:ascii="Cambria Math" w:eastAsia="Calibri" w:hAnsi="Cambria Math" w:cs="Arial"/>
                            <w:lang w:val="es-CO" w:eastAsia="en-US"/>
                          </w:rPr>
                          <m:t>i</m:t>
                        </m:r>
                      </m:sub>
                    </m:sSub>
                    <m:r>
                      <w:rPr>
                        <w:rFonts w:ascii="Cambria Math" w:eastAsia="Calibri" w:hAnsi="Arial" w:cs="Arial"/>
                        <w:lang w:val="es-CO" w:eastAsia="en-US"/>
                      </w:rPr>
                      <m:t xml:space="preserve">  </m:t>
                    </m:r>
                  </m:oMath>
                  <w:r w:rsidRPr="000B65DE">
                    <w:rPr>
                      <w:rFonts w:ascii="Bookman Old Style" w:hAnsi="Bookman Old Style" w:cs="Arial"/>
                      <w:lang w:val="es-CO" w:eastAsia="en-US"/>
                    </w:rPr>
                    <w:t xml:space="preserve">reportadas para el Mercado Relevante de Distribución para el Siguiente Período Tarifario k conformado a partir de Mercado </w:t>
                  </w:r>
                  <w:r w:rsidR="00A179EE" w:rsidRPr="000B65DE">
                    <w:rPr>
                      <w:rFonts w:ascii="Bookman Old Style" w:hAnsi="Bookman Old Style" w:cs="Arial"/>
                      <w:lang w:val="es-CO" w:eastAsia="en-US"/>
                    </w:rPr>
                    <w:t xml:space="preserve">Existente </w:t>
                  </w:r>
                  <w:r w:rsidRPr="000B65DE">
                    <w:rPr>
                      <w:rFonts w:ascii="Bookman Old Style" w:hAnsi="Bookman Old Style" w:cs="Arial"/>
                      <w:lang w:val="es-CO" w:eastAsia="en-US"/>
                    </w:rPr>
                    <w:t xml:space="preserve">de Distribución o de la Agregación de Mercados </w:t>
                  </w:r>
                  <w:r w:rsidR="00A179EE">
                    <w:rPr>
                      <w:rFonts w:ascii="Bookman Old Style" w:hAnsi="Bookman Old Style" w:cs="Arial"/>
                      <w:lang w:val="es-CO" w:eastAsia="en-US"/>
                    </w:rPr>
                    <w:t xml:space="preserve">Existentes </w:t>
                  </w:r>
                  <w:r w:rsidRPr="000B65DE">
                    <w:rPr>
                      <w:rFonts w:ascii="Bookman Old Style" w:hAnsi="Bookman Old Style" w:cs="Arial"/>
                      <w:lang w:val="es-CO" w:eastAsia="en-US"/>
                    </w:rPr>
                    <w:t>de distribución.</w:t>
                  </w:r>
                </w:p>
              </w:tc>
            </w:tr>
            <w:tr w:rsidR="000B65DE" w:rsidRPr="000B65DE" w:rsidTr="00382E27">
              <w:trPr>
                <w:gridAfter w:val="1"/>
                <w:wAfter w:w="1335" w:type="dxa"/>
              </w:trPr>
              <w:tc>
                <w:tcPr>
                  <w:tcW w:w="1495" w:type="dxa"/>
                </w:tcPr>
                <w:p w:rsidR="000B65DE" w:rsidRPr="0092172B" w:rsidRDefault="00364E59" w:rsidP="003078F2">
                  <w:pPr>
                    <w:tabs>
                      <w:tab w:val="left" w:pos="426"/>
                    </w:tabs>
                    <w:spacing w:after="200" w:line="276" w:lineRule="auto"/>
                    <w:ind w:left="0"/>
                    <w:jc w:val="both"/>
                    <w:rPr>
                      <w:rFonts w:ascii="Bookman Old Style" w:hAnsi="Bookman Old Style" w:cs="Arial"/>
                      <w:lang w:val="es-CO" w:eastAsia="en-US"/>
                    </w:rPr>
                  </w:pPr>
                  <m:oMathPara>
                    <m:oMathParaPr>
                      <m:jc m:val="left"/>
                    </m:oMathParaPr>
                    <m:oMath>
                      <m:sSub>
                        <m:sSubPr>
                          <m:ctrlPr>
                            <w:rPr>
                              <w:rFonts w:ascii="Cambria Math" w:eastAsia="Calibri" w:hAnsi="Arial" w:cs="Arial"/>
                              <w:lang w:val="es-CO" w:eastAsia="en-US"/>
                            </w:rPr>
                          </m:ctrlPr>
                        </m:sSubPr>
                        <m:e>
                          <m:r>
                            <m:rPr>
                              <m:sty m:val="p"/>
                            </m:rPr>
                            <w:rPr>
                              <w:rFonts w:ascii="Cambria Math" w:eastAsia="Calibri" w:hAnsi="Cambria Math" w:cs="Arial"/>
                              <w:lang w:val="es-CO" w:eastAsia="en-US"/>
                            </w:rPr>
                            <m:t>PUCIE</m:t>
                          </m:r>
                        </m:e>
                        <m:sub>
                          <m:r>
                            <m:rPr>
                              <m:sty m:val="p"/>
                            </m:rPr>
                            <w:rPr>
                              <w:rFonts w:ascii="Cambria Math" w:eastAsia="Calibri" w:hAnsi="Cambria Math" w:cs="Arial"/>
                              <w:lang w:val="es-CO" w:eastAsia="en-US"/>
                            </w:rPr>
                            <m:t>i</m:t>
                          </m:r>
                        </m:sub>
                      </m:sSub>
                    </m:oMath>
                  </m:oMathPara>
                </w:p>
              </w:tc>
              <w:tc>
                <w:tcPr>
                  <w:tcW w:w="5533" w:type="dxa"/>
                  <w:gridSpan w:val="2"/>
                </w:tcPr>
                <w:p w:rsidR="000B65DE" w:rsidRPr="000B65DE" w:rsidRDefault="000B65DE" w:rsidP="000B65DE">
                  <w:pPr>
                    <w:tabs>
                      <w:tab w:val="left" w:pos="426"/>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 xml:space="preserve">Costo unitario reconocido para </w:t>
                  </w:r>
                  <w:r w:rsidRPr="000B65DE">
                    <w:rPr>
                      <w:rFonts w:ascii="Cambria Math" w:eastAsia="Calibri" w:hAnsi="Arial" w:cs="Arial"/>
                      <w:lang w:val="es-CO" w:eastAsia="en-US"/>
                    </w:rPr>
                    <w:br/>
                  </w:r>
                  <m:oMath>
                    <m:sSub>
                      <m:sSubPr>
                        <m:ctrlPr>
                          <w:rPr>
                            <w:rFonts w:ascii="Cambria Math" w:eastAsia="Calibri" w:hAnsi="Arial" w:cs="Arial"/>
                            <w:lang w:val="es-CO" w:eastAsia="en-US"/>
                          </w:rPr>
                        </m:ctrlPr>
                      </m:sSubPr>
                      <m:e>
                        <m:r>
                          <m:rPr>
                            <m:sty m:val="p"/>
                          </m:rPr>
                          <w:rPr>
                            <w:rFonts w:ascii="Cambria Math" w:eastAsia="Calibri" w:hAnsi="Cambria Math" w:cs="Arial"/>
                            <w:lang w:val="es-CO" w:eastAsia="en-US"/>
                          </w:rPr>
                          <m:t>UCIE</m:t>
                        </m:r>
                      </m:e>
                      <m:sub>
                        <m:r>
                          <m:rPr>
                            <m:sty m:val="p"/>
                          </m:rPr>
                          <w:rPr>
                            <w:rFonts w:ascii="Cambria Math" w:eastAsia="Calibri" w:hAnsi="Cambria Math" w:cs="Arial"/>
                            <w:lang w:val="es-CO" w:eastAsia="en-US"/>
                          </w:rPr>
                          <m:t>i</m:t>
                        </m:r>
                      </m:sub>
                    </m:sSub>
                  </m:oMath>
                  <w:r w:rsidRPr="000B65DE">
                    <w:rPr>
                      <w:rFonts w:ascii="Cambria Math" w:eastAsia="Calibri" w:hAnsi="Arial" w:cs="Arial"/>
                      <w:lang w:val="es-CO" w:eastAsia="en-US"/>
                    </w:rPr>
                    <w:t xml:space="preserve"> </w:t>
                  </w:r>
                  <w:r w:rsidRPr="000B65DE">
                    <w:rPr>
                      <w:rFonts w:ascii="Bookman Old Style" w:hAnsi="Bookman Old Style" w:cs="Arial"/>
                      <w:i/>
                      <w:lang w:val="es-CO" w:eastAsia="en-US"/>
                    </w:rPr>
                    <w:t xml:space="preserve"> </w:t>
                  </w:r>
                  <w:r w:rsidRPr="000B65DE">
                    <w:rPr>
                      <w:rFonts w:ascii="Bookman Old Style" w:hAnsi="Bookman Old Style" w:cs="Arial"/>
                      <w:lang w:val="es-CO" w:eastAsia="en-US"/>
                    </w:rPr>
                    <w:t xml:space="preserve">relacionado en el </w:t>
                  </w:r>
                  <w:r w:rsidR="00AF6018" w:rsidRPr="000B65DE">
                    <w:rPr>
                      <w:rFonts w:ascii="Bookman Old Style" w:hAnsi="Bookman Old Style" w:cs="Arial"/>
                      <w:lang w:val="es-CO" w:eastAsia="en-US"/>
                    </w:rPr>
                    <w:fldChar w:fldCharType="begin"/>
                  </w:r>
                  <w:r w:rsidRPr="000B65DE">
                    <w:rPr>
                      <w:rFonts w:ascii="Bookman Old Style" w:hAnsi="Bookman Old Style" w:cs="Arial"/>
                      <w:lang w:val="es-CO" w:eastAsia="en-US"/>
                    </w:rPr>
                    <w:instrText xml:space="preserve"> REF _Ref289697078 \r \h </w:instrText>
                  </w:r>
                  <w:r w:rsidR="00AF6018" w:rsidRPr="000B65DE">
                    <w:rPr>
                      <w:rFonts w:ascii="Bookman Old Style" w:hAnsi="Bookman Old Style" w:cs="Arial"/>
                      <w:lang w:val="es-CO" w:eastAsia="en-US"/>
                    </w:rPr>
                  </w:r>
                  <w:r w:rsidR="00AF6018" w:rsidRPr="000B65DE">
                    <w:rPr>
                      <w:rFonts w:ascii="Bookman Old Style" w:hAnsi="Bookman Old Style" w:cs="Arial"/>
                      <w:lang w:val="es-CO" w:eastAsia="en-US"/>
                    </w:rPr>
                    <w:fldChar w:fldCharType="separate"/>
                  </w:r>
                  <w:r w:rsidR="004D5C18">
                    <w:rPr>
                      <w:rFonts w:ascii="Bookman Old Style" w:hAnsi="Bookman Old Style" w:cs="Arial"/>
                      <w:lang w:val="es-CO" w:eastAsia="en-US"/>
                    </w:rPr>
                    <w:t>ANEXO 4</w:t>
                  </w:r>
                  <w:r w:rsidR="00AF6018" w:rsidRPr="000B65DE">
                    <w:rPr>
                      <w:rFonts w:ascii="Bookman Old Style" w:hAnsi="Bookman Old Style" w:cs="Arial"/>
                      <w:lang w:val="es-CO" w:eastAsia="en-US"/>
                    </w:rPr>
                    <w:fldChar w:fldCharType="end"/>
                  </w:r>
                  <w:r w:rsidRPr="000B65DE">
                    <w:rPr>
                      <w:rFonts w:ascii="Bookman Old Style" w:hAnsi="Bookman Old Style" w:cs="Arial"/>
                      <w:i/>
                      <w:lang w:val="es-CO" w:eastAsia="en-US"/>
                    </w:rPr>
                    <w:t xml:space="preserve"> </w:t>
                  </w:r>
                  <w:r w:rsidRPr="000B65DE">
                    <w:rPr>
                      <w:rFonts w:ascii="Bookman Old Style" w:hAnsi="Bookman Old Style" w:cs="Arial"/>
                      <w:lang w:val="es-CO" w:eastAsia="en-US"/>
                    </w:rPr>
                    <w:t xml:space="preserve">y ajustado a la Fecha Base. </w:t>
                  </w:r>
                </w:p>
              </w:tc>
            </w:tr>
            <w:tr w:rsidR="000B65DE" w:rsidRPr="000B65DE" w:rsidTr="00382E27">
              <w:trPr>
                <w:gridAfter w:val="1"/>
                <w:wAfter w:w="1335" w:type="dxa"/>
              </w:trPr>
              <w:tc>
                <w:tcPr>
                  <w:tcW w:w="1495" w:type="dxa"/>
                </w:tcPr>
                <w:p w:rsidR="000B65DE" w:rsidRPr="000B65DE" w:rsidRDefault="000B65DE" w:rsidP="000B65DE">
                  <w:pPr>
                    <w:tabs>
                      <w:tab w:val="left" w:pos="33"/>
                    </w:tabs>
                    <w:spacing w:before="120" w:after="200" w:line="276" w:lineRule="auto"/>
                    <w:ind w:left="0"/>
                    <w:jc w:val="both"/>
                    <w:rPr>
                      <w:rFonts w:ascii="Bookman Old Style" w:eastAsia="Calibri" w:hAnsi="Bookman Old Style" w:cs="Arial"/>
                      <w:sz w:val="22"/>
                      <w:szCs w:val="22"/>
                      <w:lang w:val="es-CO" w:eastAsia="en-US"/>
                    </w:rPr>
                  </w:pPr>
                  <w:r w:rsidRPr="000B65DE">
                    <w:rPr>
                      <w:rFonts w:ascii="Bookman Old Style" w:eastAsia="Calibri" w:hAnsi="Bookman Old Style" w:cs="Arial"/>
                      <w:sz w:val="22"/>
                      <w:szCs w:val="22"/>
                      <w:lang w:val="es-CO" w:eastAsia="en-US"/>
                    </w:rPr>
                    <w:t>r</w:t>
                  </w:r>
                </w:p>
              </w:tc>
              <w:tc>
                <w:tcPr>
                  <w:tcW w:w="5533" w:type="dxa"/>
                  <w:gridSpan w:val="2"/>
                </w:tcPr>
                <w:p w:rsidR="000B65DE" w:rsidRPr="000B65DE" w:rsidRDefault="000B65DE" w:rsidP="000B65DE">
                  <w:pPr>
                    <w:tabs>
                      <w:tab w:val="left" w:pos="426"/>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Tasa de</w:t>
                  </w:r>
                  <w:r w:rsidRPr="000B65DE">
                    <w:rPr>
                      <w:rFonts w:ascii="Bookman Old Style" w:hAnsi="Bookman Old Style" w:cs="Arial"/>
                      <w:lang w:val="es-CO" w:eastAsia="en-US"/>
                    </w:rPr>
                    <w:cr/>
                    <w:t>Retorno reconocida para la metodología de Precio Máximo.</w:t>
                  </w:r>
                </w:p>
              </w:tc>
            </w:tr>
            <w:tr w:rsidR="000B65DE" w:rsidRPr="000B65DE" w:rsidTr="00382E27">
              <w:trPr>
                <w:gridAfter w:val="1"/>
                <w:wAfter w:w="1335" w:type="dxa"/>
              </w:trPr>
              <w:tc>
                <w:tcPr>
                  <w:tcW w:w="1495" w:type="dxa"/>
                </w:tcPr>
                <w:p w:rsidR="000B65DE" w:rsidRPr="000B65DE" w:rsidRDefault="000B65DE" w:rsidP="000B65DE">
                  <w:pPr>
                    <w:tabs>
                      <w:tab w:val="left" w:pos="33"/>
                    </w:tabs>
                    <w:spacing w:before="120" w:after="200" w:line="276" w:lineRule="auto"/>
                    <w:ind w:left="0"/>
                    <w:jc w:val="both"/>
                    <w:rPr>
                      <w:rFonts w:ascii="Bookman Old Style" w:eastAsia="Calibri" w:hAnsi="Bookman Old Style" w:cs="Arial"/>
                      <w:sz w:val="22"/>
                      <w:szCs w:val="22"/>
                      <w:lang w:val="es-CO" w:eastAsia="en-US"/>
                    </w:rPr>
                  </w:pPr>
                  <w:r w:rsidRPr="000B65DE">
                    <w:rPr>
                      <w:rFonts w:ascii="Bookman Old Style" w:eastAsia="Calibri" w:hAnsi="Bookman Old Style" w:cs="Arial"/>
                      <w:sz w:val="22"/>
                      <w:szCs w:val="22"/>
                      <w:lang w:val="es-CO" w:eastAsia="en-US"/>
                    </w:rPr>
                    <w:t>u</w:t>
                  </w:r>
                </w:p>
              </w:tc>
              <w:tc>
                <w:tcPr>
                  <w:tcW w:w="5533" w:type="dxa"/>
                  <w:gridSpan w:val="2"/>
                </w:tcPr>
                <w:p w:rsidR="00C7068E" w:rsidRPr="00C7068E" w:rsidRDefault="000B65DE" w:rsidP="00A179EE">
                  <w:pPr>
                    <w:tabs>
                      <w:tab w:val="left" w:pos="426"/>
                    </w:tabs>
                    <w:spacing w:after="200"/>
                    <w:ind w:left="0"/>
                    <w:jc w:val="both"/>
                    <w:rPr>
                      <w:rFonts w:ascii="Bookman Old Style" w:hAnsi="Bookman Old Style" w:cs="Arial"/>
                      <w:sz w:val="2"/>
                      <w:lang w:val="es-CO" w:eastAsia="en-US"/>
                    </w:rPr>
                  </w:pPr>
                  <w:r w:rsidRPr="000B65DE">
                    <w:rPr>
                      <w:rFonts w:ascii="Bookman Old Style" w:hAnsi="Bookman Old Style" w:cs="Arial"/>
                      <w:lang w:val="es-CO" w:eastAsia="en-US"/>
                    </w:rPr>
                    <w:t>Vida útil Normativa en años, reconocida para los activos igual 20 años.</w:t>
                  </w:r>
                </w:p>
              </w:tc>
            </w:tr>
            <w:tr w:rsidR="000B65DE" w:rsidRPr="000B65DE" w:rsidTr="00382E27">
              <w:trPr>
                <w:gridAfter w:val="1"/>
                <w:wAfter w:w="1335" w:type="dxa"/>
              </w:trPr>
              <w:tc>
                <w:tcPr>
                  <w:tcW w:w="1495" w:type="dxa"/>
                </w:tcPr>
                <w:p w:rsidR="000B65DE" w:rsidRPr="000B65DE" w:rsidRDefault="000B65DE" w:rsidP="000B65DE">
                  <w:pPr>
                    <w:tabs>
                      <w:tab w:val="left" w:pos="33"/>
                    </w:tabs>
                    <w:spacing w:before="120" w:after="200" w:line="276" w:lineRule="auto"/>
                    <w:ind w:left="0"/>
                    <w:jc w:val="both"/>
                    <w:rPr>
                      <w:rFonts w:ascii="Bookman Old Style" w:eastAsia="Calibri" w:hAnsi="Bookman Old Style" w:cs="Arial"/>
                      <w:sz w:val="22"/>
                      <w:szCs w:val="22"/>
                      <w:lang w:val="es-CO" w:eastAsia="en-US"/>
                    </w:rPr>
                  </w:pPr>
                  <w:r w:rsidRPr="000B65DE">
                    <w:rPr>
                      <w:rFonts w:ascii="Bookman Old Style" w:eastAsia="Calibri" w:hAnsi="Bookman Old Style" w:cs="Arial"/>
                      <w:sz w:val="22"/>
                      <w:szCs w:val="22"/>
                      <w:lang w:val="es-CO" w:eastAsia="en-US"/>
                    </w:rPr>
                    <w:t>k</w:t>
                  </w:r>
                </w:p>
              </w:tc>
              <w:tc>
                <w:tcPr>
                  <w:tcW w:w="5533" w:type="dxa"/>
                  <w:gridSpan w:val="2"/>
                </w:tcPr>
                <w:p w:rsidR="000B65DE" w:rsidRPr="000B65DE" w:rsidRDefault="000B65DE" w:rsidP="000B65DE">
                  <w:pPr>
                    <w:tabs>
                      <w:tab w:val="left" w:pos="426"/>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Mercado Relevante de Distribución para el Siguiente Período Tarifario k en análisis.</w:t>
                  </w:r>
                </w:p>
              </w:tc>
            </w:tr>
            <w:tr w:rsidR="000B65DE" w:rsidRPr="000B65DE" w:rsidTr="00382E27">
              <w:trPr>
                <w:gridAfter w:val="1"/>
                <w:wAfter w:w="1335" w:type="dxa"/>
              </w:trPr>
              <w:tc>
                <w:tcPr>
                  <w:tcW w:w="1495" w:type="dxa"/>
                </w:tcPr>
                <w:p w:rsidR="000B65DE" w:rsidRPr="000B65DE" w:rsidRDefault="000B65DE" w:rsidP="00C7068E">
                  <w:pPr>
                    <w:tabs>
                      <w:tab w:val="left" w:pos="33"/>
                    </w:tabs>
                    <w:spacing w:line="276" w:lineRule="auto"/>
                    <w:ind w:left="0"/>
                    <w:jc w:val="both"/>
                    <w:rPr>
                      <w:rFonts w:ascii="Bookman Old Style" w:eastAsia="Calibri" w:hAnsi="Bookman Old Style" w:cs="Arial"/>
                      <w:sz w:val="22"/>
                      <w:szCs w:val="22"/>
                      <w:lang w:val="es-CO" w:eastAsia="en-US"/>
                    </w:rPr>
                  </w:pPr>
                  <w:r w:rsidRPr="000B65DE">
                    <w:rPr>
                      <w:rFonts w:ascii="Bookman Old Style" w:eastAsia="Calibri" w:hAnsi="Bookman Old Style" w:cs="Arial"/>
                      <w:sz w:val="22"/>
                      <w:szCs w:val="22"/>
                      <w:lang w:val="es-CO" w:eastAsia="en-US"/>
                    </w:rPr>
                    <w:t>l</w:t>
                  </w:r>
                </w:p>
              </w:tc>
              <w:tc>
                <w:tcPr>
                  <w:tcW w:w="5533" w:type="dxa"/>
                  <w:gridSpan w:val="2"/>
                </w:tcPr>
                <w:p w:rsidR="000B65DE" w:rsidRDefault="000B65DE" w:rsidP="00C7068E">
                  <w:pPr>
                    <w:tabs>
                      <w:tab w:val="left" w:pos="426"/>
                    </w:tabs>
                    <w:ind w:left="0"/>
                    <w:jc w:val="both"/>
                    <w:rPr>
                      <w:rFonts w:ascii="Bookman Old Style" w:hAnsi="Bookman Old Style"/>
                      <w:lang w:val="es-ES_tradnl"/>
                    </w:rPr>
                  </w:pPr>
                  <w:r w:rsidRPr="000B65DE">
                    <w:rPr>
                      <w:rFonts w:ascii="Bookman Old Style" w:hAnsi="Bookman Old Style" w:cs="Arial"/>
                      <w:lang w:val="es-ES_tradnl"/>
                    </w:rPr>
                    <w:t xml:space="preserve">Tipo de Red, </w:t>
                  </w:r>
                  <w:r w:rsidRPr="000B65DE">
                    <w:rPr>
                      <w:rFonts w:ascii="Bookman Old Style" w:hAnsi="Bookman Old Style"/>
                      <w:lang w:val="es-ES_tradnl"/>
                    </w:rPr>
                    <w:t>correspondiente a la Red Primaria (RP) o Red Secundaria de Distribución (RS).</w:t>
                  </w:r>
                </w:p>
                <w:p w:rsidR="00C7068E" w:rsidRDefault="00C7068E" w:rsidP="00C7068E">
                  <w:pPr>
                    <w:tabs>
                      <w:tab w:val="left" w:pos="426"/>
                    </w:tabs>
                    <w:ind w:left="0"/>
                    <w:jc w:val="both"/>
                    <w:rPr>
                      <w:rFonts w:ascii="Bookman Old Style" w:hAnsi="Bookman Old Style"/>
                      <w:lang w:val="es-ES_tradnl"/>
                    </w:rPr>
                  </w:pPr>
                </w:p>
                <w:p w:rsidR="00C7068E" w:rsidRPr="000B65DE" w:rsidRDefault="00C7068E" w:rsidP="00C7068E">
                  <w:pPr>
                    <w:tabs>
                      <w:tab w:val="left" w:pos="426"/>
                    </w:tabs>
                    <w:ind w:left="0"/>
                    <w:jc w:val="both"/>
                    <w:rPr>
                      <w:rFonts w:ascii="Bookman Old Style" w:hAnsi="Bookman Old Style" w:cs="Arial"/>
                      <w:lang w:val="es-CO" w:eastAsia="en-US"/>
                    </w:rPr>
                  </w:pPr>
                </w:p>
              </w:tc>
            </w:tr>
          </w:tbl>
          <w:p w:rsidR="000B65DE" w:rsidRPr="000B65DE" w:rsidRDefault="000B65DE" w:rsidP="000B65DE">
            <w:pPr>
              <w:spacing w:after="200"/>
              <w:ind w:left="0"/>
              <w:contextualSpacing/>
              <w:jc w:val="both"/>
              <w:rPr>
                <w:rFonts w:ascii="Bookman Old Style" w:hAnsi="Bookman Old Style" w:cs="Arial"/>
                <w:lang w:eastAsia="en-US"/>
              </w:rPr>
            </w:pPr>
          </w:p>
        </w:tc>
      </w:tr>
      <w:tr w:rsidR="000B65DE" w:rsidRPr="000B65DE" w:rsidTr="00382E27">
        <w:trPr>
          <w:gridAfter w:val="1"/>
          <w:wAfter w:w="141" w:type="dxa"/>
        </w:trPr>
        <w:tc>
          <w:tcPr>
            <w:tcW w:w="2029" w:type="dxa"/>
          </w:tcPr>
          <w:p w:rsidR="000B65DE" w:rsidRPr="0092172B" w:rsidRDefault="00364E59" w:rsidP="000B65DE">
            <w:pPr>
              <w:spacing w:after="200" w:line="276" w:lineRule="auto"/>
              <w:ind w:left="0"/>
              <w:contextualSpacing/>
              <w:rPr>
                <w:rFonts w:ascii="Bookman Old Style" w:hAnsi="Bookman Old Style" w:cs="Arial"/>
                <w:lang w:val="es-CO" w:eastAsia="en-US"/>
              </w:rPr>
            </w:pPr>
            <m:oMathPara>
              <m:oMathParaPr>
                <m:jc m:val="left"/>
              </m:oMathParaPr>
              <m:oMath>
                <m:sSub>
                  <m:sSubPr>
                    <m:ctrlPr>
                      <w:rPr>
                        <w:rFonts w:ascii="Cambria Math" w:hAnsi="Cambria Math" w:cs="Arial"/>
                        <w:lang w:val="es-CO" w:eastAsia="en-US"/>
                      </w:rPr>
                    </m:ctrlPr>
                  </m:sSubPr>
                  <m:e>
                    <m:r>
                      <m:rPr>
                        <m:sty m:val="p"/>
                      </m:rPr>
                      <w:rPr>
                        <w:rFonts w:ascii="Cambria Math" w:hAnsi="Cambria Math" w:cs="Arial"/>
                        <w:lang w:val="es-CO" w:eastAsia="en-US"/>
                      </w:rPr>
                      <m:t>CAE</m:t>
                    </m:r>
                  </m:e>
                  <m:sub>
                    <m:r>
                      <m:rPr>
                        <m:sty m:val="p"/>
                      </m:rPr>
                      <w:rPr>
                        <w:rFonts w:ascii="Cambria Math" w:hAnsi="Cambria Math" w:cs="Arial"/>
                        <w:lang w:val="es-CO" w:eastAsia="en-US"/>
                      </w:rPr>
                      <m:t>kl</m:t>
                    </m:r>
                  </m:sub>
                </m:sSub>
                <m:d>
                  <m:dPr>
                    <m:ctrlPr>
                      <w:rPr>
                        <w:rFonts w:ascii="Cambria Math" w:hAnsi="Cambria Math" w:cs="Arial"/>
                        <w:lang w:val="es-CO" w:eastAsia="en-US"/>
                      </w:rPr>
                    </m:ctrlPr>
                  </m:dPr>
                  <m:e>
                    <m:r>
                      <m:rPr>
                        <m:sty m:val="p"/>
                      </m:rPr>
                      <w:rPr>
                        <w:rFonts w:ascii="Cambria Math" w:hAnsi="Cambria Math" w:cs="Arial"/>
                        <w:lang w:val="es-CO" w:eastAsia="en-US"/>
                      </w:rPr>
                      <m:t>IPE,INPE</m:t>
                    </m:r>
                  </m:e>
                </m:d>
              </m:oMath>
            </m:oMathPara>
          </w:p>
        </w:tc>
        <w:tc>
          <w:tcPr>
            <w:tcW w:w="7327" w:type="dxa"/>
          </w:tcPr>
          <w:p w:rsidR="000B65DE" w:rsidRDefault="000B65DE" w:rsidP="000B65DE">
            <w:pPr>
              <w:spacing w:after="200"/>
              <w:ind w:left="0"/>
              <w:contextualSpacing/>
              <w:jc w:val="both"/>
              <w:rPr>
                <w:rFonts w:ascii="Bookman Old Style" w:hAnsi="Bookman Old Style" w:cs="Arial"/>
                <w:lang w:val="es-CO" w:eastAsia="en-US"/>
              </w:rPr>
            </w:pPr>
            <w:r w:rsidRPr="000B65DE">
              <w:rPr>
                <w:rFonts w:ascii="Bookman Old Style" w:hAnsi="Bookman Old Style" w:cs="Arial"/>
                <w:lang w:val="es-CO" w:eastAsia="en-US"/>
              </w:rPr>
              <w:t xml:space="preserve">Costo anual equivalente de las inversiones realizadas durante la vigencia de la Resolución CREG 011 de 2003 y hasta la fecha de corte (IPE) que forman parte del Mercado Relevante de Distribución para el Siguiente Período Tarifario k para el tipo de red l, expresada en pesos de la Fecha Base. Se calcula conforme a la siguiente fórmula: </w:t>
            </w:r>
          </w:p>
          <w:p w:rsidR="00C7068E" w:rsidRPr="000B65DE" w:rsidRDefault="00C7068E" w:rsidP="000B65DE">
            <w:pPr>
              <w:spacing w:after="200"/>
              <w:ind w:left="0"/>
              <w:contextualSpacing/>
              <w:jc w:val="both"/>
              <w:rPr>
                <w:rFonts w:ascii="Bookman Old Style" w:hAnsi="Bookman Old Style" w:cs="Arial"/>
                <w:lang w:val="es-CO" w:eastAsia="en-US"/>
              </w:rPr>
            </w:pPr>
          </w:p>
          <w:p w:rsidR="000B65DE" w:rsidRPr="000B65DE" w:rsidRDefault="000B65DE" w:rsidP="000B65DE">
            <w:pPr>
              <w:spacing w:after="200"/>
              <w:ind w:left="0"/>
              <w:contextualSpacing/>
              <w:jc w:val="both"/>
              <w:rPr>
                <w:rFonts w:ascii="Bookman Old Style" w:hAnsi="Bookman Old Style" w:cs="Arial"/>
                <w:lang w:val="es-CO" w:eastAsia="en-US"/>
              </w:rPr>
            </w:pPr>
          </w:p>
          <w:p w:rsidR="000B65DE" w:rsidRPr="0092172B" w:rsidRDefault="00364E59" w:rsidP="000B65DE">
            <w:pPr>
              <w:spacing w:after="200"/>
              <w:ind w:left="0"/>
              <w:contextualSpacing/>
              <w:jc w:val="both"/>
              <w:rPr>
                <w:rFonts w:ascii="Bookman Old Style" w:hAnsi="Bookman Old Style" w:cs="Arial"/>
                <w:sz w:val="14"/>
                <w:szCs w:val="16"/>
                <w:lang w:val="es-CO" w:eastAsia="en-US"/>
              </w:rPr>
            </w:pPr>
            <m:oMathPara>
              <m:oMath>
                <m:sSub>
                  <m:sSubPr>
                    <m:ctrlPr>
                      <w:rPr>
                        <w:rFonts w:ascii="Cambria Math" w:hAnsi="Cambria Math" w:cs="Arial"/>
                        <w:sz w:val="16"/>
                        <w:szCs w:val="16"/>
                        <w:lang w:val="es-CO" w:eastAsia="en-US"/>
                      </w:rPr>
                    </m:ctrlPr>
                  </m:sSubPr>
                  <m:e>
                    <m:r>
                      <m:rPr>
                        <m:sty m:val="p"/>
                      </m:rPr>
                      <w:rPr>
                        <w:rFonts w:ascii="Cambria Math" w:hAnsi="Cambria Math" w:cs="Arial"/>
                        <w:sz w:val="16"/>
                        <w:szCs w:val="16"/>
                        <w:lang w:val="es-CO" w:eastAsia="en-US"/>
                      </w:rPr>
                      <m:t>CAE</m:t>
                    </m:r>
                  </m:e>
                  <m:sub>
                    <m:r>
                      <m:rPr>
                        <m:sty m:val="p"/>
                      </m:rPr>
                      <w:rPr>
                        <w:rFonts w:ascii="Cambria Math" w:hAnsi="Cambria Math" w:cs="Arial"/>
                        <w:sz w:val="16"/>
                        <w:szCs w:val="16"/>
                        <w:lang w:val="es-CO" w:eastAsia="en-US"/>
                      </w:rPr>
                      <m:t>kl</m:t>
                    </m:r>
                  </m:sub>
                </m:sSub>
                <m:r>
                  <m:rPr>
                    <m:sty m:val="p"/>
                  </m:rPr>
                  <w:rPr>
                    <w:rFonts w:ascii="Cambria Math" w:hAnsi="Arial" w:cs="Arial"/>
                    <w:sz w:val="16"/>
                    <w:szCs w:val="16"/>
                    <w:lang w:val="es-CO" w:eastAsia="en-US"/>
                  </w:rPr>
                  <m:t xml:space="preserve"> </m:t>
                </m:r>
                <m:d>
                  <m:dPr>
                    <m:ctrlPr>
                      <w:rPr>
                        <w:rFonts w:ascii="Cambria Math" w:hAnsi="Arial" w:cs="Arial"/>
                        <w:sz w:val="16"/>
                        <w:szCs w:val="16"/>
                        <w:lang w:val="es-CO" w:eastAsia="en-US"/>
                      </w:rPr>
                    </m:ctrlPr>
                  </m:dPr>
                  <m:e>
                    <m:r>
                      <m:rPr>
                        <m:sty m:val="p"/>
                      </m:rPr>
                      <w:rPr>
                        <w:rFonts w:ascii="Cambria Math" w:hAnsi="Cambria Math" w:cs="Arial"/>
                        <w:sz w:val="16"/>
                        <w:szCs w:val="16"/>
                        <w:lang w:val="es-CO" w:eastAsia="en-US"/>
                      </w:rPr>
                      <m:t>IPE</m:t>
                    </m:r>
                    <m:r>
                      <m:rPr>
                        <m:sty m:val="p"/>
                      </m:rPr>
                      <w:rPr>
                        <w:rFonts w:ascii="Cambria Math" w:hAnsi="Arial" w:cs="Arial"/>
                        <w:sz w:val="16"/>
                        <w:szCs w:val="16"/>
                        <w:lang w:val="es-CO" w:eastAsia="en-US"/>
                      </w:rPr>
                      <m:t xml:space="preserve">, </m:t>
                    </m:r>
                    <m:r>
                      <m:rPr>
                        <m:sty m:val="p"/>
                      </m:rPr>
                      <w:rPr>
                        <w:rFonts w:ascii="Cambria Math" w:hAnsi="Cambria Math" w:cs="Arial"/>
                        <w:sz w:val="16"/>
                        <w:szCs w:val="16"/>
                        <w:lang w:val="es-CO" w:eastAsia="en-US"/>
                      </w:rPr>
                      <m:t>INPE</m:t>
                    </m:r>
                  </m:e>
                </m:d>
                <m:r>
                  <m:rPr>
                    <m:sty m:val="p"/>
                  </m:rPr>
                  <w:rPr>
                    <w:rFonts w:ascii="Cambria Math" w:hAnsi="Arial" w:cs="Arial"/>
                    <w:sz w:val="16"/>
                    <w:szCs w:val="16"/>
                    <w:lang w:val="es-CO" w:eastAsia="en-US"/>
                  </w:rPr>
                  <m:t xml:space="preserve">= </m:t>
                </m:r>
                <m:d>
                  <m:dPr>
                    <m:begChr m:val="["/>
                    <m:endChr m:val="]"/>
                    <m:ctrlPr>
                      <w:rPr>
                        <w:rFonts w:ascii="Cambria Math" w:hAnsi="Arial" w:cs="Arial"/>
                        <w:sz w:val="16"/>
                        <w:szCs w:val="16"/>
                        <w:lang w:val="es-CO" w:eastAsia="en-US"/>
                      </w:rPr>
                    </m:ctrlPr>
                  </m:dPr>
                  <m:e>
                    <m:nary>
                      <m:naryPr>
                        <m:chr m:val="∑"/>
                        <m:limLoc m:val="undOvr"/>
                        <m:ctrlPr>
                          <w:rPr>
                            <w:rFonts w:ascii="Cambria Math" w:hAnsi="Arial" w:cs="Arial"/>
                            <w:sz w:val="16"/>
                            <w:szCs w:val="16"/>
                            <w:lang w:val="es-CO" w:eastAsia="en-US"/>
                          </w:rPr>
                        </m:ctrlPr>
                      </m:naryPr>
                      <m:sub>
                        <m:r>
                          <m:rPr>
                            <m:sty m:val="p"/>
                          </m:rPr>
                          <w:rPr>
                            <w:rFonts w:ascii="Cambria Math" w:hAnsi="Cambria Math" w:cs="Arial"/>
                            <w:sz w:val="16"/>
                            <w:szCs w:val="16"/>
                            <w:lang w:val="es-CO" w:eastAsia="en-US"/>
                          </w:rPr>
                          <m:t>i</m:t>
                        </m:r>
                        <m:r>
                          <m:rPr>
                            <m:sty m:val="p"/>
                          </m:rPr>
                          <w:rPr>
                            <w:rFonts w:ascii="Cambria Math" w:hAnsi="Arial" w:cs="Arial"/>
                            <w:sz w:val="16"/>
                            <w:szCs w:val="16"/>
                            <w:lang w:val="es-CO" w:eastAsia="en-US"/>
                          </w:rPr>
                          <m:t>=1</m:t>
                        </m:r>
                      </m:sub>
                      <m:sup>
                        <m:r>
                          <m:rPr>
                            <m:sty m:val="p"/>
                          </m:rPr>
                          <w:rPr>
                            <w:rFonts w:ascii="Cambria Math" w:hAnsi="Cambria Math" w:cs="Arial"/>
                            <w:sz w:val="16"/>
                            <w:szCs w:val="16"/>
                            <w:lang w:val="es-CO" w:eastAsia="en-US"/>
                          </w:rPr>
                          <m:t>NR</m:t>
                        </m:r>
                      </m:sup>
                      <m:e>
                        <m:r>
                          <m:rPr>
                            <m:sty m:val="p"/>
                          </m:rPr>
                          <w:rPr>
                            <w:rFonts w:ascii="Cambria Math" w:hAnsi="Arial" w:cs="Arial"/>
                            <w:sz w:val="16"/>
                            <w:szCs w:val="16"/>
                            <w:lang w:val="es-CO" w:eastAsia="en-US"/>
                          </w:rPr>
                          <m:t>(</m:t>
                        </m:r>
                        <m:sSub>
                          <m:sSubPr>
                            <m:ctrlPr>
                              <w:rPr>
                                <w:rFonts w:ascii="Cambria Math" w:hAnsi="Arial" w:cs="Arial"/>
                                <w:sz w:val="16"/>
                                <w:szCs w:val="16"/>
                                <w:lang w:val="es-CO" w:eastAsia="en-US"/>
                              </w:rPr>
                            </m:ctrlPr>
                          </m:sSubPr>
                          <m:e>
                            <m:r>
                              <m:rPr>
                                <m:sty m:val="p"/>
                              </m:rPr>
                              <w:rPr>
                                <w:rFonts w:ascii="Cambria Math" w:hAnsi="Arial" w:cs="Arial"/>
                                <w:sz w:val="16"/>
                                <w:szCs w:val="16"/>
                                <w:lang w:val="es-CO" w:eastAsia="en-US"/>
                              </w:rPr>
                              <m:t>QUCIPE</m:t>
                            </m:r>
                          </m:e>
                          <m:sub>
                            <m:r>
                              <m:rPr>
                                <m:sty m:val="p"/>
                              </m:rPr>
                              <w:rPr>
                                <w:rFonts w:ascii="Cambria Math" w:hAnsi="Arial" w:cs="Arial"/>
                                <w:sz w:val="16"/>
                                <w:szCs w:val="16"/>
                                <w:lang w:val="es-CO" w:eastAsia="en-US"/>
                              </w:rPr>
                              <m:t>ik</m:t>
                            </m:r>
                          </m:sub>
                        </m:sSub>
                        <m:r>
                          <m:rPr>
                            <m:sty m:val="p"/>
                          </m:rPr>
                          <w:rPr>
                            <w:rFonts w:ascii="Cambria Math" w:hAnsi="Cambria Math" w:cs="Arial"/>
                            <w:sz w:val="16"/>
                            <w:szCs w:val="16"/>
                            <w:lang w:val="es-CO" w:eastAsia="en-US"/>
                          </w:rPr>
                          <m:t>×P</m:t>
                        </m:r>
                        <m:sSub>
                          <m:sSubPr>
                            <m:ctrlPr>
                              <w:rPr>
                                <w:rFonts w:ascii="Cambria Math" w:hAnsi="Cambria Math" w:cs="Arial"/>
                                <w:sz w:val="16"/>
                                <w:szCs w:val="16"/>
                                <w:lang w:val="es-CO" w:eastAsia="en-US"/>
                              </w:rPr>
                            </m:ctrlPr>
                          </m:sSubPr>
                          <m:e>
                            <m:r>
                              <m:rPr>
                                <m:sty m:val="p"/>
                              </m:rPr>
                              <w:rPr>
                                <w:rFonts w:ascii="Cambria Math" w:hAnsi="Cambria Math" w:cs="Arial"/>
                                <w:sz w:val="16"/>
                                <w:szCs w:val="16"/>
                                <w:lang w:val="es-CO" w:eastAsia="en-US"/>
                              </w:rPr>
                              <m:t>UCIPE</m:t>
                            </m:r>
                          </m:e>
                          <m:sub>
                            <m:r>
                              <m:rPr>
                                <m:sty m:val="p"/>
                              </m:rPr>
                              <w:rPr>
                                <w:rFonts w:ascii="Cambria Math" w:hAnsi="Cambria Math" w:cs="Arial"/>
                                <w:sz w:val="16"/>
                                <w:szCs w:val="16"/>
                                <w:lang w:val="es-CO" w:eastAsia="en-US"/>
                              </w:rPr>
                              <m:t>i</m:t>
                            </m:r>
                          </m:sub>
                        </m:sSub>
                        <m:r>
                          <m:rPr>
                            <m:sty m:val="p"/>
                          </m:rPr>
                          <w:rPr>
                            <w:rFonts w:ascii="Cambria Math" w:hAnsi="Arial" w:cs="Arial"/>
                            <w:sz w:val="16"/>
                            <w:szCs w:val="16"/>
                            <w:lang w:val="es-CO" w:eastAsia="en-US"/>
                          </w:rPr>
                          <m:t>)+(</m:t>
                        </m:r>
                        <m:sSub>
                          <m:sSubPr>
                            <m:ctrlPr>
                              <w:rPr>
                                <w:rFonts w:ascii="Cambria Math" w:hAnsi="Arial" w:cs="Arial"/>
                                <w:sz w:val="16"/>
                                <w:szCs w:val="16"/>
                                <w:lang w:val="es-CO" w:eastAsia="en-US"/>
                              </w:rPr>
                            </m:ctrlPr>
                          </m:sSubPr>
                          <m:e>
                            <m:r>
                              <m:rPr>
                                <m:sty m:val="p"/>
                              </m:rPr>
                              <w:rPr>
                                <w:rFonts w:ascii="Cambria Math" w:hAnsi="Arial" w:cs="Arial"/>
                                <w:sz w:val="16"/>
                                <w:szCs w:val="16"/>
                                <w:lang w:val="es-CO" w:eastAsia="en-US"/>
                              </w:rPr>
                              <m:t>QUCINPE</m:t>
                            </m:r>
                          </m:e>
                          <m:sub>
                            <m:r>
                              <m:rPr>
                                <m:sty m:val="p"/>
                              </m:rPr>
                              <w:rPr>
                                <w:rFonts w:ascii="Cambria Math" w:hAnsi="Arial" w:cs="Arial"/>
                                <w:sz w:val="16"/>
                                <w:szCs w:val="16"/>
                                <w:lang w:val="es-CO" w:eastAsia="en-US"/>
                              </w:rPr>
                              <m:t>ik</m:t>
                            </m:r>
                          </m:sub>
                        </m:sSub>
                        <m:r>
                          <m:rPr>
                            <m:sty m:val="p"/>
                          </m:rPr>
                          <w:rPr>
                            <w:rFonts w:ascii="Cambria Math" w:hAnsi="Arial" w:cs="Arial"/>
                            <w:sz w:val="16"/>
                            <w:szCs w:val="16"/>
                            <w:lang w:val="es-CO" w:eastAsia="en-US"/>
                          </w:rPr>
                          <m:t xml:space="preserve"> </m:t>
                        </m:r>
                        <m:r>
                          <m:rPr>
                            <m:sty m:val="p"/>
                          </m:rPr>
                          <w:rPr>
                            <w:rFonts w:ascii="Cambria Math" w:hAnsi="Cambria Math" w:cs="Arial"/>
                            <w:sz w:val="16"/>
                            <w:szCs w:val="16"/>
                            <w:lang w:val="es-CO" w:eastAsia="en-US"/>
                          </w:rPr>
                          <m:t>×</m:t>
                        </m:r>
                        <m:sSub>
                          <m:sSubPr>
                            <m:ctrlPr>
                              <w:rPr>
                                <w:rFonts w:ascii="Cambria Math" w:hAnsi="Cambria Math" w:cs="Arial"/>
                                <w:sz w:val="16"/>
                                <w:szCs w:val="16"/>
                                <w:lang w:val="es-CO" w:eastAsia="en-US"/>
                              </w:rPr>
                            </m:ctrlPr>
                          </m:sSubPr>
                          <m:e>
                            <m:r>
                              <m:rPr>
                                <m:sty m:val="p"/>
                              </m:rPr>
                              <w:rPr>
                                <w:rFonts w:ascii="Cambria Math" w:hAnsi="Cambria Math" w:cs="Arial"/>
                                <w:sz w:val="16"/>
                                <w:szCs w:val="16"/>
                                <w:lang w:val="es-CO" w:eastAsia="en-US"/>
                              </w:rPr>
                              <m:t>PUCINPE</m:t>
                            </m:r>
                          </m:e>
                          <m:sub>
                            <m:r>
                              <m:rPr>
                                <m:sty m:val="p"/>
                              </m:rPr>
                              <w:rPr>
                                <w:rFonts w:ascii="Cambria Math" w:hAnsi="Cambria Math" w:cs="Arial"/>
                                <w:sz w:val="16"/>
                                <w:szCs w:val="16"/>
                                <w:lang w:val="es-CO" w:eastAsia="en-US"/>
                              </w:rPr>
                              <m:t>i</m:t>
                            </m:r>
                          </m:sub>
                        </m:sSub>
                        <m:r>
                          <m:rPr>
                            <m:sty m:val="p"/>
                          </m:rPr>
                          <w:rPr>
                            <w:rFonts w:ascii="Cambria Math" w:hAnsi="Cambria Math" w:cs="Arial"/>
                            <w:sz w:val="16"/>
                            <w:szCs w:val="16"/>
                            <w:lang w:val="es-CO" w:eastAsia="en-US"/>
                          </w:rPr>
                          <m:t>)</m:t>
                        </m:r>
                      </m:e>
                    </m:nary>
                  </m:e>
                </m:d>
                <m:r>
                  <m:rPr>
                    <m:sty m:val="p"/>
                  </m:rPr>
                  <w:rPr>
                    <w:rFonts w:ascii="Cambria Math" w:hAnsi="Arial" w:cs="Arial"/>
                    <w:sz w:val="16"/>
                    <w:szCs w:val="16"/>
                    <w:lang w:val="es-CO" w:eastAsia="en-US"/>
                  </w:rPr>
                  <m:t>×</m:t>
                </m:r>
                <m:f>
                  <m:fPr>
                    <m:ctrlPr>
                      <w:rPr>
                        <w:rFonts w:ascii="Cambria Math" w:hAnsi="Arial" w:cs="Arial"/>
                        <w:sz w:val="16"/>
                        <w:szCs w:val="16"/>
                        <w:lang w:val="es-CO" w:eastAsia="en-US"/>
                      </w:rPr>
                    </m:ctrlPr>
                  </m:fPr>
                  <m:num>
                    <m:r>
                      <m:rPr>
                        <m:sty m:val="p"/>
                      </m:rPr>
                      <w:rPr>
                        <w:rFonts w:ascii="Cambria Math" w:hAnsi="Cambria Math" w:cs="Arial"/>
                        <w:sz w:val="16"/>
                        <w:szCs w:val="16"/>
                        <w:lang w:val="es-CO" w:eastAsia="en-US"/>
                      </w:rPr>
                      <m:t>r</m:t>
                    </m:r>
                  </m:num>
                  <m:den>
                    <m:r>
                      <m:rPr>
                        <m:sty m:val="p"/>
                      </m:rPr>
                      <w:rPr>
                        <w:rFonts w:ascii="Cambria Math" w:hAnsi="Arial" w:cs="Arial"/>
                        <w:sz w:val="16"/>
                        <w:szCs w:val="16"/>
                        <w:lang w:val="es-CO" w:eastAsia="en-US"/>
                      </w:rPr>
                      <m:t>1</m:t>
                    </m:r>
                    <m:r>
                      <m:rPr>
                        <m:sty m:val="p"/>
                      </m:rPr>
                      <w:rPr>
                        <w:rFonts w:ascii="Cambria Math" w:hAnsi="Arial" w:cs="Arial"/>
                        <w:sz w:val="16"/>
                        <w:szCs w:val="16"/>
                        <w:lang w:val="es-CO" w:eastAsia="en-US"/>
                      </w:rPr>
                      <m:t>-</m:t>
                    </m:r>
                    <m:sSup>
                      <m:sSupPr>
                        <m:ctrlPr>
                          <w:rPr>
                            <w:rFonts w:ascii="Cambria Math" w:hAnsi="Arial" w:cs="Arial"/>
                            <w:sz w:val="16"/>
                            <w:szCs w:val="16"/>
                            <w:lang w:val="es-CO" w:eastAsia="en-US"/>
                          </w:rPr>
                        </m:ctrlPr>
                      </m:sSupPr>
                      <m:e>
                        <m:r>
                          <m:rPr>
                            <m:sty m:val="p"/>
                          </m:rPr>
                          <w:rPr>
                            <w:rFonts w:ascii="Cambria Math" w:hAnsi="Arial" w:cs="Arial"/>
                            <w:sz w:val="16"/>
                            <w:szCs w:val="16"/>
                            <w:lang w:val="es-CO" w:eastAsia="en-US"/>
                          </w:rPr>
                          <m:t>(1+</m:t>
                        </m:r>
                        <m:r>
                          <m:rPr>
                            <m:sty m:val="p"/>
                          </m:rPr>
                          <w:rPr>
                            <w:rFonts w:ascii="Cambria Math" w:hAnsi="Cambria Math" w:cs="Arial"/>
                            <w:sz w:val="16"/>
                            <w:szCs w:val="16"/>
                            <w:lang w:val="es-CO" w:eastAsia="en-US"/>
                          </w:rPr>
                          <m:t>r</m:t>
                        </m:r>
                        <m:r>
                          <m:rPr>
                            <m:sty m:val="p"/>
                          </m:rPr>
                          <w:rPr>
                            <w:rFonts w:ascii="Cambria Math" w:hAnsi="Arial" w:cs="Arial"/>
                            <w:sz w:val="16"/>
                            <w:szCs w:val="16"/>
                            <w:lang w:val="es-CO" w:eastAsia="en-US"/>
                          </w:rPr>
                          <m:t>)</m:t>
                        </m:r>
                      </m:e>
                      <m:sup>
                        <m:r>
                          <m:rPr>
                            <m:sty m:val="p"/>
                          </m:rPr>
                          <w:rPr>
                            <w:rFonts w:ascii="Cambria Math" w:hAnsi="Cambria Math" w:cs="Arial"/>
                            <w:sz w:val="16"/>
                            <w:szCs w:val="16"/>
                            <w:lang w:val="es-CO" w:eastAsia="en-US"/>
                          </w:rPr>
                          <m:t>-u</m:t>
                        </m:r>
                      </m:sup>
                    </m:sSup>
                  </m:den>
                </m:f>
              </m:oMath>
            </m:oMathPara>
          </w:p>
          <w:p w:rsidR="000B65DE" w:rsidRPr="000B65DE" w:rsidRDefault="000B65DE" w:rsidP="000B65DE">
            <w:pPr>
              <w:tabs>
                <w:tab w:val="left" w:pos="426"/>
              </w:tabs>
              <w:spacing w:after="200" w:line="276" w:lineRule="auto"/>
              <w:ind w:left="0"/>
              <w:jc w:val="both"/>
              <w:rPr>
                <w:rFonts w:ascii="Bookman Old Style" w:hAnsi="Bookman Old Style" w:cs="Arial"/>
                <w:lang w:val="es-CO" w:eastAsia="en-US"/>
              </w:rPr>
            </w:pPr>
          </w:p>
          <w:p w:rsidR="000B65DE" w:rsidRPr="000B65DE" w:rsidRDefault="000B65DE" w:rsidP="000B65DE">
            <w:pPr>
              <w:tabs>
                <w:tab w:val="left" w:pos="426"/>
              </w:tabs>
              <w:spacing w:after="200" w:line="276" w:lineRule="auto"/>
              <w:ind w:left="0"/>
              <w:jc w:val="both"/>
              <w:rPr>
                <w:rFonts w:ascii="Bookman Old Style" w:hAnsi="Bookman Old Style" w:cs="Arial"/>
                <w:lang w:val="es-CO" w:eastAsia="en-US"/>
              </w:rPr>
            </w:pPr>
            <w:r w:rsidRPr="000B65DE">
              <w:rPr>
                <w:rFonts w:ascii="Bookman Old Style" w:hAnsi="Bookman Old Style" w:cs="Arial"/>
                <w:lang w:val="es-CO" w:eastAsia="en-US"/>
              </w:rPr>
              <w:t>Donde:</w:t>
            </w:r>
          </w:p>
          <w:tbl>
            <w:tblPr>
              <w:tblW w:w="7077" w:type="dxa"/>
              <w:tblLayout w:type="fixed"/>
              <w:tblLook w:val="04A0" w:firstRow="1" w:lastRow="0" w:firstColumn="1" w:lastColumn="0" w:noHBand="0" w:noVBand="1"/>
            </w:tblPr>
            <w:tblGrid>
              <w:gridCol w:w="1497"/>
              <w:gridCol w:w="5580"/>
            </w:tblGrid>
            <w:tr w:rsidR="000B65DE" w:rsidRPr="000B65DE" w:rsidTr="00382E27">
              <w:tc>
                <w:tcPr>
                  <w:tcW w:w="1497" w:type="dxa"/>
                </w:tcPr>
                <w:p w:rsidR="000B65DE" w:rsidRPr="000B65DE" w:rsidRDefault="000B65DE" w:rsidP="000B65DE">
                  <w:pPr>
                    <w:tabs>
                      <w:tab w:val="left" w:pos="426"/>
                    </w:tabs>
                    <w:spacing w:after="200" w:line="276" w:lineRule="auto"/>
                    <w:ind w:left="0"/>
                    <w:jc w:val="both"/>
                    <w:rPr>
                      <w:rFonts w:ascii="Bookman Old Style" w:hAnsi="Bookman Old Style" w:cs="Arial"/>
                      <w:lang w:val="es-CO" w:eastAsia="en-US"/>
                    </w:rPr>
                  </w:pPr>
                  <w:r w:rsidRPr="000B65DE">
                    <w:rPr>
                      <w:rFonts w:ascii="Bookman Old Style" w:hAnsi="Bookman Old Style" w:cs="Arial"/>
                      <w:lang w:val="es-CO" w:eastAsia="en-US"/>
                    </w:rPr>
                    <w:t>NR</w:t>
                  </w:r>
                </w:p>
              </w:tc>
              <w:tc>
                <w:tcPr>
                  <w:tcW w:w="5580" w:type="dxa"/>
                </w:tcPr>
                <w:p w:rsidR="000B65DE" w:rsidRPr="000B65DE" w:rsidRDefault="000B65DE" w:rsidP="000B65DE">
                  <w:pPr>
                    <w:tabs>
                      <w:tab w:val="left" w:pos="426"/>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Número total de QUCPE y QUCINPE Unidades Constructivas de las IPE existentes reportadas para el Mercado Relevante de Distribución para el Siguiente Período Tarifario k, a la Fecha Corte.</w:t>
                  </w:r>
                </w:p>
              </w:tc>
            </w:tr>
            <w:tr w:rsidR="000B65DE" w:rsidRPr="000B65DE" w:rsidTr="00382E27">
              <w:tc>
                <w:tcPr>
                  <w:tcW w:w="1497" w:type="dxa"/>
                </w:tcPr>
                <w:p w:rsidR="000B65DE" w:rsidRPr="0092172B" w:rsidRDefault="00364E59" w:rsidP="000B65DE">
                  <w:pPr>
                    <w:tabs>
                      <w:tab w:val="left" w:pos="426"/>
                    </w:tabs>
                    <w:spacing w:after="200" w:line="276" w:lineRule="auto"/>
                    <w:ind w:left="0"/>
                    <w:jc w:val="both"/>
                    <w:rPr>
                      <w:rFonts w:ascii="Bookman Old Style" w:hAnsi="Bookman Old Style" w:cs="Arial"/>
                      <w:lang w:val="es-CO" w:eastAsia="en-US"/>
                    </w:rPr>
                  </w:pPr>
                  <m:oMathPara>
                    <m:oMathParaPr>
                      <m:jc m:val="left"/>
                    </m:oMathParaPr>
                    <m:oMath>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UCIPE</m:t>
                          </m:r>
                        </m:e>
                        <m:sub>
                          <m:r>
                            <m:rPr>
                              <m:sty m:val="p"/>
                            </m:rPr>
                            <w:rPr>
                              <w:rFonts w:ascii="Cambria Math" w:eastAsia="Calibri" w:hAnsi="Cambria Math" w:cs="Arial"/>
                              <w:lang w:val="es-CO" w:eastAsia="en-US"/>
                            </w:rPr>
                            <m:t>i</m:t>
                          </m:r>
                        </m:sub>
                      </m:sSub>
                    </m:oMath>
                  </m:oMathPara>
                </w:p>
              </w:tc>
              <w:tc>
                <w:tcPr>
                  <w:tcW w:w="5580" w:type="dxa"/>
                </w:tcPr>
                <w:p w:rsidR="000B65DE" w:rsidRPr="000B65DE" w:rsidRDefault="000B65DE" w:rsidP="000B65DE">
                  <w:pPr>
                    <w:tabs>
                      <w:tab w:val="left" w:pos="426"/>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 xml:space="preserve">Unidad Constructiva del Programa </w:t>
                  </w:r>
                  <w:r w:rsidRPr="000B65DE">
                    <w:rPr>
                      <w:rFonts w:ascii="Bookman Old Style" w:hAnsi="Bookman Old Style" w:cs="Arial"/>
                      <w:lang w:val="es-CO" w:eastAsia="en-US"/>
                    </w:rPr>
                    <w:cr/>
                    <w:t xml:space="preserve">de Nuevas Inversiones ejecutada en la vigencia </w:t>
                  </w:r>
                  <w:r w:rsidRPr="000B65DE">
                    <w:rPr>
                      <w:rFonts w:ascii="Bookman Old Style" w:hAnsi="Bookman Old Style" w:cs="Arial"/>
                      <w:lang w:val="es-CO" w:eastAsia="en-US"/>
                    </w:rPr>
                    <w:lastRenderedPageBreak/>
                    <w:t xml:space="preserve">de la Resolución CREG 011 de 2003 y que están relacionadas en el </w:t>
                  </w:r>
                  <w:r w:rsidR="00AF6018" w:rsidRPr="000B65DE">
                    <w:rPr>
                      <w:rFonts w:ascii="Bookman Old Style" w:hAnsi="Bookman Old Style" w:cs="Arial"/>
                      <w:lang w:val="es-CO" w:eastAsia="en-US"/>
                    </w:rPr>
                    <w:fldChar w:fldCharType="begin"/>
                  </w:r>
                  <w:r w:rsidRPr="000B65DE">
                    <w:rPr>
                      <w:rFonts w:ascii="Bookman Old Style" w:hAnsi="Bookman Old Style" w:cs="Arial"/>
                      <w:lang w:val="es-CO" w:eastAsia="en-US"/>
                    </w:rPr>
                    <w:instrText xml:space="preserve"> REF _Ref332815662 \r \h </w:instrText>
                  </w:r>
                  <w:r w:rsidR="00AF6018" w:rsidRPr="000B65DE">
                    <w:rPr>
                      <w:rFonts w:ascii="Bookman Old Style" w:hAnsi="Bookman Old Style" w:cs="Arial"/>
                      <w:lang w:val="es-CO" w:eastAsia="en-US"/>
                    </w:rPr>
                  </w:r>
                  <w:r w:rsidR="00AF6018" w:rsidRPr="000B65DE">
                    <w:rPr>
                      <w:rFonts w:ascii="Bookman Old Style" w:hAnsi="Bookman Old Style" w:cs="Arial"/>
                      <w:lang w:val="es-CO" w:eastAsia="en-US"/>
                    </w:rPr>
                    <w:fldChar w:fldCharType="separate"/>
                  </w:r>
                  <w:r w:rsidR="004D5C18">
                    <w:rPr>
                      <w:rFonts w:ascii="Bookman Old Style" w:hAnsi="Bookman Old Style" w:cs="Arial"/>
                      <w:lang w:val="es-CO" w:eastAsia="en-US"/>
                    </w:rPr>
                    <w:t>ANEXO 6</w:t>
                  </w:r>
                  <w:r w:rsidR="00AF6018" w:rsidRPr="000B65DE">
                    <w:rPr>
                      <w:rFonts w:ascii="Bookman Old Style" w:hAnsi="Bookman Old Style" w:cs="Arial"/>
                      <w:lang w:val="es-CO" w:eastAsia="en-US"/>
                    </w:rPr>
                    <w:fldChar w:fldCharType="end"/>
                  </w:r>
                  <w:r w:rsidRPr="000B65DE">
                    <w:rPr>
                      <w:rFonts w:ascii="Bookman Old Style" w:hAnsi="Bookman Old Style" w:cs="Arial"/>
                      <w:lang w:val="es-CO" w:eastAsia="en-US"/>
                    </w:rPr>
                    <w:t>.</w:t>
                  </w:r>
                </w:p>
              </w:tc>
            </w:tr>
            <w:tr w:rsidR="000B65DE" w:rsidRPr="000B65DE" w:rsidTr="00382E27">
              <w:tc>
                <w:tcPr>
                  <w:tcW w:w="1497" w:type="dxa"/>
                </w:tcPr>
                <w:p w:rsidR="000B65DE" w:rsidRPr="0092172B" w:rsidRDefault="00364E59" w:rsidP="000B65DE">
                  <w:pPr>
                    <w:tabs>
                      <w:tab w:val="left" w:pos="426"/>
                    </w:tabs>
                    <w:spacing w:after="200" w:line="276" w:lineRule="auto"/>
                    <w:ind w:left="0"/>
                    <w:jc w:val="both"/>
                    <w:rPr>
                      <w:rFonts w:ascii="Bookman Old Style" w:hAnsi="Bookman Old Style" w:cs="Arial"/>
                      <w:lang w:val="es-CO" w:eastAsia="en-US"/>
                    </w:rPr>
                  </w:pPr>
                  <m:oMathPara>
                    <m:oMathParaPr>
                      <m:jc m:val="left"/>
                    </m:oMathParaPr>
                    <m:oMath>
                      <m:sSub>
                        <m:sSubPr>
                          <m:ctrlPr>
                            <w:rPr>
                              <w:rFonts w:ascii="Cambria Math" w:eastAsia="Calibri" w:hAnsi="Arial" w:cs="Arial"/>
                              <w:lang w:val="es-CO" w:eastAsia="en-US"/>
                            </w:rPr>
                          </m:ctrlPr>
                        </m:sSubPr>
                        <m:e>
                          <m:r>
                            <m:rPr>
                              <m:sty m:val="p"/>
                            </m:rPr>
                            <w:rPr>
                              <w:rFonts w:ascii="Cambria Math" w:eastAsia="Calibri" w:hAnsi="Arial" w:cs="Arial"/>
                              <w:lang w:val="es-CO" w:eastAsia="en-US"/>
                            </w:rPr>
                            <m:t>QUCIPE</m:t>
                          </m:r>
                        </m:e>
                        <m:sub>
                          <m:r>
                            <m:rPr>
                              <m:sty m:val="p"/>
                            </m:rPr>
                            <w:rPr>
                              <w:rFonts w:ascii="Cambria Math" w:eastAsia="Calibri" w:hAnsi="Arial" w:cs="Arial"/>
                              <w:lang w:val="es-CO" w:eastAsia="en-US"/>
                            </w:rPr>
                            <m:t>ik</m:t>
                          </m:r>
                        </m:sub>
                      </m:sSub>
                    </m:oMath>
                  </m:oMathPara>
                </w:p>
              </w:tc>
              <w:tc>
                <w:tcPr>
                  <w:tcW w:w="5580" w:type="dxa"/>
                </w:tcPr>
                <w:p w:rsidR="000B65DE" w:rsidRPr="000B65DE" w:rsidRDefault="000B65DE" w:rsidP="000B65DE">
                  <w:pPr>
                    <w:tabs>
                      <w:tab w:val="left" w:pos="426"/>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 xml:space="preserve">Número total de las Unidades Constructivas </w:t>
                  </w:r>
                  <w:r w:rsidRPr="000B65DE">
                    <w:rPr>
                      <w:rFonts w:ascii="Cambria Math" w:eastAsia="Calibri" w:hAnsi="Cambria Math" w:cs="Arial"/>
                      <w:lang w:val="es-CO" w:eastAsia="en-US"/>
                    </w:rPr>
                    <w:br/>
                  </w:r>
                  <m:oMath>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UCIPE</m:t>
                        </m:r>
                      </m:e>
                      <m:sub>
                        <m:r>
                          <m:rPr>
                            <m:sty m:val="p"/>
                          </m:rPr>
                          <w:rPr>
                            <w:rFonts w:ascii="Cambria Math" w:eastAsia="Calibri" w:hAnsi="Cambria Math" w:cs="Arial"/>
                            <w:lang w:val="es-CO" w:eastAsia="en-US"/>
                          </w:rPr>
                          <m:t>i</m:t>
                        </m:r>
                      </m:sub>
                    </m:sSub>
                  </m:oMath>
                  <w:r w:rsidRPr="000B65DE">
                    <w:rPr>
                      <w:rFonts w:ascii="Bookman Old Style" w:hAnsi="Bookman Old Style" w:cs="Arial"/>
                      <w:lang w:val="es-CO" w:eastAsia="en-US"/>
                    </w:rPr>
                    <w:t>, reportadas para el mercado k</w:t>
                  </w:r>
                </w:p>
              </w:tc>
            </w:tr>
            <w:tr w:rsidR="000B65DE" w:rsidRPr="000B65DE" w:rsidTr="00382E27">
              <w:tc>
                <w:tcPr>
                  <w:tcW w:w="1497" w:type="dxa"/>
                </w:tcPr>
                <w:p w:rsidR="000B65DE" w:rsidRPr="0092172B" w:rsidRDefault="0092172B" w:rsidP="000B65DE">
                  <w:pPr>
                    <w:tabs>
                      <w:tab w:val="left" w:pos="426"/>
                    </w:tabs>
                    <w:spacing w:after="200" w:line="276" w:lineRule="auto"/>
                    <w:ind w:left="0"/>
                    <w:jc w:val="both"/>
                    <w:rPr>
                      <w:rFonts w:ascii="Bookman Old Style" w:hAnsi="Bookman Old Style" w:cs="Arial"/>
                      <w:lang w:val="es-CO" w:eastAsia="en-US"/>
                    </w:rPr>
                  </w:pPr>
                  <m:oMathPara>
                    <m:oMathParaPr>
                      <m:jc m:val="left"/>
                    </m:oMathParaPr>
                    <m:oMath>
                      <m:r>
                        <m:rPr>
                          <m:sty m:val="p"/>
                        </m:rPr>
                        <w:rPr>
                          <w:rFonts w:ascii="Cambria Math" w:eastAsia="Calibri" w:hAnsi="Arial" w:cs="Arial"/>
                          <w:lang w:val="es-CO" w:eastAsia="en-US"/>
                        </w:rPr>
                        <m:t>P</m:t>
                      </m:r>
                      <m:sSub>
                        <m:sSubPr>
                          <m:ctrlPr>
                            <w:rPr>
                              <w:rFonts w:ascii="Cambria Math" w:eastAsia="Calibri" w:hAnsi="Arial" w:cs="Arial"/>
                              <w:lang w:val="es-CO" w:eastAsia="en-US"/>
                            </w:rPr>
                          </m:ctrlPr>
                        </m:sSubPr>
                        <m:e>
                          <m:r>
                            <m:rPr>
                              <m:sty m:val="p"/>
                            </m:rPr>
                            <w:rPr>
                              <w:rFonts w:ascii="Cambria Math" w:eastAsia="Calibri" w:hAnsi="Arial" w:cs="Arial"/>
                              <w:lang w:val="es-CO" w:eastAsia="en-US"/>
                            </w:rPr>
                            <m:t>UCIPE</m:t>
                          </m:r>
                        </m:e>
                        <m:sub>
                          <m:r>
                            <m:rPr>
                              <m:sty m:val="p"/>
                            </m:rPr>
                            <w:rPr>
                              <w:rFonts w:ascii="Cambria Math" w:eastAsia="Calibri" w:hAnsi="Arial" w:cs="Arial"/>
                              <w:lang w:val="es-CO" w:eastAsia="en-US"/>
                            </w:rPr>
                            <m:t>i</m:t>
                          </m:r>
                        </m:sub>
                      </m:sSub>
                    </m:oMath>
                  </m:oMathPara>
                </w:p>
              </w:tc>
              <w:tc>
                <w:tcPr>
                  <w:tcW w:w="5580" w:type="dxa"/>
                </w:tcPr>
                <w:p w:rsidR="000B65DE" w:rsidRPr="000B65DE" w:rsidRDefault="000B65DE" w:rsidP="000B65DE">
                  <w:pPr>
                    <w:tabs>
                      <w:tab w:val="left" w:pos="0"/>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 xml:space="preserve">Costo unitario eficiente definido por la Comisión para la Unidad Constructiva </w:t>
                  </w:r>
                  <m:oMath>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UCIPE</m:t>
                        </m:r>
                      </m:e>
                      <m:sub>
                        <m:r>
                          <m:rPr>
                            <m:sty m:val="p"/>
                          </m:rPr>
                          <w:rPr>
                            <w:rFonts w:ascii="Cambria Math" w:eastAsia="Calibri" w:hAnsi="Cambria Math" w:cs="Arial"/>
                            <w:lang w:val="es-CO" w:eastAsia="en-US"/>
                          </w:rPr>
                          <m:t>i</m:t>
                        </m:r>
                      </m:sub>
                    </m:sSub>
                  </m:oMath>
                  <w:r w:rsidRPr="000B65DE">
                    <w:rPr>
                      <w:rFonts w:ascii="Bookman Old Style" w:hAnsi="Bookman Old Style" w:cs="Arial"/>
                      <w:lang w:val="es-CO" w:eastAsia="en-US"/>
                    </w:rPr>
                    <w:t xml:space="preserve">  relacionado en el </w:t>
                  </w:r>
                  <w:r w:rsidR="00AF6018" w:rsidRPr="000B65DE">
                    <w:rPr>
                      <w:rFonts w:ascii="Bookman Old Style" w:hAnsi="Bookman Old Style" w:cs="Arial"/>
                      <w:lang w:val="es-CO" w:eastAsia="en-US"/>
                    </w:rPr>
                    <w:fldChar w:fldCharType="begin"/>
                  </w:r>
                  <w:r w:rsidRPr="000B65DE">
                    <w:rPr>
                      <w:rFonts w:ascii="Bookman Old Style" w:hAnsi="Bookman Old Style" w:cs="Arial"/>
                      <w:lang w:val="es-CO" w:eastAsia="en-US"/>
                    </w:rPr>
                    <w:instrText xml:space="preserve"> REF _Ref332815662 \r \h </w:instrText>
                  </w:r>
                  <w:r w:rsidR="00AF6018" w:rsidRPr="000B65DE">
                    <w:rPr>
                      <w:rFonts w:ascii="Bookman Old Style" w:hAnsi="Bookman Old Style" w:cs="Arial"/>
                      <w:lang w:val="es-CO" w:eastAsia="en-US"/>
                    </w:rPr>
                  </w:r>
                  <w:r w:rsidR="00AF6018" w:rsidRPr="000B65DE">
                    <w:rPr>
                      <w:rFonts w:ascii="Bookman Old Style" w:hAnsi="Bookman Old Style" w:cs="Arial"/>
                      <w:lang w:val="es-CO" w:eastAsia="en-US"/>
                    </w:rPr>
                    <w:fldChar w:fldCharType="separate"/>
                  </w:r>
                  <w:r w:rsidR="004D5C18">
                    <w:rPr>
                      <w:rFonts w:ascii="Bookman Old Style" w:hAnsi="Bookman Old Style" w:cs="Arial"/>
                      <w:lang w:val="es-CO" w:eastAsia="en-US"/>
                    </w:rPr>
                    <w:t>ANEXO 6</w:t>
                  </w:r>
                  <w:r w:rsidR="00AF6018" w:rsidRPr="000B65DE">
                    <w:rPr>
                      <w:rFonts w:ascii="Bookman Old Style" w:hAnsi="Bookman Old Style" w:cs="Arial"/>
                      <w:lang w:val="es-CO" w:eastAsia="en-US"/>
                    </w:rPr>
                    <w:fldChar w:fldCharType="end"/>
                  </w:r>
                  <w:r w:rsidRPr="000B65DE">
                    <w:rPr>
                      <w:rFonts w:ascii="Bookman Old Style" w:hAnsi="Bookman Old Style" w:cs="Arial"/>
                      <w:lang w:val="es-CO" w:eastAsia="en-US"/>
                    </w:rPr>
                    <w:t xml:space="preserve"> y ajustado a la Fecha Base.</w:t>
                  </w:r>
                </w:p>
              </w:tc>
            </w:tr>
            <w:tr w:rsidR="000B65DE" w:rsidRPr="000B65DE" w:rsidTr="00382E27">
              <w:tc>
                <w:tcPr>
                  <w:tcW w:w="1497" w:type="dxa"/>
                </w:tcPr>
                <w:p w:rsidR="000B65DE" w:rsidRPr="0092172B" w:rsidRDefault="00364E59" w:rsidP="000B65DE">
                  <w:pPr>
                    <w:tabs>
                      <w:tab w:val="left" w:pos="426"/>
                    </w:tabs>
                    <w:spacing w:after="200" w:line="276" w:lineRule="auto"/>
                    <w:ind w:left="0"/>
                    <w:jc w:val="both"/>
                    <w:rPr>
                      <w:rFonts w:ascii="Bookman Old Style" w:hAnsi="Bookman Old Style" w:cs="Arial"/>
                      <w:lang w:val="es-CO" w:eastAsia="en-US"/>
                    </w:rPr>
                  </w:pPr>
                  <m:oMathPara>
                    <m:oMathParaPr>
                      <m:jc m:val="left"/>
                    </m:oMathParaPr>
                    <m:oMath>
                      <m:sSub>
                        <m:sSubPr>
                          <m:ctrlPr>
                            <w:rPr>
                              <w:rFonts w:ascii="Cambria Math" w:eastAsia="Calibri" w:hAnsi="Arial" w:cs="Arial"/>
                              <w:lang w:val="es-CO" w:eastAsia="en-US"/>
                            </w:rPr>
                          </m:ctrlPr>
                        </m:sSubPr>
                        <m:e>
                          <m:r>
                            <m:rPr>
                              <m:sty m:val="p"/>
                            </m:rPr>
                            <w:rPr>
                              <w:rFonts w:ascii="Cambria Math" w:eastAsia="Calibri" w:hAnsi="Arial" w:cs="Arial"/>
                              <w:lang w:val="es-CO" w:eastAsia="en-US"/>
                            </w:rPr>
                            <m:t>UCINPE</m:t>
                          </m:r>
                        </m:e>
                        <m:sub>
                          <m:r>
                            <m:rPr>
                              <m:sty m:val="p"/>
                            </m:rPr>
                            <w:rPr>
                              <w:rFonts w:ascii="Cambria Math" w:eastAsia="Calibri" w:hAnsi="Arial" w:cs="Arial"/>
                              <w:lang w:val="es-CO" w:eastAsia="en-US"/>
                            </w:rPr>
                            <m:t>i</m:t>
                          </m:r>
                        </m:sub>
                      </m:sSub>
                    </m:oMath>
                  </m:oMathPara>
                </w:p>
              </w:tc>
              <w:tc>
                <w:tcPr>
                  <w:tcW w:w="5580" w:type="dxa"/>
                </w:tcPr>
                <w:p w:rsidR="000B65DE" w:rsidRPr="000B65DE" w:rsidRDefault="000B65DE" w:rsidP="000B65DE">
                  <w:pPr>
                    <w:tabs>
                      <w:tab w:val="left" w:pos="0"/>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 xml:space="preserve">Unidad Constructiva que fue ejecutada en el Mercado Relevante de Distribución para el Siguiente Período Tarifario k, en  vigencia de la Resolución CREG 011 de 2003, pero que no fue reportada en el Programa de Nuevas Inversiones de la solicitud tarifaria de dicha vigencia y que están relacionadas en los </w:t>
                  </w:r>
                  <w:r w:rsidR="00AF6018" w:rsidRPr="000B65DE">
                    <w:rPr>
                      <w:rFonts w:ascii="Bookman Old Style" w:hAnsi="Bookman Old Style" w:cs="Arial"/>
                      <w:lang w:val="es-CO" w:eastAsia="en-US"/>
                    </w:rPr>
                    <w:fldChar w:fldCharType="begin"/>
                  </w:r>
                  <w:r w:rsidRPr="000B65DE">
                    <w:rPr>
                      <w:rFonts w:ascii="Bookman Old Style" w:hAnsi="Bookman Old Style" w:cs="Arial"/>
                      <w:lang w:val="es-CO" w:eastAsia="en-US"/>
                    </w:rPr>
                    <w:instrText xml:space="preserve"> REF _Ref332815662 \r \h </w:instrText>
                  </w:r>
                  <w:r w:rsidR="00AF6018" w:rsidRPr="000B65DE">
                    <w:rPr>
                      <w:rFonts w:ascii="Bookman Old Style" w:hAnsi="Bookman Old Style" w:cs="Arial"/>
                      <w:lang w:val="es-CO" w:eastAsia="en-US"/>
                    </w:rPr>
                  </w:r>
                  <w:r w:rsidR="00AF6018" w:rsidRPr="000B65DE">
                    <w:rPr>
                      <w:rFonts w:ascii="Bookman Old Style" w:hAnsi="Bookman Old Style" w:cs="Arial"/>
                      <w:lang w:val="es-CO" w:eastAsia="en-US"/>
                    </w:rPr>
                    <w:fldChar w:fldCharType="separate"/>
                  </w:r>
                  <w:r w:rsidR="004D5C18">
                    <w:rPr>
                      <w:rFonts w:ascii="Bookman Old Style" w:hAnsi="Bookman Old Style" w:cs="Arial"/>
                      <w:lang w:val="es-CO" w:eastAsia="en-US"/>
                    </w:rPr>
                    <w:t>ANEXO 6</w:t>
                  </w:r>
                  <w:r w:rsidR="00AF6018" w:rsidRPr="000B65DE">
                    <w:rPr>
                      <w:rFonts w:ascii="Bookman Old Style" w:hAnsi="Bookman Old Style" w:cs="Arial"/>
                      <w:lang w:val="es-CO" w:eastAsia="en-US"/>
                    </w:rPr>
                    <w:fldChar w:fldCharType="end"/>
                  </w:r>
                  <w:r w:rsidRPr="000B65DE">
                    <w:rPr>
                      <w:rFonts w:ascii="Bookman Old Style" w:hAnsi="Bookman Old Style" w:cs="Arial"/>
                      <w:lang w:val="es-CO" w:eastAsia="en-US"/>
                    </w:rPr>
                    <w:t>.</w:t>
                  </w:r>
                </w:p>
              </w:tc>
            </w:tr>
            <w:tr w:rsidR="000B65DE" w:rsidRPr="000B65DE" w:rsidTr="00382E27">
              <w:tc>
                <w:tcPr>
                  <w:tcW w:w="1497" w:type="dxa"/>
                </w:tcPr>
                <w:p w:rsidR="000B65DE" w:rsidRPr="0092172B" w:rsidRDefault="00364E59" w:rsidP="000B65DE">
                  <w:pPr>
                    <w:tabs>
                      <w:tab w:val="left" w:pos="426"/>
                    </w:tabs>
                    <w:spacing w:after="200" w:line="276" w:lineRule="auto"/>
                    <w:ind w:left="0"/>
                    <w:jc w:val="both"/>
                    <w:rPr>
                      <w:rFonts w:ascii="Bookman Old Style" w:hAnsi="Bookman Old Style" w:cs="Arial"/>
                      <w:lang w:val="es-CO" w:eastAsia="en-US"/>
                    </w:rPr>
                  </w:pPr>
                  <m:oMathPara>
                    <m:oMathParaPr>
                      <m:jc m:val="left"/>
                    </m:oMathParaPr>
                    <m:oMath>
                      <m:sSub>
                        <m:sSubPr>
                          <m:ctrlPr>
                            <w:rPr>
                              <w:rFonts w:ascii="Cambria Math" w:eastAsia="Calibri" w:hAnsi="Arial" w:cs="Arial"/>
                              <w:lang w:val="es-CO" w:eastAsia="en-US"/>
                            </w:rPr>
                          </m:ctrlPr>
                        </m:sSubPr>
                        <m:e>
                          <m:r>
                            <m:rPr>
                              <m:sty m:val="p"/>
                            </m:rPr>
                            <w:rPr>
                              <w:rFonts w:ascii="Cambria Math" w:eastAsia="Calibri" w:hAnsi="Arial" w:cs="Arial"/>
                              <w:lang w:val="es-CO" w:eastAsia="en-US"/>
                            </w:rPr>
                            <m:t>QUCINPE</m:t>
                          </m:r>
                        </m:e>
                        <m:sub>
                          <m:r>
                            <m:rPr>
                              <m:sty m:val="p"/>
                            </m:rPr>
                            <w:rPr>
                              <w:rFonts w:ascii="Cambria Math" w:eastAsia="Calibri" w:hAnsi="Arial" w:cs="Arial"/>
                              <w:lang w:val="es-CO" w:eastAsia="en-US"/>
                            </w:rPr>
                            <m:t>ik</m:t>
                          </m:r>
                        </m:sub>
                      </m:sSub>
                    </m:oMath>
                  </m:oMathPara>
                </w:p>
              </w:tc>
              <w:tc>
                <w:tcPr>
                  <w:tcW w:w="5580" w:type="dxa"/>
                </w:tcPr>
                <w:p w:rsidR="000B65DE" w:rsidRPr="000B65DE" w:rsidRDefault="000B65DE" w:rsidP="000B65DE">
                  <w:pPr>
                    <w:tabs>
                      <w:tab w:val="left" w:pos="0"/>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 xml:space="preserve">Número total de las Unidades Constructivas </w:t>
                  </w:r>
                  <w:r w:rsidRPr="000B65DE">
                    <w:rPr>
                      <w:rFonts w:ascii="Cambria Math" w:eastAsia="Calibri" w:hAnsi="Arial" w:cs="Arial"/>
                      <w:lang w:val="es-CO" w:eastAsia="en-US"/>
                    </w:rPr>
                    <w:br/>
                  </w:r>
                  <m:oMath>
                    <m:sSub>
                      <m:sSubPr>
                        <m:ctrlPr>
                          <w:rPr>
                            <w:rFonts w:ascii="Cambria Math" w:eastAsia="Calibri" w:hAnsi="Arial" w:cs="Arial"/>
                            <w:lang w:val="es-CO" w:eastAsia="en-US"/>
                          </w:rPr>
                        </m:ctrlPr>
                      </m:sSubPr>
                      <m:e>
                        <m:r>
                          <m:rPr>
                            <m:sty m:val="p"/>
                          </m:rPr>
                          <w:rPr>
                            <w:rFonts w:ascii="Cambria Math" w:eastAsia="Calibri" w:hAnsi="Arial" w:cs="Arial"/>
                            <w:lang w:val="es-CO" w:eastAsia="en-US"/>
                          </w:rPr>
                          <m:t>UCINPE</m:t>
                        </m:r>
                      </m:e>
                      <m:sub>
                        <m:r>
                          <m:rPr>
                            <m:sty m:val="p"/>
                          </m:rPr>
                          <w:rPr>
                            <w:rFonts w:ascii="Cambria Math" w:eastAsia="Calibri" w:hAnsi="Arial" w:cs="Arial"/>
                            <w:lang w:val="es-CO" w:eastAsia="en-US"/>
                          </w:rPr>
                          <m:t>i</m:t>
                        </m:r>
                      </m:sub>
                    </m:sSub>
                  </m:oMath>
                  <w:r w:rsidRPr="000B65DE">
                    <w:rPr>
                      <w:rFonts w:ascii="Bookman Old Style" w:hAnsi="Bookman Old Style" w:cs="Arial"/>
                      <w:lang w:val="es-CO" w:eastAsia="en-US"/>
                    </w:rPr>
                    <w:t>, reportadas para el Mercado Relevante de Distribución para el Siguiente Período Tarifario k.</w:t>
                  </w:r>
                </w:p>
              </w:tc>
            </w:tr>
            <w:tr w:rsidR="000B65DE" w:rsidRPr="000B65DE" w:rsidTr="00382E27">
              <w:tc>
                <w:tcPr>
                  <w:tcW w:w="1497" w:type="dxa"/>
                </w:tcPr>
                <w:p w:rsidR="000B65DE" w:rsidRPr="0092172B" w:rsidRDefault="00364E59" w:rsidP="000B65DE">
                  <w:pPr>
                    <w:tabs>
                      <w:tab w:val="left" w:pos="426"/>
                    </w:tabs>
                    <w:spacing w:after="200" w:line="276" w:lineRule="auto"/>
                    <w:ind w:left="0"/>
                    <w:jc w:val="both"/>
                    <w:rPr>
                      <w:rFonts w:ascii="Bookman Old Style" w:hAnsi="Bookman Old Style" w:cs="Arial"/>
                      <w:lang w:val="es-CO" w:eastAsia="en-US"/>
                    </w:rPr>
                  </w:pPr>
                  <m:oMathPara>
                    <m:oMathParaPr>
                      <m:jc m:val="left"/>
                    </m:oMathParaPr>
                    <m:oMath>
                      <m:sSub>
                        <m:sSubPr>
                          <m:ctrlPr>
                            <w:rPr>
                              <w:rFonts w:ascii="Cambria Math" w:eastAsia="Calibri" w:hAnsi="Cambria Math" w:cs="Arial"/>
                              <w:sz w:val="22"/>
                              <w:lang w:val="es-CO" w:eastAsia="en-US"/>
                            </w:rPr>
                          </m:ctrlPr>
                        </m:sSubPr>
                        <m:e>
                          <m:r>
                            <m:rPr>
                              <m:sty m:val="p"/>
                            </m:rPr>
                            <w:rPr>
                              <w:rFonts w:ascii="Cambria Math" w:eastAsia="Calibri" w:hAnsi="Cambria Math" w:cs="Arial"/>
                              <w:sz w:val="22"/>
                              <w:lang w:val="es-CO" w:eastAsia="en-US"/>
                            </w:rPr>
                            <m:t>PUCINPE</m:t>
                          </m:r>
                        </m:e>
                        <m:sub>
                          <m:r>
                            <m:rPr>
                              <m:sty m:val="p"/>
                            </m:rPr>
                            <w:rPr>
                              <w:rFonts w:ascii="Cambria Math" w:eastAsia="Calibri" w:hAnsi="Cambria Math" w:cs="Arial"/>
                              <w:sz w:val="22"/>
                              <w:lang w:val="es-CO" w:eastAsia="en-US"/>
                            </w:rPr>
                            <m:t>i</m:t>
                          </m:r>
                        </m:sub>
                      </m:sSub>
                    </m:oMath>
                  </m:oMathPara>
                </w:p>
              </w:tc>
              <w:tc>
                <w:tcPr>
                  <w:tcW w:w="5580" w:type="dxa"/>
                </w:tcPr>
                <w:p w:rsidR="000B65DE" w:rsidRPr="000B65DE" w:rsidRDefault="000B65DE" w:rsidP="000B65DE">
                  <w:pPr>
                    <w:tabs>
                      <w:tab w:val="left" w:pos="0"/>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 xml:space="preserve">Costo unitario eficiente definido por la Comisión para la Unidad Constructiva </w:t>
                  </w:r>
                  <m:oMath>
                    <m:sSub>
                      <m:sSubPr>
                        <m:ctrlPr>
                          <w:rPr>
                            <w:rFonts w:ascii="Cambria Math" w:eastAsia="Calibri" w:hAnsi="Arial" w:cs="Arial"/>
                            <w:lang w:val="es-CO" w:eastAsia="en-US"/>
                          </w:rPr>
                        </m:ctrlPr>
                      </m:sSubPr>
                      <m:e>
                        <m:r>
                          <m:rPr>
                            <m:sty m:val="p"/>
                          </m:rPr>
                          <w:rPr>
                            <w:rFonts w:ascii="Cambria Math" w:eastAsia="Calibri" w:hAnsi="Arial" w:cs="Arial"/>
                            <w:lang w:val="es-CO" w:eastAsia="en-US"/>
                          </w:rPr>
                          <m:t>UCINPE</m:t>
                        </m:r>
                      </m:e>
                      <m:sub>
                        <m:r>
                          <m:rPr>
                            <m:sty m:val="p"/>
                          </m:rPr>
                          <w:rPr>
                            <w:rFonts w:ascii="Cambria Math" w:eastAsia="Calibri" w:hAnsi="Arial" w:cs="Arial"/>
                            <w:lang w:val="es-CO" w:eastAsia="en-US"/>
                          </w:rPr>
                          <m:t>i</m:t>
                        </m:r>
                      </m:sub>
                    </m:sSub>
                  </m:oMath>
                  <w:r w:rsidRPr="000B65DE">
                    <w:rPr>
                      <w:rFonts w:ascii="Bookman Old Style" w:hAnsi="Bookman Old Style" w:cs="Arial"/>
                      <w:lang w:val="es-CO" w:eastAsia="en-US"/>
                    </w:rPr>
                    <w:t xml:space="preserve"> relacionado en los </w:t>
                  </w:r>
                  <w:r w:rsidR="00AF6018" w:rsidRPr="000B65DE">
                    <w:rPr>
                      <w:rFonts w:ascii="Bookman Old Style" w:hAnsi="Bookman Old Style" w:cs="Arial"/>
                      <w:lang w:val="es-CO" w:eastAsia="en-US"/>
                    </w:rPr>
                    <w:fldChar w:fldCharType="begin"/>
                  </w:r>
                  <w:r w:rsidRPr="000B65DE">
                    <w:rPr>
                      <w:rFonts w:ascii="Bookman Old Style" w:hAnsi="Bookman Old Style" w:cs="Arial"/>
                      <w:lang w:val="es-CO" w:eastAsia="en-US"/>
                    </w:rPr>
                    <w:instrText xml:space="preserve"> REF _Ref332815662 \r \h </w:instrText>
                  </w:r>
                  <w:r w:rsidR="00AF6018" w:rsidRPr="000B65DE">
                    <w:rPr>
                      <w:rFonts w:ascii="Bookman Old Style" w:hAnsi="Bookman Old Style" w:cs="Arial"/>
                      <w:lang w:val="es-CO" w:eastAsia="en-US"/>
                    </w:rPr>
                  </w:r>
                  <w:r w:rsidR="00AF6018" w:rsidRPr="000B65DE">
                    <w:rPr>
                      <w:rFonts w:ascii="Bookman Old Style" w:hAnsi="Bookman Old Style" w:cs="Arial"/>
                      <w:lang w:val="es-CO" w:eastAsia="en-US"/>
                    </w:rPr>
                    <w:fldChar w:fldCharType="separate"/>
                  </w:r>
                  <w:r w:rsidR="004D5C18">
                    <w:rPr>
                      <w:rFonts w:ascii="Bookman Old Style" w:hAnsi="Bookman Old Style" w:cs="Arial"/>
                      <w:lang w:val="es-CO" w:eastAsia="en-US"/>
                    </w:rPr>
                    <w:t>ANEXO 6</w:t>
                  </w:r>
                  <w:r w:rsidR="00AF6018" w:rsidRPr="000B65DE">
                    <w:rPr>
                      <w:rFonts w:ascii="Bookman Old Style" w:hAnsi="Bookman Old Style" w:cs="Arial"/>
                      <w:lang w:val="es-CO" w:eastAsia="en-US"/>
                    </w:rPr>
                    <w:fldChar w:fldCharType="end"/>
                  </w:r>
                  <w:r w:rsidRPr="000B65DE">
                    <w:rPr>
                      <w:rFonts w:ascii="Bookman Old Style" w:hAnsi="Bookman Old Style" w:cs="Arial"/>
                      <w:lang w:val="es-CO" w:eastAsia="en-US"/>
                    </w:rPr>
                    <w:t xml:space="preserve">  y que se debe ajustar a la Fecha Base.</w:t>
                  </w:r>
                </w:p>
              </w:tc>
            </w:tr>
            <w:tr w:rsidR="000B65DE" w:rsidRPr="000B65DE" w:rsidTr="00382E27">
              <w:tc>
                <w:tcPr>
                  <w:tcW w:w="1497" w:type="dxa"/>
                </w:tcPr>
                <w:p w:rsidR="000B65DE" w:rsidRPr="000B65DE" w:rsidRDefault="000B65DE" w:rsidP="000B65DE">
                  <w:pPr>
                    <w:tabs>
                      <w:tab w:val="left" w:pos="33"/>
                    </w:tabs>
                    <w:spacing w:before="120" w:after="200" w:line="276" w:lineRule="auto"/>
                    <w:ind w:left="0"/>
                    <w:jc w:val="both"/>
                    <w:rPr>
                      <w:rFonts w:ascii="Bookman Old Style" w:eastAsia="Calibri" w:hAnsi="Bookman Old Style" w:cs="Arial"/>
                      <w:sz w:val="22"/>
                      <w:szCs w:val="22"/>
                      <w:lang w:val="es-CO" w:eastAsia="en-US"/>
                    </w:rPr>
                  </w:pPr>
                  <w:r w:rsidRPr="000B65DE">
                    <w:rPr>
                      <w:rFonts w:ascii="Bookman Old Style" w:eastAsia="Calibri" w:hAnsi="Bookman Old Style" w:cs="Arial"/>
                      <w:sz w:val="22"/>
                      <w:szCs w:val="22"/>
                      <w:lang w:val="es-CO" w:eastAsia="en-US"/>
                    </w:rPr>
                    <w:t>r</w:t>
                  </w:r>
                </w:p>
              </w:tc>
              <w:tc>
                <w:tcPr>
                  <w:tcW w:w="5580" w:type="dxa"/>
                </w:tcPr>
                <w:p w:rsidR="000B65DE" w:rsidRPr="000B65DE" w:rsidRDefault="000B65DE" w:rsidP="000B65DE">
                  <w:pPr>
                    <w:tabs>
                      <w:tab w:val="left" w:pos="0"/>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 xml:space="preserve">Tasa de Retorno reconocida </w:t>
                  </w:r>
                  <w:r w:rsidRPr="000B65DE">
                    <w:rPr>
                      <w:rFonts w:ascii="Bookman Old Style" w:hAnsi="Bookman Old Style" w:cs="Arial"/>
                      <w:lang w:val="es-CO" w:eastAsia="en-US"/>
                    </w:rPr>
                    <w:cr/>
                    <w:t>para la metodología de</w:t>
                  </w:r>
                  <w:r w:rsidRPr="000B65DE">
                    <w:rPr>
                      <w:rFonts w:ascii="Bookman Old Style" w:hAnsi="Bookman Old Style" w:cs="Arial"/>
                      <w:lang w:val="es-CO" w:eastAsia="en-US"/>
                    </w:rPr>
                    <w:cr/>
                    <w:t xml:space="preserve"> Precio Máximo.</w:t>
                  </w:r>
                </w:p>
              </w:tc>
            </w:tr>
            <w:tr w:rsidR="000B65DE" w:rsidRPr="000B65DE" w:rsidTr="00382E27">
              <w:tc>
                <w:tcPr>
                  <w:tcW w:w="1497" w:type="dxa"/>
                </w:tcPr>
                <w:p w:rsidR="000B65DE" w:rsidRPr="000B65DE" w:rsidRDefault="000B65DE" w:rsidP="000B65DE">
                  <w:pPr>
                    <w:tabs>
                      <w:tab w:val="left" w:pos="33"/>
                    </w:tabs>
                    <w:spacing w:before="120" w:after="200" w:line="276" w:lineRule="auto"/>
                    <w:ind w:left="0"/>
                    <w:jc w:val="both"/>
                    <w:rPr>
                      <w:rFonts w:ascii="Bookman Old Style" w:eastAsia="Calibri" w:hAnsi="Bookman Old Style" w:cs="Arial"/>
                      <w:sz w:val="22"/>
                      <w:szCs w:val="22"/>
                      <w:lang w:val="es-CO" w:eastAsia="en-US"/>
                    </w:rPr>
                  </w:pPr>
                  <w:r w:rsidRPr="000B65DE">
                    <w:rPr>
                      <w:rFonts w:ascii="Bookman Old Style" w:eastAsia="Calibri" w:hAnsi="Bookman Old Style" w:cs="Arial"/>
                      <w:sz w:val="22"/>
                      <w:szCs w:val="22"/>
                      <w:lang w:val="es-CO" w:eastAsia="en-US"/>
                    </w:rPr>
                    <w:t>u</w:t>
                  </w:r>
                </w:p>
              </w:tc>
              <w:tc>
                <w:tcPr>
                  <w:tcW w:w="5580" w:type="dxa"/>
                </w:tcPr>
                <w:p w:rsidR="000B65DE" w:rsidRPr="000B65DE" w:rsidRDefault="000B65DE" w:rsidP="000B65DE">
                  <w:pPr>
                    <w:tabs>
                      <w:tab w:val="left" w:pos="0"/>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Vida útil en años, reconocida</w:t>
                  </w:r>
                  <w:r w:rsidRPr="000B65DE">
                    <w:rPr>
                      <w:rFonts w:ascii="Bookman Old Style" w:hAnsi="Bookman Old Style" w:cs="Arial"/>
                      <w:lang w:val="es-CO" w:eastAsia="en-US"/>
                    </w:rPr>
                    <w:cr/>
                    <w:t>para los activos igual 20 años.</w:t>
                  </w:r>
                </w:p>
              </w:tc>
            </w:tr>
            <w:tr w:rsidR="000B65DE" w:rsidRPr="000B65DE" w:rsidTr="00382E27">
              <w:tc>
                <w:tcPr>
                  <w:tcW w:w="1497" w:type="dxa"/>
                </w:tcPr>
                <w:p w:rsidR="000B65DE" w:rsidRPr="000B65DE" w:rsidRDefault="000B65DE" w:rsidP="000B65DE">
                  <w:pPr>
                    <w:tabs>
                      <w:tab w:val="left" w:pos="33"/>
                    </w:tabs>
                    <w:spacing w:before="120" w:after="200" w:line="276" w:lineRule="auto"/>
                    <w:ind w:left="0"/>
                    <w:jc w:val="both"/>
                    <w:rPr>
                      <w:rFonts w:ascii="Bookman Old Style" w:eastAsia="Calibri" w:hAnsi="Bookman Old Style" w:cs="Arial"/>
                      <w:sz w:val="22"/>
                      <w:szCs w:val="22"/>
                      <w:lang w:val="es-CO" w:eastAsia="en-US"/>
                    </w:rPr>
                  </w:pPr>
                  <w:r w:rsidRPr="000B65DE">
                    <w:rPr>
                      <w:rFonts w:ascii="Bookman Old Style" w:eastAsia="Calibri" w:hAnsi="Bookman Old Style" w:cs="Arial"/>
                      <w:sz w:val="22"/>
                      <w:szCs w:val="22"/>
                      <w:lang w:val="es-CO" w:eastAsia="en-US"/>
                    </w:rPr>
                    <w:t>k</w:t>
                  </w:r>
                </w:p>
              </w:tc>
              <w:tc>
                <w:tcPr>
                  <w:tcW w:w="5580" w:type="dxa"/>
                </w:tcPr>
                <w:p w:rsidR="000B65DE" w:rsidRPr="000B65DE" w:rsidRDefault="000B65DE" w:rsidP="000B65DE">
                  <w:pPr>
                    <w:tabs>
                      <w:tab w:val="left" w:pos="0"/>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Mercado Relevante de Distribución para el Siguiente Período Tarifario k en análisis.</w:t>
                  </w:r>
                </w:p>
              </w:tc>
            </w:tr>
            <w:tr w:rsidR="000B65DE" w:rsidRPr="000B65DE" w:rsidTr="00382E27">
              <w:tc>
                <w:tcPr>
                  <w:tcW w:w="1497" w:type="dxa"/>
                </w:tcPr>
                <w:p w:rsidR="000B65DE" w:rsidRPr="000B65DE" w:rsidRDefault="000B65DE" w:rsidP="000B65DE">
                  <w:pPr>
                    <w:tabs>
                      <w:tab w:val="left" w:pos="33"/>
                    </w:tabs>
                    <w:spacing w:before="120" w:after="200" w:line="276" w:lineRule="auto"/>
                    <w:ind w:left="0"/>
                    <w:jc w:val="both"/>
                    <w:rPr>
                      <w:rFonts w:ascii="Bookman Old Style" w:eastAsia="Calibri" w:hAnsi="Bookman Old Style" w:cs="Arial"/>
                      <w:sz w:val="22"/>
                      <w:szCs w:val="22"/>
                      <w:lang w:val="es-CO" w:eastAsia="en-US"/>
                    </w:rPr>
                  </w:pPr>
                  <w:r w:rsidRPr="000B65DE">
                    <w:rPr>
                      <w:rFonts w:ascii="Bookman Old Style" w:eastAsia="Calibri" w:hAnsi="Bookman Old Style" w:cs="Arial"/>
                      <w:sz w:val="22"/>
                      <w:szCs w:val="22"/>
                      <w:lang w:val="es-CO" w:eastAsia="en-US"/>
                    </w:rPr>
                    <w:t>l</w:t>
                  </w:r>
                </w:p>
              </w:tc>
              <w:tc>
                <w:tcPr>
                  <w:tcW w:w="5580" w:type="dxa"/>
                </w:tcPr>
                <w:p w:rsidR="000B65DE" w:rsidRPr="000B65DE" w:rsidRDefault="000B65DE" w:rsidP="000B65DE">
                  <w:pPr>
                    <w:tabs>
                      <w:tab w:val="left" w:pos="0"/>
                    </w:tabs>
                    <w:spacing w:after="200"/>
                    <w:ind w:left="0"/>
                    <w:jc w:val="both"/>
                    <w:rPr>
                      <w:rFonts w:ascii="Bookman Old Style" w:hAnsi="Bookman Old Style" w:cs="Arial"/>
                      <w:lang w:val="es-CO" w:eastAsia="en-US"/>
                    </w:rPr>
                  </w:pPr>
                  <w:r w:rsidRPr="000B65DE">
                    <w:rPr>
                      <w:rFonts w:ascii="Bookman Old Style" w:hAnsi="Bookman Old Style" w:cs="Arial"/>
                      <w:lang w:val="es-ES_tradnl"/>
                    </w:rPr>
                    <w:t xml:space="preserve">Tipo de Red, </w:t>
                  </w:r>
                  <w:r w:rsidRPr="000B65DE">
                    <w:rPr>
                      <w:rFonts w:ascii="Bookman Old Style" w:hAnsi="Bookman Old Style"/>
                      <w:lang w:val="es-ES_tradnl"/>
                    </w:rPr>
                    <w:t>correspondiente a la Red Primaria (RP) o Red Secundaria de Distribución (RS).</w:t>
                  </w:r>
                </w:p>
              </w:tc>
            </w:tr>
          </w:tbl>
          <w:p w:rsidR="000B65DE" w:rsidRPr="000B65DE" w:rsidRDefault="000B65DE" w:rsidP="000B65DE">
            <w:pPr>
              <w:spacing w:after="200"/>
              <w:ind w:left="0"/>
              <w:contextualSpacing/>
              <w:jc w:val="both"/>
              <w:rPr>
                <w:rFonts w:ascii="Bookman Old Style" w:hAnsi="Bookman Old Style" w:cs="Arial"/>
                <w:lang w:val="es-CO" w:eastAsia="en-US"/>
              </w:rPr>
            </w:pPr>
          </w:p>
        </w:tc>
      </w:tr>
    </w:tbl>
    <w:p w:rsidR="000B65DE" w:rsidRPr="000B65DE" w:rsidRDefault="000B65DE" w:rsidP="008F4D9F">
      <w:pPr>
        <w:numPr>
          <w:ilvl w:val="2"/>
          <w:numId w:val="16"/>
        </w:numPr>
        <w:overflowPunct w:val="0"/>
        <w:autoSpaceDE w:val="0"/>
        <w:autoSpaceDN w:val="0"/>
        <w:adjustRightInd w:val="0"/>
        <w:ind w:left="851" w:hanging="851"/>
        <w:jc w:val="both"/>
        <w:textAlignment w:val="baseline"/>
        <w:outlineLvl w:val="1"/>
        <w:rPr>
          <w:rFonts w:ascii="Bookman Old Style" w:hAnsi="Bookman Old Style"/>
          <w:b/>
          <w:bCs/>
          <w:szCs w:val="20"/>
          <w:lang w:val="es-CO"/>
        </w:rPr>
      </w:pPr>
      <w:bookmarkStart w:id="16" w:name="_Ref289671910"/>
      <w:r w:rsidRPr="000B65DE">
        <w:rPr>
          <w:rFonts w:ascii="Bookman Old Style" w:hAnsi="Bookman Old Style"/>
          <w:b/>
          <w:bCs/>
          <w:szCs w:val="20"/>
          <w:lang w:val="es-CO"/>
        </w:rPr>
        <w:lastRenderedPageBreak/>
        <w:t xml:space="preserve">Valoración de la Inversión Base para los Municipios Nuevos, que van a formar parte de Mercado Relevante de Distribución para el Siguiente Período Tarifario k conformados a partir de Anexar a Mercados Existentes de Distribución Municipios </w:t>
      </w:r>
      <w:bookmarkEnd w:id="16"/>
      <w:r w:rsidRPr="000B65DE">
        <w:rPr>
          <w:rFonts w:ascii="Bookman Old Style" w:hAnsi="Bookman Old Style"/>
          <w:b/>
          <w:bCs/>
          <w:szCs w:val="20"/>
          <w:lang w:val="es-CO"/>
        </w:rPr>
        <w:t>Nuevos.</w:t>
      </w:r>
    </w:p>
    <w:p w:rsidR="000B65DE" w:rsidRPr="000B65DE" w:rsidRDefault="000B65DE" w:rsidP="000B65DE">
      <w:pPr>
        <w:tabs>
          <w:tab w:val="left" w:pos="426"/>
        </w:tabs>
        <w:spacing w:after="200" w:line="276" w:lineRule="auto"/>
        <w:ind w:left="0"/>
        <w:jc w:val="both"/>
        <w:rPr>
          <w:rFonts w:ascii="Bookman Old Style" w:hAnsi="Bookman Old Style"/>
          <w:lang w:val="es-CO" w:eastAsia="en-US"/>
        </w:rPr>
      </w:pPr>
    </w:p>
    <w:p w:rsidR="000B65DE" w:rsidRPr="0092172B" w:rsidRDefault="00364E59" w:rsidP="000B65DE">
      <w:pPr>
        <w:spacing w:after="200" w:line="276" w:lineRule="auto"/>
        <w:ind w:left="0"/>
        <w:contextualSpacing/>
        <w:jc w:val="center"/>
        <w:rPr>
          <w:rFonts w:ascii="Bookman Old Style" w:eastAsia="Calibri" w:hAnsi="Bookman Old Style" w:cs="Arial"/>
          <w:lang w:val="es-CO" w:eastAsia="en-US"/>
        </w:rPr>
      </w:pPr>
      <m:oMathPara>
        <m:oMath>
          <m:sSub>
            <m:sSubPr>
              <m:ctrlPr>
                <w:rPr>
                  <w:rFonts w:ascii="Cambria Math" w:eastAsia="Calibri" w:hAnsi="Cambria Math" w:cs="Arial"/>
                  <w:lang w:val="es-CO" w:eastAsia="en-US"/>
                </w:rPr>
              </m:ctrlPr>
            </m:sSubPr>
            <m:e>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IBMEN</m:t>
                  </m:r>
                </m:e>
                <m:sub>
                  <m:r>
                    <m:rPr>
                      <m:sty m:val="p"/>
                    </m:rPr>
                    <w:rPr>
                      <w:rFonts w:ascii="Cambria Math" w:eastAsia="Calibri" w:hAnsi="Cambria Math" w:cs="Arial"/>
                      <w:lang w:val="es-CO" w:eastAsia="en-US"/>
                    </w:rPr>
                    <m:t>kl</m:t>
                  </m:r>
                </m:sub>
              </m:sSub>
              <m:r>
                <m:rPr>
                  <m:sty m:val="p"/>
                </m:rPr>
                <w:rPr>
                  <w:rFonts w:ascii="Cambria Math" w:eastAsia="Calibri" w:hAnsi="Cambria Math" w:cs="Arial"/>
                  <w:lang w:val="es-CO" w:eastAsia="en-US"/>
                </w:rPr>
                <m:t>=CAE</m:t>
              </m:r>
            </m:e>
            <m:sub>
              <m:r>
                <m:rPr>
                  <m:sty m:val="p"/>
                </m:rPr>
                <w:rPr>
                  <w:rFonts w:ascii="Cambria Math" w:eastAsia="Calibri" w:hAnsi="Cambria Math" w:cs="Arial"/>
                  <w:lang w:val="es-CO" w:eastAsia="en-US"/>
                </w:rPr>
                <m:t>kl</m:t>
              </m:r>
            </m:sub>
          </m:sSub>
          <m:d>
            <m:dPr>
              <m:ctrlPr>
                <w:rPr>
                  <w:rFonts w:ascii="Cambria Math" w:eastAsia="Calibri" w:hAnsi="Cambria Math" w:cs="Arial"/>
                  <w:lang w:val="es-CO" w:eastAsia="en-US"/>
                </w:rPr>
              </m:ctrlPr>
            </m:dPr>
            <m:e>
              <m:r>
                <m:rPr>
                  <m:sty m:val="p"/>
                </m:rPr>
                <w:rPr>
                  <w:rFonts w:ascii="Cambria Math" w:eastAsia="Calibri" w:hAnsi="Cambria Math" w:cs="Arial"/>
                  <w:lang w:val="es-CO" w:eastAsia="en-US"/>
                </w:rPr>
                <m:t>IPNI</m:t>
              </m:r>
            </m:e>
          </m:d>
        </m:oMath>
      </m:oMathPara>
    </w:p>
    <w:p w:rsidR="000B65DE" w:rsidRPr="000B65DE" w:rsidRDefault="000B65DE" w:rsidP="000B65DE">
      <w:pPr>
        <w:spacing w:after="200" w:line="276" w:lineRule="auto"/>
        <w:ind w:left="0"/>
        <w:contextualSpacing/>
        <w:jc w:val="center"/>
        <w:rPr>
          <w:rFonts w:ascii="Bookman Old Style" w:eastAsia="Calibri" w:hAnsi="Bookman Old Style" w:cs="Arial"/>
          <w:lang w:val="es-CO" w:eastAsia="en-US"/>
        </w:rPr>
      </w:pPr>
    </w:p>
    <w:p w:rsidR="000B65DE" w:rsidRPr="000B65DE" w:rsidRDefault="000B65DE" w:rsidP="000B65DE">
      <w:pPr>
        <w:spacing w:after="200" w:line="276" w:lineRule="auto"/>
        <w:ind w:left="0"/>
        <w:contextualSpacing/>
        <w:jc w:val="center"/>
        <w:rPr>
          <w:rFonts w:ascii="Bookman Old Style" w:eastAsia="Calibri" w:hAnsi="Bookman Old Style" w:cs="Arial"/>
          <w:lang w:val="es-CO" w:eastAsia="en-US"/>
        </w:rPr>
      </w:pPr>
    </w:p>
    <w:tbl>
      <w:tblPr>
        <w:tblW w:w="8788" w:type="dxa"/>
        <w:tblInd w:w="959" w:type="dxa"/>
        <w:tblLayout w:type="fixed"/>
        <w:tblLook w:val="04A0" w:firstRow="1" w:lastRow="0" w:firstColumn="1" w:lastColumn="0" w:noHBand="0" w:noVBand="1"/>
      </w:tblPr>
      <w:tblGrid>
        <w:gridCol w:w="1533"/>
        <w:gridCol w:w="7255"/>
      </w:tblGrid>
      <w:tr w:rsidR="000B65DE" w:rsidRPr="000B65DE" w:rsidTr="00382E27">
        <w:tc>
          <w:tcPr>
            <w:tcW w:w="1533" w:type="dxa"/>
          </w:tcPr>
          <w:p w:rsidR="000B65DE" w:rsidRPr="0092172B" w:rsidRDefault="00364E59" w:rsidP="000B65DE">
            <w:pPr>
              <w:tabs>
                <w:tab w:val="left" w:pos="426"/>
              </w:tabs>
              <w:spacing w:after="200" w:line="276" w:lineRule="auto"/>
              <w:ind w:left="0"/>
              <w:jc w:val="both"/>
              <w:rPr>
                <w:rFonts w:ascii="Bookman Old Style" w:hAnsi="Bookman Old Style" w:cs="Arial"/>
                <w:lang w:val="es-CO" w:eastAsia="en-US"/>
              </w:rPr>
            </w:pPr>
            <m:oMathPara>
              <m:oMathParaPr>
                <m:jc m:val="left"/>
              </m:oMathParaPr>
              <m:oMath>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IBMEN</m:t>
                    </m:r>
                  </m:e>
                  <m:sub>
                    <m:r>
                      <m:rPr>
                        <m:sty m:val="p"/>
                      </m:rPr>
                      <w:rPr>
                        <w:rFonts w:ascii="Cambria Math" w:eastAsia="Calibri" w:hAnsi="Cambria Math" w:cs="Arial"/>
                        <w:lang w:val="es-CO" w:eastAsia="en-US"/>
                      </w:rPr>
                      <m:t>kl</m:t>
                    </m:r>
                  </m:sub>
                </m:sSub>
              </m:oMath>
            </m:oMathPara>
          </w:p>
        </w:tc>
        <w:tc>
          <w:tcPr>
            <w:tcW w:w="7255" w:type="dxa"/>
          </w:tcPr>
          <w:p w:rsidR="000B65DE" w:rsidRPr="000B65DE" w:rsidRDefault="000B65DE" w:rsidP="00A179EE">
            <w:pPr>
              <w:tabs>
                <w:tab w:val="left" w:pos="426"/>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 xml:space="preserve">Inversión Base de Municipios Nuevos que van a formar parte del Mercado Relevante de Distribución para el Siguiente Período Tarifario k para el tipo de red l y que ha sido conformado a partir de </w:t>
            </w:r>
            <w:r w:rsidR="00A179EE">
              <w:rPr>
                <w:rFonts w:ascii="Bookman Old Style" w:hAnsi="Bookman Old Style" w:cs="Arial"/>
                <w:lang w:val="es-CO" w:eastAsia="en-US"/>
              </w:rPr>
              <w:t>A</w:t>
            </w:r>
            <w:r w:rsidRPr="000B65DE">
              <w:rPr>
                <w:rFonts w:ascii="Bookman Old Style" w:hAnsi="Bookman Old Style" w:cs="Arial"/>
                <w:lang w:val="es-CO" w:eastAsia="en-US"/>
              </w:rPr>
              <w:t>nexar  a Mercados Existentes de Distribución Municipios Nuevos, expresada en pesos de la Fecha Base.</w:t>
            </w:r>
          </w:p>
        </w:tc>
      </w:tr>
      <w:tr w:rsidR="000B65DE" w:rsidRPr="000B65DE" w:rsidTr="00382E27">
        <w:tc>
          <w:tcPr>
            <w:tcW w:w="1533" w:type="dxa"/>
          </w:tcPr>
          <w:p w:rsidR="000B65DE" w:rsidRPr="0092172B" w:rsidRDefault="00364E59" w:rsidP="000B65DE">
            <w:pPr>
              <w:tabs>
                <w:tab w:val="left" w:pos="426"/>
              </w:tabs>
              <w:spacing w:after="200" w:line="276" w:lineRule="auto"/>
              <w:ind w:left="0"/>
              <w:jc w:val="both"/>
              <w:rPr>
                <w:rFonts w:ascii="Bookman Old Style" w:hAnsi="Bookman Old Style" w:cs="Arial"/>
                <w:lang w:val="es-CO" w:eastAsia="en-US"/>
              </w:rPr>
            </w:pPr>
            <m:oMathPara>
              <m:oMathParaPr>
                <m:jc m:val="left"/>
              </m:oMathParaPr>
              <m:oMath>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CAE</m:t>
                    </m:r>
                  </m:e>
                  <m:sub>
                    <m:r>
                      <m:rPr>
                        <m:sty m:val="p"/>
                      </m:rPr>
                      <w:rPr>
                        <w:rFonts w:ascii="Cambria Math" w:eastAsia="Calibri" w:hAnsi="Cambria Math" w:cs="Arial"/>
                        <w:lang w:val="es-CO" w:eastAsia="en-US"/>
                      </w:rPr>
                      <m:t>kl</m:t>
                    </m:r>
                  </m:sub>
                </m:sSub>
                <m:r>
                  <m:rPr>
                    <m:sty m:val="p"/>
                  </m:rPr>
                  <w:rPr>
                    <w:rFonts w:ascii="Cambria Math" w:eastAsia="Calibri" w:hAnsi="Arial" w:cs="Arial"/>
                    <w:lang w:val="es-CO" w:eastAsia="en-US"/>
                  </w:rPr>
                  <m:t xml:space="preserve"> </m:t>
                </m:r>
                <m:d>
                  <m:dPr>
                    <m:ctrlPr>
                      <w:rPr>
                        <w:rFonts w:ascii="Cambria Math" w:eastAsia="Calibri" w:hAnsi="Arial" w:cs="Arial"/>
                        <w:lang w:val="es-CO" w:eastAsia="en-US"/>
                      </w:rPr>
                    </m:ctrlPr>
                  </m:dPr>
                  <m:e>
                    <m:r>
                      <m:rPr>
                        <m:sty m:val="p"/>
                      </m:rPr>
                      <w:rPr>
                        <w:rFonts w:ascii="Cambria Math" w:eastAsia="Calibri" w:hAnsi="Cambria Math" w:cs="Arial"/>
                        <w:lang w:val="es-CO" w:eastAsia="en-US"/>
                      </w:rPr>
                      <m:t>IPNI</m:t>
                    </m:r>
                  </m:e>
                </m:d>
              </m:oMath>
            </m:oMathPara>
          </w:p>
        </w:tc>
        <w:tc>
          <w:tcPr>
            <w:tcW w:w="7255" w:type="dxa"/>
          </w:tcPr>
          <w:p w:rsidR="000B65DE" w:rsidRPr="000B65DE" w:rsidRDefault="000B65DE" w:rsidP="000B65DE">
            <w:pPr>
              <w:tabs>
                <w:tab w:val="left" w:pos="426"/>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Costo anual equivalente del Programa de Nuevas Inversiones a realizarse en el Siguiente Período Tarifario para el(los) Municipio(s) Nuevo(s) que van a formar parte del Mercado Relevante de Distribución para el Siguiente Período Tarifario k para el tipo de red l. Se calcula conforme a la siguiente fórmula:</w:t>
            </w:r>
          </w:p>
          <w:p w:rsidR="000B65DE" w:rsidRPr="0092172B" w:rsidRDefault="00364E59" w:rsidP="000B65DE">
            <w:pPr>
              <w:tabs>
                <w:tab w:val="left" w:pos="426"/>
              </w:tabs>
              <w:spacing w:after="200"/>
              <w:ind w:left="0"/>
              <w:jc w:val="both"/>
              <w:rPr>
                <w:rFonts w:ascii="Bookman Old Style" w:hAnsi="Bookman Old Style" w:cs="Arial"/>
                <w:sz w:val="22"/>
                <w:szCs w:val="22"/>
                <w:lang w:val="es-CO" w:eastAsia="en-US"/>
              </w:rPr>
            </w:pPr>
            <m:oMathPara>
              <m:oMath>
                <m:sSub>
                  <m:sSubPr>
                    <m:ctrlPr>
                      <w:rPr>
                        <w:rFonts w:ascii="Cambria Math" w:eastAsia="Calibri" w:hAnsi="Cambria Math" w:cs="Arial"/>
                        <w:sz w:val="22"/>
                        <w:szCs w:val="22"/>
                        <w:lang w:val="es-CO" w:eastAsia="en-US"/>
                      </w:rPr>
                    </m:ctrlPr>
                  </m:sSubPr>
                  <m:e>
                    <m:r>
                      <m:rPr>
                        <m:sty m:val="p"/>
                      </m:rPr>
                      <w:rPr>
                        <w:rFonts w:ascii="Cambria Math" w:eastAsia="Calibri" w:hAnsi="Cambria Math" w:cs="Arial"/>
                        <w:sz w:val="22"/>
                        <w:szCs w:val="22"/>
                        <w:lang w:val="es-CO" w:eastAsia="en-US"/>
                      </w:rPr>
                      <m:t>CAE</m:t>
                    </m:r>
                  </m:e>
                  <m:sub>
                    <m:r>
                      <m:rPr>
                        <m:sty m:val="p"/>
                      </m:rPr>
                      <w:rPr>
                        <w:rFonts w:ascii="Cambria Math" w:eastAsia="Calibri" w:hAnsi="Cambria Math" w:cs="Arial"/>
                        <w:sz w:val="22"/>
                        <w:szCs w:val="22"/>
                        <w:lang w:val="es-CO" w:eastAsia="en-US"/>
                      </w:rPr>
                      <m:t>kl</m:t>
                    </m:r>
                  </m:sub>
                </m:sSub>
                <m:r>
                  <m:rPr>
                    <m:sty m:val="p"/>
                  </m:rPr>
                  <w:rPr>
                    <w:rFonts w:ascii="Cambria Math" w:eastAsia="Calibri" w:hAnsi="Arial" w:cs="Arial"/>
                    <w:sz w:val="22"/>
                    <w:szCs w:val="22"/>
                    <w:lang w:val="es-CO" w:eastAsia="en-US"/>
                  </w:rPr>
                  <m:t xml:space="preserve"> </m:t>
                </m:r>
                <m:d>
                  <m:dPr>
                    <m:ctrlPr>
                      <w:rPr>
                        <w:rFonts w:ascii="Cambria Math" w:eastAsia="Calibri" w:hAnsi="Arial" w:cs="Arial"/>
                        <w:sz w:val="22"/>
                        <w:szCs w:val="22"/>
                        <w:lang w:val="es-CO" w:eastAsia="en-US"/>
                      </w:rPr>
                    </m:ctrlPr>
                  </m:dPr>
                  <m:e>
                    <m:r>
                      <m:rPr>
                        <m:sty m:val="p"/>
                      </m:rPr>
                      <w:rPr>
                        <w:rFonts w:ascii="Cambria Math" w:eastAsia="Calibri" w:hAnsi="Cambria Math" w:cs="Arial"/>
                        <w:sz w:val="22"/>
                        <w:szCs w:val="22"/>
                        <w:lang w:val="es-CO" w:eastAsia="en-US"/>
                      </w:rPr>
                      <m:t>IPNI</m:t>
                    </m:r>
                  </m:e>
                </m:d>
                <m:r>
                  <m:rPr>
                    <m:sty m:val="p"/>
                  </m:rPr>
                  <w:rPr>
                    <w:rFonts w:ascii="Cambria Math" w:eastAsia="Calibri" w:hAnsi="Arial" w:cs="Arial"/>
                    <w:sz w:val="22"/>
                    <w:szCs w:val="22"/>
                    <w:lang w:val="es-CO" w:eastAsia="en-US"/>
                  </w:rPr>
                  <m:t>=</m:t>
                </m:r>
                <m:d>
                  <m:dPr>
                    <m:ctrlPr>
                      <w:rPr>
                        <w:rFonts w:ascii="Cambria Math" w:eastAsia="Calibri" w:hAnsi="Cambria Math" w:cs="Arial"/>
                        <w:sz w:val="22"/>
                        <w:szCs w:val="22"/>
                        <w:lang w:val="es-CO" w:eastAsia="en-US"/>
                      </w:rPr>
                    </m:ctrlPr>
                  </m:dPr>
                  <m:e>
                    <m:r>
                      <m:rPr>
                        <m:sty m:val="p"/>
                      </m:rPr>
                      <w:rPr>
                        <w:rFonts w:ascii="Cambria Math" w:eastAsia="Calibri" w:hAnsi="Cambria Math" w:cs="Arial"/>
                        <w:sz w:val="22"/>
                        <w:szCs w:val="22"/>
                        <w:lang w:val="es-CO" w:eastAsia="en-US"/>
                      </w:rPr>
                      <m:t>V</m:t>
                    </m:r>
                    <m:sSub>
                      <m:sSubPr>
                        <m:ctrlPr>
                          <w:rPr>
                            <w:rFonts w:ascii="Cambria Math" w:eastAsia="Calibri" w:hAnsi="Cambria Math" w:cs="Arial"/>
                            <w:sz w:val="22"/>
                            <w:szCs w:val="22"/>
                            <w:lang w:val="es-CO" w:eastAsia="en-US"/>
                          </w:rPr>
                        </m:ctrlPr>
                      </m:sSubPr>
                      <m:e>
                        <m:r>
                          <m:rPr>
                            <m:sty m:val="p"/>
                          </m:rPr>
                          <w:rPr>
                            <w:rFonts w:ascii="Cambria Math" w:eastAsia="Calibri" w:hAnsi="Cambria Math" w:cs="Arial"/>
                            <w:sz w:val="22"/>
                            <w:szCs w:val="22"/>
                            <w:lang w:val="es-CO" w:eastAsia="en-US"/>
                          </w:rPr>
                          <m:t>P</m:t>
                        </m:r>
                        <m:d>
                          <m:dPr>
                            <m:ctrlPr>
                              <w:rPr>
                                <w:rFonts w:ascii="Cambria Math" w:eastAsia="Calibri" w:hAnsi="Cambria Math" w:cs="Arial"/>
                                <w:sz w:val="22"/>
                                <w:szCs w:val="22"/>
                                <w:lang w:val="es-CO" w:eastAsia="en-US"/>
                              </w:rPr>
                            </m:ctrlPr>
                          </m:dPr>
                          <m:e>
                            <m:r>
                              <m:rPr>
                                <m:sty m:val="p"/>
                              </m:rPr>
                              <w:rPr>
                                <w:rFonts w:ascii="Cambria Math" w:eastAsia="Calibri" w:hAnsi="Cambria Math" w:cs="Arial"/>
                                <w:sz w:val="22"/>
                                <w:szCs w:val="22"/>
                                <w:lang w:val="es-CO" w:eastAsia="en-US"/>
                              </w:rPr>
                              <m:t>IPNI</m:t>
                            </m:r>
                          </m:e>
                        </m:d>
                      </m:e>
                      <m:sub>
                        <m:r>
                          <m:rPr>
                            <m:sty m:val="p"/>
                          </m:rPr>
                          <w:rPr>
                            <w:rFonts w:ascii="Cambria Math" w:eastAsia="Calibri" w:hAnsi="Cambria Math" w:cs="Arial"/>
                            <w:sz w:val="22"/>
                            <w:szCs w:val="22"/>
                            <w:lang w:val="es-CO" w:eastAsia="en-US"/>
                          </w:rPr>
                          <m:t>kl</m:t>
                        </m:r>
                      </m:sub>
                    </m:sSub>
                  </m:e>
                </m:d>
                <m:r>
                  <m:rPr>
                    <m:sty m:val="p"/>
                  </m:rPr>
                  <w:rPr>
                    <w:rFonts w:ascii="Cambria Math" w:eastAsia="Calibri" w:hAnsi="Arial" w:cs="Arial"/>
                    <w:sz w:val="22"/>
                    <w:szCs w:val="22"/>
                    <w:lang w:val="es-CO" w:eastAsia="en-US"/>
                  </w:rPr>
                  <m:t>×</m:t>
                </m:r>
                <m:f>
                  <m:fPr>
                    <m:ctrlPr>
                      <w:rPr>
                        <w:rFonts w:ascii="Cambria Math" w:eastAsia="Calibri" w:hAnsi="Arial" w:cs="Arial"/>
                        <w:sz w:val="22"/>
                        <w:szCs w:val="22"/>
                        <w:lang w:val="es-CO" w:eastAsia="en-US"/>
                      </w:rPr>
                    </m:ctrlPr>
                  </m:fPr>
                  <m:num>
                    <m:r>
                      <m:rPr>
                        <m:sty m:val="p"/>
                      </m:rPr>
                      <w:rPr>
                        <w:rFonts w:ascii="Cambria Math" w:eastAsia="Calibri" w:hAnsi="Cambria Math" w:cs="Arial"/>
                        <w:sz w:val="22"/>
                        <w:szCs w:val="22"/>
                        <w:lang w:val="es-CO" w:eastAsia="en-US"/>
                      </w:rPr>
                      <m:t>r</m:t>
                    </m:r>
                  </m:num>
                  <m:den>
                    <m:r>
                      <m:rPr>
                        <m:sty m:val="p"/>
                      </m:rPr>
                      <w:rPr>
                        <w:rFonts w:ascii="Cambria Math" w:eastAsia="Calibri" w:hAnsi="Arial" w:cs="Arial"/>
                        <w:sz w:val="22"/>
                        <w:szCs w:val="22"/>
                        <w:lang w:val="es-CO" w:eastAsia="en-US"/>
                      </w:rPr>
                      <m:t>1</m:t>
                    </m:r>
                    <m:r>
                      <m:rPr>
                        <m:sty m:val="p"/>
                      </m:rPr>
                      <w:rPr>
                        <w:rFonts w:ascii="Cambria Math" w:eastAsia="Calibri" w:hAnsi="Arial" w:cs="Arial"/>
                        <w:sz w:val="22"/>
                        <w:szCs w:val="22"/>
                        <w:lang w:val="es-CO" w:eastAsia="en-US"/>
                      </w:rPr>
                      <m:t>-</m:t>
                    </m:r>
                    <m:sSup>
                      <m:sSupPr>
                        <m:ctrlPr>
                          <w:rPr>
                            <w:rFonts w:ascii="Cambria Math" w:eastAsia="Calibri" w:hAnsi="Arial" w:cs="Arial"/>
                            <w:sz w:val="22"/>
                            <w:szCs w:val="22"/>
                            <w:lang w:val="es-CO" w:eastAsia="en-US"/>
                          </w:rPr>
                        </m:ctrlPr>
                      </m:sSupPr>
                      <m:e>
                        <m:r>
                          <m:rPr>
                            <m:sty m:val="p"/>
                          </m:rPr>
                          <w:rPr>
                            <w:rFonts w:ascii="Cambria Math" w:eastAsia="Calibri" w:hAnsi="Arial" w:cs="Arial"/>
                            <w:sz w:val="22"/>
                            <w:szCs w:val="22"/>
                            <w:lang w:val="es-CO" w:eastAsia="en-US"/>
                          </w:rPr>
                          <m:t>(1+</m:t>
                        </m:r>
                        <m:r>
                          <m:rPr>
                            <m:sty m:val="p"/>
                          </m:rPr>
                          <w:rPr>
                            <w:rFonts w:ascii="Cambria Math" w:eastAsia="Calibri" w:hAnsi="Cambria Math" w:cs="Arial"/>
                            <w:sz w:val="22"/>
                            <w:szCs w:val="22"/>
                            <w:lang w:val="es-CO" w:eastAsia="en-US"/>
                          </w:rPr>
                          <m:t>r</m:t>
                        </m:r>
                        <m:r>
                          <m:rPr>
                            <m:sty m:val="p"/>
                          </m:rPr>
                          <w:rPr>
                            <w:rFonts w:ascii="Cambria Math" w:eastAsia="Calibri" w:hAnsi="Arial" w:cs="Arial"/>
                            <w:sz w:val="22"/>
                            <w:szCs w:val="22"/>
                            <w:lang w:val="es-CO" w:eastAsia="en-US"/>
                          </w:rPr>
                          <m:t>)</m:t>
                        </m:r>
                      </m:e>
                      <m:sup>
                        <m:r>
                          <m:rPr>
                            <m:sty m:val="p"/>
                          </m:rPr>
                          <w:rPr>
                            <w:rFonts w:ascii="Cambria Math" w:eastAsia="Calibri" w:hAnsi="Cambria Math" w:cs="Arial"/>
                            <w:sz w:val="22"/>
                            <w:szCs w:val="22"/>
                            <w:lang w:val="es-CO" w:eastAsia="en-US"/>
                          </w:rPr>
                          <m:t>-u</m:t>
                        </m:r>
                      </m:sup>
                    </m:sSup>
                  </m:den>
                </m:f>
              </m:oMath>
            </m:oMathPara>
          </w:p>
          <w:p w:rsidR="000B65DE" w:rsidRPr="0092172B" w:rsidRDefault="00364E59" w:rsidP="000B65DE">
            <w:pPr>
              <w:tabs>
                <w:tab w:val="left" w:pos="426"/>
              </w:tabs>
              <w:spacing w:after="200"/>
              <w:ind w:left="0"/>
              <w:jc w:val="both"/>
              <w:rPr>
                <w:rFonts w:ascii="Bookman Old Style" w:hAnsi="Bookman Old Style" w:cs="Arial"/>
                <w:sz w:val="22"/>
                <w:szCs w:val="22"/>
                <w:lang w:val="es-CO" w:eastAsia="en-US"/>
              </w:rPr>
            </w:pPr>
            <m:oMathPara>
              <m:oMath>
                <m:sSub>
                  <m:sSubPr>
                    <m:ctrlPr>
                      <w:rPr>
                        <w:rFonts w:ascii="Cambria Math" w:eastAsia="Calibri" w:hAnsi="Cambria Math" w:cs="Arial"/>
                        <w:sz w:val="22"/>
                        <w:szCs w:val="22"/>
                        <w:lang w:val="es-CO" w:eastAsia="en-US"/>
                      </w:rPr>
                    </m:ctrlPr>
                  </m:sSubPr>
                  <m:e>
                    <m:r>
                      <m:rPr>
                        <m:sty m:val="p"/>
                      </m:rPr>
                      <w:rPr>
                        <w:rFonts w:ascii="Cambria Math" w:eastAsia="Calibri" w:hAnsi="Cambria Math" w:cs="Arial"/>
                        <w:sz w:val="22"/>
                        <w:szCs w:val="22"/>
                        <w:lang w:val="es-CO" w:eastAsia="en-US"/>
                      </w:rPr>
                      <m:t>VP</m:t>
                    </m:r>
                    <m:d>
                      <m:dPr>
                        <m:ctrlPr>
                          <w:rPr>
                            <w:rFonts w:ascii="Cambria Math" w:eastAsia="Calibri" w:hAnsi="Cambria Math" w:cs="Arial"/>
                            <w:sz w:val="22"/>
                            <w:szCs w:val="22"/>
                            <w:lang w:val="es-CO" w:eastAsia="en-US"/>
                          </w:rPr>
                        </m:ctrlPr>
                      </m:dPr>
                      <m:e>
                        <m:r>
                          <m:rPr>
                            <m:sty m:val="p"/>
                          </m:rPr>
                          <w:rPr>
                            <w:rFonts w:ascii="Cambria Math" w:eastAsia="Calibri" w:hAnsi="Cambria Math" w:cs="Arial"/>
                            <w:sz w:val="22"/>
                            <w:szCs w:val="22"/>
                            <w:lang w:val="es-CO" w:eastAsia="en-US"/>
                          </w:rPr>
                          <m:t>IPNI</m:t>
                        </m:r>
                      </m:e>
                    </m:d>
                  </m:e>
                  <m:sub>
                    <m:r>
                      <m:rPr>
                        <m:sty m:val="p"/>
                      </m:rPr>
                      <w:rPr>
                        <w:rFonts w:ascii="Cambria Math" w:eastAsia="Calibri" w:hAnsi="Cambria Math" w:cs="Arial"/>
                        <w:sz w:val="22"/>
                        <w:szCs w:val="22"/>
                        <w:lang w:val="es-CO" w:eastAsia="en-US"/>
                      </w:rPr>
                      <m:t>kl</m:t>
                    </m:r>
                  </m:sub>
                </m:sSub>
                <m:r>
                  <m:rPr>
                    <m:sty m:val="p"/>
                  </m:rPr>
                  <w:rPr>
                    <w:rFonts w:ascii="Cambria Math" w:eastAsia="Calibri" w:hAnsi="Cambria Math" w:cs="Arial"/>
                    <w:sz w:val="22"/>
                    <w:szCs w:val="22"/>
                    <w:lang w:val="es-CO" w:eastAsia="en-US"/>
                  </w:rPr>
                  <m:t>=</m:t>
                </m:r>
                <m:nary>
                  <m:naryPr>
                    <m:chr m:val="∑"/>
                    <m:limLoc m:val="undOvr"/>
                    <m:ctrlPr>
                      <w:rPr>
                        <w:rFonts w:ascii="Cambria Math" w:eastAsia="Calibri" w:hAnsi="Cambria Math" w:cs="Arial"/>
                        <w:sz w:val="22"/>
                        <w:szCs w:val="22"/>
                        <w:lang w:val="es-CO" w:eastAsia="en-US"/>
                      </w:rPr>
                    </m:ctrlPr>
                  </m:naryPr>
                  <m:sub>
                    <m:r>
                      <m:rPr>
                        <m:sty m:val="p"/>
                      </m:rPr>
                      <w:rPr>
                        <w:rFonts w:ascii="Cambria Math" w:eastAsia="Calibri" w:hAnsi="Cambria Math" w:cs="Arial"/>
                        <w:sz w:val="22"/>
                        <w:szCs w:val="22"/>
                        <w:lang w:val="es-CO" w:eastAsia="en-US"/>
                      </w:rPr>
                      <m:t>n=1</m:t>
                    </m:r>
                  </m:sub>
                  <m:sup>
                    <m:r>
                      <m:rPr>
                        <m:sty m:val="p"/>
                      </m:rPr>
                      <w:rPr>
                        <w:rFonts w:ascii="Cambria Math" w:eastAsia="Calibri" w:hAnsi="Cambria Math" w:cs="Arial"/>
                        <w:sz w:val="22"/>
                        <w:szCs w:val="22"/>
                        <w:lang w:val="es-CO" w:eastAsia="en-US"/>
                      </w:rPr>
                      <m:t>5</m:t>
                    </m:r>
                  </m:sup>
                  <m:e>
                    <m:f>
                      <m:fPr>
                        <m:ctrlPr>
                          <w:rPr>
                            <w:rFonts w:ascii="Cambria Math" w:eastAsia="Calibri" w:hAnsi="Cambria Math" w:cs="Arial"/>
                            <w:sz w:val="22"/>
                            <w:szCs w:val="22"/>
                            <w:lang w:val="es-CO" w:eastAsia="en-US"/>
                          </w:rPr>
                        </m:ctrlPr>
                      </m:fPr>
                      <m:num>
                        <m:nary>
                          <m:naryPr>
                            <m:chr m:val="∑"/>
                            <m:limLoc m:val="undOvr"/>
                            <m:ctrlPr>
                              <w:rPr>
                                <w:rFonts w:ascii="Cambria Math" w:hAnsi="Cambria Math" w:cs="Arial"/>
                                <w:sz w:val="22"/>
                                <w:szCs w:val="22"/>
                                <w:lang w:val="es-CO" w:eastAsia="en-US"/>
                              </w:rPr>
                            </m:ctrlPr>
                          </m:naryPr>
                          <m:sub>
                            <m:r>
                              <m:rPr>
                                <m:sty m:val="p"/>
                              </m:rPr>
                              <w:rPr>
                                <w:rFonts w:ascii="Cambria Math" w:hAnsi="Cambria Math" w:cs="Arial"/>
                                <w:sz w:val="22"/>
                                <w:szCs w:val="22"/>
                                <w:lang w:val="es-CO" w:eastAsia="en-US"/>
                              </w:rPr>
                              <m:t>i=1</m:t>
                            </m:r>
                          </m:sub>
                          <m:sup>
                            <m:r>
                              <m:rPr>
                                <m:sty m:val="p"/>
                              </m:rPr>
                              <w:rPr>
                                <w:rFonts w:ascii="Cambria Math" w:hAnsi="Cambria Math" w:cs="Arial"/>
                                <w:sz w:val="22"/>
                                <w:szCs w:val="22"/>
                                <w:lang w:val="es-CO" w:eastAsia="en-US"/>
                              </w:rPr>
                              <m:t>NR</m:t>
                            </m:r>
                          </m:sup>
                          <m:e>
                            <m:r>
                              <m:rPr>
                                <m:sty m:val="p"/>
                              </m:rPr>
                              <w:rPr>
                                <w:rFonts w:ascii="Cambria Math" w:hAnsi="Cambria Math" w:cs="Arial"/>
                                <w:sz w:val="22"/>
                                <w:szCs w:val="22"/>
                                <w:lang w:val="es-CO" w:eastAsia="en-US"/>
                              </w:rPr>
                              <m:t>(</m:t>
                            </m:r>
                            <m:sSub>
                              <m:sSubPr>
                                <m:ctrlPr>
                                  <w:rPr>
                                    <w:rFonts w:ascii="Cambria Math" w:hAnsi="Cambria Math" w:cs="Arial"/>
                                    <w:sz w:val="22"/>
                                    <w:szCs w:val="22"/>
                                    <w:lang w:val="es-CO" w:eastAsia="en-US"/>
                                  </w:rPr>
                                </m:ctrlPr>
                              </m:sSubPr>
                              <m:e>
                                <m:r>
                                  <m:rPr>
                                    <m:sty m:val="p"/>
                                  </m:rPr>
                                  <w:rPr>
                                    <w:rFonts w:ascii="Cambria Math" w:hAnsi="Cambria Math" w:cs="Arial"/>
                                    <w:sz w:val="22"/>
                                    <w:szCs w:val="22"/>
                                    <w:lang w:val="es-CO" w:eastAsia="en-US"/>
                                  </w:rPr>
                                  <m:t>QUCPNI</m:t>
                                </m:r>
                              </m:e>
                              <m:sub>
                                <m:r>
                                  <m:rPr>
                                    <m:sty m:val="p"/>
                                  </m:rPr>
                                  <w:rPr>
                                    <w:rFonts w:ascii="Cambria Math" w:hAnsi="Cambria Math" w:cs="Arial"/>
                                    <w:sz w:val="22"/>
                                    <w:szCs w:val="22"/>
                                    <w:lang w:val="es-CO" w:eastAsia="en-US"/>
                                  </w:rPr>
                                  <m:t>ik</m:t>
                                </m:r>
                              </m:sub>
                            </m:sSub>
                          </m:e>
                        </m:nary>
                        <m:r>
                          <m:rPr>
                            <m:sty m:val="p"/>
                          </m:rPr>
                          <w:rPr>
                            <w:rFonts w:ascii="Cambria Math" w:hAnsi="Cambria Math" w:cs="Arial"/>
                            <w:sz w:val="22"/>
                            <w:szCs w:val="22"/>
                            <w:lang w:val="es-CO" w:eastAsia="en-US"/>
                          </w:rPr>
                          <m:t>×</m:t>
                        </m:r>
                        <m:sSub>
                          <m:sSubPr>
                            <m:ctrlPr>
                              <w:rPr>
                                <w:rFonts w:ascii="Cambria Math" w:hAnsi="Cambria Math" w:cs="Arial"/>
                                <w:sz w:val="22"/>
                                <w:szCs w:val="22"/>
                                <w:lang w:val="es-CO" w:eastAsia="en-US"/>
                              </w:rPr>
                            </m:ctrlPr>
                          </m:sSubPr>
                          <m:e>
                            <m:r>
                              <m:rPr>
                                <m:sty m:val="p"/>
                              </m:rPr>
                              <w:rPr>
                                <w:rFonts w:ascii="Cambria Math" w:hAnsi="Cambria Math" w:cs="Arial"/>
                                <w:sz w:val="22"/>
                                <w:szCs w:val="22"/>
                                <w:lang w:val="es-CO" w:eastAsia="en-US"/>
                              </w:rPr>
                              <m:t>PUCPNI</m:t>
                            </m:r>
                          </m:e>
                          <m:sub>
                            <m:r>
                              <m:rPr>
                                <m:sty m:val="p"/>
                              </m:rPr>
                              <w:rPr>
                                <w:rFonts w:ascii="Cambria Math" w:hAnsi="Cambria Math" w:cs="Arial"/>
                                <w:sz w:val="22"/>
                                <w:szCs w:val="22"/>
                                <w:lang w:val="es-CO" w:eastAsia="en-US"/>
                              </w:rPr>
                              <m:t>i</m:t>
                            </m:r>
                          </m:sub>
                        </m:sSub>
                        <m:r>
                          <m:rPr>
                            <m:sty m:val="p"/>
                          </m:rPr>
                          <w:rPr>
                            <w:rFonts w:ascii="Cambria Math" w:hAnsi="Cambria Math" w:cs="Arial"/>
                            <w:sz w:val="22"/>
                            <w:szCs w:val="22"/>
                            <w:lang w:val="es-CO" w:eastAsia="en-US"/>
                          </w:rPr>
                          <m:t>)</m:t>
                        </m:r>
                      </m:num>
                      <m:den>
                        <m:sSup>
                          <m:sSupPr>
                            <m:ctrlPr>
                              <w:rPr>
                                <w:rFonts w:ascii="Cambria Math" w:eastAsia="Calibri" w:hAnsi="Cambria Math" w:cs="Arial"/>
                                <w:sz w:val="22"/>
                                <w:szCs w:val="22"/>
                                <w:lang w:val="es-CO" w:eastAsia="en-US"/>
                              </w:rPr>
                            </m:ctrlPr>
                          </m:sSupPr>
                          <m:e>
                            <m:r>
                              <m:rPr>
                                <m:sty m:val="p"/>
                              </m:rPr>
                              <w:rPr>
                                <w:rFonts w:ascii="Cambria Math" w:eastAsia="Calibri" w:hAnsi="Cambria Math" w:cs="Arial"/>
                                <w:sz w:val="22"/>
                                <w:szCs w:val="22"/>
                                <w:lang w:val="es-CO" w:eastAsia="en-US"/>
                              </w:rPr>
                              <m:t>(1+r)</m:t>
                            </m:r>
                          </m:e>
                          <m:sup>
                            <m:r>
                              <m:rPr>
                                <m:sty m:val="p"/>
                              </m:rPr>
                              <w:rPr>
                                <w:rFonts w:ascii="Cambria Math" w:eastAsia="Calibri" w:hAnsi="Cambria Math" w:cs="Arial"/>
                                <w:sz w:val="22"/>
                                <w:szCs w:val="22"/>
                                <w:lang w:val="es-CO" w:eastAsia="en-US"/>
                              </w:rPr>
                              <m:t>n</m:t>
                            </m:r>
                          </m:sup>
                        </m:sSup>
                      </m:den>
                    </m:f>
                  </m:e>
                </m:nary>
              </m:oMath>
            </m:oMathPara>
          </w:p>
          <w:p w:rsidR="000B65DE" w:rsidRPr="000B65DE" w:rsidRDefault="000B65DE" w:rsidP="000B65DE">
            <w:pPr>
              <w:tabs>
                <w:tab w:val="left" w:pos="426"/>
              </w:tabs>
              <w:spacing w:after="200" w:line="276" w:lineRule="auto"/>
              <w:ind w:left="0"/>
              <w:jc w:val="both"/>
              <w:rPr>
                <w:rFonts w:ascii="Bookman Old Style" w:hAnsi="Bookman Old Style" w:cs="Arial"/>
                <w:lang w:val="es-CO" w:eastAsia="en-US"/>
              </w:rPr>
            </w:pPr>
            <w:r w:rsidRPr="000B65DE">
              <w:rPr>
                <w:rFonts w:ascii="Bookman Old Style" w:hAnsi="Bookman Old Style" w:cs="Arial"/>
                <w:lang w:val="es-CO" w:eastAsia="en-US"/>
              </w:rPr>
              <w:t>Donde:</w:t>
            </w:r>
          </w:p>
          <w:tbl>
            <w:tblPr>
              <w:tblW w:w="6946" w:type="dxa"/>
              <w:tblInd w:w="60" w:type="dxa"/>
              <w:tblLayout w:type="fixed"/>
              <w:tblLook w:val="04A0" w:firstRow="1" w:lastRow="0" w:firstColumn="1" w:lastColumn="0" w:noHBand="0" w:noVBand="1"/>
            </w:tblPr>
            <w:tblGrid>
              <w:gridCol w:w="1417"/>
              <w:gridCol w:w="5529"/>
            </w:tblGrid>
            <w:tr w:rsidR="000B65DE" w:rsidRPr="000B65DE" w:rsidTr="00382E27">
              <w:tc>
                <w:tcPr>
                  <w:tcW w:w="1417" w:type="dxa"/>
                </w:tcPr>
                <w:p w:rsidR="000B65DE" w:rsidRPr="000B65DE" w:rsidRDefault="000B65DE" w:rsidP="000B65DE">
                  <w:pPr>
                    <w:tabs>
                      <w:tab w:val="left" w:pos="426"/>
                    </w:tabs>
                    <w:spacing w:after="200" w:line="276" w:lineRule="auto"/>
                    <w:ind w:left="0"/>
                    <w:jc w:val="both"/>
                    <w:rPr>
                      <w:rFonts w:ascii="Bookman Old Style" w:hAnsi="Bookman Old Style" w:cs="Arial"/>
                      <w:lang w:val="es-CO" w:eastAsia="en-US"/>
                    </w:rPr>
                  </w:pPr>
                  <w:r w:rsidRPr="000B65DE">
                    <w:rPr>
                      <w:rFonts w:ascii="Bookman Old Style" w:hAnsi="Bookman Old Style" w:cs="Arial"/>
                      <w:lang w:val="es-CO" w:eastAsia="en-US"/>
                    </w:rPr>
                    <w:t>NR</w:t>
                  </w:r>
                </w:p>
              </w:tc>
              <w:tc>
                <w:tcPr>
                  <w:tcW w:w="5529" w:type="dxa"/>
                </w:tcPr>
                <w:p w:rsidR="000B65DE" w:rsidRPr="000B65DE" w:rsidRDefault="000B65DE" w:rsidP="000B65DE">
                  <w:pPr>
                    <w:tabs>
                      <w:tab w:val="left" w:pos="426"/>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Número total de QUCPNI reportadas, proyectadas a realizarse en el mercado k en el nuevo Período Tarifario.</w:t>
                  </w:r>
                </w:p>
              </w:tc>
            </w:tr>
            <w:tr w:rsidR="000B65DE" w:rsidRPr="000B65DE" w:rsidTr="00382E27">
              <w:tc>
                <w:tcPr>
                  <w:tcW w:w="1417" w:type="dxa"/>
                </w:tcPr>
                <w:p w:rsidR="000B65DE" w:rsidRPr="0092172B" w:rsidRDefault="00364E59" w:rsidP="000B65DE">
                  <w:pPr>
                    <w:tabs>
                      <w:tab w:val="left" w:pos="426"/>
                    </w:tabs>
                    <w:spacing w:after="200" w:line="276" w:lineRule="auto"/>
                    <w:ind w:left="0"/>
                    <w:jc w:val="both"/>
                    <w:rPr>
                      <w:rFonts w:ascii="Bookman Old Style" w:hAnsi="Bookman Old Style" w:cs="Arial"/>
                      <w:lang w:val="es-CO" w:eastAsia="en-US"/>
                    </w:rPr>
                  </w:pPr>
                  <m:oMathPara>
                    <m:oMathParaPr>
                      <m:jc m:val="left"/>
                    </m:oMathParaPr>
                    <m:oMath>
                      <m:sSub>
                        <m:sSubPr>
                          <m:ctrlPr>
                            <w:rPr>
                              <w:rFonts w:ascii="Cambria Math" w:eastAsia="Calibri" w:hAnsi="Arial" w:cs="Arial"/>
                              <w:lang w:val="es-CO" w:eastAsia="en-US"/>
                            </w:rPr>
                          </m:ctrlPr>
                        </m:sSubPr>
                        <m:e>
                          <m:r>
                            <m:rPr>
                              <m:sty m:val="p"/>
                            </m:rPr>
                            <w:rPr>
                              <w:rFonts w:ascii="Cambria Math" w:eastAsia="Calibri" w:hAnsi="Cambria Math" w:cs="Arial"/>
                              <w:lang w:val="es-CO" w:eastAsia="en-US"/>
                            </w:rPr>
                            <m:t>UCPNI</m:t>
                          </m:r>
                        </m:e>
                        <m:sub>
                          <m:r>
                            <m:rPr>
                              <m:sty m:val="p"/>
                            </m:rPr>
                            <w:rPr>
                              <w:rFonts w:ascii="Cambria Math" w:eastAsia="Calibri" w:hAnsi="Arial" w:cs="Arial"/>
                              <w:lang w:val="es-CO" w:eastAsia="en-US"/>
                            </w:rPr>
                            <m:t>i</m:t>
                          </m:r>
                        </m:sub>
                      </m:sSub>
                    </m:oMath>
                  </m:oMathPara>
                </w:p>
              </w:tc>
              <w:tc>
                <w:tcPr>
                  <w:tcW w:w="5529" w:type="dxa"/>
                </w:tcPr>
                <w:p w:rsidR="000B65DE" w:rsidRPr="000B65DE" w:rsidRDefault="000B65DE" w:rsidP="000B65DE">
                  <w:pPr>
                    <w:tabs>
                      <w:tab w:val="left" w:pos="426"/>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 xml:space="preserve">Unidad Constructiva del Programa de Nuevas Inversiones a ejecutar en el nuevo Período Tarifario en el(los) Municipio(s) Nuevo(s)  y que están relacionadas en el Anexo 6. Unidad que va a formar parte del Mercado Relevante de Distribución para el Siguiente Período Tarifario k que ha sido conformado mediante la adhesión de Mercados existentes de Distribución y la adhesión de Municipio(s) Nuevo(s). </w:t>
                  </w:r>
                </w:p>
              </w:tc>
            </w:tr>
            <w:tr w:rsidR="000B65DE" w:rsidRPr="000B65DE" w:rsidTr="00382E27">
              <w:tc>
                <w:tcPr>
                  <w:tcW w:w="1417" w:type="dxa"/>
                </w:tcPr>
                <w:p w:rsidR="000B65DE" w:rsidRPr="0092172B" w:rsidRDefault="00364E59" w:rsidP="000B65DE">
                  <w:pPr>
                    <w:tabs>
                      <w:tab w:val="left" w:pos="426"/>
                    </w:tabs>
                    <w:spacing w:after="200" w:line="276" w:lineRule="auto"/>
                    <w:ind w:left="0"/>
                    <w:jc w:val="both"/>
                    <w:rPr>
                      <w:rFonts w:ascii="Bookman Old Style" w:hAnsi="Bookman Old Style" w:cs="Arial"/>
                      <w:lang w:val="es-CO" w:eastAsia="en-US"/>
                    </w:rPr>
                  </w:pPr>
                  <m:oMathPara>
                    <m:oMathParaPr>
                      <m:jc m:val="left"/>
                    </m:oMathParaPr>
                    <m:oMath>
                      <m:sSub>
                        <m:sSubPr>
                          <m:ctrlPr>
                            <w:rPr>
                              <w:rFonts w:ascii="Cambria Math" w:eastAsia="Calibri" w:hAnsi="Arial" w:cs="Arial"/>
                              <w:lang w:val="es-CO" w:eastAsia="en-US"/>
                            </w:rPr>
                          </m:ctrlPr>
                        </m:sSubPr>
                        <m:e>
                          <m:r>
                            <m:rPr>
                              <m:sty m:val="p"/>
                            </m:rPr>
                            <w:rPr>
                              <w:rFonts w:ascii="Cambria Math" w:eastAsia="Calibri" w:hAnsi="Arial" w:cs="Arial"/>
                              <w:lang w:val="es-CO" w:eastAsia="en-US"/>
                            </w:rPr>
                            <m:t>Q</m:t>
                          </m:r>
                          <m:r>
                            <m:rPr>
                              <m:sty m:val="p"/>
                            </m:rPr>
                            <w:rPr>
                              <w:rFonts w:ascii="Cambria Math" w:eastAsia="Calibri" w:hAnsi="Cambria Math" w:cs="Arial"/>
                              <w:lang w:val="es-CO" w:eastAsia="en-US"/>
                            </w:rPr>
                            <m:t>UCPNI</m:t>
                          </m:r>
                        </m:e>
                        <m:sub>
                          <m:r>
                            <m:rPr>
                              <m:sty m:val="p"/>
                            </m:rPr>
                            <w:rPr>
                              <w:rFonts w:ascii="Cambria Math" w:eastAsia="Calibri" w:hAnsi="Arial" w:cs="Arial"/>
                              <w:lang w:val="es-CO" w:eastAsia="en-US"/>
                            </w:rPr>
                            <m:t>ik</m:t>
                          </m:r>
                        </m:sub>
                      </m:sSub>
                    </m:oMath>
                  </m:oMathPara>
                </w:p>
              </w:tc>
              <w:tc>
                <w:tcPr>
                  <w:tcW w:w="5529" w:type="dxa"/>
                </w:tcPr>
                <w:p w:rsidR="000B65DE" w:rsidRPr="000B65DE" w:rsidRDefault="000B65DE" w:rsidP="00A179EE">
                  <w:pPr>
                    <w:tabs>
                      <w:tab w:val="left" w:pos="426"/>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 xml:space="preserve">Cantidad de la Unidad Constructiva </w:t>
                  </w:r>
                  <w:r w:rsidRPr="000B65DE">
                    <w:rPr>
                      <w:rFonts w:ascii="Cambria Math" w:eastAsia="Calibri" w:hAnsi="Arial" w:cs="Arial"/>
                      <w:lang w:val="es-CO" w:eastAsia="en-US"/>
                    </w:rPr>
                    <w:br/>
                  </w:r>
                  <m:oMath>
                    <m:sSub>
                      <m:sSubPr>
                        <m:ctrlPr>
                          <w:rPr>
                            <w:rFonts w:ascii="Cambria Math" w:eastAsia="Calibri" w:hAnsi="Arial" w:cs="Arial"/>
                            <w:lang w:val="es-CO" w:eastAsia="en-US"/>
                          </w:rPr>
                        </m:ctrlPr>
                      </m:sSubPr>
                      <m:e>
                        <m:r>
                          <m:rPr>
                            <m:sty m:val="p"/>
                          </m:rPr>
                          <w:rPr>
                            <w:rFonts w:ascii="Cambria Math" w:eastAsia="Calibri" w:hAnsi="Cambria Math" w:cs="Arial"/>
                            <w:lang w:val="es-CO" w:eastAsia="en-US"/>
                          </w:rPr>
                          <m:t>UCPNI</m:t>
                        </m:r>
                      </m:e>
                      <m:sub>
                        <m:r>
                          <m:rPr>
                            <m:sty m:val="p"/>
                          </m:rPr>
                          <w:rPr>
                            <w:rFonts w:ascii="Cambria Math" w:eastAsia="Calibri" w:hAnsi="Arial" w:cs="Arial"/>
                            <w:lang w:val="es-CO" w:eastAsia="en-US"/>
                          </w:rPr>
                          <m:t>i</m:t>
                        </m:r>
                      </m:sub>
                    </m:sSub>
                  </m:oMath>
                  <w:r w:rsidRPr="000B65DE">
                    <w:rPr>
                      <w:rFonts w:ascii="Bookman Old Style" w:hAnsi="Bookman Old Style" w:cs="Arial"/>
                      <w:lang w:val="es-CO" w:eastAsia="en-US"/>
                    </w:rPr>
                    <w:t xml:space="preserve"> reportada para el(los) Municipio(s) Nuevo(s) que van a formar parte del Mercado Relevante de Distribución para el Siguiente Período Tarifario k y que ha sido conformado mediante la agregación de Mercados </w:t>
                  </w:r>
                  <w:r w:rsidR="00A179EE">
                    <w:rPr>
                      <w:rFonts w:ascii="Bookman Old Style" w:hAnsi="Bookman Old Style" w:cs="Arial"/>
                      <w:lang w:val="es-CO" w:eastAsia="en-US"/>
                    </w:rPr>
                    <w:t>E</w:t>
                  </w:r>
                  <w:r w:rsidRPr="000B65DE">
                    <w:rPr>
                      <w:rFonts w:ascii="Bookman Old Style" w:hAnsi="Bookman Old Style" w:cs="Arial"/>
                      <w:lang w:val="es-CO" w:eastAsia="en-US"/>
                    </w:rPr>
                    <w:t>xistentes de Distribución y Municipio (s) Nuevo (s).</w:t>
                  </w:r>
                </w:p>
              </w:tc>
            </w:tr>
            <w:tr w:rsidR="000B65DE" w:rsidRPr="000B65DE" w:rsidTr="00382E27">
              <w:tc>
                <w:tcPr>
                  <w:tcW w:w="1417" w:type="dxa"/>
                </w:tcPr>
                <w:p w:rsidR="000B65DE" w:rsidRPr="0092172B" w:rsidRDefault="00364E59" w:rsidP="000B65DE">
                  <w:pPr>
                    <w:tabs>
                      <w:tab w:val="left" w:pos="426"/>
                    </w:tabs>
                    <w:spacing w:after="200" w:line="276" w:lineRule="auto"/>
                    <w:ind w:left="0"/>
                    <w:jc w:val="both"/>
                    <w:rPr>
                      <w:rFonts w:ascii="Bookman Old Style" w:hAnsi="Bookman Old Style" w:cs="Arial"/>
                      <w:lang w:val="es-CO" w:eastAsia="en-US"/>
                    </w:rPr>
                  </w:pPr>
                  <m:oMathPara>
                    <m:oMathParaPr>
                      <m:jc m:val="left"/>
                    </m:oMathParaPr>
                    <m:oMath>
                      <m:sSub>
                        <m:sSubPr>
                          <m:ctrlPr>
                            <w:rPr>
                              <w:rFonts w:ascii="Cambria Math" w:eastAsia="Calibri" w:hAnsi="Arial" w:cs="Arial"/>
                              <w:lang w:val="es-CO" w:eastAsia="en-US"/>
                            </w:rPr>
                          </m:ctrlPr>
                        </m:sSubPr>
                        <m:e>
                          <m:r>
                            <m:rPr>
                              <m:sty m:val="p"/>
                            </m:rPr>
                            <w:rPr>
                              <w:rFonts w:ascii="Cambria Math" w:eastAsia="Calibri" w:hAnsi="Cambria Math" w:cs="Arial"/>
                              <w:lang w:val="es-CO" w:eastAsia="en-US"/>
                            </w:rPr>
                            <m:t>PUCPNI</m:t>
                          </m:r>
                        </m:e>
                        <m:sub>
                          <m:r>
                            <m:rPr>
                              <m:sty m:val="p"/>
                            </m:rPr>
                            <w:rPr>
                              <w:rFonts w:ascii="Cambria Math" w:eastAsia="Calibri" w:hAnsi="Cambria Math" w:cs="Arial"/>
                              <w:lang w:val="es-CO" w:eastAsia="en-US"/>
                            </w:rPr>
                            <m:t>i</m:t>
                          </m:r>
                        </m:sub>
                      </m:sSub>
                    </m:oMath>
                  </m:oMathPara>
                </w:p>
              </w:tc>
              <w:tc>
                <w:tcPr>
                  <w:tcW w:w="5529" w:type="dxa"/>
                </w:tcPr>
                <w:p w:rsidR="000B65DE" w:rsidRPr="000B65DE" w:rsidRDefault="000B65DE" w:rsidP="000B65DE">
                  <w:pPr>
                    <w:tabs>
                      <w:tab w:val="left" w:pos="426"/>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 xml:space="preserve">Costo unitario eficiente definido por la Comisión para la Unidad Constructiva </w:t>
                  </w:r>
                  <m:oMath>
                    <m:sSub>
                      <m:sSubPr>
                        <m:ctrlPr>
                          <w:rPr>
                            <w:rFonts w:ascii="Cambria Math" w:eastAsia="Calibri" w:hAnsi="Arial" w:cs="Arial"/>
                            <w:lang w:val="es-CO" w:eastAsia="en-US"/>
                          </w:rPr>
                        </m:ctrlPr>
                      </m:sSubPr>
                      <m:e>
                        <m:r>
                          <m:rPr>
                            <m:sty m:val="p"/>
                          </m:rPr>
                          <w:rPr>
                            <w:rFonts w:ascii="Cambria Math" w:eastAsia="Calibri" w:hAnsi="Cambria Math" w:cs="Arial"/>
                            <w:lang w:val="es-CO" w:eastAsia="en-US"/>
                          </w:rPr>
                          <m:t>UCPNI</m:t>
                        </m:r>
                      </m:e>
                      <m:sub>
                        <m:r>
                          <m:rPr>
                            <m:sty m:val="p"/>
                          </m:rPr>
                          <w:rPr>
                            <w:rFonts w:ascii="Cambria Math" w:eastAsia="Calibri" w:hAnsi="Arial" w:cs="Arial"/>
                            <w:lang w:val="es-CO" w:eastAsia="en-US"/>
                          </w:rPr>
                          <m:t>i</m:t>
                        </m:r>
                      </m:sub>
                    </m:sSub>
                  </m:oMath>
                  <w:r w:rsidRPr="000B65DE">
                    <w:rPr>
                      <w:rFonts w:ascii="Bookman Old Style" w:hAnsi="Bookman Old Style" w:cs="Arial"/>
                      <w:lang w:val="es-CO" w:eastAsia="en-US"/>
                    </w:rPr>
                    <w:t xml:space="preserve"> relacionado en el </w:t>
                  </w:r>
                  <w:r w:rsidR="00AF6018" w:rsidRPr="000B65DE">
                    <w:rPr>
                      <w:rFonts w:ascii="Bookman Old Style" w:hAnsi="Bookman Old Style" w:cs="Arial"/>
                      <w:lang w:val="es-CO" w:eastAsia="en-US"/>
                    </w:rPr>
                    <w:fldChar w:fldCharType="begin"/>
                  </w:r>
                  <w:r w:rsidRPr="000B65DE">
                    <w:rPr>
                      <w:rFonts w:ascii="Bookman Old Style" w:hAnsi="Bookman Old Style" w:cs="Arial"/>
                      <w:lang w:val="es-CO" w:eastAsia="en-US"/>
                    </w:rPr>
                    <w:instrText xml:space="preserve"> REF _Ref332815662 \r \h </w:instrText>
                  </w:r>
                  <w:r w:rsidR="00AF6018" w:rsidRPr="000B65DE">
                    <w:rPr>
                      <w:rFonts w:ascii="Bookman Old Style" w:hAnsi="Bookman Old Style" w:cs="Arial"/>
                      <w:lang w:val="es-CO" w:eastAsia="en-US"/>
                    </w:rPr>
                  </w:r>
                  <w:r w:rsidR="00AF6018" w:rsidRPr="000B65DE">
                    <w:rPr>
                      <w:rFonts w:ascii="Bookman Old Style" w:hAnsi="Bookman Old Style" w:cs="Arial"/>
                      <w:lang w:val="es-CO" w:eastAsia="en-US"/>
                    </w:rPr>
                    <w:fldChar w:fldCharType="separate"/>
                  </w:r>
                  <w:r w:rsidR="004D5C18">
                    <w:rPr>
                      <w:rFonts w:ascii="Bookman Old Style" w:hAnsi="Bookman Old Style" w:cs="Arial"/>
                      <w:lang w:val="es-CO" w:eastAsia="en-US"/>
                    </w:rPr>
                    <w:t>ANEXO 6</w:t>
                  </w:r>
                  <w:r w:rsidR="00AF6018" w:rsidRPr="000B65DE">
                    <w:rPr>
                      <w:rFonts w:ascii="Bookman Old Style" w:hAnsi="Bookman Old Style" w:cs="Arial"/>
                      <w:lang w:val="es-CO" w:eastAsia="en-US"/>
                    </w:rPr>
                    <w:fldChar w:fldCharType="end"/>
                  </w:r>
                  <w:r w:rsidRPr="000B65DE">
                    <w:rPr>
                      <w:rFonts w:ascii="Bookman Old Style" w:hAnsi="Bookman Old Style" w:cs="Arial"/>
                      <w:lang w:val="es-CO" w:eastAsia="en-US"/>
                    </w:rPr>
                    <w:t xml:space="preserve"> y que se debe ajustar a la Fecha Base.</w:t>
                  </w:r>
                </w:p>
              </w:tc>
            </w:tr>
            <w:tr w:rsidR="000B65DE" w:rsidRPr="000B65DE" w:rsidTr="00382E27">
              <w:tc>
                <w:tcPr>
                  <w:tcW w:w="1417" w:type="dxa"/>
                </w:tcPr>
                <w:p w:rsidR="000B65DE" w:rsidRPr="000B65DE" w:rsidRDefault="000B65DE" w:rsidP="000B65DE">
                  <w:pPr>
                    <w:tabs>
                      <w:tab w:val="left" w:pos="33"/>
                    </w:tabs>
                    <w:spacing w:before="120" w:after="200" w:line="276" w:lineRule="auto"/>
                    <w:ind w:left="0"/>
                    <w:jc w:val="both"/>
                    <w:rPr>
                      <w:rFonts w:ascii="Bookman Old Style" w:eastAsia="Calibri" w:hAnsi="Bookman Old Style" w:cs="Arial"/>
                      <w:lang w:val="es-CO" w:eastAsia="en-US"/>
                    </w:rPr>
                  </w:pPr>
                  <w:r w:rsidRPr="000B65DE">
                    <w:rPr>
                      <w:rFonts w:ascii="Bookman Old Style" w:eastAsia="Calibri" w:hAnsi="Bookman Old Style" w:cs="Arial"/>
                      <w:lang w:val="es-CO" w:eastAsia="en-US"/>
                    </w:rPr>
                    <w:lastRenderedPageBreak/>
                    <w:t>r</w:t>
                  </w:r>
                </w:p>
              </w:tc>
              <w:tc>
                <w:tcPr>
                  <w:tcW w:w="5529" w:type="dxa"/>
                </w:tcPr>
                <w:p w:rsidR="000B65DE" w:rsidRPr="000B65DE" w:rsidRDefault="000B65DE" w:rsidP="000B65DE">
                  <w:pPr>
                    <w:tabs>
                      <w:tab w:val="left" w:pos="426"/>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Tasa de Retorno reconocida para la metodología de Precio Máximo.</w:t>
                  </w:r>
                </w:p>
              </w:tc>
            </w:tr>
            <w:tr w:rsidR="000B65DE" w:rsidRPr="000B65DE" w:rsidTr="00382E27">
              <w:tc>
                <w:tcPr>
                  <w:tcW w:w="1417" w:type="dxa"/>
                </w:tcPr>
                <w:p w:rsidR="000B65DE" w:rsidRPr="000B65DE" w:rsidRDefault="000B65DE" w:rsidP="000B65DE">
                  <w:pPr>
                    <w:tabs>
                      <w:tab w:val="left" w:pos="33"/>
                    </w:tabs>
                    <w:spacing w:before="120" w:after="200" w:line="276" w:lineRule="auto"/>
                    <w:ind w:left="0"/>
                    <w:jc w:val="both"/>
                    <w:rPr>
                      <w:rFonts w:ascii="Bookman Old Style" w:eastAsia="Calibri" w:hAnsi="Bookman Old Style" w:cs="Arial"/>
                      <w:lang w:val="es-CO" w:eastAsia="en-US"/>
                    </w:rPr>
                  </w:pPr>
                  <w:r w:rsidRPr="000B65DE">
                    <w:rPr>
                      <w:rFonts w:ascii="Bookman Old Style" w:eastAsia="Calibri" w:hAnsi="Bookman Old Style" w:cs="Arial"/>
                      <w:lang w:val="es-CO" w:eastAsia="en-US"/>
                    </w:rPr>
                    <w:t>u</w:t>
                  </w:r>
                </w:p>
              </w:tc>
              <w:tc>
                <w:tcPr>
                  <w:tcW w:w="5529" w:type="dxa"/>
                </w:tcPr>
                <w:p w:rsidR="000B65DE" w:rsidRPr="000B65DE" w:rsidRDefault="000B65DE" w:rsidP="000B65DE">
                  <w:pPr>
                    <w:tabs>
                      <w:tab w:val="left" w:pos="426"/>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Vida útil en años, reconocida para los activos igual 20 años.</w:t>
                  </w:r>
                </w:p>
              </w:tc>
            </w:tr>
            <w:tr w:rsidR="000B65DE" w:rsidRPr="000B65DE" w:rsidTr="00382E27">
              <w:tc>
                <w:tcPr>
                  <w:tcW w:w="1417" w:type="dxa"/>
                </w:tcPr>
                <w:p w:rsidR="000B65DE" w:rsidRPr="000B65DE" w:rsidRDefault="000B65DE" w:rsidP="000B65DE">
                  <w:pPr>
                    <w:tabs>
                      <w:tab w:val="left" w:pos="33"/>
                    </w:tabs>
                    <w:spacing w:before="120" w:after="200" w:line="276" w:lineRule="auto"/>
                    <w:ind w:left="0"/>
                    <w:jc w:val="both"/>
                    <w:rPr>
                      <w:rFonts w:ascii="Bookman Old Style" w:eastAsia="Calibri" w:hAnsi="Bookman Old Style" w:cs="Arial"/>
                      <w:lang w:val="es-CO" w:eastAsia="en-US"/>
                    </w:rPr>
                  </w:pPr>
                  <w:r w:rsidRPr="000B65DE">
                    <w:rPr>
                      <w:rFonts w:ascii="Bookman Old Style" w:eastAsia="Calibri" w:hAnsi="Bookman Old Style" w:cs="Arial"/>
                      <w:lang w:val="es-CO" w:eastAsia="en-US"/>
                    </w:rPr>
                    <w:t>VP</w:t>
                  </w:r>
                </w:p>
              </w:tc>
              <w:tc>
                <w:tcPr>
                  <w:tcW w:w="5529" w:type="dxa"/>
                </w:tcPr>
                <w:p w:rsidR="000B65DE" w:rsidRPr="000B65DE" w:rsidRDefault="000B65DE" w:rsidP="000B65DE">
                  <w:pPr>
                    <w:tabs>
                      <w:tab w:val="left" w:pos="426"/>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Valor presente de las inversiones descontado a pesos de la Fecha Base.</w:t>
                  </w:r>
                </w:p>
              </w:tc>
            </w:tr>
            <w:tr w:rsidR="000B65DE" w:rsidRPr="000B65DE" w:rsidTr="00382E27">
              <w:tc>
                <w:tcPr>
                  <w:tcW w:w="1417" w:type="dxa"/>
                </w:tcPr>
                <w:p w:rsidR="000B65DE" w:rsidRPr="000B65DE" w:rsidRDefault="000B65DE" w:rsidP="000B65DE">
                  <w:pPr>
                    <w:tabs>
                      <w:tab w:val="left" w:pos="33"/>
                    </w:tabs>
                    <w:spacing w:before="120" w:after="200" w:line="276" w:lineRule="auto"/>
                    <w:ind w:left="0"/>
                    <w:jc w:val="both"/>
                    <w:rPr>
                      <w:rFonts w:ascii="Bookman Old Style" w:eastAsia="Calibri" w:hAnsi="Bookman Old Style" w:cs="Arial"/>
                      <w:lang w:val="es-CO" w:eastAsia="en-US"/>
                    </w:rPr>
                  </w:pPr>
                  <w:r w:rsidRPr="000B65DE">
                    <w:rPr>
                      <w:rFonts w:ascii="Bookman Old Style" w:eastAsia="Calibri" w:hAnsi="Bookman Old Style" w:cs="Arial"/>
                      <w:lang w:val="es-CO" w:eastAsia="en-US"/>
                    </w:rPr>
                    <w:t>n</w:t>
                  </w:r>
                </w:p>
              </w:tc>
              <w:tc>
                <w:tcPr>
                  <w:tcW w:w="5529" w:type="dxa"/>
                </w:tcPr>
                <w:p w:rsidR="000B65DE" w:rsidRPr="000B65DE" w:rsidRDefault="000B65DE" w:rsidP="000B65DE">
                  <w:pPr>
                    <w:tabs>
                      <w:tab w:val="left" w:pos="33"/>
                    </w:tabs>
                    <w:spacing w:before="120" w:after="200" w:line="276" w:lineRule="auto"/>
                    <w:ind w:left="0"/>
                    <w:jc w:val="both"/>
                    <w:rPr>
                      <w:rFonts w:ascii="Bookman Old Style" w:eastAsia="Calibri" w:hAnsi="Bookman Old Style" w:cs="Arial"/>
                      <w:lang w:val="es-CO" w:eastAsia="en-US"/>
                    </w:rPr>
                  </w:pPr>
                  <w:r w:rsidRPr="000B65DE">
                    <w:rPr>
                      <w:rFonts w:ascii="Bookman Old Style" w:eastAsia="Calibri" w:hAnsi="Bookman Old Style" w:cs="Arial"/>
                      <w:lang w:val="es-CO" w:eastAsia="en-US"/>
                    </w:rPr>
                    <w:t>Número de años de 1 a 5, correspondiente a los años en que se realiza el programa de nuevas inversiones</w:t>
                  </w:r>
                </w:p>
              </w:tc>
            </w:tr>
            <w:tr w:rsidR="000B65DE" w:rsidRPr="000B65DE" w:rsidTr="00382E27">
              <w:tc>
                <w:tcPr>
                  <w:tcW w:w="1417" w:type="dxa"/>
                </w:tcPr>
                <w:p w:rsidR="000B65DE" w:rsidRPr="000B65DE" w:rsidRDefault="000B65DE" w:rsidP="000B65DE">
                  <w:pPr>
                    <w:tabs>
                      <w:tab w:val="left" w:pos="33"/>
                    </w:tabs>
                    <w:spacing w:before="120" w:after="200" w:line="276" w:lineRule="auto"/>
                    <w:ind w:left="0"/>
                    <w:jc w:val="both"/>
                    <w:rPr>
                      <w:rFonts w:ascii="Bookman Old Style" w:eastAsia="Calibri" w:hAnsi="Bookman Old Style" w:cs="Arial"/>
                      <w:lang w:val="es-CO" w:eastAsia="en-US"/>
                    </w:rPr>
                  </w:pPr>
                  <w:r w:rsidRPr="000B65DE">
                    <w:rPr>
                      <w:rFonts w:ascii="Bookman Old Style" w:eastAsia="Calibri" w:hAnsi="Bookman Old Style" w:cs="Arial"/>
                      <w:sz w:val="22"/>
                      <w:szCs w:val="22"/>
                      <w:lang w:val="es-CO" w:eastAsia="en-US"/>
                    </w:rPr>
                    <w:t>l</w:t>
                  </w:r>
                </w:p>
              </w:tc>
              <w:tc>
                <w:tcPr>
                  <w:tcW w:w="5529" w:type="dxa"/>
                </w:tcPr>
                <w:p w:rsidR="000B65DE" w:rsidRPr="000B65DE" w:rsidRDefault="000B65DE" w:rsidP="000B65DE">
                  <w:pPr>
                    <w:tabs>
                      <w:tab w:val="left" w:pos="33"/>
                    </w:tabs>
                    <w:spacing w:before="120" w:after="200" w:line="276" w:lineRule="auto"/>
                    <w:ind w:left="0"/>
                    <w:jc w:val="both"/>
                    <w:rPr>
                      <w:rFonts w:ascii="Bookman Old Style" w:eastAsia="Calibri" w:hAnsi="Bookman Old Style" w:cs="Arial"/>
                      <w:lang w:val="es-CO" w:eastAsia="en-US"/>
                    </w:rPr>
                  </w:pPr>
                  <w:r w:rsidRPr="000B65DE">
                    <w:rPr>
                      <w:rFonts w:ascii="Bookman Old Style" w:hAnsi="Bookman Old Style" w:cs="Arial"/>
                      <w:lang w:val="es-ES_tradnl"/>
                    </w:rPr>
                    <w:t xml:space="preserve">Tipo de Red, </w:t>
                  </w:r>
                  <w:r w:rsidRPr="000B65DE">
                    <w:rPr>
                      <w:rFonts w:ascii="Bookman Old Style" w:hAnsi="Bookman Old Style"/>
                      <w:lang w:val="es-ES_tradnl"/>
                    </w:rPr>
                    <w:t>correspondiente a la Red Primaria (RP) o Red Secundaria de Distribución (RS).</w:t>
                  </w:r>
                </w:p>
              </w:tc>
            </w:tr>
          </w:tbl>
          <w:p w:rsidR="000B65DE" w:rsidRPr="000B65DE" w:rsidRDefault="000B65DE" w:rsidP="000B65DE">
            <w:pPr>
              <w:tabs>
                <w:tab w:val="left" w:pos="426"/>
              </w:tabs>
              <w:spacing w:after="200"/>
              <w:ind w:left="0"/>
              <w:jc w:val="both"/>
              <w:rPr>
                <w:rFonts w:ascii="Bookman Old Style" w:hAnsi="Bookman Old Style" w:cs="Arial"/>
                <w:lang w:eastAsia="en-US"/>
              </w:rPr>
            </w:pPr>
          </w:p>
        </w:tc>
      </w:tr>
    </w:tbl>
    <w:p w:rsidR="000B65DE" w:rsidRPr="000B65DE" w:rsidRDefault="000B65DE" w:rsidP="000B65DE">
      <w:pPr>
        <w:ind w:left="454"/>
        <w:contextualSpacing/>
        <w:jc w:val="both"/>
        <w:rPr>
          <w:rFonts w:ascii="Bookman Old Style" w:hAnsi="Bookman Old Style"/>
          <w:b/>
          <w:lang w:val="es-ES_tradnl"/>
        </w:rPr>
      </w:pPr>
    </w:p>
    <w:p w:rsidR="000B65DE" w:rsidRPr="000B65DE" w:rsidRDefault="000B65DE" w:rsidP="008F4D9F">
      <w:pPr>
        <w:numPr>
          <w:ilvl w:val="2"/>
          <w:numId w:val="16"/>
        </w:numPr>
        <w:overflowPunct w:val="0"/>
        <w:autoSpaceDE w:val="0"/>
        <w:autoSpaceDN w:val="0"/>
        <w:adjustRightInd w:val="0"/>
        <w:ind w:left="851" w:hanging="851"/>
        <w:jc w:val="both"/>
        <w:textAlignment w:val="baseline"/>
        <w:outlineLvl w:val="1"/>
        <w:rPr>
          <w:rFonts w:ascii="Bookman Old Style" w:hAnsi="Bookman Old Style"/>
          <w:b/>
          <w:bCs/>
          <w:szCs w:val="20"/>
          <w:lang w:val="es-CO"/>
        </w:rPr>
      </w:pPr>
      <w:bookmarkStart w:id="17" w:name="_Ref289671930"/>
      <w:bookmarkStart w:id="18" w:name="_Ref329957394"/>
      <w:r w:rsidRPr="000B65DE">
        <w:rPr>
          <w:rFonts w:ascii="Bookman Old Style" w:hAnsi="Bookman Old Style"/>
          <w:b/>
          <w:bCs/>
          <w:szCs w:val="20"/>
          <w:lang w:val="es-CO"/>
        </w:rPr>
        <w:t xml:space="preserve">Valoración de la Inversión Base de Mercado Relevante de Distribución para el Siguiente Período Tarifario </w:t>
      </w:r>
      <w:bookmarkEnd w:id="17"/>
      <w:r w:rsidRPr="000B65DE">
        <w:rPr>
          <w:rFonts w:ascii="Bookman Old Style" w:hAnsi="Bookman Old Style"/>
          <w:b/>
          <w:bCs/>
          <w:szCs w:val="20"/>
          <w:lang w:val="es-CO"/>
        </w:rPr>
        <w:t xml:space="preserve"> Conformados por Municipios Nuevos.</w:t>
      </w:r>
      <w:bookmarkEnd w:id="18"/>
    </w:p>
    <w:p w:rsidR="000B65DE" w:rsidRPr="000B65DE" w:rsidRDefault="000B65DE" w:rsidP="000B65DE">
      <w:pPr>
        <w:ind w:left="0"/>
        <w:jc w:val="both"/>
        <w:rPr>
          <w:rFonts w:ascii="Bookman Old Style" w:hAnsi="Bookman Old Style"/>
        </w:rPr>
      </w:pPr>
    </w:p>
    <w:p w:rsidR="009400EB" w:rsidRDefault="009400EB" w:rsidP="000B65DE">
      <w:pPr>
        <w:tabs>
          <w:tab w:val="left" w:pos="426"/>
        </w:tabs>
        <w:spacing w:line="276" w:lineRule="auto"/>
        <w:ind w:left="0"/>
        <w:jc w:val="both"/>
        <w:rPr>
          <w:rFonts w:ascii="Bookman Old Style" w:eastAsia="Calibri" w:hAnsi="Bookman Old Style" w:cs="Arial"/>
          <w:lang w:val="es-CO" w:eastAsia="en-US"/>
        </w:rPr>
      </w:pPr>
    </w:p>
    <w:p w:rsidR="000B65DE" w:rsidRPr="000B65DE" w:rsidRDefault="000B65DE" w:rsidP="000B65DE">
      <w:pPr>
        <w:tabs>
          <w:tab w:val="left" w:pos="426"/>
        </w:tabs>
        <w:spacing w:line="276" w:lineRule="auto"/>
        <w:ind w:left="0"/>
        <w:jc w:val="both"/>
        <w:rPr>
          <w:rFonts w:ascii="Bookman Old Style" w:eastAsia="Calibri" w:hAnsi="Bookman Old Style" w:cs="Arial"/>
          <w:lang w:val="es-CO" w:eastAsia="en-US"/>
        </w:rPr>
      </w:pPr>
      <w:r w:rsidRPr="000B65DE">
        <w:rPr>
          <w:rFonts w:ascii="Bookman Old Style" w:eastAsia="Calibri" w:hAnsi="Bookman Old Style" w:cs="Arial"/>
          <w:lang w:val="es-CO" w:eastAsia="en-US"/>
        </w:rPr>
        <w:t xml:space="preserve">La fórmula para la determinación de la Inversión Base de </w:t>
      </w:r>
      <w:r w:rsidRPr="000B65DE">
        <w:rPr>
          <w:rFonts w:ascii="Bookman Old Style" w:hAnsi="Bookman Old Style" w:cs="Arial"/>
          <w:lang w:val="es-CO" w:eastAsia="en-US"/>
        </w:rPr>
        <w:t xml:space="preserve">Mercado Relevante de Distribución para el Siguiente Período Tarifario </w:t>
      </w:r>
      <w:r w:rsidRPr="000B65DE">
        <w:rPr>
          <w:rFonts w:ascii="Bookman Old Style" w:eastAsia="Calibri" w:hAnsi="Bookman Old Style" w:cs="Arial"/>
          <w:lang w:val="es-CO" w:eastAsia="en-US"/>
        </w:rPr>
        <w:t>Conformados por Municipios Nuevos que se constituyen a partir de esta metodología, será:</w:t>
      </w:r>
    </w:p>
    <w:p w:rsidR="000B65DE" w:rsidRPr="000B65DE" w:rsidRDefault="000B65DE" w:rsidP="000B65DE">
      <w:pPr>
        <w:tabs>
          <w:tab w:val="left" w:pos="426"/>
        </w:tabs>
        <w:spacing w:line="276" w:lineRule="auto"/>
        <w:ind w:left="0"/>
        <w:jc w:val="both"/>
        <w:rPr>
          <w:rFonts w:ascii="Bookman Old Style" w:eastAsia="Calibri" w:hAnsi="Bookman Old Style" w:cs="Arial"/>
          <w:sz w:val="28"/>
          <w:lang w:val="es-CO" w:eastAsia="en-US"/>
        </w:rPr>
      </w:pPr>
    </w:p>
    <w:p w:rsidR="000B65DE" w:rsidRPr="0092172B" w:rsidRDefault="00364E59" w:rsidP="000B65DE">
      <w:pPr>
        <w:spacing w:after="200" w:line="276" w:lineRule="auto"/>
        <w:ind w:left="0"/>
        <w:contextualSpacing/>
        <w:jc w:val="center"/>
        <w:rPr>
          <w:rFonts w:ascii="Bookman Old Style" w:eastAsia="Calibri" w:hAnsi="Bookman Old Style" w:cs="Arial"/>
          <w:lang w:val="es-CO" w:eastAsia="en-US"/>
        </w:rPr>
      </w:pPr>
      <m:oMathPara>
        <m:oMath>
          <m:sSub>
            <m:sSubPr>
              <m:ctrlPr>
                <w:rPr>
                  <w:rFonts w:ascii="Cambria Math" w:eastAsia="Calibri" w:hAnsi="Cambria Math" w:cs="Arial"/>
                  <w:lang w:val="es-CO" w:eastAsia="en-US"/>
                </w:rPr>
              </m:ctrlPr>
            </m:sSubPr>
            <m:e>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IBMN</m:t>
                  </m:r>
                </m:e>
                <m:sub>
                  <m:r>
                    <m:rPr>
                      <m:sty m:val="p"/>
                    </m:rPr>
                    <w:rPr>
                      <w:rFonts w:ascii="Cambria Math" w:eastAsia="Calibri" w:hAnsi="Cambria Math" w:cs="Arial"/>
                      <w:lang w:val="es-CO" w:eastAsia="en-US"/>
                    </w:rPr>
                    <m:t>kl</m:t>
                  </m:r>
                </m:sub>
              </m:sSub>
              <m:r>
                <m:rPr>
                  <m:sty m:val="p"/>
                </m:rPr>
                <w:rPr>
                  <w:rFonts w:ascii="Cambria Math" w:eastAsia="Calibri" w:hAnsi="Cambria Math" w:cs="Arial"/>
                  <w:lang w:val="es-CO" w:eastAsia="en-US"/>
                </w:rPr>
                <m:t>=VP(IPNI)</m:t>
              </m:r>
            </m:e>
            <m:sub>
              <m:r>
                <m:rPr>
                  <m:sty m:val="p"/>
                </m:rPr>
                <w:rPr>
                  <w:rFonts w:ascii="Cambria Math" w:eastAsia="Calibri" w:hAnsi="Cambria Math" w:cs="Arial"/>
                  <w:lang w:val="es-CO" w:eastAsia="en-US"/>
                </w:rPr>
                <m:t>kl</m:t>
              </m:r>
            </m:sub>
          </m:sSub>
        </m:oMath>
      </m:oMathPara>
    </w:p>
    <w:p w:rsidR="000B65DE" w:rsidRPr="000B65DE" w:rsidRDefault="000B65DE" w:rsidP="000B65DE">
      <w:pPr>
        <w:tabs>
          <w:tab w:val="left" w:pos="426"/>
        </w:tabs>
        <w:spacing w:after="200" w:line="276" w:lineRule="auto"/>
        <w:ind w:left="0"/>
        <w:jc w:val="both"/>
        <w:rPr>
          <w:rFonts w:ascii="Bookman Old Style" w:eastAsia="Calibri" w:hAnsi="Bookman Old Style" w:cs="Arial"/>
          <w:lang w:val="es-CO" w:eastAsia="en-US"/>
        </w:rPr>
      </w:pPr>
      <w:r w:rsidRPr="000B65DE">
        <w:rPr>
          <w:rFonts w:ascii="Bookman Old Style" w:eastAsia="Calibri" w:hAnsi="Bookman Old Style" w:cs="Arial"/>
          <w:lang w:val="es-CO" w:eastAsia="en-US"/>
        </w:rPr>
        <w:t>Donde:</w:t>
      </w:r>
    </w:p>
    <w:tbl>
      <w:tblPr>
        <w:tblW w:w="8788" w:type="dxa"/>
        <w:tblInd w:w="959" w:type="dxa"/>
        <w:tblLayout w:type="fixed"/>
        <w:tblLook w:val="04A0" w:firstRow="1" w:lastRow="0" w:firstColumn="1" w:lastColumn="0" w:noHBand="0" w:noVBand="1"/>
      </w:tblPr>
      <w:tblGrid>
        <w:gridCol w:w="2268"/>
        <w:gridCol w:w="6520"/>
      </w:tblGrid>
      <w:tr w:rsidR="000B65DE" w:rsidRPr="000B65DE" w:rsidTr="00382E27">
        <w:tc>
          <w:tcPr>
            <w:tcW w:w="2268" w:type="dxa"/>
          </w:tcPr>
          <w:p w:rsidR="000B65DE" w:rsidRPr="0092172B" w:rsidRDefault="00364E59" w:rsidP="000B65DE">
            <w:pPr>
              <w:tabs>
                <w:tab w:val="left" w:pos="426"/>
              </w:tabs>
              <w:spacing w:after="200" w:line="276" w:lineRule="auto"/>
              <w:ind w:left="0"/>
              <w:jc w:val="both"/>
              <w:rPr>
                <w:rFonts w:ascii="Bookman Old Style" w:hAnsi="Bookman Old Style" w:cs="Arial"/>
                <w:lang w:val="es-CO" w:eastAsia="en-US"/>
              </w:rPr>
            </w:pPr>
            <m:oMathPara>
              <m:oMathParaPr>
                <m:jc m:val="left"/>
              </m:oMathParaPr>
              <m:oMath>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IBMN</m:t>
                    </m:r>
                  </m:e>
                  <m:sub>
                    <m:r>
                      <m:rPr>
                        <m:sty m:val="p"/>
                      </m:rPr>
                      <w:rPr>
                        <w:rFonts w:ascii="Cambria Math" w:eastAsia="Calibri" w:hAnsi="Cambria Math" w:cs="Arial"/>
                        <w:lang w:val="es-CO" w:eastAsia="en-US"/>
                      </w:rPr>
                      <m:t>kl</m:t>
                    </m:r>
                  </m:sub>
                </m:sSub>
              </m:oMath>
            </m:oMathPara>
          </w:p>
        </w:tc>
        <w:tc>
          <w:tcPr>
            <w:tcW w:w="6520" w:type="dxa"/>
          </w:tcPr>
          <w:p w:rsidR="000B65DE" w:rsidRPr="000B65DE" w:rsidRDefault="000B65DE" w:rsidP="000B65DE">
            <w:pPr>
              <w:spacing w:after="200"/>
              <w:ind w:left="0"/>
              <w:contextualSpacing/>
              <w:jc w:val="both"/>
              <w:rPr>
                <w:rFonts w:ascii="Bookman Old Style" w:hAnsi="Bookman Old Style" w:cs="Arial"/>
                <w:lang w:val="es-CO" w:eastAsia="en-US"/>
              </w:rPr>
            </w:pPr>
            <w:r w:rsidRPr="000B65DE">
              <w:rPr>
                <w:rFonts w:ascii="Bookman Old Style" w:hAnsi="Bookman Old Style" w:cs="Arial"/>
                <w:lang w:val="es-CO" w:eastAsia="en-US"/>
              </w:rPr>
              <w:t>Inversión Base a realizarse en Mercado Relevante de Distribución para el Siguiente Período Tarifario k para el tipo de red l,</w:t>
            </w:r>
            <w:r w:rsidRPr="000B65DE">
              <w:rPr>
                <w:rFonts w:ascii="Bookman Old Style" w:hAnsi="Bookman Old Style" w:cs="Arial"/>
                <w:i/>
                <w:lang w:val="es-CO" w:eastAsia="en-US"/>
              </w:rPr>
              <w:t xml:space="preserve"> </w:t>
            </w:r>
            <w:r w:rsidRPr="000B65DE">
              <w:rPr>
                <w:rFonts w:ascii="Bookman Old Style" w:hAnsi="Bookman Old Style" w:cs="Arial"/>
                <w:lang w:val="es-CO" w:eastAsia="en-US"/>
              </w:rPr>
              <w:t xml:space="preserve"> expresada en pesos de la Fecha Base.</w:t>
            </w:r>
          </w:p>
          <w:p w:rsidR="000B65DE" w:rsidRPr="000B65DE" w:rsidRDefault="000B65DE" w:rsidP="000B65DE">
            <w:pPr>
              <w:spacing w:after="200"/>
              <w:ind w:left="0"/>
              <w:contextualSpacing/>
              <w:jc w:val="both"/>
              <w:rPr>
                <w:rFonts w:ascii="Bookman Old Style" w:hAnsi="Bookman Old Style" w:cs="Arial"/>
                <w:lang w:val="es-CO" w:eastAsia="en-US"/>
              </w:rPr>
            </w:pPr>
          </w:p>
        </w:tc>
      </w:tr>
      <w:tr w:rsidR="000B65DE" w:rsidRPr="000B65DE" w:rsidTr="00382E27">
        <w:tc>
          <w:tcPr>
            <w:tcW w:w="2268" w:type="dxa"/>
          </w:tcPr>
          <w:p w:rsidR="000B65DE" w:rsidRPr="0092172B" w:rsidRDefault="00364E59" w:rsidP="000B65DE">
            <w:pPr>
              <w:spacing w:after="200" w:line="276" w:lineRule="auto"/>
              <w:ind w:left="0"/>
              <w:contextualSpacing/>
              <w:rPr>
                <w:rFonts w:ascii="Bookman Old Style" w:eastAsia="Calibri" w:hAnsi="Bookman Old Style" w:cs="Arial"/>
                <w:lang w:val="es-CO" w:eastAsia="en-US"/>
              </w:rPr>
            </w:pPr>
            <m:oMathPara>
              <m:oMathParaPr>
                <m:jc m:val="left"/>
              </m:oMathParaPr>
              <m:oMath>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IPNI</m:t>
                    </m:r>
                  </m:e>
                  <m:sub>
                    <m:r>
                      <m:rPr>
                        <m:sty m:val="p"/>
                      </m:rPr>
                      <w:rPr>
                        <w:rFonts w:ascii="Cambria Math" w:eastAsia="Calibri" w:hAnsi="Cambria Math" w:cs="Arial"/>
                        <w:lang w:val="es-CO" w:eastAsia="en-US"/>
                      </w:rPr>
                      <m:t>kl</m:t>
                    </m:r>
                  </m:sub>
                </m:sSub>
              </m:oMath>
            </m:oMathPara>
          </w:p>
          <w:p w:rsidR="000B65DE" w:rsidRPr="000B65DE" w:rsidRDefault="000B65DE" w:rsidP="000B65DE">
            <w:pPr>
              <w:tabs>
                <w:tab w:val="left" w:pos="426"/>
              </w:tabs>
              <w:spacing w:after="200" w:line="276" w:lineRule="auto"/>
              <w:ind w:left="0"/>
              <w:jc w:val="both"/>
              <w:rPr>
                <w:rFonts w:ascii="Bookman Old Style" w:hAnsi="Bookman Old Style" w:cs="Arial"/>
                <w:i/>
                <w:lang w:val="es-CO" w:eastAsia="en-US"/>
              </w:rPr>
            </w:pPr>
          </w:p>
        </w:tc>
        <w:tc>
          <w:tcPr>
            <w:tcW w:w="6520" w:type="dxa"/>
          </w:tcPr>
          <w:p w:rsidR="000B65DE" w:rsidRPr="000B65DE" w:rsidRDefault="000B65DE" w:rsidP="000B65DE">
            <w:pPr>
              <w:tabs>
                <w:tab w:val="left" w:pos="426"/>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 xml:space="preserve">Programa de nuevas inversiones que se proyecta realizar durante el Siguiente Período Tarifario en el Mercado Relevante de Distribución para el Siguiente Período Tarifario k para el tipo de red l. Se calcula a partir de la siguiente fórmula. Este programa de inversiones se valorará utilizando los costos unitarios eficientes definidos por la Comisión para cada unidad constructiva, conforme al </w:t>
            </w:r>
            <w:r w:rsidR="00AF6018" w:rsidRPr="000B65DE">
              <w:rPr>
                <w:rFonts w:ascii="Bookman Old Style" w:hAnsi="Bookman Old Style" w:cs="Arial"/>
                <w:lang w:val="es-CO" w:eastAsia="en-US"/>
              </w:rPr>
              <w:fldChar w:fldCharType="begin"/>
            </w:r>
            <w:r w:rsidRPr="000B65DE">
              <w:rPr>
                <w:rFonts w:ascii="Bookman Old Style" w:hAnsi="Bookman Old Style" w:cs="Arial"/>
                <w:lang w:val="es-CO" w:eastAsia="en-US"/>
              </w:rPr>
              <w:instrText xml:space="preserve"> REF _Ref330910423 \r \h </w:instrText>
            </w:r>
            <w:r w:rsidR="00AF6018" w:rsidRPr="000B65DE">
              <w:rPr>
                <w:rFonts w:ascii="Bookman Old Style" w:hAnsi="Bookman Old Style" w:cs="Arial"/>
                <w:lang w:val="es-CO" w:eastAsia="en-US"/>
              </w:rPr>
            </w:r>
            <w:r w:rsidR="00AF6018" w:rsidRPr="000B65DE">
              <w:rPr>
                <w:rFonts w:ascii="Bookman Old Style" w:hAnsi="Bookman Old Style" w:cs="Arial"/>
                <w:lang w:val="es-CO" w:eastAsia="en-US"/>
              </w:rPr>
              <w:fldChar w:fldCharType="separate"/>
            </w:r>
            <w:r w:rsidR="004D5C18">
              <w:rPr>
                <w:rFonts w:ascii="Bookman Old Style" w:hAnsi="Bookman Old Style" w:cs="Arial"/>
                <w:lang w:val="es-CO" w:eastAsia="en-US"/>
              </w:rPr>
              <w:t>ANEXO 8</w:t>
            </w:r>
            <w:r w:rsidR="00AF6018" w:rsidRPr="000B65DE">
              <w:rPr>
                <w:rFonts w:ascii="Bookman Old Style" w:hAnsi="Bookman Old Style" w:cs="Arial"/>
                <w:lang w:val="es-CO" w:eastAsia="en-US"/>
              </w:rPr>
              <w:fldChar w:fldCharType="end"/>
            </w:r>
            <w:r w:rsidRPr="000B65DE">
              <w:rPr>
                <w:rFonts w:ascii="Bookman Old Style" w:hAnsi="Bookman Old Style" w:cs="Arial"/>
                <w:lang w:val="es-CO" w:eastAsia="en-US"/>
              </w:rPr>
              <w:t xml:space="preserve"> de la presente resolución y ajustados a la Fecha Base.</w:t>
            </w:r>
          </w:p>
        </w:tc>
      </w:tr>
      <w:tr w:rsidR="000B65DE" w:rsidRPr="000B65DE" w:rsidTr="00382E27">
        <w:tc>
          <w:tcPr>
            <w:tcW w:w="2268" w:type="dxa"/>
          </w:tcPr>
          <w:p w:rsidR="000B65DE" w:rsidRPr="000B65DE" w:rsidRDefault="000B65DE" w:rsidP="000B65DE">
            <w:pPr>
              <w:spacing w:after="200" w:line="276" w:lineRule="auto"/>
              <w:ind w:left="0"/>
              <w:contextualSpacing/>
              <w:rPr>
                <w:rFonts w:ascii="Bookman Old Style" w:eastAsia="Calibri" w:hAnsi="Bookman Old Style" w:cs="Arial"/>
                <w:lang w:val="es-CO" w:eastAsia="en-US"/>
              </w:rPr>
            </w:pPr>
            <w:r w:rsidRPr="000B65DE">
              <w:rPr>
                <w:rFonts w:ascii="Bookman Old Style" w:eastAsia="Calibri" w:hAnsi="Bookman Old Style" w:cs="Arial"/>
                <w:lang w:val="es-CO" w:eastAsia="en-US"/>
              </w:rPr>
              <w:t>VP</w:t>
            </w:r>
          </w:p>
          <w:p w:rsidR="000B65DE" w:rsidRPr="000B65DE" w:rsidRDefault="000B65DE" w:rsidP="000B65DE">
            <w:pPr>
              <w:spacing w:after="200" w:line="276" w:lineRule="auto"/>
              <w:ind w:left="0"/>
              <w:contextualSpacing/>
              <w:rPr>
                <w:rFonts w:ascii="Bookman Old Style" w:hAnsi="Bookman Old Style" w:cs="Arial"/>
                <w:lang w:val="es-CO" w:eastAsia="en-US"/>
              </w:rPr>
            </w:pPr>
          </w:p>
        </w:tc>
        <w:tc>
          <w:tcPr>
            <w:tcW w:w="6520" w:type="dxa"/>
          </w:tcPr>
          <w:p w:rsidR="000B65DE" w:rsidRPr="000B65DE" w:rsidRDefault="000B65DE" w:rsidP="000B65DE">
            <w:pPr>
              <w:tabs>
                <w:tab w:val="left" w:pos="426"/>
              </w:tabs>
              <w:spacing w:after="200"/>
              <w:ind w:left="0"/>
              <w:jc w:val="both"/>
              <w:rPr>
                <w:rFonts w:ascii="Bookman Old Style" w:hAnsi="Bookman Old Style" w:cs="Arial"/>
                <w:sz w:val="12"/>
                <w:lang w:val="es-CO" w:eastAsia="en-US"/>
              </w:rPr>
            </w:pPr>
            <w:r w:rsidRPr="000B65DE">
              <w:rPr>
                <w:rFonts w:ascii="Bookman Old Style" w:hAnsi="Bookman Old Style" w:cs="Arial"/>
                <w:lang w:val="es-CO" w:eastAsia="en-US"/>
              </w:rPr>
              <w:t>Valor presente del Programa de Nuevas Inversiones a realizarse en el Mercado Relevante de Distribución para el Siguiente Período Tarifario k, descontado a pesos de la Fecha Base.</w:t>
            </w:r>
          </w:p>
          <w:p w:rsidR="000B65DE" w:rsidRPr="0092172B" w:rsidRDefault="00364E59" w:rsidP="000B65DE">
            <w:pPr>
              <w:tabs>
                <w:tab w:val="left" w:pos="426"/>
              </w:tabs>
              <w:spacing w:after="200"/>
              <w:ind w:left="0"/>
              <w:jc w:val="both"/>
              <w:rPr>
                <w:rFonts w:ascii="Bookman Old Style" w:hAnsi="Bookman Old Style" w:cs="Arial"/>
                <w:sz w:val="22"/>
                <w:lang w:val="es-CO" w:eastAsia="en-US"/>
              </w:rPr>
            </w:pPr>
            <m:oMathPara>
              <m:oMathParaPr>
                <m:jc m:val="left"/>
              </m:oMathParaPr>
              <m:oMath>
                <m:sSub>
                  <m:sSubPr>
                    <m:ctrlPr>
                      <w:rPr>
                        <w:rFonts w:ascii="Cambria Math" w:eastAsia="Calibri" w:hAnsi="Cambria Math" w:cs="Arial"/>
                        <w:sz w:val="22"/>
                        <w:lang w:val="es-CO" w:eastAsia="en-US"/>
                      </w:rPr>
                    </m:ctrlPr>
                  </m:sSubPr>
                  <m:e>
                    <m:r>
                      <m:rPr>
                        <m:sty m:val="p"/>
                      </m:rPr>
                      <w:rPr>
                        <w:rFonts w:ascii="Cambria Math" w:eastAsia="Calibri" w:hAnsi="Cambria Math" w:cs="Arial"/>
                        <w:sz w:val="22"/>
                        <w:lang w:val="es-CO" w:eastAsia="en-US"/>
                      </w:rPr>
                      <m:t>VP</m:t>
                    </m:r>
                    <m:d>
                      <m:dPr>
                        <m:ctrlPr>
                          <w:rPr>
                            <w:rFonts w:ascii="Cambria Math" w:eastAsia="Calibri" w:hAnsi="Cambria Math" w:cs="Arial"/>
                            <w:sz w:val="22"/>
                            <w:lang w:val="es-CO" w:eastAsia="en-US"/>
                          </w:rPr>
                        </m:ctrlPr>
                      </m:dPr>
                      <m:e>
                        <m:r>
                          <m:rPr>
                            <m:sty m:val="p"/>
                          </m:rPr>
                          <w:rPr>
                            <w:rFonts w:ascii="Cambria Math" w:eastAsia="Calibri" w:hAnsi="Cambria Math" w:cs="Arial"/>
                            <w:sz w:val="22"/>
                            <w:lang w:val="es-CO" w:eastAsia="en-US"/>
                          </w:rPr>
                          <m:t>IPNI</m:t>
                        </m:r>
                      </m:e>
                    </m:d>
                  </m:e>
                  <m:sub>
                    <m:r>
                      <m:rPr>
                        <m:sty m:val="p"/>
                      </m:rPr>
                      <w:rPr>
                        <w:rFonts w:ascii="Cambria Math" w:eastAsia="Calibri" w:hAnsi="Cambria Math" w:cs="Arial"/>
                        <w:sz w:val="22"/>
                        <w:lang w:val="es-CO" w:eastAsia="en-US"/>
                      </w:rPr>
                      <m:t>kl</m:t>
                    </m:r>
                  </m:sub>
                </m:sSub>
                <m:r>
                  <m:rPr>
                    <m:sty m:val="p"/>
                  </m:rPr>
                  <w:rPr>
                    <w:rFonts w:ascii="Cambria Math" w:eastAsia="Calibri" w:hAnsi="Cambria Math" w:cs="Arial"/>
                    <w:sz w:val="22"/>
                    <w:lang w:val="es-CO" w:eastAsia="en-US"/>
                  </w:rPr>
                  <m:t>=</m:t>
                </m:r>
                <m:nary>
                  <m:naryPr>
                    <m:chr m:val="∑"/>
                    <m:limLoc m:val="undOvr"/>
                    <m:ctrlPr>
                      <w:rPr>
                        <w:rFonts w:ascii="Cambria Math" w:eastAsia="Calibri" w:hAnsi="Cambria Math" w:cs="Arial"/>
                        <w:sz w:val="22"/>
                        <w:lang w:val="es-CO" w:eastAsia="en-US"/>
                      </w:rPr>
                    </m:ctrlPr>
                  </m:naryPr>
                  <m:sub>
                    <m:r>
                      <m:rPr>
                        <m:sty m:val="p"/>
                      </m:rPr>
                      <w:rPr>
                        <w:rFonts w:ascii="Cambria Math" w:eastAsia="Calibri" w:hAnsi="Cambria Math" w:cs="Arial"/>
                        <w:sz w:val="22"/>
                        <w:lang w:val="es-CO" w:eastAsia="en-US"/>
                      </w:rPr>
                      <m:t>n=1</m:t>
                    </m:r>
                  </m:sub>
                  <m:sup>
                    <m:r>
                      <m:rPr>
                        <m:sty m:val="p"/>
                      </m:rPr>
                      <w:rPr>
                        <w:rFonts w:ascii="Cambria Math" w:eastAsia="Calibri" w:hAnsi="Cambria Math" w:cs="Arial"/>
                        <w:sz w:val="22"/>
                        <w:lang w:val="es-CO" w:eastAsia="en-US"/>
                      </w:rPr>
                      <m:t>5</m:t>
                    </m:r>
                  </m:sup>
                  <m:e>
                    <m:f>
                      <m:fPr>
                        <m:ctrlPr>
                          <w:rPr>
                            <w:rFonts w:ascii="Cambria Math" w:eastAsia="Calibri" w:hAnsi="Cambria Math" w:cs="Arial"/>
                            <w:sz w:val="22"/>
                            <w:lang w:val="es-CO" w:eastAsia="en-US"/>
                          </w:rPr>
                        </m:ctrlPr>
                      </m:fPr>
                      <m:num>
                        <m:nary>
                          <m:naryPr>
                            <m:chr m:val="∑"/>
                            <m:limLoc m:val="undOvr"/>
                            <m:ctrlPr>
                              <w:rPr>
                                <w:rFonts w:ascii="Cambria Math" w:hAnsi="Cambria Math" w:cs="Arial"/>
                                <w:sz w:val="22"/>
                                <w:lang w:val="es-CO" w:eastAsia="en-US"/>
                              </w:rPr>
                            </m:ctrlPr>
                          </m:naryPr>
                          <m:sub>
                            <m:r>
                              <m:rPr>
                                <m:sty m:val="p"/>
                              </m:rPr>
                              <w:rPr>
                                <w:rFonts w:ascii="Cambria Math" w:hAnsi="Cambria Math" w:cs="Arial"/>
                                <w:sz w:val="22"/>
                                <w:lang w:val="es-CO" w:eastAsia="en-US"/>
                              </w:rPr>
                              <m:t>i=1</m:t>
                            </m:r>
                          </m:sub>
                          <m:sup>
                            <m:r>
                              <m:rPr>
                                <m:sty m:val="p"/>
                              </m:rPr>
                              <w:rPr>
                                <w:rFonts w:ascii="Cambria Math" w:hAnsi="Cambria Math" w:cs="Arial"/>
                                <w:sz w:val="22"/>
                                <w:lang w:val="es-CO" w:eastAsia="en-US"/>
                              </w:rPr>
                              <m:t>NR</m:t>
                            </m:r>
                          </m:sup>
                          <m:e>
                            <m:r>
                              <m:rPr>
                                <m:sty m:val="p"/>
                              </m:rPr>
                              <w:rPr>
                                <w:rFonts w:ascii="Cambria Math" w:hAnsi="Cambria Math" w:cs="Arial"/>
                                <w:sz w:val="22"/>
                                <w:lang w:val="es-CO" w:eastAsia="en-US"/>
                              </w:rPr>
                              <m:t>(</m:t>
                            </m:r>
                            <m:sSub>
                              <m:sSubPr>
                                <m:ctrlPr>
                                  <w:rPr>
                                    <w:rFonts w:ascii="Cambria Math" w:hAnsi="Cambria Math" w:cs="Arial"/>
                                    <w:sz w:val="22"/>
                                    <w:lang w:val="es-CO" w:eastAsia="en-US"/>
                                  </w:rPr>
                                </m:ctrlPr>
                              </m:sSubPr>
                              <m:e>
                                <m:r>
                                  <m:rPr>
                                    <m:sty m:val="p"/>
                                  </m:rPr>
                                  <w:rPr>
                                    <w:rFonts w:ascii="Cambria Math" w:hAnsi="Cambria Math" w:cs="Arial"/>
                                    <w:sz w:val="22"/>
                                    <w:lang w:val="es-CO" w:eastAsia="en-US"/>
                                  </w:rPr>
                                  <m:t>QUCPNI</m:t>
                                </m:r>
                              </m:e>
                              <m:sub>
                                <m:r>
                                  <m:rPr>
                                    <m:sty m:val="p"/>
                                  </m:rPr>
                                  <w:rPr>
                                    <w:rFonts w:ascii="Cambria Math" w:hAnsi="Cambria Math" w:cs="Arial"/>
                                    <w:sz w:val="22"/>
                                    <w:lang w:val="es-CO" w:eastAsia="en-US"/>
                                  </w:rPr>
                                  <m:t>ik</m:t>
                                </m:r>
                              </m:sub>
                            </m:sSub>
                          </m:e>
                        </m:nary>
                        <m:r>
                          <m:rPr>
                            <m:sty m:val="p"/>
                          </m:rPr>
                          <w:rPr>
                            <w:rFonts w:ascii="Cambria Math" w:hAnsi="Cambria Math" w:cs="Arial"/>
                            <w:sz w:val="22"/>
                            <w:lang w:val="es-CO" w:eastAsia="en-US"/>
                          </w:rPr>
                          <m:t>×</m:t>
                        </m:r>
                        <m:sSub>
                          <m:sSubPr>
                            <m:ctrlPr>
                              <w:rPr>
                                <w:rFonts w:ascii="Cambria Math" w:hAnsi="Cambria Math" w:cs="Arial"/>
                                <w:sz w:val="22"/>
                                <w:lang w:val="es-CO" w:eastAsia="en-US"/>
                              </w:rPr>
                            </m:ctrlPr>
                          </m:sSubPr>
                          <m:e>
                            <m:r>
                              <m:rPr>
                                <m:sty m:val="p"/>
                              </m:rPr>
                              <w:rPr>
                                <w:rFonts w:ascii="Cambria Math" w:hAnsi="Cambria Math" w:cs="Arial"/>
                                <w:sz w:val="22"/>
                                <w:lang w:val="es-CO" w:eastAsia="en-US"/>
                              </w:rPr>
                              <m:t>PUCPNI</m:t>
                            </m:r>
                          </m:e>
                          <m:sub>
                            <m:r>
                              <m:rPr>
                                <m:sty m:val="p"/>
                              </m:rPr>
                              <w:rPr>
                                <w:rFonts w:ascii="Cambria Math" w:hAnsi="Cambria Math" w:cs="Arial"/>
                                <w:sz w:val="22"/>
                                <w:lang w:val="es-CO" w:eastAsia="en-US"/>
                              </w:rPr>
                              <m:t>i</m:t>
                            </m:r>
                          </m:sub>
                        </m:sSub>
                        <m:r>
                          <m:rPr>
                            <m:sty m:val="p"/>
                          </m:rPr>
                          <w:rPr>
                            <w:rFonts w:ascii="Cambria Math" w:hAnsi="Cambria Math" w:cs="Arial"/>
                            <w:sz w:val="22"/>
                            <w:lang w:val="es-CO" w:eastAsia="en-US"/>
                          </w:rPr>
                          <m:t>)</m:t>
                        </m:r>
                      </m:num>
                      <m:den>
                        <m:sSup>
                          <m:sSupPr>
                            <m:ctrlPr>
                              <w:rPr>
                                <w:rFonts w:ascii="Cambria Math" w:eastAsia="Calibri" w:hAnsi="Cambria Math" w:cs="Arial"/>
                                <w:sz w:val="22"/>
                                <w:lang w:val="es-CO" w:eastAsia="en-US"/>
                              </w:rPr>
                            </m:ctrlPr>
                          </m:sSupPr>
                          <m:e>
                            <m:r>
                              <m:rPr>
                                <m:sty m:val="p"/>
                              </m:rPr>
                              <w:rPr>
                                <w:rFonts w:ascii="Cambria Math" w:eastAsia="Calibri" w:hAnsi="Cambria Math" w:cs="Arial"/>
                                <w:sz w:val="22"/>
                                <w:lang w:val="es-CO" w:eastAsia="en-US"/>
                              </w:rPr>
                              <m:t>(1+r)</m:t>
                            </m:r>
                          </m:e>
                          <m:sup>
                            <m:r>
                              <m:rPr>
                                <m:sty m:val="p"/>
                              </m:rPr>
                              <w:rPr>
                                <w:rFonts w:ascii="Cambria Math" w:eastAsia="Calibri" w:hAnsi="Cambria Math" w:cs="Arial"/>
                                <w:sz w:val="22"/>
                                <w:lang w:val="es-CO" w:eastAsia="en-US"/>
                              </w:rPr>
                              <m:t>n</m:t>
                            </m:r>
                          </m:sup>
                        </m:sSup>
                      </m:den>
                    </m:f>
                  </m:e>
                </m:nary>
              </m:oMath>
            </m:oMathPara>
          </w:p>
          <w:p w:rsidR="000B65DE" w:rsidRPr="009400EB" w:rsidRDefault="000B65DE" w:rsidP="000B65DE">
            <w:pPr>
              <w:tabs>
                <w:tab w:val="left" w:pos="426"/>
              </w:tabs>
              <w:spacing w:after="200"/>
              <w:ind w:left="0"/>
              <w:jc w:val="both"/>
              <w:rPr>
                <w:rFonts w:ascii="Bookman Old Style" w:hAnsi="Bookman Old Style" w:cs="Arial"/>
                <w:sz w:val="10"/>
                <w:lang w:val="es-CO" w:eastAsia="en-US"/>
              </w:rPr>
            </w:pPr>
          </w:p>
          <w:p w:rsidR="000B65DE" w:rsidRPr="000B65DE" w:rsidRDefault="000B65DE" w:rsidP="000B65DE">
            <w:pPr>
              <w:tabs>
                <w:tab w:val="left" w:pos="426"/>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Donde:</w:t>
            </w:r>
          </w:p>
          <w:tbl>
            <w:tblPr>
              <w:tblW w:w="6095" w:type="dxa"/>
              <w:tblLayout w:type="fixed"/>
              <w:tblLook w:val="04A0" w:firstRow="1" w:lastRow="0" w:firstColumn="1" w:lastColumn="0" w:noHBand="0" w:noVBand="1"/>
            </w:tblPr>
            <w:tblGrid>
              <w:gridCol w:w="1775"/>
              <w:gridCol w:w="4320"/>
            </w:tblGrid>
            <w:tr w:rsidR="000B65DE" w:rsidRPr="000B65DE" w:rsidTr="00382E27">
              <w:tc>
                <w:tcPr>
                  <w:tcW w:w="1775" w:type="dxa"/>
                </w:tcPr>
                <w:p w:rsidR="000B65DE" w:rsidRPr="0092172B" w:rsidRDefault="0092172B" w:rsidP="000B65DE">
                  <w:pPr>
                    <w:tabs>
                      <w:tab w:val="left" w:pos="-108"/>
                    </w:tabs>
                    <w:spacing w:after="200" w:line="276" w:lineRule="auto"/>
                    <w:ind w:left="34" w:hanging="34"/>
                    <w:rPr>
                      <w:rFonts w:ascii="Bookman Old Style" w:hAnsi="Bookman Old Style" w:cs="Arial"/>
                      <w:lang w:val="es-CO" w:eastAsia="en-US"/>
                    </w:rPr>
                  </w:pPr>
                  <m:oMathPara>
                    <m:oMathParaPr>
                      <m:jc m:val="left"/>
                    </m:oMathParaPr>
                    <m:oMath>
                      <m:r>
                        <m:rPr>
                          <m:sty m:val="p"/>
                        </m:rPr>
                        <w:rPr>
                          <w:rFonts w:ascii="Cambria Math" w:eastAsia="Calibri" w:hAnsi="Cambria Math" w:cs="Arial"/>
                          <w:lang w:val="es-CO" w:eastAsia="en-US"/>
                        </w:rPr>
                        <m:t>V</m:t>
                      </m:r>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P</m:t>
                          </m:r>
                          <m:d>
                            <m:dPr>
                              <m:ctrlPr>
                                <w:rPr>
                                  <w:rFonts w:ascii="Cambria Math" w:eastAsia="Calibri" w:hAnsi="Cambria Math" w:cs="Arial"/>
                                  <w:lang w:val="es-CO" w:eastAsia="en-US"/>
                                </w:rPr>
                              </m:ctrlPr>
                            </m:dPr>
                            <m:e>
                              <m:r>
                                <m:rPr>
                                  <m:sty m:val="p"/>
                                </m:rPr>
                                <w:rPr>
                                  <w:rFonts w:ascii="Cambria Math" w:eastAsia="Calibri" w:hAnsi="Cambria Math" w:cs="Arial"/>
                                  <w:lang w:val="es-CO" w:eastAsia="en-US"/>
                                </w:rPr>
                                <m:t>IPNI</m:t>
                              </m:r>
                            </m:e>
                          </m:d>
                        </m:e>
                        <m:sub>
                          <m:r>
                            <m:rPr>
                              <m:sty m:val="p"/>
                            </m:rPr>
                            <w:rPr>
                              <w:rFonts w:ascii="Cambria Math" w:eastAsia="Calibri" w:hAnsi="Cambria Math" w:cs="Arial"/>
                              <w:lang w:val="es-CO" w:eastAsia="en-US"/>
                            </w:rPr>
                            <m:t>kl</m:t>
                          </m:r>
                        </m:sub>
                      </m:sSub>
                    </m:oMath>
                  </m:oMathPara>
                </w:p>
              </w:tc>
              <w:tc>
                <w:tcPr>
                  <w:tcW w:w="4320" w:type="dxa"/>
                </w:tcPr>
                <w:p w:rsidR="000B65DE" w:rsidRPr="000B65DE" w:rsidRDefault="000B65DE" w:rsidP="000B65DE">
                  <w:pPr>
                    <w:tabs>
                      <w:tab w:val="left" w:pos="107"/>
                    </w:tabs>
                    <w:spacing w:after="200"/>
                    <w:ind w:left="107"/>
                    <w:jc w:val="both"/>
                    <w:rPr>
                      <w:rFonts w:ascii="Bookman Old Style" w:hAnsi="Bookman Old Style" w:cs="Arial"/>
                      <w:lang w:val="es-CO" w:eastAsia="en-US"/>
                    </w:rPr>
                  </w:pPr>
                  <w:r w:rsidRPr="000B65DE">
                    <w:rPr>
                      <w:rFonts w:ascii="Bookman Old Style" w:hAnsi="Bookman Old Style" w:cs="Arial"/>
                      <w:lang w:val="es-CO" w:eastAsia="en-US"/>
                    </w:rPr>
                    <w:t>Valor presente del Programa de Nuevas Inversiones a realizarse en el Período Tarifario descontado a pesos de la Fecha Base.</w:t>
                  </w:r>
                </w:p>
              </w:tc>
            </w:tr>
            <w:tr w:rsidR="000B65DE" w:rsidRPr="000B65DE" w:rsidTr="00382E27">
              <w:tc>
                <w:tcPr>
                  <w:tcW w:w="1775" w:type="dxa"/>
                </w:tcPr>
                <w:p w:rsidR="000B65DE" w:rsidRPr="000B65DE" w:rsidRDefault="000B65DE" w:rsidP="000B65DE">
                  <w:pPr>
                    <w:tabs>
                      <w:tab w:val="left" w:pos="176"/>
                    </w:tabs>
                    <w:spacing w:after="200" w:line="276" w:lineRule="auto"/>
                    <w:ind w:left="34" w:hanging="34"/>
                    <w:rPr>
                      <w:rFonts w:ascii="Bookman Old Style" w:hAnsi="Bookman Old Style" w:cs="Arial"/>
                      <w:lang w:val="es-CO" w:eastAsia="en-US"/>
                    </w:rPr>
                  </w:pPr>
                  <w:r w:rsidRPr="000B65DE">
                    <w:rPr>
                      <w:rFonts w:ascii="Bookman Old Style" w:hAnsi="Bookman Old Style" w:cs="Arial"/>
                      <w:lang w:val="es-CO" w:eastAsia="en-US"/>
                    </w:rPr>
                    <w:t>NR</w:t>
                  </w:r>
                </w:p>
              </w:tc>
              <w:tc>
                <w:tcPr>
                  <w:tcW w:w="4320" w:type="dxa"/>
                </w:tcPr>
                <w:p w:rsidR="000B65DE" w:rsidRPr="000B65DE" w:rsidRDefault="000B65DE" w:rsidP="000B65DE">
                  <w:pPr>
                    <w:tabs>
                      <w:tab w:val="left" w:pos="107"/>
                    </w:tabs>
                    <w:spacing w:after="200"/>
                    <w:ind w:left="107"/>
                    <w:jc w:val="both"/>
                    <w:rPr>
                      <w:rFonts w:ascii="Bookman Old Style" w:hAnsi="Bookman Old Style" w:cs="Arial"/>
                      <w:lang w:val="es-CO" w:eastAsia="en-US"/>
                    </w:rPr>
                  </w:pPr>
                  <w:r w:rsidRPr="000B65DE">
                    <w:rPr>
                      <w:rFonts w:ascii="Bookman Old Style" w:hAnsi="Bookman Old Style" w:cs="Arial"/>
                      <w:lang w:val="es-CO" w:eastAsia="en-US"/>
                    </w:rPr>
                    <w:t>Número de QUCPNI</w:t>
                  </w:r>
                  <w:r w:rsidRPr="000B65DE">
                    <w:rPr>
                      <w:rFonts w:ascii="Bookman Old Style" w:hAnsi="Bookman Old Style" w:cs="Arial"/>
                      <w:i/>
                      <w:lang w:val="es-CO" w:eastAsia="en-US"/>
                    </w:rPr>
                    <w:t>,</w:t>
                  </w:r>
                  <w:r w:rsidRPr="000B65DE">
                    <w:rPr>
                      <w:rFonts w:ascii="Bookman Old Style" w:hAnsi="Bookman Old Style" w:cs="Arial"/>
                      <w:lang w:val="es-CO" w:eastAsia="en-US"/>
                    </w:rPr>
                    <w:t xml:space="preserve"> proyectadas a realizarse en el nuevo Período Tarifario para el Mercado Relevante de Distribución para el Siguiente Período Tarifario k</w:t>
                  </w:r>
                  <w:r w:rsidRPr="000B65DE">
                    <w:rPr>
                      <w:rFonts w:ascii="Bookman Old Style" w:hAnsi="Bookman Old Style" w:cs="Arial"/>
                      <w:i/>
                      <w:lang w:val="es-CO" w:eastAsia="en-US"/>
                    </w:rPr>
                    <w:t>.</w:t>
                  </w:r>
                </w:p>
              </w:tc>
            </w:tr>
            <w:tr w:rsidR="000B65DE" w:rsidRPr="000B65DE" w:rsidTr="00382E27">
              <w:tc>
                <w:tcPr>
                  <w:tcW w:w="1775" w:type="dxa"/>
                </w:tcPr>
                <w:p w:rsidR="000B65DE" w:rsidRPr="0092172B" w:rsidRDefault="00364E59" w:rsidP="000B65DE">
                  <w:pPr>
                    <w:tabs>
                      <w:tab w:val="left" w:pos="176"/>
                    </w:tabs>
                    <w:spacing w:after="200" w:line="276" w:lineRule="auto"/>
                    <w:ind w:left="34" w:hanging="34"/>
                    <w:rPr>
                      <w:rFonts w:ascii="Bookman Old Style" w:hAnsi="Bookman Old Style" w:cs="Arial"/>
                      <w:lang w:val="es-CO" w:eastAsia="en-US"/>
                    </w:rPr>
                  </w:pPr>
                  <m:oMathPara>
                    <m:oMathParaPr>
                      <m:jc m:val="left"/>
                    </m:oMathParaPr>
                    <m:oMath>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UCPNI</m:t>
                          </m:r>
                        </m:e>
                        <m:sub>
                          <m:r>
                            <m:rPr>
                              <m:sty m:val="p"/>
                            </m:rPr>
                            <w:rPr>
                              <w:rFonts w:ascii="Cambria Math" w:eastAsia="Calibri" w:hAnsi="Cambria Math" w:cs="Arial"/>
                              <w:lang w:val="es-CO" w:eastAsia="en-US"/>
                            </w:rPr>
                            <m:t>i</m:t>
                          </m:r>
                        </m:sub>
                      </m:sSub>
                    </m:oMath>
                  </m:oMathPara>
                </w:p>
              </w:tc>
              <w:tc>
                <w:tcPr>
                  <w:tcW w:w="4320" w:type="dxa"/>
                </w:tcPr>
                <w:p w:rsidR="000B65DE" w:rsidRDefault="000B65DE" w:rsidP="000B65DE">
                  <w:pPr>
                    <w:tabs>
                      <w:tab w:val="left" w:pos="107"/>
                    </w:tabs>
                    <w:spacing w:after="200"/>
                    <w:ind w:left="107"/>
                    <w:jc w:val="both"/>
                    <w:rPr>
                      <w:rFonts w:ascii="Bookman Old Style" w:hAnsi="Bookman Old Style" w:cs="Arial"/>
                      <w:lang w:val="es-CO" w:eastAsia="en-US"/>
                    </w:rPr>
                  </w:pPr>
                  <w:r w:rsidRPr="000B65DE">
                    <w:rPr>
                      <w:rFonts w:ascii="Bookman Old Style" w:hAnsi="Bookman Old Style" w:cs="Arial"/>
                      <w:lang w:val="es-CO" w:eastAsia="en-US"/>
                    </w:rPr>
                    <w:t xml:space="preserve">Unidad Constructiva </w:t>
                  </w:r>
                  <w:r w:rsidRPr="000B65DE">
                    <w:rPr>
                      <w:rFonts w:ascii="Bookman Old Style" w:hAnsi="Bookman Old Style" w:cs="Arial"/>
                      <w:i/>
                      <w:lang w:val="es-CO" w:eastAsia="en-US"/>
                    </w:rPr>
                    <w:t>i</w:t>
                  </w:r>
                  <w:r w:rsidRPr="000B65DE">
                    <w:rPr>
                      <w:rFonts w:ascii="Bookman Old Style" w:hAnsi="Bookman Old Style" w:cs="Arial"/>
                      <w:lang w:val="es-CO" w:eastAsia="en-US"/>
                    </w:rPr>
                    <w:t xml:space="preserve"> del Programa de Nuevas Inversiones a ejecutar en el nuevo Período Tarifario y que está relacionada en el </w:t>
                  </w:r>
                  <w:r w:rsidR="00AF6018" w:rsidRPr="000B65DE">
                    <w:rPr>
                      <w:rFonts w:ascii="Bookman Old Style" w:hAnsi="Bookman Old Style" w:cs="Arial"/>
                      <w:lang w:val="es-CO" w:eastAsia="en-US"/>
                    </w:rPr>
                    <w:fldChar w:fldCharType="begin"/>
                  </w:r>
                  <w:r w:rsidRPr="000B65DE">
                    <w:rPr>
                      <w:rFonts w:ascii="Bookman Old Style" w:hAnsi="Bookman Old Style" w:cs="Arial"/>
                      <w:lang w:val="es-CO" w:eastAsia="en-US"/>
                    </w:rPr>
                    <w:instrText xml:space="preserve"> REF _Ref332815666 \r \h </w:instrText>
                  </w:r>
                  <w:r w:rsidR="00AF6018" w:rsidRPr="000B65DE">
                    <w:rPr>
                      <w:rFonts w:ascii="Bookman Old Style" w:hAnsi="Bookman Old Style" w:cs="Arial"/>
                      <w:lang w:val="es-CO" w:eastAsia="en-US"/>
                    </w:rPr>
                  </w:r>
                  <w:r w:rsidR="00AF6018" w:rsidRPr="000B65DE">
                    <w:rPr>
                      <w:rFonts w:ascii="Bookman Old Style" w:hAnsi="Bookman Old Style" w:cs="Arial"/>
                      <w:lang w:val="es-CO" w:eastAsia="en-US"/>
                    </w:rPr>
                    <w:fldChar w:fldCharType="separate"/>
                  </w:r>
                  <w:r w:rsidR="004D5C18">
                    <w:rPr>
                      <w:rFonts w:ascii="Bookman Old Style" w:hAnsi="Bookman Old Style" w:cs="Arial"/>
                      <w:lang w:val="es-CO" w:eastAsia="en-US"/>
                    </w:rPr>
                    <w:t>ANEXO 7</w:t>
                  </w:r>
                  <w:r w:rsidR="00AF6018" w:rsidRPr="000B65DE">
                    <w:rPr>
                      <w:rFonts w:ascii="Bookman Old Style" w:hAnsi="Bookman Old Style" w:cs="Arial"/>
                      <w:lang w:val="es-CO" w:eastAsia="en-US"/>
                    </w:rPr>
                    <w:fldChar w:fldCharType="end"/>
                  </w:r>
                  <w:r w:rsidRPr="000B65DE">
                    <w:rPr>
                      <w:rFonts w:ascii="Bookman Old Style" w:hAnsi="Bookman Old Style" w:cs="Arial"/>
                      <w:lang w:val="es-CO" w:eastAsia="en-US"/>
                    </w:rPr>
                    <w:t xml:space="preserve"> y </w:t>
                  </w:r>
                  <w:r w:rsidR="00AF6018" w:rsidRPr="000B65DE">
                    <w:rPr>
                      <w:rFonts w:ascii="Bookman Old Style" w:hAnsi="Bookman Old Style" w:cs="Arial"/>
                      <w:lang w:val="es-CO" w:eastAsia="en-US"/>
                    </w:rPr>
                    <w:fldChar w:fldCharType="begin"/>
                  </w:r>
                  <w:r w:rsidRPr="000B65DE">
                    <w:rPr>
                      <w:rFonts w:ascii="Bookman Old Style" w:hAnsi="Bookman Old Style" w:cs="Arial"/>
                      <w:lang w:val="es-CO" w:eastAsia="en-US"/>
                    </w:rPr>
                    <w:instrText xml:space="preserve"> REF _Ref330910423 \r \h </w:instrText>
                  </w:r>
                  <w:r w:rsidR="00AF6018" w:rsidRPr="000B65DE">
                    <w:rPr>
                      <w:rFonts w:ascii="Bookman Old Style" w:hAnsi="Bookman Old Style" w:cs="Arial"/>
                      <w:lang w:val="es-CO" w:eastAsia="en-US"/>
                    </w:rPr>
                  </w:r>
                  <w:r w:rsidR="00AF6018" w:rsidRPr="000B65DE">
                    <w:rPr>
                      <w:rFonts w:ascii="Bookman Old Style" w:hAnsi="Bookman Old Style" w:cs="Arial"/>
                      <w:lang w:val="es-CO" w:eastAsia="en-US"/>
                    </w:rPr>
                    <w:fldChar w:fldCharType="separate"/>
                  </w:r>
                  <w:r w:rsidR="004D5C18">
                    <w:rPr>
                      <w:rFonts w:ascii="Bookman Old Style" w:hAnsi="Bookman Old Style" w:cs="Arial"/>
                      <w:lang w:val="es-CO" w:eastAsia="en-US"/>
                    </w:rPr>
                    <w:t>ANEXO 8</w:t>
                  </w:r>
                  <w:r w:rsidR="00AF6018" w:rsidRPr="000B65DE">
                    <w:rPr>
                      <w:rFonts w:ascii="Bookman Old Style" w:hAnsi="Bookman Old Style" w:cs="Arial"/>
                      <w:lang w:val="es-CO" w:eastAsia="en-US"/>
                    </w:rPr>
                    <w:fldChar w:fldCharType="end"/>
                  </w:r>
                </w:p>
                <w:p w:rsidR="009400EB" w:rsidRPr="000B65DE" w:rsidRDefault="009400EB" w:rsidP="000B65DE">
                  <w:pPr>
                    <w:tabs>
                      <w:tab w:val="left" w:pos="107"/>
                    </w:tabs>
                    <w:spacing w:after="200"/>
                    <w:ind w:left="107"/>
                    <w:jc w:val="both"/>
                    <w:rPr>
                      <w:rFonts w:ascii="Bookman Old Style" w:hAnsi="Bookman Old Style" w:cs="Arial"/>
                      <w:lang w:val="es-CO" w:eastAsia="en-US"/>
                    </w:rPr>
                  </w:pPr>
                </w:p>
              </w:tc>
            </w:tr>
            <w:tr w:rsidR="000B65DE" w:rsidRPr="000B65DE" w:rsidTr="00382E27">
              <w:tc>
                <w:tcPr>
                  <w:tcW w:w="1775" w:type="dxa"/>
                </w:tcPr>
                <w:p w:rsidR="000B65DE" w:rsidRPr="0092172B" w:rsidRDefault="00364E59" w:rsidP="000B65DE">
                  <w:pPr>
                    <w:tabs>
                      <w:tab w:val="left" w:pos="176"/>
                    </w:tabs>
                    <w:spacing w:after="200" w:line="276" w:lineRule="auto"/>
                    <w:ind w:left="34" w:hanging="34"/>
                    <w:rPr>
                      <w:rFonts w:ascii="Bookman Old Style" w:hAnsi="Bookman Old Style" w:cs="Arial"/>
                      <w:lang w:val="es-CO" w:eastAsia="en-US"/>
                    </w:rPr>
                  </w:pPr>
                  <m:oMathPara>
                    <m:oMathParaPr>
                      <m:jc m:val="left"/>
                    </m:oMathParaPr>
                    <m:oMath>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QUCPNI</m:t>
                          </m:r>
                        </m:e>
                        <m:sub>
                          <m:r>
                            <m:rPr>
                              <m:sty m:val="p"/>
                            </m:rPr>
                            <w:rPr>
                              <w:rFonts w:ascii="Cambria Math" w:eastAsia="Calibri" w:hAnsi="Cambria Math" w:cs="Arial"/>
                              <w:lang w:val="es-CO" w:eastAsia="en-US"/>
                            </w:rPr>
                            <m:t>ik</m:t>
                          </m:r>
                        </m:sub>
                      </m:sSub>
                    </m:oMath>
                  </m:oMathPara>
                </w:p>
              </w:tc>
              <w:tc>
                <w:tcPr>
                  <w:tcW w:w="4320" w:type="dxa"/>
                </w:tcPr>
                <w:p w:rsidR="000B65DE" w:rsidRPr="000B65DE" w:rsidRDefault="000B65DE" w:rsidP="000B65DE">
                  <w:pPr>
                    <w:tabs>
                      <w:tab w:val="left" w:pos="107"/>
                    </w:tabs>
                    <w:spacing w:after="200"/>
                    <w:ind w:left="107"/>
                    <w:jc w:val="both"/>
                    <w:rPr>
                      <w:rFonts w:ascii="Bookman Old Style" w:hAnsi="Bookman Old Style" w:cs="Arial"/>
                      <w:lang w:val="es-CO" w:eastAsia="en-US"/>
                    </w:rPr>
                  </w:pPr>
                  <w:r w:rsidRPr="000B65DE">
                    <w:rPr>
                      <w:rFonts w:ascii="Bookman Old Style" w:hAnsi="Bookman Old Style" w:cs="Arial"/>
                      <w:lang w:val="es-CO" w:eastAsia="en-US"/>
                    </w:rPr>
                    <w:t xml:space="preserve">Cantidad de la Unidad Constructiva </w:t>
                  </w:r>
                  <m:oMath>
                    <m:sSub>
                      <m:sSubPr>
                        <m:ctrlPr>
                          <w:rPr>
                            <w:rFonts w:ascii="Cambria Math" w:eastAsia="Calibri" w:hAnsi="Cambria Math" w:cs="Arial"/>
                            <w:i/>
                            <w:lang w:val="es-CO" w:eastAsia="en-US"/>
                          </w:rPr>
                        </m:ctrlPr>
                      </m:sSubPr>
                      <m:e>
                        <m:r>
                          <w:rPr>
                            <w:rFonts w:ascii="Cambria Math" w:eastAsia="Calibri" w:hAnsi="Cambria Math" w:cs="Arial"/>
                            <w:lang w:val="es-CO" w:eastAsia="en-US"/>
                          </w:rPr>
                          <m:t>UCPNI</m:t>
                        </m:r>
                      </m:e>
                      <m:sub>
                        <m:r>
                          <w:rPr>
                            <w:rFonts w:ascii="Cambria Math" w:eastAsia="Calibri" w:hAnsi="Cambria Math" w:cs="Arial"/>
                            <w:lang w:val="es-CO" w:eastAsia="en-US"/>
                          </w:rPr>
                          <m:t>i</m:t>
                        </m:r>
                      </m:sub>
                    </m:sSub>
                  </m:oMath>
                  <w:r w:rsidRPr="000B65DE">
                    <w:rPr>
                      <w:rFonts w:ascii="Bookman Old Style" w:hAnsi="Bookman Old Style" w:cs="Arial"/>
                      <w:lang w:val="es-CO" w:eastAsia="en-US"/>
                    </w:rPr>
                    <w:t>, reportada para el Mercado Relevante de Distribución para el Siguiente Período Tarifario k</w:t>
                  </w:r>
                </w:p>
              </w:tc>
            </w:tr>
            <w:tr w:rsidR="000B65DE" w:rsidRPr="000B65DE" w:rsidTr="00382E27">
              <w:tc>
                <w:tcPr>
                  <w:tcW w:w="1775" w:type="dxa"/>
                </w:tcPr>
                <w:p w:rsidR="000B65DE" w:rsidRPr="0092172B" w:rsidRDefault="00364E59" w:rsidP="000B65DE">
                  <w:pPr>
                    <w:tabs>
                      <w:tab w:val="left" w:pos="176"/>
                    </w:tabs>
                    <w:spacing w:after="200" w:line="276" w:lineRule="auto"/>
                    <w:ind w:left="34" w:hanging="34"/>
                    <w:rPr>
                      <w:rFonts w:ascii="Bookman Old Style" w:hAnsi="Bookman Old Style" w:cs="Arial"/>
                      <w:lang w:val="es-CO" w:eastAsia="en-US"/>
                    </w:rPr>
                  </w:pPr>
                  <m:oMathPara>
                    <m:oMathParaPr>
                      <m:jc m:val="left"/>
                    </m:oMathParaPr>
                    <m:oMath>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PUCPNI</m:t>
                          </m:r>
                        </m:e>
                        <m:sub>
                          <m:r>
                            <m:rPr>
                              <m:sty m:val="p"/>
                            </m:rPr>
                            <w:rPr>
                              <w:rFonts w:ascii="Cambria Math" w:eastAsia="Calibri" w:hAnsi="Cambria Math" w:cs="Arial"/>
                              <w:lang w:val="es-CO" w:eastAsia="en-US"/>
                            </w:rPr>
                            <m:t>i</m:t>
                          </m:r>
                        </m:sub>
                      </m:sSub>
                    </m:oMath>
                  </m:oMathPara>
                </w:p>
              </w:tc>
              <w:tc>
                <w:tcPr>
                  <w:tcW w:w="4320" w:type="dxa"/>
                </w:tcPr>
                <w:p w:rsidR="000B65DE" w:rsidRPr="000B65DE" w:rsidRDefault="000B65DE" w:rsidP="000B65DE">
                  <w:pPr>
                    <w:tabs>
                      <w:tab w:val="left" w:pos="107"/>
                    </w:tabs>
                    <w:spacing w:after="200"/>
                    <w:ind w:left="107"/>
                    <w:jc w:val="both"/>
                    <w:rPr>
                      <w:rFonts w:ascii="Bookman Old Style" w:hAnsi="Bookman Old Style" w:cs="Arial"/>
                      <w:lang w:val="es-CO" w:eastAsia="en-US"/>
                    </w:rPr>
                  </w:pPr>
                  <w:r w:rsidRPr="000B65DE">
                    <w:rPr>
                      <w:rFonts w:ascii="Bookman Old Style" w:hAnsi="Bookman Old Style" w:cs="Arial"/>
                      <w:lang w:val="es-CO" w:eastAsia="en-US"/>
                    </w:rPr>
                    <w:t xml:space="preserve">Costo unitario eficiente definido por la Comisión para la Unidad Constructiva </w:t>
                  </w:r>
                  <m:oMath>
                    <m:sSub>
                      <m:sSubPr>
                        <m:ctrlPr>
                          <w:rPr>
                            <w:rFonts w:ascii="Cambria Math" w:hAnsi="Cambria Math" w:cs="Arial"/>
                            <w:lang w:val="es-CO" w:eastAsia="en-US"/>
                          </w:rPr>
                        </m:ctrlPr>
                      </m:sSubPr>
                      <m:e>
                        <m:r>
                          <w:rPr>
                            <w:rFonts w:ascii="Cambria Math" w:hAnsi="Cambria Math" w:cs="Arial"/>
                            <w:lang w:val="es-CO" w:eastAsia="en-US"/>
                          </w:rPr>
                          <m:t>UCPNI</m:t>
                        </m:r>
                      </m:e>
                      <m:sub>
                        <m:r>
                          <w:rPr>
                            <w:rFonts w:ascii="Cambria Math" w:hAnsi="Cambria Math" w:cs="Arial"/>
                            <w:lang w:val="es-CO" w:eastAsia="en-US"/>
                          </w:rPr>
                          <m:t>i</m:t>
                        </m:r>
                      </m:sub>
                    </m:sSub>
                  </m:oMath>
                  <w:r w:rsidRPr="000B65DE">
                    <w:rPr>
                      <w:rFonts w:ascii="Bookman Old Style" w:hAnsi="Bookman Old Style" w:cs="Arial"/>
                      <w:lang w:val="es-CO" w:eastAsia="en-US"/>
                    </w:rPr>
                    <w:t xml:space="preserve"> relacionado en el </w:t>
                  </w:r>
                  <w:r w:rsidR="00AF6018" w:rsidRPr="000B65DE">
                    <w:rPr>
                      <w:rFonts w:ascii="Bookman Old Style" w:hAnsi="Bookman Old Style" w:cs="Arial"/>
                      <w:lang w:val="es-CO" w:eastAsia="en-US"/>
                    </w:rPr>
                    <w:fldChar w:fldCharType="begin"/>
                  </w:r>
                  <w:r w:rsidRPr="000B65DE">
                    <w:rPr>
                      <w:rFonts w:ascii="Bookman Old Style" w:hAnsi="Bookman Old Style" w:cs="Arial"/>
                      <w:lang w:val="es-CO" w:eastAsia="en-US"/>
                    </w:rPr>
                    <w:instrText xml:space="preserve"> REF _Ref330910423 \r \h </w:instrText>
                  </w:r>
                  <w:r w:rsidR="00AF6018" w:rsidRPr="000B65DE">
                    <w:rPr>
                      <w:rFonts w:ascii="Bookman Old Style" w:hAnsi="Bookman Old Style" w:cs="Arial"/>
                      <w:lang w:val="es-CO" w:eastAsia="en-US"/>
                    </w:rPr>
                  </w:r>
                  <w:r w:rsidR="00AF6018" w:rsidRPr="000B65DE">
                    <w:rPr>
                      <w:rFonts w:ascii="Bookman Old Style" w:hAnsi="Bookman Old Style" w:cs="Arial"/>
                      <w:lang w:val="es-CO" w:eastAsia="en-US"/>
                    </w:rPr>
                    <w:fldChar w:fldCharType="separate"/>
                  </w:r>
                  <w:r w:rsidR="004D5C18">
                    <w:rPr>
                      <w:rFonts w:ascii="Bookman Old Style" w:hAnsi="Bookman Old Style" w:cs="Arial"/>
                      <w:lang w:val="es-CO" w:eastAsia="en-US"/>
                    </w:rPr>
                    <w:t>ANEXO 8</w:t>
                  </w:r>
                  <w:r w:rsidR="00AF6018" w:rsidRPr="000B65DE">
                    <w:rPr>
                      <w:rFonts w:ascii="Bookman Old Style" w:hAnsi="Bookman Old Style" w:cs="Arial"/>
                      <w:lang w:val="es-CO" w:eastAsia="en-US"/>
                    </w:rPr>
                    <w:fldChar w:fldCharType="end"/>
                  </w:r>
                  <w:r w:rsidRPr="000B65DE">
                    <w:rPr>
                      <w:rFonts w:ascii="Bookman Old Style" w:hAnsi="Bookman Old Style" w:cs="Arial"/>
                      <w:lang w:val="es-CO" w:eastAsia="en-US"/>
                    </w:rPr>
                    <w:t xml:space="preserve"> y que se debe ajustar a la Fecha Base.</w:t>
                  </w:r>
                </w:p>
              </w:tc>
            </w:tr>
            <w:tr w:rsidR="000B65DE" w:rsidRPr="000B65DE" w:rsidTr="00382E27">
              <w:tc>
                <w:tcPr>
                  <w:tcW w:w="1775" w:type="dxa"/>
                </w:tcPr>
                <w:p w:rsidR="000B65DE" w:rsidRPr="000B65DE" w:rsidRDefault="000B65DE" w:rsidP="000B65DE">
                  <w:pPr>
                    <w:tabs>
                      <w:tab w:val="left" w:pos="176"/>
                    </w:tabs>
                    <w:spacing w:after="200" w:line="276" w:lineRule="auto"/>
                    <w:ind w:left="34" w:hanging="34"/>
                    <w:rPr>
                      <w:lang w:val="es-CO" w:eastAsia="en-US"/>
                    </w:rPr>
                  </w:pPr>
                  <w:r w:rsidRPr="000B65DE">
                    <w:rPr>
                      <w:rFonts w:ascii="Bookman Old Style" w:eastAsia="Calibri" w:hAnsi="Bookman Old Style" w:cs="Arial"/>
                      <w:lang w:val="es-CO" w:eastAsia="en-US"/>
                    </w:rPr>
                    <w:t>n</w:t>
                  </w:r>
                </w:p>
              </w:tc>
              <w:tc>
                <w:tcPr>
                  <w:tcW w:w="4320" w:type="dxa"/>
                </w:tcPr>
                <w:p w:rsidR="000B65DE" w:rsidRPr="000B65DE" w:rsidRDefault="000B65DE" w:rsidP="000B65DE">
                  <w:pPr>
                    <w:tabs>
                      <w:tab w:val="left" w:pos="107"/>
                    </w:tabs>
                    <w:spacing w:after="200"/>
                    <w:ind w:left="107"/>
                    <w:jc w:val="both"/>
                    <w:rPr>
                      <w:rFonts w:ascii="Bookman Old Style" w:hAnsi="Bookman Old Style" w:cs="Arial"/>
                      <w:lang w:val="es-CO" w:eastAsia="en-US"/>
                    </w:rPr>
                  </w:pPr>
                  <w:r w:rsidRPr="000B65DE">
                    <w:rPr>
                      <w:rFonts w:ascii="Bookman Old Style" w:eastAsia="Calibri" w:hAnsi="Bookman Old Style" w:cs="Arial"/>
                      <w:lang w:val="es-CO" w:eastAsia="en-US"/>
                    </w:rPr>
                    <w:t>Número de años de 1 a 5, correspondiente a los años en que se realiza el programa de nuevas inversiones.</w:t>
                  </w:r>
                </w:p>
              </w:tc>
            </w:tr>
            <w:tr w:rsidR="000B65DE" w:rsidRPr="000B65DE" w:rsidTr="00382E27">
              <w:tc>
                <w:tcPr>
                  <w:tcW w:w="1775" w:type="dxa"/>
                </w:tcPr>
                <w:p w:rsidR="000B65DE" w:rsidRPr="000B65DE" w:rsidRDefault="000B65DE" w:rsidP="000B65DE">
                  <w:pPr>
                    <w:tabs>
                      <w:tab w:val="left" w:pos="176"/>
                    </w:tabs>
                    <w:spacing w:after="200" w:line="276" w:lineRule="auto"/>
                    <w:ind w:left="34" w:hanging="34"/>
                    <w:rPr>
                      <w:rFonts w:ascii="Bookman Old Style" w:eastAsia="Calibri" w:hAnsi="Bookman Old Style" w:cs="Arial"/>
                      <w:lang w:val="es-CO" w:eastAsia="en-US"/>
                    </w:rPr>
                  </w:pPr>
                  <w:r w:rsidRPr="000B65DE">
                    <w:rPr>
                      <w:rFonts w:ascii="Bookman Old Style" w:eastAsia="Calibri" w:hAnsi="Bookman Old Style" w:cs="Arial"/>
                      <w:lang w:val="es-CO" w:eastAsia="en-US"/>
                    </w:rPr>
                    <w:t>r</w:t>
                  </w:r>
                </w:p>
              </w:tc>
              <w:tc>
                <w:tcPr>
                  <w:tcW w:w="4320" w:type="dxa"/>
                </w:tcPr>
                <w:p w:rsidR="000B65DE" w:rsidRPr="000B65DE" w:rsidRDefault="000B65DE" w:rsidP="000B65DE">
                  <w:pPr>
                    <w:tabs>
                      <w:tab w:val="left" w:pos="107"/>
                    </w:tabs>
                    <w:spacing w:after="200"/>
                    <w:ind w:left="107"/>
                    <w:jc w:val="both"/>
                    <w:rPr>
                      <w:rFonts w:ascii="Bookman Old Style" w:eastAsia="Calibri" w:hAnsi="Bookman Old Style" w:cs="Arial"/>
                      <w:lang w:val="es-CO" w:eastAsia="en-US"/>
                    </w:rPr>
                  </w:pPr>
                  <w:r w:rsidRPr="000B65DE">
                    <w:rPr>
                      <w:rFonts w:ascii="Bookman Old Style" w:hAnsi="Bookman Old Style" w:cs="Arial"/>
                      <w:lang w:val="es-CO" w:eastAsia="en-US"/>
                    </w:rPr>
                    <w:t>Tasa de Retorno reconocida para la metodología de Precio Máximo.</w:t>
                  </w:r>
                </w:p>
              </w:tc>
            </w:tr>
            <w:tr w:rsidR="000B65DE" w:rsidRPr="000B65DE" w:rsidTr="00382E27">
              <w:tc>
                <w:tcPr>
                  <w:tcW w:w="1775" w:type="dxa"/>
                </w:tcPr>
                <w:p w:rsidR="000B65DE" w:rsidRPr="000B65DE" w:rsidRDefault="000B65DE" w:rsidP="000B65DE">
                  <w:pPr>
                    <w:tabs>
                      <w:tab w:val="left" w:pos="176"/>
                    </w:tabs>
                    <w:spacing w:after="200" w:line="276" w:lineRule="auto"/>
                    <w:ind w:left="34" w:hanging="34"/>
                    <w:rPr>
                      <w:rFonts w:ascii="Bookman Old Style" w:eastAsia="Calibri" w:hAnsi="Bookman Old Style" w:cs="Arial"/>
                      <w:lang w:val="es-CO" w:eastAsia="en-US"/>
                    </w:rPr>
                  </w:pPr>
                  <w:r w:rsidRPr="000B65DE">
                    <w:rPr>
                      <w:rFonts w:ascii="Bookman Old Style" w:eastAsia="Calibri" w:hAnsi="Bookman Old Style" w:cs="Arial"/>
                      <w:lang w:val="es-CO" w:eastAsia="en-US"/>
                    </w:rPr>
                    <w:t>l</w:t>
                  </w:r>
                </w:p>
              </w:tc>
              <w:tc>
                <w:tcPr>
                  <w:tcW w:w="4320" w:type="dxa"/>
                </w:tcPr>
                <w:p w:rsidR="000B65DE" w:rsidRPr="000B65DE" w:rsidRDefault="000B65DE" w:rsidP="000B65DE">
                  <w:pPr>
                    <w:tabs>
                      <w:tab w:val="left" w:pos="107"/>
                    </w:tabs>
                    <w:spacing w:after="200"/>
                    <w:ind w:left="107"/>
                    <w:jc w:val="both"/>
                    <w:rPr>
                      <w:rFonts w:ascii="Bookman Old Style" w:hAnsi="Bookman Old Style" w:cs="Arial"/>
                      <w:lang w:val="es-CO" w:eastAsia="en-US"/>
                    </w:rPr>
                  </w:pPr>
                  <w:r w:rsidRPr="000B65DE">
                    <w:rPr>
                      <w:rFonts w:ascii="Bookman Old Style" w:hAnsi="Bookman Old Style" w:cs="Arial"/>
                      <w:lang w:val="es-ES_tradnl"/>
                    </w:rPr>
                    <w:t xml:space="preserve">Tipo de Red, </w:t>
                  </w:r>
                  <w:r w:rsidRPr="000B65DE">
                    <w:rPr>
                      <w:rFonts w:ascii="Bookman Old Style" w:hAnsi="Bookman Old Style"/>
                      <w:lang w:val="es-ES_tradnl"/>
                    </w:rPr>
                    <w:t>correspondiente a la Red Primaria (RP) o Red Secundaria de Distribución (RS).</w:t>
                  </w:r>
                </w:p>
              </w:tc>
            </w:tr>
          </w:tbl>
          <w:p w:rsidR="000B65DE" w:rsidRPr="000B65DE" w:rsidRDefault="000B65DE" w:rsidP="000B65DE">
            <w:pPr>
              <w:tabs>
                <w:tab w:val="left" w:pos="426"/>
              </w:tabs>
              <w:spacing w:after="200"/>
              <w:ind w:left="0"/>
              <w:jc w:val="both"/>
              <w:rPr>
                <w:rFonts w:ascii="Bookman Old Style" w:hAnsi="Bookman Old Style" w:cs="Arial"/>
                <w:lang w:eastAsia="en-US"/>
              </w:rPr>
            </w:pPr>
          </w:p>
        </w:tc>
      </w:tr>
    </w:tbl>
    <w:p w:rsidR="000B65DE" w:rsidRPr="000B65DE" w:rsidRDefault="000B65DE" w:rsidP="008F4D9F">
      <w:pPr>
        <w:keepNext/>
        <w:numPr>
          <w:ilvl w:val="1"/>
          <w:numId w:val="16"/>
        </w:numPr>
        <w:spacing w:before="240" w:after="60"/>
        <w:ind w:hanging="567"/>
        <w:jc w:val="both"/>
        <w:outlineLvl w:val="0"/>
        <w:rPr>
          <w:rFonts w:ascii="Bookman Old Style" w:hAnsi="Bookman Old Style"/>
          <w:b/>
          <w:bCs/>
          <w:szCs w:val="20"/>
          <w:lang w:val="es-ES_tradnl"/>
        </w:rPr>
      </w:pPr>
      <w:r w:rsidRPr="000B65DE">
        <w:rPr>
          <w:rFonts w:ascii="Bookman Old Style" w:hAnsi="Bookman Old Style"/>
          <w:b/>
          <w:bCs/>
          <w:szCs w:val="20"/>
          <w:lang w:val="es-ES_tradnl"/>
        </w:rPr>
        <w:lastRenderedPageBreak/>
        <w:t xml:space="preserve"> UNIDADES CONSTRUCTIVAS</w:t>
      </w:r>
    </w:p>
    <w:p w:rsidR="000B65DE" w:rsidRPr="000B65DE" w:rsidRDefault="000B65DE" w:rsidP="000B65DE"/>
    <w:p w:rsidR="000B65DE" w:rsidRPr="000B65DE" w:rsidRDefault="000B65DE" w:rsidP="000B65DE">
      <w:pPr>
        <w:ind w:left="0"/>
        <w:jc w:val="both"/>
        <w:rPr>
          <w:rFonts w:ascii="Bookman Old Style" w:hAnsi="Bookman Old Style"/>
          <w:color w:val="000000"/>
        </w:rPr>
      </w:pPr>
      <w:r w:rsidRPr="000B65DE">
        <w:rPr>
          <w:rFonts w:ascii="Bookman Old Style" w:hAnsi="Bookman Old Style"/>
          <w:color w:val="000000"/>
        </w:rPr>
        <w:lastRenderedPageBreak/>
        <w:t xml:space="preserve">Para la identificación y valoración de Sistemas de Distribución de gas combustible por redes de tubería, se adoptan las Unidades Constructivas, las cuales se desagregan para cada tipo de inversión así:  </w:t>
      </w:r>
    </w:p>
    <w:p w:rsidR="000B65DE" w:rsidRPr="0027498B" w:rsidRDefault="000B65DE" w:rsidP="000B65DE">
      <w:pPr>
        <w:ind w:left="0"/>
        <w:jc w:val="both"/>
        <w:rPr>
          <w:rFonts w:ascii="Bookman Old Style" w:hAnsi="Bookman Old Style"/>
          <w:color w:val="000000"/>
          <w:sz w:val="20"/>
        </w:rPr>
      </w:pPr>
    </w:p>
    <w:p w:rsidR="000B65DE" w:rsidRPr="00760173" w:rsidRDefault="000B65DE" w:rsidP="008F4D9F">
      <w:pPr>
        <w:numPr>
          <w:ilvl w:val="2"/>
          <w:numId w:val="16"/>
        </w:numPr>
        <w:ind w:left="851" w:hanging="851"/>
        <w:contextualSpacing/>
        <w:jc w:val="both"/>
        <w:rPr>
          <w:rFonts w:ascii="Bookman Old Style" w:hAnsi="Bookman Old Style"/>
          <w:lang w:val="es-ES_tradnl"/>
        </w:rPr>
      </w:pPr>
      <w:r w:rsidRPr="00760173">
        <w:rPr>
          <w:rFonts w:ascii="Bookman Old Style" w:hAnsi="Bookman Old Style"/>
          <w:b/>
          <w:lang w:val="es-CO"/>
        </w:rPr>
        <w:t xml:space="preserve">Unidades Constructivas para la Valoración de la </w:t>
      </w:r>
      <w:r w:rsidRPr="00760173">
        <w:rPr>
          <w:rFonts w:ascii="Bookman Old Style" w:hAnsi="Bookman Old Style"/>
          <w:b/>
          <w:lang w:val="es-ES_tradnl"/>
        </w:rPr>
        <w:t>Inversión en Activos Existente (IE):</w:t>
      </w:r>
      <w:r w:rsidRPr="00760173">
        <w:rPr>
          <w:rFonts w:ascii="Bookman Old Style" w:hAnsi="Bookman Old Style"/>
          <w:lang w:val="es-ES_tradnl"/>
        </w:rPr>
        <w:t xml:space="preserve"> La Inversión Existente correspondiente a activos realizados antes del Período Tarifario anterior (Resolución CREG 011 de 2003) será valorada de acuerdo con las Unidades Constructivas y los costos unitarios, ajustados a la Fecha Base, definidos en el </w:t>
      </w:r>
      <w:r w:rsidR="008B26D0" w:rsidRPr="00760173">
        <w:fldChar w:fldCharType="begin"/>
      </w:r>
      <w:r w:rsidR="008B26D0" w:rsidRPr="00760173">
        <w:instrText xml:space="preserve"> REF _Ref289697078 \r \h  \* MERGEFORMAT </w:instrText>
      </w:r>
      <w:r w:rsidR="008B26D0" w:rsidRPr="00760173">
        <w:fldChar w:fldCharType="separate"/>
      </w:r>
      <w:r w:rsidR="004D5C18" w:rsidRPr="004D5C18">
        <w:rPr>
          <w:rFonts w:ascii="Bookman Old Style" w:hAnsi="Bookman Old Style"/>
          <w:lang w:val="es-ES_tradnl"/>
        </w:rPr>
        <w:t>ANEXO 4</w:t>
      </w:r>
      <w:r w:rsidR="008B26D0" w:rsidRPr="00760173">
        <w:fldChar w:fldCharType="end"/>
      </w:r>
      <w:r w:rsidRPr="00760173">
        <w:rPr>
          <w:rFonts w:ascii="Bookman Old Style" w:hAnsi="Bookman Old Style"/>
          <w:lang w:val="es-ES_tradnl"/>
        </w:rPr>
        <w:t xml:space="preserve"> y </w:t>
      </w:r>
      <w:r w:rsidR="008B26D0" w:rsidRPr="00760173">
        <w:fldChar w:fldCharType="begin"/>
      </w:r>
      <w:r w:rsidR="008B26D0" w:rsidRPr="00760173">
        <w:instrText xml:space="preserve"> REF _Ref320543087 \r \h  \* MERGEFORMAT </w:instrText>
      </w:r>
      <w:r w:rsidR="008B26D0" w:rsidRPr="00760173">
        <w:fldChar w:fldCharType="separate"/>
      </w:r>
      <w:r w:rsidR="004D5C18" w:rsidRPr="004D5C18">
        <w:rPr>
          <w:rFonts w:ascii="Bookman Old Style" w:hAnsi="Bookman Old Style"/>
          <w:lang w:val="es-ES_tradnl"/>
        </w:rPr>
        <w:t>ANEXO 5</w:t>
      </w:r>
      <w:r w:rsidR="008B26D0" w:rsidRPr="00760173">
        <w:fldChar w:fldCharType="end"/>
      </w:r>
      <w:r w:rsidRPr="00760173">
        <w:rPr>
          <w:rFonts w:ascii="Bookman Old Style" w:hAnsi="Bookman Old Style"/>
          <w:lang w:val="es-ES_tradnl"/>
        </w:rPr>
        <w:t xml:space="preserve"> de esta resolución.</w:t>
      </w:r>
    </w:p>
    <w:p w:rsidR="000B65DE" w:rsidRPr="00760173" w:rsidRDefault="000B65DE" w:rsidP="000B65DE">
      <w:pPr>
        <w:ind w:left="851"/>
        <w:contextualSpacing/>
        <w:jc w:val="both"/>
        <w:rPr>
          <w:rFonts w:ascii="Bookman Old Style" w:hAnsi="Bookman Old Style"/>
          <w:sz w:val="22"/>
          <w:lang w:val="es-ES_tradnl"/>
        </w:rPr>
      </w:pPr>
    </w:p>
    <w:p w:rsidR="000B65DE" w:rsidRPr="000B65DE" w:rsidRDefault="000B65DE" w:rsidP="008F4D9F">
      <w:pPr>
        <w:numPr>
          <w:ilvl w:val="2"/>
          <w:numId w:val="16"/>
        </w:numPr>
        <w:ind w:left="851" w:hanging="851"/>
        <w:contextualSpacing/>
        <w:jc w:val="both"/>
        <w:rPr>
          <w:rFonts w:ascii="Bookman Old Style" w:hAnsi="Bookman Old Style"/>
          <w:lang w:val="es-CO"/>
        </w:rPr>
      </w:pPr>
      <w:r w:rsidRPr="000B65DE">
        <w:rPr>
          <w:rFonts w:ascii="Bookman Old Style" w:hAnsi="Bookman Old Style"/>
          <w:b/>
          <w:lang w:val="es-CO"/>
        </w:rPr>
        <w:t xml:space="preserve">Unidades Constructivas para la Valoración de la Inversión Programada en nuevas inversiones  que fue reconocida y ejecutada en la anterior revisión tarifaria (IPE) o Inversión ejecutada durante el Período Tarifario y no prevista en el Programa de Nuevas Inversiones (INPE): </w:t>
      </w:r>
      <w:r w:rsidRPr="000B65DE">
        <w:rPr>
          <w:rFonts w:ascii="Bookman Old Style" w:hAnsi="Bookman Old Style"/>
          <w:lang w:val="es-CO"/>
        </w:rPr>
        <w:t xml:space="preserve">Los activos </w:t>
      </w:r>
      <w:r w:rsidRPr="00FA6A59">
        <w:rPr>
          <w:rFonts w:ascii="Bookman Old Style" w:hAnsi="Bookman Old Style"/>
          <w:lang w:val="es-CO"/>
        </w:rPr>
        <w:t>realizad</w:t>
      </w:r>
      <w:r w:rsidR="0027498B" w:rsidRPr="00FA6A59">
        <w:rPr>
          <w:rFonts w:ascii="Bookman Old Style" w:hAnsi="Bookman Old Style"/>
          <w:lang w:val="es-CO"/>
        </w:rPr>
        <w:t>o</w:t>
      </w:r>
      <w:r w:rsidRPr="00FA6A59">
        <w:rPr>
          <w:rFonts w:ascii="Bookman Old Style" w:hAnsi="Bookman Old Style"/>
          <w:lang w:val="es-CO"/>
        </w:rPr>
        <w:t>s</w:t>
      </w:r>
      <w:r w:rsidRPr="000B65DE">
        <w:rPr>
          <w:rFonts w:ascii="Bookman Old Style" w:hAnsi="Bookman Old Style"/>
          <w:lang w:val="es-CO"/>
        </w:rPr>
        <w:t xml:space="preserve"> durante el Período Tarifario anterior (Resolución CREG 011 de 2003</w:t>
      </w:r>
      <w:r w:rsidRPr="00FA6A59">
        <w:rPr>
          <w:rFonts w:ascii="Bookman Old Style" w:hAnsi="Bookman Old Style"/>
          <w:lang w:val="es-CO"/>
        </w:rPr>
        <w:t xml:space="preserve">) </w:t>
      </w:r>
      <w:r w:rsidR="0027498B" w:rsidRPr="00FA6A59">
        <w:rPr>
          <w:rFonts w:ascii="Bookman Old Style" w:hAnsi="Bookman Old Style"/>
          <w:lang w:val="es-CO"/>
        </w:rPr>
        <w:t xml:space="preserve"> </w:t>
      </w:r>
      <w:r w:rsidRPr="00FA6A59">
        <w:rPr>
          <w:rFonts w:ascii="Bookman Old Style" w:hAnsi="Bookman Old Style"/>
          <w:lang w:val="es-CO"/>
        </w:rPr>
        <w:t>será</w:t>
      </w:r>
      <w:r w:rsidR="0027498B" w:rsidRPr="00FA6A59">
        <w:rPr>
          <w:rFonts w:ascii="Bookman Old Style" w:hAnsi="Bookman Old Style"/>
          <w:lang w:val="es-CO"/>
        </w:rPr>
        <w:t>n</w:t>
      </w:r>
      <w:r w:rsidRPr="00FA6A59">
        <w:rPr>
          <w:rFonts w:ascii="Bookman Old Style" w:hAnsi="Bookman Old Style"/>
          <w:lang w:val="es-CO"/>
        </w:rPr>
        <w:t xml:space="preserve"> valorado</w:t>
      </w:r>
      <w:r w:rsidR="0027498B" w:rsidRPr="00FA6A59">
        <w:rPr>
          <w:rFonts w:ascii="Bookman Old Style" w:hAnsi="Bookman Old Style"/>
          <w:lang w:val="es-CO"/>
        </w:rPr>
        <w:t>s</w:t>
      </w:r>
      <w:r w:rsidR="0027498B">
        <w:rPr>
          <w:rFonts w:ascii="Bookman Old Style" w:hAnsi="Bookman Old Style"/>
          <w:lang w:val="es-CO"/>
        </w:rPr>
        <w:t xml:space="preserve"> </w:t>
      </w:r>
      <w:r w:rsidRPr="000B65DE">
        <w:rPr>
          <w:rFonts w:ascii="Bookman Old Style" w:hAnsi="Bookman Old Style"/>
          <w:lang w:val="es-CO"/>
        </w:rPr>
        <w:t xml:space="preserve"> de acuerdo con las Unidades Constructivas y los costos unitarios, ajustados a la Fecha Base, indicados en el </w:t>
      </w:r>
      <w:r w:rsidR="00AF6018" w:rsidRPr="000B65DE">
        <w:rPr>
          <w:rFonts w:ascii="Bookman Old Style" w:hAnsi="Bookman Old Style"/>
          <w:lang w:val="es-CO"/>
        </w:rPr>
        <w:fldChar w:fldCharType="begin"/>
      </w:r>
      <w:r w:rsidRPr="000B65DE">
        <w:rPr>
          <w:rFonts w:ascii="Bookman Old Style" w:hAnsi="Bookman Old Style"/>
          <w:lang w:val="es-CO"/>
        </w:rPr>
        <w:instrText xml:space="preserve"> REF _Ref332815662 \r \h </w:instrText>
      </w:r>
      <w:r w:rsidR="00AF6018" w:rsidRPr="000B65DE">
        <w:rPr>
          <w:rFonts w:ascii="Bookman Old Style" w:hAnsi="Bookman Old Style"/>
          <w:lang w:val="es-CO"/>
        </w:rPr>
      </w:r>
      <w:r w:rsidR="00AF6018" w:rsidRPr="000B65DE">
        <w:rPr>
          <w:rFonts w:ascii="Bookman Old Style" w:hAnsi="Bookman Old Style"/>
          <w:lang w:val="es-CO"/>
        </w:rPr>
        <w:fldChar w:fldCharType="separate"/>
      </w:r>
      <w:r w:rsidR="004D5C18">
        <w:rPr>
          <w:rFonts w:ascii="Bookman Old Style" w:hAnsi="Bookman Old Style"/>
          <w:lang w:val="es-CO"/>
        </w:rPr>
        <w:t>ANEXO 6</w:t>
      </w:r>
      <w:r w:rsidR="00AF6018" w:rsidRPr="000B65DE">
        <w:rPr>
          <w:rFonts w:ascii="Bookman Old Style" w:hAnsi="Bookman Old Style"/>
          <w:lang w:val="es-CO"/>
        </w:rPr>
        <w:fldChar w:fldCharType="end"/>
      </w:r>
      <w:r w:rsidRPr="000B65DE">
        <w:rPr>
          <w:rFonts w:ascii="Bookman Old Style" w:hAnsi="Bookman Old Style"/>
          <w:lang w:val="es-CO"/>
        </w:rPr>
        <w:t xml:space="preserve"> de esta resolución. Sólo se utilizará las del </w:t>
      </w:r>
      <w:r w:rsidR="00AF6018" w:rsidRPr="000B65DE">
        <w:rPr>
          <w:rFonts w:ascii="Bookman Old Style" w:hAnsi="Bookman Old Style"/>
          <w:lang w:val="es-CO"/>
        </w:rPr>
        <w:fldChar w:fldCharType="begin"/>
      </w:r>
      <w:r w:rsidRPr="000B65DE">
        <w:rPr>
          <w:rFonts w:ascii="Bookman Old Style" w:hAnsi="Bookman Old Style"/>
          <w:lang w:val="es-CO"/>
        </w:rPr>
        <w:instrText xml:space="preserve"> REF _Ref330910423 \r \h </w:instrText>
      </w:r>
      <w:r w:rsidR="00AF6018" w:rsidRPr="000B65DE">
        <w:rPr>
          <w:rFonts w:ascii="Bookman Old Style" w:hAnsi="Bookman Old Style"/>
          <w:lang w:val="es-CO"/>
        </w:rPr>
      </w:r>
      <w:r w:rsidR="00AF6018" w:rsidRPr="000B65DE">
        <w:rPr>
          <w:rFonts w:ascii="Bookman Old Style" w:hAnsi="Bookman Old Style"/>
          <w:lang w:val="es-CO"/>
        </w:rPr>
        <w:fldChar w:fldCharType="separate"/>
      </w:r>
      <w:r w:rsidR="004D5C18">
        <w:rPr>
          <w:rFonts w:ascii="Bookman Old Style" w:hAnsi="Bookman Old Style"/>
          <w:lang w:val="es-CO"/>
        </w:rPr>
        <w:t>ANEXO 8</w:t>
      </w:r>
      <w:r w:rsidR="00AF6018" w:rsidRPr="000B65DE">
        <w:rPr>
          <w:rFonts w:ascii="Bookman Old Style" w:hAnsi="Bookman Old Style"/>
          <w:lang w:val="es-CO"/>
        </w:rPr>
        <w:fldChar w:fldCharType="end"/>
      </w:r>
      <w:r w:rsidRPr="000B65DE">
        <w:rPr>
          <w:rFonts w:ascii="Bookman Old Style" w:hAnsi="Bookman Old Style"/>
          <w:lang w:val="es-CO"/>
        </w:rPr>
        <w:t xml:space="preserve"> en los casos de Unidades Constructivas no definidas en el ANEXO 6 o de las definidas en el ANEXO 6 pero que se construyeron en Cali, Floridablanca y otros Municipios de Antioquia </w:t>
      </w:r>
      <w:r w:rsidRPr="003078F2">
        <w:rPr>
          <w:rFonts w:ascii="Bookman Old Style" w:hAnsi="Bookman Old Style"/>
          <w:lang w:val="es-CO"/>
        </w:rPr>
        <w:t>con posterioridad al</w:t>
      </w:r>
      <w:r w:rsidRPr="000B65DE">
        <w:rPr>
          <w:rFonts w:ascii="Bookman Old Style" w:hAnsi="Bookman Old Style"/>
          <w:lang w:val="es-CO"/>
        </w:rPr>
        <w:t xml:space="preserve"> establecimiento de normas técnicas superiores a las normas nacionales de construcción. Las Unidades Constructivas Especiales, que fueron ejecutadas serán valoradas a los Costos reconocidos en las Resoluciones Particulares y ajustadas a la Fecha Base.</w:t>
      </w:r>
    </w:p>
    <w:p w:rsidR="000B65DE" w:rsidRPr="000B65DE" w:rsidRDefault="000B65DE" w:rsidP="000B65DE">
      <w:pPr>
        <w:ind w:left="851"/>
        <w:contextualSpacing/>
        <w:jc w:val="both"/>
        <w:rPr>
          <w:rFonts w:ascii="Bookman Old Style" w:hAnsi="Bookman Old Style"/>
          <w:b/>
          <w:lang w:val="es-CO"/>
        </w:rPr>
      </w:pPr>
    </w:p>
    <w:p w:rsidR="000B65DE" w:rsidRPr="000B65DE" w:rsidRDefault="000B65DE" w:rsidP="008F4D9F">
      <w:pPr>
        <w:numPr>
          <w:ilvl w:val="2"/>
          <w:numId w:val="16"/>
        </w:numPr>
        <w:ind w:left="851" w:hanging="851"/>
        <w:contextualSpacing/>
        <w:jc w:val="both"/>
        <w:rPr>
          <w:rFonts w:ascii="Bookman Old Style" w:hAnsi="Bookman Old Style"/>
          <w:lang w:val="es-CO"/>
        </w:rPr>
      </w:pPr>
      <w:r w:rsidRPr="000B65DE">
        <w:rPr>
          <w:rFonts w:ascii="Bookman Old Style" w:hAnsi="Bookman Old Style"/>
          <w:b/>
          <w:lang w:val="es-CO"/>
        </w:rPr>
        <w:t xml:space="preserve">Unidades Constructivas para Valoración del Programa de Nuevas Inversiones para Municipios Nuevos (IPNI): </w:t>
      </w:r>
      <w:r w:rsidRPr="000B65DE">
        <w:rPr>
          <w:rFonts w:ascii="Bookman Old Style" w:hAnsi="Bookman Old Style"/>
          <w:lang w:val="es-CO"/>
        </w:rPr>
        <w:t xml:space="preserve">La inversión en activos que forman </w:t>
      </w:r>
      <w:r w:rsidRPr="00FA6A59">
        <w:rPr>
          <w:rFonts w:ascii="Bookman Old Style" w:hAnsi="Bookman Old Style"/>
          <w:lang w:val="es-CO"/>
        </w:rPr>
        <w:t>parte del</w:t>
      </w:r>
      <w:r w:rsidRPr="000B65DE">
        <w:rPr>
          <w:rFonts w:ascii="Bookman Old Style" w:hAnsi="Bookman Old Style"/>
          <w:lang w:val="es-CO"/>
        </w:rPr>
        <w:t xml:space="preserve"> programa de nuevas inversiones que se realizará en el Siguiente Período Tarifario. Deberán ser homologadas a las Unidades Constructivas y consideradas a los costos unitarios ajustados a la Fecha Base, que se establecen en el  </w:t>
      </w:r>
      <w:r w:rsidR="00AF6018" w:rsidRPr="000B65DE">
        <w:rPr>
          <w:rFonts w:ascii="Bookman Old Style" w:hAnsi="Bookman Old Style"/>
          <w:lang w:val="es-CO"/>
        </w:rPr>
        <w:fldChar w:fldCharType="begin"/>
      </w:r>
      <w:r w:rsidRPr="000B65DE">
        <w:rPr>
          <w:rFonts w:ascii="Bookman Old Style" w:hAnsi="Bookman Old Style"/>
          <w:lang w:val="es-CO"/>
        </w:rPr>
        <w:instrText xml:space="preserve"> REF _Ref330910423 \r \h </w:instrText>
      </w:r>
      <w:r w:rsidR="00AF6018" w:rsidRPr="000B65DE">
        <w:rPr>
          <w:rFonts w:ascii="Bookman Old Style" w:hAnsi="Bookman Old Style"/>
          <w:lang w:val="es-CO"/>
        </w:rPr>
      </w:r>
      <w:r w:rsidR="00AF6018" w:rsidRPr="000B65DE">
        <w:rPr>
          <w:rFonts w:ascii="Bookman Old Style" w:hAnsi="Bookman Old Style"/>
          <w:lang w:val="es-CO"/>
        </w:rPr>
        <w:fldChar w:fldCharType="separate"/>
      </w:r>
      <w:r w:rsidR="004D5C18">
        <w:rPr>
          <w:rFonts w:ascii="Bookman Old Style" w:hAnsi="Bookman Old Style"/>
          <w:lang w:val="es-CO"/>
        </w:rPr>
        <w:t>ANEXO 8</w:t>
      </w:r>
      <w:r w:rsidR="00AF6018" w:rsidRPr="000B65DE">
        <w:rPr>
          <w:rFonts w:ascii="Bookman Old Style" w:hAnsi="Bookman Old Style"/>
          <w:lang w:val="es-CO"/>
        </w:rPr>
        <w:fldChar w:fldCharType="end"/>
      </w:r>
      <w:r w:rsidRPr="000B65DE">
        <w:rPr>
          <w:rFonts w:ascii="Bookman Old Style" w:hAnsi="Bookman Old Style"/>
          <w:lang w:val="es-CO"/>
        </w:rPr>
        <w:t xml:space="preserve"> de esta Resolución.</w:t>
      </w:r>
    </w:p>
    <w:p w:rsidR="000B65DE" w:rsidRPr="000B65DE" w:rsidRDefault="000B65DE" w:rsidP="000B65DE">
      <w:pPr>
        <w:ind w:left="851"/>
        <w:contextualSpacing/>
        <w:jc w:val="both"/>
        <w:rPr>
          <w:rFonts w:ascii="Bookman Old Style" w:hAnsi="Bookman Old Style"/>
          <w:lang w:val="es-CO"/>
        </w:rPr>
      </w:pPr>
    </w:p>
    <w:p w:rsidR="000B65DE" w:rsidRPr="000B65DE" w:rsidRDefault="000B65DE" w:rsidP="000B65DE">
      <w:pPr>
        <w:ind w:left="0"/>
        <w:contextualSpacing/>
        <w:jc w:val="both"/>
        <w:rPr>
          <w:rFonts w:ascii="Bookman Old Style" w:hAnsi="Bookman Old Style"/>
          <w:lang w:val="es-ES_tradnl"/>
        </w:rPr>
      </w:pPr>
      <w:r w:rsidRPr="000B65DE">
        <w:rPr>
          <w:rFonts w:ascii="Bookman Old Style" w:hAnsi="Bookman Old Style"/>
          <w:b/>
          <w:color w:val="000000"/>
          <w:lang w:val="es-CO"/>
        </w:rPr>
        <w:t>Parágrafo 1</w:t>
      </w:r>
      <w:r w:rsidRPr="000B65DE">
        <w:rPr>
          <w:rFonts w:ascii="Bookman Old Style" w:hAnsi="Bookman Old Style"/>
          <w:lang w:val="es-CO"/>
        </w:rPr>
        <w:t xml:space="preserve">  Todos los Costos Unitarios de las Unidades Constructivas se ajustarán a pesos de la Fecha Base con el Índice de Precios al Productor IPP publicado por el DANE.</w:t>
      </w:r>
    </w:p>
    <w:p w:rsidR="000B65DE" w:rsidRPr="000B65DE" w:rsidRDefault="000B65DE" w:rsidP="000B65DE">
      <w:pPr>
        <w:ind w:left="0"/>
        <w:jc w:val="both"/>
        <w:rPr>
          <w:rFonts w:ascii="Bookman Old Style" w:hAnsi="Bookman Old Style"/>
          <w:b/>
          <w:color w:val="000000"/>
          <w:lang w:val="es-ES_tradnl"/>
        </w:rPr>
      </w:pPr>
    </w:p>
    <w:p w:rsidR="000B65DE" w:rsidRPr="000B65DE" w:rsidRDefault="000B65DE" w:rsidP="000B65DE">
      <w:pPr>
        <w:ind w:left="0"/>
        <w:jc w:val="both"/>
        <w:rPr>
          <w:rFonts w:ascii="Bookman Old Style" w:hAnsi="Bookman Old Style"/>
          <w:color w:val="000000"/>
        </w:rPr>
      </w:pPr>
      <w:r w:rsidRPr="000B65DE">
        <w:rPr>
          <w:rFonts w:ascii="Bookman Old Style" w:hAnsi="Bookman Old Style"/>
          <w:b/>
          <w:color w:val="000000"/>
        </w:rPr>
        <w:t>Parágrafo 2</w:t>
      </w:r>
      <w:r w:rsidRPr="000B65DE">
        <w:rPr>
          <w:rFonts w:ascii="Bookman Old Style" w:hAnsi="Bookman Old Style"/>
          <w:color w:val="000000"/>
        </w:rPr>
        <w:t>: Con excepción de los activos incluidos en el rubro de Otros Activos, los terrenos e inmuebles y los casos debidamente justificados por los distribuidores, basados en reglamentación especial o condiciones extraordinarias, no se admitirán para el cálculo tarifario, Unidades Constructivas diferentes a las establecidas en la presente resolución. Los activos respectivos deberán clasificarse, directamente o por homologación, en las Unidades Constructivas establecidas.</w:t>
      </w:r>
      <w:r w:rsidRPr="000B65DE">
        <w:rPr>
          <w:rFonts w:ascii="Bookman Old Style" w:hAnsi="Bookman Old Style"/>
          <w:color w:val="000000"/>
          <w:highlight w:val="cyan"/>
        </w:rPr>
        <w:t xml:space="preserve"> </w:t>
      </w:r>
    </w:p>
    <w:p w:rsidR="000B65DE" w:rsidRPr="000B65DE" w:rsidRDefault="000B65DE" w:rsidP="008F4D9F">
      <w:pPr>
        <w:keepNext/>
        <w:numPr>
          <w:ilvl w:val="1"/>
          <w:numId w:val="16"/>
        </w:numPr>
        <w:spacing w:before="240" w:after="60"/>
        <w:ind w:hanging="1003"/>
        <w:jc w:val="both"/>
        <w:outlineLvl w:val="0"/>
        <w:rPr>
          <w:rFonts w:ascii="Bookman Old Style" w:hAnsi="Bookman Old Style"/>
          <w:b/>
          <w:bCs/>
          <w:szCs w:val="20"/>
          <w:lang w:val="es-ES_tradnl"/>
        </w:rPr>
      </w:pPr>
      <w:bookmarkStart w:id="19" w:name="_Ref30434404"/>
      <w:r w:rsidRPr="000B65DE">
        <w:rPr>
          <w:rFonts w:ascii="Bookman Old Style" w:hAnsi="Bookman Old Style"/>
          <w:b/>
          <w:bCs/>
          <w:szCs w:val="20"/>
          <w:lang w:val="es-ES_tradnl"/>
        </w:rPr>
        <w:t>GASTOS DE ADMINISTRACIÓN, OPERACIÓN Y MANTENIMIENTO (AOM)</w:t>
      </w:r>
      <w:bookmarkEnd w:id="19"/>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numPr>
          <w:ilvl w:val="12"/>
          <w:numId w:val="0"/>
        </w:numPr>
        <w:jc w:val="both"/>
        <w:rPr>
          <w:rFonts w:ascii="Bookman Old Style" w:hAnsi="Bookman Old Style"/>
          <w:lang w:val="es-ES_tradnl"/>
        </w:rPr>
      </w:pPr>
      <w:r w:rsidRPr="000B65DE">
        <w:rPr>
          <w:rFonts w:ascii="Bookman Old Style" w:hAnsi="Bookman Old Style"/>
          <w:lang w:val="es-ES_tradnl"/>
        </w:rPr>
        <w:lastRenderedPageBreak/>
        <w:t xml:space="preserve">Los gastos de administración, operación y mantenimiento (AOM) de cada mercado se determinarán con base en la metodología Frontera Estocástica que se describe en el </w:t>
      </w:r>
      <w:r w:rsidR="00AF6018" w:rsidRPr="000B65DE">
        <w:rPr>
          <w:rFonts w:ascii="Bookman Old Style" w:hAnsi="Bookman Old Style"/>
          <w:lang w:val="es-ES_tradnl"/>
        </w:rPr>
        <w:fldChar w:fldCharType="begin"/>
      </w:r>
      <w:r w:rsidRPr="000B65DE">
        <w:rPr>
          <w:rFonts w:ascii="Bookman Old Style" w:hAnsi="Bookman Old Style"/>
          <w:lang w:val="es-ES_tradnl"/>
        </w:rPr>
        <w:instrText xml:space="preserve"> REF _Ref329866842 \r \h </w:instrText>
      </w:r>
      <w:r w:rsidR="00AF6018" w:rsidRPr="000B65DE">
        <w:rPr>
          <w:rFonts w:ascii="Bookman Old Style" w:hAnsi="Bookman Old Style"/>
          <w:lang w:val="es-ES_tradnl"/>
        </w:rPr>
      </w:r>
      <w:r w:rsidR="00AF6018" w:rsidRPr="000B65DE">
        <w:rPr>
          <w:rFonts w:ascii="Bookman Old Style" w:hAnsi="Bookman Old Style"/>
          <w:lang w:val="es-ES_tradnl"/>
        </w:rPr>
        <w:fldChar w:fldCharType="separate"/>
      </w:r>
      <w:r w:rsidR="004D5C18">
        <w:rPr>
          <w:rFonts w:ascii="Bookman Old Style" w:hAnsi="Bookman Old Style"/>
          <w:lang w:val="es-ES_tradnl"/>
        </w:rPr>
        <w:t>ANEXO 10</w:t>
      </w:r>
      <w:r w:rsidR="00AF6018" w:rsidRPr="000B65DE">
        <w:rPr>
          <w:rFonts w:ascii="Bookman Old Style" w:hAnsi="Bookman Old Style"/>
          <w:lang w:val="es-ES_tradnl"/>
        </w:rPr>
        <w:fldChar w:fldCharType="end"/>
      </w:r>
      <w:r w:rsidRPr="000B65DE">
        <w:rPr>
          <w:rFonts w:ascii="Bookman Old Style" w:hAnsi="Bookman Old Style"/>
          <w:lang w:val="es-ES_tradnl"/>
        </w:rPr>
        <w:t xml:space="preserve"> de la presente resolución. </w:t>
      </w:r>
    </w:p>
    <w:p w:rsidR="000B65DE" w:rsidRPr="000B65DE" w:rsidRDefault="000B65DE" w:rsidP="000B65DE">
      <w:pPr>
        <w:numPr>
          <w:ilvl w:val="12"/>
          <w:numId w:val="0"/>
        </w:numPr>
        <w:jc w:val="both"/>
        <w:rPr>
          <w:rFonts w:ascii="Bookman Old Style" w:hAnsi="Bookman Old Style"/>
          <w:lang w:val="es-ES_tradnl"/>
        </w:rPr>
      </w:pPr>
    </w:p>
    <w:p w:rsidR="000B65DE" w:rsidRPr="000B65DE" w:rsidRDefault="000B65DE" w:rsidP="008F4D9F">
      <w:pPr>
        <w:numPr>
          <w:ilvl w:val="2"/>
          <w:numId w:val="16"/>
        </w:numPr>
        <w:overflowPunct w:val="0"/>
        <w:autoSpaceDE w:val="0"/>
        <w:autoSpaceDN w:val="0"/>
        <w:adjustRightInd w:val="0"/>
        <w:ind w:left="851" w:hanging="851"/>
        <w:jc w:val="both"/>
        <w:textAlignment w:val="baseline"/>
        <w:outlineLvl w:val="1"/>
        <w:rPr>
          <w:rFonts w:ascii="Bookman Old Style" w:hAnsi="Bookman Old Style"/>
          <w:b/>
          <w:bCs/>
          <w:szCs w:val="20"/>
          <w:lang w:val="es-CO"/>
        </w:rPr>
      </w:pPr>
      <w:r w:rsidRPr="000B65DE">
        <w:rPr>
          <w:rFonts w:ascii="Bookman Old Style" w:hAnsi="Bookman Old Style"/>
          <w:b/>
          <w:bCs/>
          <w:szCs w:val="20"/>
          <w:lang w:val="es-CO"/>
        </w:rPr>
        <w:t>Mercados Relevantes de Distribución</w:t>
      </w:r>
      <w:r w:rsidRPr="000B65DE">
        <w:rPr>
          <w:rFonts w:ascii="Bookman Old Style" w:hAnsi="Bookman Old Style" w:cs="Arial"/>
          <w:sz w:val="20"/>
          <w:szCs w:val="20"/>
          <w:lang w:val="es-CO" w:eastAsia="en-US"/>
        </w:rPr>
        <w:t xml:space="preserve"> </w:t>
      </w:r>
      <w:r w:rsidRPr="000B65DE">
        <w:rPr>
          <w:rFonts w:ascii="Bookman Old Style" w:hAnsi="Bookman Old Style"/>
          <w:b/>
          <w:bCs/>
          <w:szCs w:val="20"/>
          <w:lang w:val="es-CO"/>
        </w:rPr>
        <w:t>para el Siguiente Período Tarifario conformados a partir de Mercados Existentes de Distribución y Agregación de Mercados Existentes de Distribución.</w:t>
      </w:r>
    </w:p>
    <w:p w:rsidR="000B65DE" w:rsidRPr="000B65DE" w:rsidRDefault="000B65DE" w:rsidP="000B65DE">
      <w:pPr>
        <w:ind w:left="885"/>
        <w:contextualSpacing/>
        <w:jc w:val="both"/>
        <w:rPr>
          <w:rFonts w:ascii="Bookman Old Style" w:hAnsi="Bookman Old Style"/>
          <w:b/>
        </w:rPr>
      </w:pPr>
    </w:p>
    <w:p w:rsid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Para la determinación de</w:t>
      </w:r>
      <w:r w:rsidR="00760173">
        <w:rPr>
          <w:rFonts w:ascii="Bookman Old Style" w:hAnsi="Bookman Old Style"/>
          <w:lang w:val="es-ES_tradnl"/>
        </w:rPr>
        <w:t xml:space="preserve"> </w:t>
      </w:r>
      <w:r w:rsidRPr="000B65DE">
        <w:rPr>
          <w:rFonts w:ascii="Bookman Old Style" w:hAnsi="Bookman Old Style"/>
          <w:lang w:val="es-ES_tradnl"/>
        </w:rPr>
        <w:t>l</w:t>
      </w:r>
      <w:r w:rsidR="00760173">
        <w:rPr>
          <w:rFonts w:ascii="Bookman Old Style" w:hAnsi="Bookman Old Style"/>
          <w:lang w:val="es-ES_tradnl"/>
        </w:rPr>
        <w:t>os</w:t>
      </w:r>
      <w:r w:rsidRPr="000B65DE">
        <w:rPr>
          <w:rFonts w:ascii="Bookman Old Style" w:hAnsi="Bookman Old Style"/>
          <w:lang w:val="es-ES_tradnl"/>
        </w:rPr>
        <w:t xml:space="preserve"> Cargo</w:t>
      </w:r>
      <w:r w:rsidR="00760173">
        <w:rPr>
          <w:rFonts w:ascii="Bookman Old Style" w:hAnsi="Bookman Old Style"/>
          <w:lang w:val="es-ES_tradnl"/>
        </w:rPr>
        <w:t>s</w:t>
      </w:r>
      <w:r w:rsidRPr="000B65DE">
        <w:rPr>
          <w:rFonts w:ascii="Bookman Old Style" w:hAnsi="Bookman Old Style"/>
          <w:lang w:val="es-ES_tradnl"/>
        </w:rPr>
        <w:t xml:space="preserve"> de Distribución correspondiente a AOM, se tendrán en cuenta los gastos AOM anuales eficientes del o los Mercado (s) Relevante (s) Existentes que resulten de la aplicación de la metodología determinada en el numeral 10.1 </w:t>
      </w:r>
      <w:r w:rsidR="00EF76D5">
        <w:rPr>
          <w:rFonts w:ascii="Bookman Old Style" w:hAnsi="Bookman Old Style"/>
          <w:lang w:val="es-ES_tradnl"/>
        </w:rPr>
        <w:t xml:space="preserve">y 10.2 </w:t>
      </w:r>
      <w:r w:rsidRPr="000B65DE">
        <w:rPr>
          <w:rFonts w:ascii="Bookman Old Style" w:hAnsi="Bookman Old Style"/>
          <w:lang w:val="es-ES_tradnl"/>
        </w:rPr>
        <w:t xml:space="preserve">del </w:t>
      </w:r>
      <w:r w:rsidR="00AF6018" w:rsidRPr="000B65DE">
        <w:rPr>
          <w:rFonts w:ascii="Bookman Old Style" w:hAnsi="Bookman Old Style"/>
          <w:lang w:val="es-ES_tradnl"/>
        </w:rPr>
        <w:fldChar w:fldCharType="begin"/>
      </w:r>
      <w:r w:rsidRPr="000B65DE">
        <w:rPr>
          <w:rFonts w:ascii="Bookman Old Style" w:hAnsi="Bookman Old Style"/>
          <w:lang w:val="es-ES_tradnl"/>
        </w:rPr>
        <w:instrText xml:space="preserve"> REF _Ref329866842 \r \h </w:instrText>
      </w:r>
      <w:r w:rsidR="00AF6018" w:rsidRPr="000B65DE">
        <w:rPr>
          <w:rFonts w:ascii="Bookman Old Style" w:hAnsi="Bookman Old Style"/>
          <w:lang w:val="es-ES_tradnl"/>
        </w:rPr>
      </w:r>
      <w:r w:rsidR="00AF6018" w:rsidRPr="000B65DE">
        <w:rPr>
          <w:rFonts w:ascii="Bookman Old Style" w:hAnsi="Bookman Old Style"/>
          <w:lang w:val="es-ES_tradnl"/>
        </w:rPr>
        <w:fldChar w:fldCharType="separate"/>
      </w:r>
      <w:r w:rsidR="004D5C18">
        <w:rPr>
          <w:rFonts w:ascii="Bookman Old Style" w:hAnsi="Bookman Old Style"/>
          <w:lang w:val="es-ES_tradnl"/>
        </w:rPr>
        <w:t>ANEXO 10</w:t>
      </w:r>
      <w:r w:rsidR="00AF6018" w:rsidRPr="000B65DE">
        <w:rPr>
          <w:rFonts w:ascii="Bookman Old Style" w:hAnsi="Bookman Old Style"/>
          <w:lang w:val="es-ES_tradnl"/>
        </w:rPr>
        <w:fldChar w:fldCharType="end"/>
      </w:r>
      <w:r w:rsidRPr="000B65DE">
        <w:rPr>
          <w:rFonts w:ascii="Bookman Old Style" w:hAnsi="Bookman Old Style"/>
          <w:lang w:val="es-ES_tradnl"/>
        </w:rPr>
        <w:t xml:space="preserve">. </w:t>
      </w:r>
    </w:p>
    <w:p w:rsidR="0046004A" w:rsidRDefault="0046004A" w:rsidP="000B65DE">
      <w:pPr>
        <w:ind w:left="0"/>
        <w:jc w:val="both"/>
        <w:rPr>
          <w:rFonts w:ascii="Bookman Old Style" w:hAnsi="Bookman Old Style"/>
          <w:lang w:val="es-ES_tradnl"/>
        </w:rPr>
      </w:pPr>
    </w:p>
    <w:p w:rsidR="0046004A" w:rsidRPr="000B65DE" w:rsidRDefault="0046004A" w:rsidP="000B65DE">
      <w:pPr>
        <w:ind w:left="0"/>
        <w:jc w:val="both"/>
        <w:rPr>
          <w:rFonts w:ascii="Bookman Old Style" w:hAnsi="Bookman Old Style"/>
          <w:lang w:val="es-ES_tradnl"/>
        </w:rPr>
      </w:pPr>
      <w:r>
        <w:rPr>
          <w:rFonts w:ascii="Bookman Old Style" w:hAnsi="Bookman Old Style"/>
          <w:lang w:val="es-ES_tradnl"/>
        </w:rPr>
        <w:t xml:space="preserve">Para esto las empresas deberán reportar en sus </w:t>
      </w:r>
      <w:r w:rsidR="007F02D4">
        <w:rPr>
          <w:rFonts w:ascii="Bookman Old Style" w:hAnsi="Bookman Old Style"/>
          <w:lang w:val="es-ES_tradnl"/>
        </w:rPr>
        <w:t>solicitudes</w:t>
      </w:r>
      <w:r>
        <w:rPr>
          <w:rFonts w:ascii="Bookman Old Style" w:hAnsi="Bookman Old Style"/>
          <w:lang w:val="es-ES_tradnl"/>
        </w:rPr>
        <w:t xml:space="preserve"> tarifarias toda la información correspondiente a gastos de AOM actualizada hasta 31 de diciembre del año de corte.</w:t>
      </w:r>
    </w:p>
    <w:p w:rsidR="000B65DE" w:rsidRPr="000B65DE" w:rsidRDefault="000B65DE" w:rsidP="000B65DE">
      <w:pPr>
        <w:ind w:left="0"/>
        <w:jc w:val="both"/>
        <w:rPr>
          <w:rFonts w:ascii="Bookman Old Style" w:hAnsi="Bookman Old Style"/>
          <w:lang w:val="es-ES_tradnl"/>
        </w:rPr>
      </w:pPr>
    </w:p>
    <w:p w:rsidR="000B65DE" w:rsidRPr="000B65DE" w:rsidRDefault="000B65DE" w:rsidP="008F4D9F">
      <w:pPr>
        <w:numPr>
          <w:ilvl w:val="2"/>
          <w:numId w:val="16"/>
        </w:numPr>
        <w:overflowPunct w:val="0"/>
        <w:autoSpaceDE w:val="0"/>
        <w:autoSpaceDN w:val="0"/>
        <w:adjustRightInd w:val="0"/>
        <w:ind w:left="851" w:hanging="851"/>
        <w:jc w:val="both"/>
        <w:textAlignment w:val="baseline"/>
        <w:outlineLvl w:val="1"/>
        <w:rPr>
          <w:rFonts w:ascii="Bookman Old Style" w:hAnsi="Bookman Old Style"/>
          <w:b/>
          <w:bCs/>
          <w:szCs w:val="20"/>
          <w:lang w:val="es-CO"/>
        </w:rPr>
      </w:pPr>
      <w:r w:rsidRPr="000B65DE">
        <w:rPr>
          <w:rFonts w:ascii="Bookman Old Style" w:hAnsi="Bookman Old Style"/>
          <w:b/>
          <w:bCs/>
          <w:szCs w:val="20"/>
          <w:lang w:val="es-CO"/>
        </w:rPr>
        <w:t>Mercados Relevantes de Distribución para el Siguiente Período Tarifario conformados a partir de Anexar a Mercados Existentes de Distribución Municipios Nuevos</w:t>
      </w:r>
    </w:p>
    <w:p w:rsidR="000B65DE" w:rsidRPr="000B65DE" w:rsidRDefault="000B65DE" w:rsidP="000B65DE"/>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 xml:space="preserve">Para la determinación de los Cargos de Distribución correspondientes a AOM, se tendrán en cuenta los gastos AOM anuales eficientes de los Mercados </w:t>
      </w:r>
      <w:r w:rsidR="00760173">
        <w:rPr>
          <w:rFonts w:ascii="Bookman Old Style" w:hAnsi="Bookman Old Style"/>
          <w:lang w:val="es-ES_tradnl"/>
        </w:rPr>
        <w:t>E</w:t>
      </w:r>
      <w:r w:rsidRPr="000B65DE">
        <w:rPr>
          <w:rFonts w:ascii="Bookman Old Style" w:hAnsi="Bookman Old Style"/>
          <w:lang w:val="es-ES_tradnl"/>
        </w:rPr>
        <w:t xml:space="preserve">xistentes y el Valor Presente Neto descontado con la Tasa de Retorno, definida en el numeral </w:t>
      </w:r>
      <w:r w:rsidR="008B26D0">
        <w:fldChar w:fldCharType="begin"/>
      </w:r>
      <w:r w:rsidR="008B26D0">
        <w:instrText xml:space="preserve"> REF _Ref289349880 \r \h  \* MERGEFORMAT </w:instrText>
      </w:r>
      <w:r w:rsidR="008B26D0">
        <w:fldChar w:fldCharType="separate"/>
      </w:r>
      <w:r w:rsidR="004D5C18" w:rsidRPr="004D5C18">
        <w:rPr>
          <w:rFonts w:ascii="Bookman Old Style" w:hAnsi="Bookman Old Style"/>
          <w:lang w:val="es-ES_tradnl"/>
        </w:rPr>
        <w:t>9.9</w:t>
      </w:r>
      <w:r w:rsidR="008B26D0">
        <w:fldChar w:fldCharType="end"/>
      </w:r>
      <w:r w:rsidRPr="000B65DE">
        <w:rPr>
          <w:rFonts w:ascii="Bookman Old Style" w:hAnsi="Bookman Old Style"/>
          <w:lang w:val="es-ES_tradnl"/>
        </w:rPr>
        <w:t xml:space="preserve">. de la presente resolución, la proyección de gastos de AOM a precios de la Fecha Base durante el horizonte de proyección de 20 años, correspondiente a los Municipios Nuevos que conformarán el Mercado Relevante de Distribución </w:t>
      </w:r>
      <w:r w:rsidRPr="000B65DE">
        <w:rPr>
          <w:rFonts w:ascii="Bookman Old Style" w:hAnsi="Bookman Old Style"/>
          <w:bCs/>
          <w:lang w:val="es-CO"/>
        </w:rPr>
        <w:t>para el Siguiente Período Tarifario</w:t>
      </w:r>
      <w:r w:rsidRPr="000B65DE">
        <w:rPr>
          <w:rFonts w:ascii="Bookman Old Style" w:hAnsi="Bookman Old Style"/>
          <w:lang w:val="es-ES_tradnl"/>
        </w:rPr>
        <w:t>.</w:t>
      </w:r>
    </w:p>
    <w:p w:rsidR="000B65DE" w:rsidRPr="000B65DE" w:rsidRDefault="000B65DE" w:rsidP="000B65DE">
      <w:pPr>
        <w:ind w:left="0"/>
        <w:jc w:val="both"/>
        <w:rPr>
          <w:rFonts w:ascii="Bookman Old Style" w:hAnsi="Bookman Old Style"/>
          <w:lang w:val="es-ES_tradnl"/>
        </w:rPr>
      </w:pPr>
    </w:p>
    <w:p w:rsidR="000B65DE" w:rsidRPr="000B65DE" w:rsidRDefault="000B65DE" w:rsidP="008F4D9F">
      <w:pPr>
        <w:numPr>
          <w:ilvl w:val="2"/>
          <w:numId w:val="16"/>
        </w:numPr>
        <w:overflowPunct w:val="0"/>
        <w:autoSpaceDE w:val="0"/>
        <w:autoSpaceDN w:val="0"/>
        <w:adjustRightInd w:val="0"/>
        <w:ind w:left="851" w:hanging="851"/>
        <w:jc w:val="both"/>
        <w:textAlignment w:val="baseline"/>
        <w:outlineLvl w:val="1"/>
        <w:rPr>
          <w:rFonts w:ascii="Bookman Old Style" w:hAnsi="Bookman Old Style"/>
          <w:b/>
          <w:bCs/>
          <w:szCs w:val="20"/>
          <w:lang w:val="es-CO"/>
        </w:rPr>
      </w:pPr>
      <w:r w:rsidRPr="000B65DE">
        <w:rPr>
          <w:rFonts w:ascii="Bookman Old Style" w:hAnsi="Bookman Old Style"/>
          <w:b/>
          <w:bCs/>
          <w:szCs w:val="20"/>
          <w:lang w:val="es-CO"/>
        </w:rPr>
        <w:t xml:space="preserve">Mercados Relevantes de Distribución para el Siguiente Período Tarifario Conformados por Municipios Nuevos </w:t>
      </w:r>
    </w:p>
    <w:p w:rsidR="000B65DE" w:rsidRPr="000B65DE" w:rsidRDefault="000B65DE" w:rsidP="000B65DE"/>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El distribuidor deberá presentar la proyección de gastos de AOM  durante el horizonte de proyección de veinte (20) años. El promedio de los cinco (5) años será el utilizado para la comparación en la metodología de Frontera Estocástica.</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La determinación de los Cargos de Distribución correspondientes a AOM  de los Municipios Nuevos que conformarán el Mercado Relevante de Distribución</w:t>
      </w:r>
      <w:r w:rsidRPr="000B65DE">
        <w:rPr>
          <w:rFonts w:ascii="Bookman Old Style" w:hAnsi="Bookman Old Style"/>
          <w:b/>
          <w:bCs/>
          <w:lang w:val="es-CO"/>
        </w:rPr>
        <w:t xml:space="preserve"> </w:t>
      </w:r>
      <w:r w:rsidRPr="000B65DE">
        <w:rPr>
          <w:rFonts w:ascii="Bookman Old Style" w:hAnsi="Bookman Old Style"/>
          <w:bCs/>
          <w:lang w:val="es-CO"/>
        </w:rPr>
        <w:t>para el Siguiente Período Tarifario</w:t>
      </w:r>
      <w:r w:rsidRPr="000B65DE">
        <w:rPr>
          <w:rFonts w:ascii="Bookman Old Style" w:hAnsi="Bookman Old Style"/>
          <w:lang w:val="es-ES_tradnl"/>
        </w:rPr>
        <w:t>, se hará conforme se establece en el numeral 10.</w:t>
      </w:r>
      <w:r w:rsidR="00EF76D5">
        <w:rPr>
          <w:rFonts w:ascii="Bookman Old Style" w:hAnsi="Bookman Old Style"/>
          <w:lang w:val="es-ES_tradnl"/>
        </w:rPr>
        <w:t>3.</w:t>
      </w:r>
      <w:r w:rsidRPr="000B65DE">
        <w:rPr>
          <w:rFonts w:ascii="Bookman Old Style" w:hAnsi="Bookman Old Style"/>
          <w:lang w:val="es-ES_tradnl"/>
        </w:rPr>
        <w:t xml:space="preserve"> del </w:t>
      </w:r>
      <w:r w:rsidR="00AF6018" w:rsidRPr="000B65DE">
        <w:rPr>
          <w:rFonts w:ascii="Bookman Old Style" w:hAnsi="Bookman Old Style"/>
          <w:lang w:val="es-ES_tradnl"/>
        </w:rPr>
        <w:fldChar w:fldCharType="begin"/>
      </w:r>
      <w:r w:rsidRPr="000B65DE">
        <w:rPr>
          <w:rFonts w:ascii="Bookman Old Style" w:hAnsi="Bookman Old Style"/>
          <w:lang w:val="es-ES_tradnl"/>
        </w:rPr>
        <w:instrText xml:space="preserve"> REF _Ref329866842 \r \h </w:instrText>
      </w:r>
      <w:r w:rsidR="00AF6018" w:rsidRPr="000B65DE">
        <w:rPr>
          <w:rFonts w:ascii="Bookman Old Style" w:hAnsi="Bookman Old Style"/>
          <w:lang w:val="es-ES_tradnl"/>
        </w:rPr>
      </w:r>
      <w:r w:rsidR="00AF6018" w:rsidRPr="000B65DE">
        <w:rPr>
          <w:rFonts w:ascii="Bookman Old Style" w:hAnsi="Bookman Old Style"/>
          <w:lang w:val="es-ES_tradnl"/>
        </w:rPr>
        <w:fldChar w:fldCharType="separate"/>
      </w:r>
      <w:r w:rsidR="004D5C18">
        <w:rPr>
          <w:rFonts w:ascii="Bookman Old Style" w:hAnsi="Bookman Old Style"/>
          <w:lang w:val="es-ES_tradnl"/>
        </w:rPr>
        <w:t>ANEXO 10</w:t>
      </w:r>
      <w:r w:rsidR="00AF6018" w:rsidRPr="000B65DE">
        <w:rPr>
          <w:rFonts w:ascii="Bookman Old Style" w:hAnsi="Bookman Old Style"/>
          <w:lang w:val="es-ES_tradnl"/>
        </w:rPr>
        <w:fldChar w:fldCharType="end"/>
      </w:r>
      <w:r w:rsidRPr="000B65DE">
        <w:rPr>
          <w:rFonts w:ascii="Bookman Old Style" w:hAnsi="Bookman Old Style"/>
          <w:lang w:val="es-ES_tradnl"/>
        </w:rPr>
        <w:t xml:space="preserve"> de la presente resolución. </w:t>
      </w:r>
    </w:p>
    <w:p w:rsidR="000B65DE" w:rsidRPr="000B65DE" w:rsidRDefault="000B65DE" w:rsidP="000B65DE">
      <w:pPr>
        <w:numPr>
          <w:ilvl w:val="12"/>
          <w:numId w:val="0"/>
        </w:numPr>
        <w:jc w:val="both"/>
        <w:rPr>
          <w:rFonts w:ascii="Bookman Old Style" w:hAnsi="Bookman Old Style"/>
          <w:lang w:val="es-ES_tradnl"/>
        </w:rPr>
      </w:pPr>
    </w:p>
    <w:p w:rsidR="000B65DE" w:rsidRPr="000B65DE" w:rsidRDefault="000B65DE" w:rsidP="000B65DE">
      <w:pPr>
        <w:numPr>
          <w:ilvl w:val="12"/>
          <w:numId w:val="0"/>
        </w:numPr>
        <w:jc w:val="both"/>
        <w:rPr>
          <w:rFonts w:ascii="Bookman Old Style" w:hAnsi="Bookman Old Style"/>
          <w:lang w:val="es-ES_tradnl"/>
        </w:rPr>
      </w:pPr>
      <w:r w:rsidRPr="000B65DE">
        <w:rPr>
          <w:rFonts w:ascii="Bookman Old Style" w:hAnsi="Bookman Old Style"/>
          <w:b/>
          <w:lang w:val="es-ES_tradnl"/>
        </w:rPr>
        <w:t>Parágrafo 1</w:t>
      </w:r>
      <w:r w:rsidRPr="000B65DE">
        <w:rPr>
          <w:rFonts w:ascii="Bookman Old Style" w:hAnsi="Bookman Old Style"/>
          <w:lang w:val="es-ES_tradnl"/>
        </w:rPr>
        <w:t xml:space="preserve">: Se reconocerán en forma adicional, los gastos de AOM involucrados en confiabilidad y en la actividad de revisiones periódicas de las instalaciones internas de gas. </w:t>
      </w:r>
    </w:p>
    <w:p w:rsidR="000B65DE" w:rsidRPr="000B65DE" w:rsidRDefault="000B65DE" w:rsidP="000B65DE">
      <w:pPr>
        <w:numPr>
          <w:ilvl w:val="12"/>
          <w:numId w:val="0"/>
        </w:numPr>
        <w:jc w:val="both"/>
        <w:rPr>
          <w:rFonts w:ascii="Bookman Old Style" w:hAnsi="Bookman Old Style"/>
          <w:lang w:val="es-ES_tradnl"/>
        </w:rPr>
      </w:pPr>
    </w:p>
    <w:p w:rsidR="000B65DE" w:rsidRPr="000B65DE" w:rsidRDefault="000B65DE" w:rsidP="000B65DE">
      <w:pPr>
        <w:numPr>
          <w:ilvl w:val="12"/>
          <w:numId w:val="0"/>
        </w:numPr>
        <w:jc w:val="both"/>
        <w:rPr>
          <w:rFonts w:ascii="Bookman Old Style" w:hAnsi="Bookman Old Style"/>
          <w:lang w:val="es-ES_tradnl"/>
        </w:rPr>
      </w:pPr>
      <w:r w:rsidRPr="000B65DE">
        <w:rPr>
          <w:rFonts w:ascii="Bookman Old Style" w:hAnsi="Bookman Old Style"/>
          <w:b/>
          <w:lang w:val="es-ES_tradnl"/>
        </w:rPr>
        <w:t>Parágrafo 2:</w:t>
      </w:r>
      <w:r w:rsidRPr="000B65DE">
        <w:rPr>
          <w:rFonts w:ascii="Bookman Old Style" w:hAnsi="Bookman Old Style"/>
          <w:lang w:val="es-ES_tradnl"/>
        </w:rPr>
        <w:t xml:space="preserve"> Los valores de AOM serán ajustados a pesos de la Fecha Base con el Índice de Precios al Consumidor IPC publicado por el DANE.</w:t>
      </w:r>
    </w:p>
    <w:p w:rsidR="000B65DE" w:rsidRPr="000B65DE" w:rsidRDefault="000B65DE" w:rsidP="008F4D9F">
      <w:pPr>
        <w:keepNext/>
        <w:numPr>
          <w:ilvl w:val="1"/>
          <w:numId w:val="16"/>
        </w:numPr>
        <w:spacing w:before="240" w:after="60"/>
        <w:ind w:hanging="1003"/>
        <w:jc w:val="both"/>
        <w:outlineLvl w:val="0"/>
        <w:rPr>
          <w:rFonts w:ascii="Bookman Old Style" w:hAnsi="Bookman Old Style"/>
          <w:b/>
          <w:bCs/>
          <w:szCs w:val="20"/>
          <w:lang w:val="es-ES_tradnl"/>
        </w:rPr>
      </w:pPr>
      <w:bookmarkStart w:id="20" w:name="_Ref30434420"/>
      <w:r w:rsidRPr="000B65DE">
        <w:rPr>
          <w:rFonts w:ascii="Bookman Old Style" w:hAnsi="Bookman Old Style"/>
          <w:b/>
          <w:bCs/>
          <w:szCs w:val="20"/>
          <w:lang w:val="es-ES_tradnl"/>
        </w:rPr>
        <w:t>DEMANDAS DE VOLUMEN</w:t>
      </w:r>
      <w:bookmarkEnd w:id="20"/>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lastRenderedPageBreak/>
        <w:t>El Distribuidor reportará en su solicitud tarifaria y para el año de corte la información correspondiente a la Demanda de Volumen así:</w:t>
      </w:r>
    </w:p>
    <w:p w:rsidR="000B65DE" w:rsidRPr="000B65DE" w:rsidRDefault="000B65DE" w:rsidP="000B65DE">
      <w:pPr>
        <w:ind w:left="0"/>
        <w:jc w:val="both"/>
        <w:rPr>
          <w:rFonts w:ascii="Bookman Old Style" w:hAnsi="Bookman Old Style"/>
        </w:rPr>
      </w:pPr>
    </w:p>
    <w:p w:rsidR="000B65DE" w:rsidRPr="000B65DE" w:rsidRDefault="000B65DE" w:rsidP="008F4D9F">
      <w:pPr>
        <w:numPr>
          <w:ilvl w:val="2"/>
          <w:numId w:val="16"/>
        </w:numPr>
        <w:overflowPunct w:val="0"/>
        <w:autoSpaceDE w:val="0"/>
        <w:autoSpaceDN w:val="0"/>
        <w:adjustRightInd w:val="0"/>
        <w:ind w:left="851" w:hanging="851"/>
        <w:jc w:val="both"/>
        <w:textAlignment w:val="baseline"/>
        <w:outlineLvl w:val="1"/>
        <w:rPr>
          <w:rFonts w:ascii="Bookman Old Style" w:hAnsi="Bookman Old Style"/>
          <w:b/>
          <w:bCs/>
          <w:szCs w:val="20"/>
          <w:lang w:val="es-CO"/>
        </w:rPr>
      </w:pPr>
      <w:r w:rsidRPr="000B65DE">
        <w:rPr>
          <w:rFonts w:ascii="Bookman Old Style" w:hAnsi="Bookman Old Style"/>
          <w:b/>
          <w:bCs/>
          <w:szCs w:val="20"/>
          <w:lang w:val="es-CO"/>
        </w:rPr>
        <w:t>Mercados Relevantes de Distribución para el Siguiente Período Tarifario conformados a partir de Mercados Existentes de Distribución y Agregación de Mercados Existentes de Distribución.</w:t>
      </w:r>
    </w:p>
    <w:p w:rsidR="000B65DE" w:rsidRPr="000B65DE" w:rsidRDefault="000B65DE" w:rsidP="000B65DE">
      <w:pPr>
        <w:ind w:left="0"/>
        <w:jc w:val="both"/>
        <w:rPr>
          <w:rFonts w:ascii="Bookman Old Style" w:hAnsi="Bookman Old Style"/>
          <w:lang w:val="es-ES_tradnl"/>
        </w:rPr>
      </w:pPr>
    </w:p>
    <w:p w:rsidR="000B65DE" w:rsidRPr="000B65DE" w:rsidRDefault="000B65DE" w:rsidP="00382E27">
      <w:pPr>
        <w:numPr>
          <w:ilvl w:val="0"/>
          <w:numId w:val="9"/>
        </w:numPr>
        <w:jc w:val="both"/>
        <w:rPr>
          <w:rFonts w:ascii="Bookman Old Style" w:hAnsi="Bookman Old Style"/>
          <w:lang w:val="es-ES_tradnl"/>
        </w:rPr>
      </w:pPr>
      <w:r w:rsidRPr="000B65DE">
        <w:rPr>
          <w:rFonts w:ascii="Bookman Old Style" w:hAnsi="Bookman Old Style"/>
          <w:lang w:val="es-ES_tradnl"/>
        </w:rPr>
        <w:t>Demanda anual total obtenida en el año de corte para cada uno de los Mercados Relevantes de Distribución existentes, expresada en metros cúbicos (m</w:t>
      </w:r>
      <w:r w:rsidRPr="000B65DE">
        <w:rPr>
          <w:rFonts w:ascii="Bookman Old Style" w:hAnsi="Bookman Old Style"/>
          <w:vertAlign w:val="superscript"/>
          <w:lang w:val="es-ES_tradnl"/>
        </w:rPr>
        <w:t>3</w:t>
      </w:r>
      <w:r w:rsidRPr="000B65DE">
        <w:rPr>
          <w:rFonts w:ascii="Bookman Old Style" w:hAnsi="Bookman Old Style"/>
          <w:lang w:val="es-ES_tradnl"/>
        </w:rPr>
        <w:t>).</w:t>
      </w:r>
    </w:p>
    <w:p w:rsidR="000B65DE" w:rsidRPr="000B65DE" w:rsidRDefault="000B65DE" w:rsidP="000B65DE">
      <w:pPr>
        <w:ind w:left="0"/>
        <w:jc w:val="both"/>
        <w:rPr>
          <w:rFonts w:ascii="Bookman Old Style" w:hAnsi="Bookman Old Style"/>
          <w:lang w:val="es-ES_tradnl"/>
        </w:rPr>
      </w:pPr>
    </w:p>
    <w:p w:rsidR="000B65DE" w:rsidRDefault="000B65DE" w:rsidP="00382E27">
      <w:pPr>
        <w:numPr>
          <w:ilvl w:val="0"/>
          <w:numId w:val="9"/>
        </w:numPr>
        <w:jc w:val="both"/>
        <w:rPr>
          <w:rFonts w:ascii="Bookman Old Style" w:hAnsi="Bookman Old Style"/>
          <w:lang w:val="es-ES_tradnl"/>
        </w:rPr>
      </w:pPr>
      <w:r w:rsidRPr="000B65DE">
        <w:rPr>
          <w:rFonts w:ascii="Bookman Old Style" w:hAnsi="Bookman Old Style"/>
          <w:lang w:val="es-ES_tradnl"/>
        </w:rPr>
        <w:t xml:space="preserve">Los valores de demanda deben estar discriminados por tipo de usuario residencial, comercial, industrial, GNV y otros, así como conexión a tipo de red Primaria y Secundaria como se indica en el </w:t>
      </w:r>
      <w:r w:rsidR="00AF6018" w:rsidRPr="000B65DE">
        <w:rPr>
          <w:rFonts w:ascii="Bookman Old Style" w:hAnsi="Bookman Old Style"/>
          <w:lang w:val="es-ES_tradnl"/>
        </w:rPr>
        <w:fldChar w:fldCharType="begin"/>
      </w:r>
      <w:r w:rsidRPr="000B65DE">
        <w:rPr>
          <w:rFonts w:ascii="Bookman Old Style" w:hAnsi="Bookman Old Style"/>
          <w:lang w:val="es-ES_tradnl"/>
        </w:rPr>
        <w:instrText xml:space="preserve"> REF _Ref289349950 \r \h </w:instrText>
      </w:r>
      <w:r w:rsidR="00AF6018" w:rsidRPr="000B65DE">
        <w:rPr>
          <w:rFonts w:ascii="Bookman Old Style" w:hAnsi="Bookman Old Style"/>
          <w:lang w:val="es-ES_tradnl"/>
        </w:rPr>
      </w:r>
      <w:r w:rsidR="00AF6018" w:rsidRPr="000B65DE">
        <w:rPr>
          <w:rFonts w:ascii="Bookman Old Style" w:hAnsi="Bookman Old Style"/>
          <w:lang w:val="es-ES_tradnl"/>
        </w:rPr>
        <w:fldChar w:fldCharType="separate"/>
      </w:r>
      <w:r w:rsidR="004D5C18">
        <w:rPr>
          <w:rFonts w:ascii="Bookman Old Style" w:hAnsi="Bookman Old Style"/>
          <w:lang w:val="es-ES_tradnl"/>
        </w:rPr>
        <w:t>ANEXO 11</w:t>
      </w:r>
      <w:r w:rsidR="00AF6018" w:rsidRPr="000B65DE">
        <w:rPr>
          <w:rFonts w:ascii="Bookman Old Style" w:hAnsi="Bookman Old Style"/>
          <w:lang w:val="es-ES_tradnl"/>
        </w:rPr>
        <w:fldChar w:fldCharType="end"/>
      </w:r>
      <w:r w:rsidRPr="000B65DE">
        <w:rPr>
          <w:rFonts w:ascii="Bookman Old Style" w:hAnsi="Bookman Old Style"/>
          <w:lang w:val="es-ES_tradnl"/>
        </w:rPr>
        <w:t xml:space="preserve"> de esta resolución</w:t>
      </w:r>
      <w:r w:rsidR="00DA4F74">
        <w:rPr>
          <w:rFonts w:ascii="Bookman Old Style" w:hAnsi="Bookman Old Style"/>
          <w:lang w:val="es-ES_tradnl"/>
        </w:rPr>
        <w:t xml:space="preserve"> y deberán tener descontado el efecto del factor del poder calorífico.</w:t>
      </w:r>
    </w:p>
    <w:p w:rsidR="000B65DE" w:rsidRPr="000B65DE" w:rsidRDefault="000B65DE" w:rsidP="000B65DE">
      <w:pPr>
        <w:ind w:left="0"/>
        <w:jc w:val="both"/>
        <w:rPr>
          <w:rFonts w:ascii="Bookman Old Style" w:hAnsi="Bookman Old Style"/>
          <w:lang w:val="es-ES_tradnl"/>
        </w:rPr>
      </w:pPr>
    </w:p>
    <w:p w:rsidR="000B65DE" w:rsidRPr="000B65DE" w:rsidRDefault="000B65DE" w:rsidP="00382E27">
      <w:pPr>
        <w:numPr>
          <w:ilvl w:val="0"/>
          <w:numId w:val="9"/>
        </w:numPr>
        <w:jc w:val="both"/>
        <w:rPr>
          <w:rFonts w:ascii="Bookman Old Style" w:hAnsi="Bookman Old Style"/>
          <w:lang w:val="es-ES_tradnl"/>
        </w:rPr>
      </w:pPr>
      <w:r w:rsidRPr="000B65DE">
        <w:rPr>
          <w:rFonts w:ascii="Bookman Old Style" w:hAnsi="Bookman Old Style"/>
          <w:lang w:val="es-ES_tradnl"/>
        </w:rPr>
        <w:t>La demanda anual de volumen reportada por el distribuidor será verificada con la información reportada al Sistema Único de Información SUI. En caso de presentarse diferencias, la CREG, a través de una auditoría, establecerá cuál se tomará. El auditor verificará los datos utilizados por la empresa para el cálculo de la demanda reportada respecto a los datos de facturación y de contabilización de ventas.</w:t>
      </w:r>
    </w:p>
    <w:p w:rsidR="000B65DE" w:rsidRPr="000B65DE" w:rsidRDefault="000B65DE" w:rsidP="000B65DE">
      <w:pPr>
        <w:ind w:left="708"/>
        <w:rPr>
          <w:rFonts w:ascii="Bookman Old Style" w:hAnsi="Bookman Old Style"/>
          <w:sz w:val="20"/>
          <w:szCs w:val="20"/>
          <w:lang w:val="es-ES_tradnl"/>
        </w:rPr>
      </w:pPr>
    </w:p>
    <w:p w:rsidR="000B65DE" w:rsidRPr="000B65DE" w:rsidRDefault="000B65DE" w:rsidP="008F4D9F">
      <w:pPr>
        <w:numPr>
          <w:ilvl w:val="2"/>
          <w:numId w:val="16"/>
        </w:numPr>
        <w:overflowPunct w:val="0"/>
        <w:autoSpaceDE w:val="0"/>
        <w:autoSpaceDN w:val="0"/>
        <w:adjustRightInd w:val="0"/>
        <w:ind w:left="851" w:hanging="851"/>
        <w:jc w:val="both"/>
        <w:textAlignment w:val="baseline"/>
        <w:outlineLvl w:val="1"/>
        <w:rPr>
          <w:rFonts w:ascii="Bookman Old Style" w:hAnsi="Bookman Old Style"/>
          <w:b/>
          <w:bCs/>
          <w:szCs w:val="20"/>
          <w:lang w:val="es-CO"/>
        </w:rPr>
      </w:pPr>
      <w:r w:rsidRPr="000B65DE">
        <w:rPr>
          <w:rFonts w:ascii="Bookman Old Style" w:hAnsi="Bookman Old Style"/>
          <w:b/>
          <w:bCs/>
          <w:szCs w:val="20"/>
          <w:lang w:val="es-CO"/>
        </w:rPr>
        <w:t>Mercados Relevantes de Distribución para el Siguiente Período Tarifario conformados a partir de Anexar a Mercados Existentes de Distribución Municipios Nuevos</w:t>
      </w:r>
    </w:p>
    <w:p w:rsidR="000B65DE" w:rsidRPr="000B65DE" w:rsidRDefault="000B65DE" w:rsidP="000B65DE"/>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El Distribuidor reportará en su solicitud tarifaria y para el año de corte la información correspondiente a la Demanda de Volumen, expresada en metros cúbicos (m</w:t>
      </w:r>
      <w:r w:rsidRPr="000B65DE">
        <w:rPr>
          <w:rFonts w:ascii="Bookman Old Style" w:hAnsi="Bookman Old Style"/>
          <w:vertAlign w:val="superscript"/>
          <w:lang w:val="es-ES_tradnl"/>
        </w:rPr>
        <w:t>3</w:t>
      </w:r>
      <w:r w:rsidRPr="000B65DE">
        <w:rPr>
          <w:rFonts w:ascii="Bookman Old Style" w:hAnsi="Bookman Old Style"/>
          <w:lang w:val="es-ES_tradnl"/>
        </w:rPr>
        <w:t>) así:</w:t>
      </w:r>
    </w:p>
    <w:p w:rsidR="000B65DE" w:rsidRPr="000B65DE" w:rsidRDefault="000B65DE" w:rsidP="000B65DE">
      <w:pPr>
        <w:ind w:left="0"/>
        <w:jc w:val="both"/>
        <w:rPr>
          <w:rFonts w:ascii="Bookman Old Style" w:hAnsi="Bookman Old Style"/>
          <w:lang w:val="es-ES_tradnl"/>
        </w:rPr>
      </w:pPr>
    </w:p>
    <w:p w:rsidR="000B65DE" w:rsidRPr="000B65DE" w:rsidRDefault="000B65DE" w:rsidP="00382E27">
      <w:pPr>
        <w:numPr>
          <w:ilvl w:val="0"/>
          <w:numId w:val="10"/>
        </w:numPr>
        <w:jc w:val="both"/>
        <w:rPr>
          <w:rFonts w:ascii="Bookman Old Style" w:hAnsi="Bookman Old Style"/>
          <w:lang w:val="es-ES_tradnl"/>
        </w:rPr>
      </w:pPr>
      <w:r w:rsidRPr="000B65DE">
        <w:rPr>
          <w:rFonts w:ascii="Bookman Old Style" w:hAnsi="Bookman Old Style"/>
          <w:lang w:val="es-ES_tradnl"/>
        </w:rPr>
        <w:t xml:space="preserve">Demanda anual total a la fecha de corte para cada uno de los municipios que cuentan con servicio o que conformaron los mercados existentes de distribución y que van a conformar el Mercado Relevante de Distribución para el Siguiente Período Tarifario. </w:t>
      </w:r>
    </w:p>
    <w:p w:rsidR="000B65DE" w:rsidRPr="000B65DE" w:rsidRDefault="000B65DE" w:rsidP="000B65DE">
      <w:pPr>
        <w:ind w:left="720"/>
        <w:jc w:val="both"/>
        <w:rPr>
          <w:rFonts w:ascii="Bookman Old Style" w:hAnsi="Bookman Old Style"/>
          <w:lang w:val="es-ES_tradnl"/>
        </w:rPr>
      </w:pPr>
    </w:p>
    <w:p w:rsidR="000B65DE" w:rsidRPr="000B65DE" w:rsidRDefault="000B65DE" w:rsidP="000B65DE">
      <w:pPr>
        <w:ind w:left="720"/>
        <w:jc w:val="both"/>
        <w:rPr>
          <w:rFonts w:ascii="Bookman Old Style" w:hAnsi="Bookman Old Style"/>
          <w:lang w:val="es-ES_tradnl"/>
        </w:rPr>
      </w:pPr>
      <w:r w:rsidRPr="000B65DE">
        <w:rPr>
          <w:rFonts w:ascii="Bookman Old Style" w:hAnsi="Bookman Old Style"/>
          <w:lang w:val="es-ES_tradnl"/>
        </w:rPr>
        <w:t xml:space="preserve">Los valores de demanda deben estar discriminados por municipio, tipo de usuario: residencial, comercial, industrial, GNV y otros, así como conexión a tipo de red Primaria y Secundaria como se indica en el </w:t>
      </w:r>
      <w:r w:rsidR="00AF6018" w:rsidRPr="000B65DE">
        <w:rPr>
          <w:rFonts w:ascii="Bookman Old Style" w:hAnsi="Bookman Old Style"/>
          <w:lang w:val="es-ES_tradnl"/>
        </w:rPr>
        <w:fldChar w:fldCharType="begin"/>
      </w:r>
      <w:r w:rsidRPr="000B65DE">
        <w:rPr>
          <w:rFonts w:ascii="Bookman Old Style" w:hAnsi="Bookman Old Style"/>
          <w:lang w:val="es-ES_tradnl"/>
        </w:rPr>
        <w:instrText xml:space="preserve"> REF _Ref289349950 \r \h </w:instrText>
      </w:r>
      <w:r w:rsidR="00AF6018" w:rsidRPr="000B65DE">
        <w:rPr>
          <w:rFonts w:ascii="Bookman Old Style" w:hAnsi="Bookman Old Style"/>
          <w:lang w:val="es-ES_tradnl"/>
        </w:rPr>
      </w:r>
      <w:r w:rsidR="00AF6018" w:rsidRPr="000B65DE">
        <w:rPr>
          <w:rFonts w:ascii="Bookman Old Style" w:hAnsi="Bookman Old Style"/>
          <w:lang w:val="es-ES_tradnl"/>
        </w:rPr>
        <w:fldChar w:fldCharType="separate"/>
      </w:r>
      <w:r w:rsidR="004D5C18">
        <w:rPr>
          <w:rFonts w:ascii="Bookman Old Style" w:hAnsi="Bookman Old Style"/>
          <w:lang w:val="es-ES_tradnl"/>
        </w:rPr>
        <w:t>ANEXO 11</w:t>
      </w:r>
      <w:r w:rsidR="00AF6018" w:rsidRPr="000B65DE">
        <w:rPr>
          <w:rFonts w:ascii="Bookman Old Style" w:hAnsi="Bookman Old Style"/>
          <w:lang w:val="es-ES_tradnl"/>
        </w:rPr>
        <w:fldChar w:fldCharType="end"/>
      </w:r>
      <w:r w:rsidRPr="000B65DE">
        <w:rPr>
          <w:rFonts w:ascii="Bookman Old Style" w:hAnsi="Bookman Old Style"/>
          <w:lang w:val="es-ES_tradnl"/>
        </w:rPr>
        <w:t xml:space="preserve">  y </w:t>
      </w:r>
      <w:r w:rsidR="00AF6018" w:rsidRPr="000B65DE">
        <w:rPr>
          <w:rFonts w:ascii="Bookman Old Style" w:hAnsi="Bookman Old Style"/>
          <w:lang w:val="es-ES_tradnl"/>
        </w:rPr>
        <w:fldChar w:fldCharType="begin"/>
      </w:r>
      <w:r w:rsidRPr="000B65DE">
        <w:rPr>
          <w:rFonts w:ascii="Bookman Old Style" w:hAnsi="Bookman Old Style"/>
          <w:lang w:val="es-ES_tradnl"/>
        </w:rPr>
        <w:instrText xml:space="preserve"> REF _Ref332875910 \r \h </w:instrText>
      </w:r>
      <w:r w:rsidR="00AF6018" w:rsidRPr="000B65DE">
        <w:rPr>
          <w:rFonts w:ascii="Bookman Old Style" w:hAnsi="Bookman Old Style"/>
          <w:lang w:val="es-ES_tradnl"/>
        </w:rPr>
      </w:r>
      <w:r w:rsidR="00AF6018" w:rsidRPr="000B65DE">
        <w:rPr>
          <w:rFonts w:ascii="Bookman Old Style" w:hAnsi="Bookman Old Style"/>
          <w:lang w:val="es-ES_tradnl"/>
        </w:rPr>
        <w:fldChar w:fldCharType="separate"/>
      </w:r>
      <w:r w:rsidR="004D5C18">
        <w:rPr>
          <w:rFonts w:ascii="Bookman Old Style" w:hAnsi="Bookman Old Style"/>
          <w:lang w:val="es-ES_tradnl"/>
        </w:rPr>
        <w:t>ANEXO 14</w:t>
      </w:r>
      <w:r w:rsidR="00AF6018" w:rsidRPr="000B65DE">
        <w:rPr>
          <w:rFonts w:ascii="Bookman Old Style" w:hAnsi="Bookman Old Style"/>
          <w:lang w:val="es-ES_tradnl"/>
        </w:rPr>
        <w:fldChar w:fldCharType="end"/>
      </w:r>
      <w:r w:rsidRPr="000B65DE">
        <w:rPr>
          <w:rFonts w:ascii="Bookman Old Style" w:hAnsi="Bookman Old Style"/>
          <w:lang w:val="es-ES_tradnl"/>
        </w:rPr>
        <w:t xml:space="preserve"> de esta Resolución.</w:t>
      </w:r>
      <w:r w:rsidRPr="000B65DE">
        <w:rPr>
          <w:rFonts w:ascii="Bookman Old Style" w:hAnsi="Bookman Old Style"/>
          <w:highlight w:val="cyan"/>
          <w:lang w:val="es-ES_tradnl"/>
        </w:rPr>
        <w:t xml:space="preserve"> </w:t>
      </w:r>
    </w:p>
    <w:p w:rsidR="000B65DE" w:rsidRPr="000B65DE" w:rsidRDefault="000B65DE" w:rsidP="000B65DE">
      <w:pPr>
        <w:ind w:left="720"/>
        <w:jc w:val="both"/>
        <w:rPr>
          <w:rFonts w:ascii="Bookman Old Style" w:hAnsi="Bookman Old Style"/>
          <w:lang w:val="es-ES_tradnl"/>
        </w:rPr>
      </w:pPr>
    </w:p>
    <w:p w:rsidR="000B65DE" w:rsidRPr="000B65DE" w:rsidRDefault="000B65DE" w:rsidP="00382E27">
      <w:pPr>
        <w:numPr>
          <w:ilvl w:val="0"/>
          <w:numId w:val="10"/>
        </w:numPr>
        <w:jc w:val="both"/>
        <w:rPr>
          <w:rFonts w:ascii="Bookman Old Style" w:hAnsi="Bookman Old Style"/>
          <w:lang w:val="es-ES_tradnl"/>
        </w:rPr>
      </w:pPr>
      <w:r w:rsidRPr="000B65DE">
        <w:rPr>
          <w:rFonts w:ascii="Bookman Old Style" w:hAnsi="Bookman Old Style"/>
          <w:lang w:val="es-ES_tradnl"/>
        </w:rPr>
        <w:t>La Demanda de Volumen reportada por el Distribuidor será verificada con la información reportada al Sistema Único de Información SUI. En caso de presentarse diferencias, la CREG, a través de una auditoría establecerá cual se tomará. El auditor verificará los datos utilizados por la empresa para el cálculo de la demanda reportada respecto a los datos de facturación y de contabilización de ventas.</w:t>
      </w:r>
    </w:p>
    <w:p w:rsidR="000B65DE" w:rsidRDefault="000B65DE" w:rsidP="000B65DE">
      <w:pPr>
        <w:ind w:left="720"/>
        <w:jc w:val="both"/>
        <w:rPr>
          <w:rFonts w:ascii="Bookman Old Style" w:hAnsi="Bookman Old Style"/>
          <w:lang w:val="es-ES_tradnl"/>
        </w:rPr>
      </w:pPr>
    </w:p>
    <w:p w:rsidR="00E922A0" w:rsidRDefault="00E922A0" w:rsidP="000B65DE">
      <w:pPr>
        <w:ind w:left="720"/>
        <w:jc w:val="both"/>
        <w:rPr>
          <w:rFonts w:ascii="Bookman Old Style" w:hAnsi="Bookman Old Style"/>
          <w:lang w:val="es-ES_tradnl"/>
        </w:rPr>
      </w:pPr>
    </w:p>
    <w:p w:rsidR="00E922A0" w:rsidRDefault="00E922A0" w:rsidP="000B65DE">
      <w:pPr>
        <w:ind w:left="720"/>
        <w:jc w:val="both"/>
        <w:rPr>
          <w:rFonts w:ascii="Bookman Old Style" w:hAnsi="Bookman Old Style"/>
          <w:lang w:val="es-ES_tradnl"/>
        </w:rPr>
      </w:pPr>
    </w:p>
    <w:p w:rsidR="00E922A0" w:rsidRDefault="00E922A0" w:rsidP="000B65DE">
      <w:pPr>
        <w:ind w:left="720"/>
        <w:jc w:val="both"/>
        <w:rPr>
          <w:rFonts w:ascii="Bookman Old Style" w:hAnsi="Bookman Old Style"/>
          <w:lang w:val="es-ES_tradnl"/>
        </w:rPr>
      </w:pPr>
    </w:p>
    <w:p w:rsidR="00E922A0" w:rsidRPr="000B65DE" w:rsidRDefault="00E922A0" w:rsidP="000B65DE">
      <w:pPr>
        <w:ind w:left="720"/>
        <w:jc w:val="both"/>
        <w:rPr>
          <w:rFonts w:ascii="Bookman Old Style" w:hAnsi="Bookman Old Style"/>
          <w:lang w:val="es-ES_tradnl"/>
        </w:rPr>
      </w:pPr>
    </w:p>
    <w:p w:rsidR="000B65DE" w:rsidRPr="000B65DE" w:rsidRDefault="000B65DE" w:rsidP="00382E27">
      <w:pPr>
        <w:numPr>
          <w:ilvl w:val="0"/>
          <w:numId w:val="10"/>
        </w:numPr>
        <w:jc w:val="both"/>
        <w:rPr>
          <w:rFonts w:ascii="Bookman Old Style" w:hAnsi="Bookman Old Style"/>
          <w:lang w:val="es-ES_tradnl"/>
        </w:rPr>
      </w:pPr>
      <w:r w:rsidRPr="000B65DE">
        <w:rPr>
          <w:rFonts w:ascii="Bookman Old Style" w:hAnsi="Bookman Old Style"/>
          <w:lang w:val="es-ES_tradnl"/>
        </w:rPr>
        <w:t>Para los Municipios Nuevos que van a conformar el Mercado Relevante de Distribución para el próximo Período Tarifario el Distribuidor deberá reportar los volúmenes de demanda así:</w:t>
      </w:r>
    </w:p>
    <w:p w:rsidR="000B65DE" w:rsidRPr="000B65DE" w:rsidRDefault="000B65DE" w:rsidP="000B65DE">
      <w:pPr>
        <w:ind w:left="0"/>
        <w:jc w:val="both"/>
        <w:rPr>
          <w:rFonts w:ascii="Bookman Old Style" w:hAnsi="Bookman Old Style"/>
          <w:lang w:val="es-ES_tradnl"/>
        </w:rPr>
      </w:pPr>
    </w:p>
    <w:p w:rsidR="000B65DE" w:rsidRPr="000B65DE" w:rsidRDefault="000B65DE" w:rsidP="00382E27">
      <w:pPr>
        <w:numPr>
          <w:ilvl w:val="1"/>
          <w:numId w:val="10"/>
        </w:numPr>
        <w:jc w:val="both"/>
        <w:rPr>
          <w:rFonts w:ascii="Bookman Old Style" w:hAnsi="Bookman Old Style"/>
          <w:lang w:val="es-ES_tradnl"/>
        </w:rPr>
      </w:pPr>
      <w:r w:rsidRPr="000B65DE">
        <w:rPr>
          <w:rFonts w:ascii="Bookman Old Style" w:hAnsi="Bookman Old Style"/>
          <w:lang w:val="es-ES_tradnl"/>
        </w:rPr>
        <w:t xml:space="preserve">Para un Horizonte de Proyección de 20 años reportará los volúmenes anuales proyectados de consumo de los usuarios de los Municipios Nuevos y que </w:t>
      </w:r>
      <w:r w:rsidRPr="0025178C">
        <w:rPr>
          <w:rFonts w:ascii="Bookman Old Style" w:hAnsi="Bookman Old Style"/>
          <w:lang w:val="es-ES_tradnl"/>
        </w:rPr>
        <w:t xml:space="preserve">conformaran </w:t>
      </w:r>
      <w:r w:rsidR="0027498B" w:rsidRPr="0025178C">
        <w:rPr>
          <w:rFonts w:ascii="Bookman Old Style" w:hAnsi="Bookman Old Style"/>
          <w:lang w:val="es-ES_tradnl"/>
        </w:rPr>
        <w:t>el</w:t>
      </w:r>
      <w:r w:rsidRPr="000B65DE">
        <w:rPr>
          <w:rFonts w:ascii="Bookman Old Style" w:hAnsi="Bookman Old Style"/>
          <w:lang w:val="es-ES_tradnl"/>
        </w:rPr>
        <w:t xml:space="preserve"> Sistema de Distribución (expresados en metros cúbicos) desagregados conforme al </w:t>
      </w:r>
      <w:r w:rsidR="00365A72">
        <w:rPr>
          <w:rFonts w:ascii="Bookman Old Style" w:hAnsi="Bookman Old Style"/>
          <w:lang w:val="es-ES_tradnl"/>
        </w:rPr>
        <w:t>Anexo 12</w:t>
      </w:r>
      <w:r w:rsidRPr="000B65DE">
        <w:rPr>
          <w:rFonts w:ascii="Bookman Old Style" w:hAnsi="Bookman Old Style"/>
          <w:lang w:val="es-ES_tradnl"/>
        </w:rPr>
        <w:t xml:space="preserve"> de la presente resolución. No obstante, la proyección debe ser creciente del primer año de proyección hasta el quinto o décimo y permanecer constante del año quinto o décimo en adelante. Los volúmenes proyectados deben ser consistentes con el Programa de Nuevas Inversiones para dichos municipios.</w:t>
      </w:r>
    </w:p>
    <w:p w:rsidR="000B65DE" w:rsidRPr="000B65DE" w:rsidRDefault="000B65DE" w:rsidP="000B65DE">
      <w:pPr>
        <w:ind w:left="1440"/>
        <w:jc w:val="both"/>
        <w:rPr>
          <w:rFonts w:ascii="Bookman Old Style" w:hAnsi="Bookman Old Style"/>
          <w:lang w:val="es-ES_tradnl"/>
        </w:rPr>
      </w:pPr>
    </w:p>
    <w:p w:rsidR="000B65DE" w:rsidRPr="000B65DE" w:rsidRDefault="000B65DE" w:rsidP="00382E27">
      <w:pPr>
        <w:numPr>
          <w:ilvl w:val="1"/>
          <w:numId w:val="10"/>
        </w:numPr>
        <w:jc w:val="both"/>
        <w:rPr>
          <w:rFonts w:ascii="Bookman Old Style" w:hAnsi="Bookman Old Style"/>
          <w:lang w:val="es-ES_tradnl"/>
        </w:rPr>
      </w:pPr>
      <w:r w:rsidRPr="000B65DE">
        <w:rPr>
          <w:rFonts w:ascii="Bookman Old Style" w:hAnsi="Bookman Old Style"/>
          <w:lang w:val="es-ES_tradnl"/>
        </w:rPr>
        <w:t xml:space="preserve">Para la elaboración de estas proyecciones, el distribuidor utilizará la metodología contenida en </w:t>
      </w:r>
      <w:r w:rsidR="00AF6018" w:rsidRPr="000B65DE">
        <w:rPr>
          <w:rFonts w:ascii="Bookman Old Style" w:hAnsi="Bookman Old Style"/>
          <w:lang w:val="es-ES_tradnl"/>
        </w:rPr>
        <w:fldChar w:fldCharType="begin"/>
      </w:r>
      <w:r w:rsidRPr="000B65DE">
        <w:rPr>
          <w:rFonts w:ascii="Bookman Old Style" w:hAnsi="Bookman Old Style"/>
          <w:lang w:val="es-ES_tradnl"/>
        </w:rPr>
        <w:instrText xml:space="preserve"> REF _Ref289353507 \r \h </w:instrText>
      </w:r>
      <w:r w:rsidR="00AF6018" w:rsidRPr="000B65DE">
        <w:rPr>
          <w:rFonts w:ascii="Bookman Old Style" w:hAnsi="Bookman Old Style"/>
          <w:lang w:val="es-ES_tradnl"/>
        </w:rPr>
      </w:r>
      <w:r w:rsidR="00AF6018" w:rsidRPr="000B65DE">
        <w:rPr>
          <w:rFonts w:ascii="Bookman Old Style" w:hAnsi="Bookman Old Style"/>
          <w:lang w:val="es-ES_tradnl"/>
        </w:rPr>
        <w:fldChar w:fldCharType="separate"/>
      </w:r>
      <w:r w:rsidR="004D5C18">
        <w:rPr>
          <w:rFonts w:ascii="Bookman Old Style" w:hAnsi="Bookman Old Style"/>
          <w:lang w:val="es-ES_tradnl"/>
        </w:rPr>
        <w:t>ANEXO 13</w:t>
      </w:r>
      <w:r w:rsidR="00AF6018" w:rsidRPr="000B65DE">
        <w:rPr>
          <w:rFonts w:ascii="Bookman Old Style" w:hAnsi="Bookman Old Style"/>
          <w:lang w:val="es-ES_tradnl"/>
        </w:rPr>
        <w:fldChar w:fldCharType="end"/>
      </w:r>
      <w:r w:rsidRPr="000B65DE">
        <w:rPr>
          <w:rFonts w:ascii="Bookman Old Style" w:hAnsi="Bookman Old Style"/>
          <w:lang w:val="es-ES_tradnl"/>
        </w:rPr>
        <w:t xml:space="preserve"> de la presente resolución. Dichas proyecciones deberán ser enviadas a la UPME para su evaluación metodológica, simultáneamente con la presentación de la solicitud tarifaria a la Comisión. Copia del radicado deberá remitirse a la Comisión con la solicitud tarifaria.</w:t>
      </w:r>
    </w:p>
    <w:p w:rsidR="000B65DE" w:rsidRPr="000B65DE" w:rsidRDefault="000B65DE" w:rsidP="000B65DE">
      <w:pPr>
        <w:ind w:left="708"/>
        <w:jc w:val="both"/>
        <w:rPr>
          <w:rFonts w:ascii="Bookman Old Style" w:hAnsi="Bookman Old Style"/>
          <w:lang w:val="es-ES_tradnl"/>
        </w:rPr>
      </w:pPr>
    </w:p>
    <w:p w:rsidR="000B65DE" w:rsidRPr="000B65DE" w:rsidRDefault="000B65DE" w:rsidP="00382E27">
      <w:pPr>
        <w:numPr>
          <w:ilvl w:val="1"/>
          <w:numId w:val="10"/>
        </w:numPr>
        <w:jc w:val="both"/>
        <w:rPr>
          <w:rFonts w:ascii="Bookman Old Style" w:hAnsi="Bookman Old Style"/>
          <w:lang w:val="es-ES_tradnl"/>
        </w:rPr>
      </w:pPr>
      <w:r w:rsidRPr="000B65DE">
        <w:rPr>
          <w:rFonts w:ascii="Bookman Old Style" w:hAnsi="Bookman Old Style"/>
          <w:lang w:val="es-ES_tradnl"/>
        </w:rPr>
        <w:t>Una vez se reciba el concepto de la UPME, en caso de ser negativo el distribuidor deberá modificar la proyección de demanda, y enviarla nuevamente a la UPME para su evaluación metodológica.</w:t>
      </w:r>
    </w:p>
    <w:p w:rsidR="000B65DE" w:rsidRPr="000B65DE" w:rsidRDefault="000B65DE" w:rsidP="000B65DE">
      <w:pPr>
        <w:ind w:left="708"/>
        <w:rPr>
          <w:rFonts w:ascii="Bookman Old Style" w:hAnsi="Bookman Old Style"/>
          <w:sz w:val="20"/>
          <w:szCs w:val="20"/>
          <w:lang w:val="es-ES_tradnl"/>
        </w:rPr>
      </w:pPr>
    </w:p>
    <w:p w:rsidR="000B65DE" w:rsidRPr="000B65DE" w:rsidRDefault="000B65DE" w:rsidP="000B65DE">
      <w:pPr>
        <w:ind w:left="1440"/>
        <w:jc w:val="both"/>
        <w:rPr>
          <w:rFonts w:ascii="Bookman Old Style" w:hAnsi="Bookman Old Style"/>
          <w:lang w:val="es-ES_tradnl"/>
        </w:rPr>
      </w:pPr>
      <w:r w:rsidRPr="000B65DE">
        <w:rPr>
          <w:rFonts w:ascii="Bookman Old Style" w:hAnsi="Bookman Old Style"/>
          <w:lang w:val="es-ES_tradnl"/>
        </w:rPr>
        <w:t xml:space="preserve"> </w:t>
      </w:r>
    </w:p>
    <w:p w:rsidR="000B65DE" w:rsidRPr="000B65DE" w:rsidRDefault="000B65DE" w:rsidP="00382E27">
      <w:pPr>
        <w:numPr>
          <w:ilvl w:val="0"/>
          <w:numId w:val="10"/>
        </w:numPr>
        <w:jc w:val="both"/>
        <w:rPr>
          <w:rFonts w:ascii="Bookman Old Style" w:hAnsi="Bookman Old Style"/>
          <w:lang w:val="es-ES_tradnl"/>
        </w:rPr>
      </w:pPr>
      <w:r w:rsidRPr="000B65DE">
        <w:rPr>
          <w:rFonts w:ascii="Bookman Old Style" w:hAnsi="Bookman Old Style"/>
          <w:lang w:val="es-ES_tradnl"/>
        </w:rPr>
        <w:t>Para el cálculo de los Cargos de Distribución se tendrá en cuenta la proyección de Demanda de Volumen a entregar a los usuarios y por tanto, este volumen no incorporará las pérdidas de gas en el Sistema de Distribución.</w:t>
      </w:r>
    </w:p>
    <w:p w:rsidR="000B65DE" w:rsidRPr="000B65DE" w:rsidRDefault="000B65DE" w:rsidP="000B65DE">
      <w:pPr>
        <w:ind w:left="0"/>
        <w:jc w:val="both"/>
        <w:rPr>
          <w:rFonts w:ascii="Bookman Old Style" w:hAnsi="Bookman Old Style"/>
          <w:lang w:val="es-ES_tradnl"/>
        </w:rPr>
      </w:pPr>
    </w:p>
    <w:p w:rsidR="000B65DE" w:rsidRPr="000B65DE" w:rsidRDefault="000B65DE" w:rsidP="008F4D9F">
      <w:pPr>
        <w:numPr>
          <w:ilvl w:val="2"/>
          <w:numId w:val="16"/>
        </w:numPr>
        <w:overflowPunct w:val="0"/>
        <w:autoSpaceDE w:val="0"/>
        <w:autoSpaceDN w:val="0"/>
        <w:adjustRightInd w:val="0"/>
        <w:ind w:left="851" w:hanging="851"/>
        <w:jc w:val="both"/>
        <w:textAlignment w:val="baseline"/>
        <w:outlineLvl w:val="1"/>
        <w:rPr>
          <w:rFonts w:ascii="Bookman Old Style" w:hAnsi="Bookman Old Style"/>
          <w:b/>
          <w:bCs/>
          <w:szCs w:val="20"/>
          <w:lang w:val="es-CO"/>
        </w:rPr>
      </w:pPr>
      <w:r w:rsidRPr="000B65DE">
        <w:rPr>
          <w:rFonts w:ascii="Bookman Old Style" w:hAnsi="Bookman Old Style"/>
          <w:b/>
          <w:bCs/>
          <w:szCs w:val="20"/>
          <w:lang w:val="es-CO"/>
        </w:rPr>
        <w:t xml:space="preserve">Mercados Relevantes de Distribución para el Siguiente Período Tarifario Conformados por Municipios Nuevos </w:t>
      </w:r>
    </w:p>
    <w:p w:rsidR="000B65DE" w:rsidRPr="000B65DE" w:rsidRDefault="000B65DE" w:rsidP="000B65DE">
      <w:pPr>
        <w:ind w:left="0"/>
        <w:jc w:val="both"/>
        <w:rPr>
          <w:rFonts w:ascii="Bookman Old Style" w:hAnsi="Bookman Old Style"/>
          <w:lang w:val="es-ES_tradnl"/>
        </w:rPr>
      </w:pPr>
    </w:p>
    <w:p w:rsidR="000B65DE" w:rsidRPr="000B65DE" w:rsidRDefault="000B65DE" w:rsidP="00382E27">
      <w:pPr>
        <w:numPr>
          <w:ilvl w:val="0"/>
          <w:numId w:val="11"/>
        </w:numPr>
        <w:jc w:val="both"/>
        <w:rPr>
          <w:rFonts w:ascii="Bookman Old Style" w:hAnsi="Bookman Old Style"/>
          <w:lang w:val="es-ES_tradnl"/>
        </w:rPr>
      </w:pPr>
      <w:r w:rsidRPr="000B65DE">
        <w:rPr>
          <w:rFonts w:ascii="Bookman Old Style" w:hAnsi="Bookman Old Style"/>
          <w:lang w:val="es-ES_tradnl"/>
        </w:rPr>
        <w:t xml:space="preserve">Para el Horizonte de Proyección, deberán reportarse los volúmenes anuales proyectados de consumo de los usuarios del Sistema de Distribución (expresados en metros cúbicos) desagregados conforme al </w:t>
      </w:r>
      <w:r w:rsidR="00365A72">
        <w:rPr>
          <w:rFonts w:ascii="Bookman Old Style" w:hAnsi="Bookman Old Style"/>
          <w:lang w:val="es-ES_tradnl"/>
        </w:rPr>
        <w:t>ANEXO 12</w:t>
      </w:r>
      <w:r w:rsidRPr="000B65DE">
        <w:rPr>
          <w:rFonts w:ascii="Bookman Old Style" w:hAnsi="Bookman Old Style"/>
          <w:lang w:val="es-ES_tradnl"/>
        </w:rPr>
        <w:t xml:space="preserve"> de la presente resolución. Los volúmenes proyectados deben ser consistentes con el Programa de Nuevas Inversiones.</w:t>
      </w:r>
    </w:p>
    <w:p w:rsidR="000B65DE" w:rsidRPr="000B65DE" w:rsidRDefault="000B65DE" w:rsidP="000B65DE">
      <w:pPr>
        <w:ind w:left="0"/>
        <w:jc w:val="both"/>
        <w:rPr>
          <w:rFonts w:ascii="Bookman Old Style" w:hAnsi="Bookman Old Style"/>
          <w:lang w:val="es-ES_tradnl"/>
        </w:rPr>
      </w:pPr>
    </w:p>
    <w:p w:rsidR="000B65DE" w:rsidRPr="000B65DE" w:rsidRDefault="000B65DE" w:rsidP="00382E27">
      <w:pPr>
        <w:numPr>
          <w:ilvl w:val="0"/>
          <w:numId w:val="11"/>
        </w:numPr>
        <w:jc w:val="both"/>
        <w:rPr>
          <w:rFonts w:ascii="Bookman Old Style" w:hAnsi="Bookman Old Style"/>
          <w:lang w:val="es-ES_tradnl"/>
        </w:rPr>
      </w:pPr>
      <w:r w:rsidRPr="000B65DE">
        <w:rPr>
          <w:rFonts w:ascii="Bookman Old Style" w:hAnsi="Bookman Old Style"/>
          <w:lang w:val="es-ES_tradnl"/>
        </w:rPr>
        <w:t xml:space="preserve">Para la elaboración de estas proyecciones, el distribuidor utilizará la metodología contenida en el </w:t>
      </w:r>
      <w:r w:rsidR="00AF6018" w:rsidRPr="000B65DE">
        <w:rPr>
          <w:rFonts w:ascii="Bookman Old Style" w:hAnsi="Bookman Old Style"/>
          <w:lang w:val="es-ES_tradnl"/>
        </w:rPr>
        <w:fldChar w:fldCharType="begin"/>
      </w:r>
      <w:r w:rsidRPr="000B65DE">
        <w:rPr>
          <w:rFonts w:ascii="Bookman Old Style" w:hAnsi="Bookman Old Style"/>
          <w:lang w:val="es-ES_tradnl"/>
        </w:rPr>
        <w:instrText xml:space="preserve"> REF _Ref289353507 \r \h </w:instrText>
      </w:r>
      <w:r w:rsidR="00AF6018" w:rsidRPr="000B65DE">
        <w:rPr>
          <w:rFonts w:ascii="Bookman Old Style" w:hAnsi="Bookman Old Style"/>
          <w:lang w:val="es-ES_tradnl"/>
        </w:rPr>
      </w:r>
      <w:r w:rsidR="00AF6018" w:rsidRPr="000B65DE">
        <w:rPr>
          <w:rFonts w:ascii="Bookman Old Style" w:hAnsi="Bookman Old Style"/>
          <w:lang w:val="es-ES_tradnl"/>
        </w:rPr>
        <w:fldChar w:fldCharType="separate"/>
      </w:r>
      <w:r w:rsidR="004D5C18">
        <w:rPr>
          <w:rFonts w:ascii="Bookman Old Style" w:hAnsi="Bookman Old Style"/>
          <w:lang w:val="es-ES_tradnl"/>
        </w:rPr>
        <w:t>ANEXO 13</w:t>
      </w:r>
      <w:r w:rsidR="00AF6018" w:rsidRPr="000B65DE">
        <w:rPr>
          <w:rFonts w:ascii="Bookman Old Style" w:hAnsi="Bookman Old Style"/>
          <w:lang w:val="es-ES_tradnl"/>
        </w:rPr>
        <w:fldChar w:fldCharType="end"/>
      </w:r>
      <w:r w:rsidRPr="000B65DE">
        <w:rPr>
          <w:rFonts w:ascii="Bookman Old Style" w:hAnsi="Bookman Old Style"/>
          <w:lang w:val="es-ES_tradnl"/>
        </w:rPr>
        <w:t xml:space="preserve"> de la presente resolución. Dichas proyecciones deberán ser enviadas a la UPME para su evaluación metodológica, simultáneamente con la presentación de la solicitud tarifaria a la Comisión. Copia del radicado deberá remitirse con la solicitud tarifaria.</w:t>
      </w:r>
    </w:p>
    <w:p w:rsidR="000B65DE" w:rsidRPr="000B65DE" w:rsidRDefault="000B65DE" w:rsidP="000B65DE">
      <w:pPr>
        <w:ind w:left="708"/>
        <w:rPr>
          <w:rFonts w:ascii="Bookman Old Style" w:hAnsi="Bookman Old Style"/>
          <w:sz w:val="20"/>
          <w:szCs w:val="20"/>
          <w:lang w:val="es-ES_tradnl"/>
        </w:rPr>
      </w:pPr>
    </w:p>
    <w:p w:rsidR="000B65DE" w:rsidRPr="000B65DE" w:rsidRDefault="000B65DE" w:rsidP="00382E27">
      <w:pPr>
        <w:numPr>
          <w:ilvl w:val="0"/>
          <w:numId w:val="11"/>
        </w:numPr>
        <w:jc w:val="both"/>
        <w:rPr>
          <w:rFonts w:ascii="Bookman Old Style" w:hAnsi="Bookman Old Style"/>
          <w:lang w:val="es-ES_tradnl"/>
        </w:rPr>
      </w:pPr>
      <w:r w:rsidRPr="000B65DE">
        <w:rPr>
          <w:rFonts w:ascii="Bookman Old Style" w:hAnsi="Bookman Old Style"/>
          <w:lang w:val="es-ES_tradnl"/>
        </w:rPr>
        <w:lastRenderedPageBreak/>
        <w:t xml:space="preserve">Una vez se reciba el concepto de la UPME, en caso de ser negativo el distribuidor deberá modificar la proyección de demanda, y </w:t>
      </w:r>
      <w:r w:rsidR="00EF6CF2">
        <w:rPr>
          <w:rFonts w:ascii="Bookman Old Style" w:hAnsi="Bookman Old Style"/>
          <w:lang w:val="es-ES_tradnl"/>
        </w:rPr>
        <w:t xml:space="preserve">enviarla </w:t>
      </w:r>
      <w:r w:rsidRPr="000B65DE">
        <w:rPr>
          <w:rFonts w:ascii="Bookman Old Style" w:hAnsi="Bookman Old Style"/>
          <w:lang w:val="es-ES_tradnl"/>
        </w:rPr>
        <w:t xml:space="preserve">nuevamente a la UPME para su evaluación metodológica. </w:t>
      </w:r>
    </w:p>
    <w:p w:rsidR="000B65DE" w:rsidRPr="000B65DE" w:rsidRDefault="000B65DE" w:rsidP="000B65DE">
      <w:pPr>
        <w:ind w:left="720"/>
        <w:jc w:val="both"/>
        <w:rPr>
          <w:rFonts w:ascii="Bookman Old Style" w:hAnsi="Bookman Old Style"/>
          <w:lang w:val="es-ES_tradnl"/>
        </w:rPr>
      </w:pPr>
    </w:p>
    <w:p w:rsidR="000B65DE" w:rsidRPr="000B65DE" w:rsidRDefault="000B65DE" w:rsidP="00382E27">
      <w:pPr>
        <w:numPr>
          <w:ilvl w:val="0"/>
          <w:numId w:val="11"/>
        </w:numPr>
        <w:jc w:val="both"/>
        <w:rPr>
          <w:rFonts w:ascii="Bookman Old Style" w:hAnsi="Bookman Old Style"/>
          <w:lang w:val="es-ES_tradnl"/>
        </w:rPr>
      </w:pPr>
      <w:r w:rsidRPr="000B65DE">
        <w:rPr>
          <w:rFonts w:ascii="Bookman Old Style" w:hAnsi="Bookman Old Style"/>
          <w:lang w:val="es-ES_tradnl"/>
        </w:rPr>
        <w:t>Para el cálculo de los Cargos de Distribución se tendrá en cuenta la proyección de Demanda de Volumen a entregar a los usuarios y por tanto, este volumen no incorporará las pérdidas de gas en el Sistema de Distribución.</w:t>
      </w:r>
    </w:p>
    <w:p w:rsidR="000B65DE" w:rsidRPr="000B65DE" w:rsidRDefault="000B65DE" w:rsidP="008F4D9F">
      <w:pPr>
        <w:keepNext/>
        <w:numPr>
          <w:ilvl w:val="1"/>
          <w:numId w:val="16"/>
        </w:numPr>
        <w:spacing w:before="240" w:after="60"/>
        <w:ind w:hanging="567"/>
        <w:jc w:val="both"/>
        <w:outlineLvl w:val="0"/>
        <w:rPr>
          <w:rFonts w:ascii="Bookman Old Style" w:hAnsi="Bookman Old Style"/>
          <w:b/>
          <w:bCs/>
          <w:szCs w:val="20"/>
          <w:lang w:val="es-ES_tradnl"/>
        </w:rPr>
      </w:pPr>
      <w:bookmarkStart w:id="21" w:name="_Ref289349880"/>
      <w:r w:rsidRPr="000B65DE">
        <w:rPr>
          <w:rFonts w:ascii="Bookman Old Style" w:hAnsi="Bookman Old Style"/>
          <w:b/>
          <w:bCs/>
          <w:szCs w:val="20"/>
          <w:lang w:val="es-ES_tradnl"/>
        </w:rPr>
        <w:t>TASA DE RETORNO</w:t>
      </w:r>
      <w:bookmarkEnd w:id="21"/>
    </w:p>
    <w:p w:rsidR="000B65DE" w:rsidRPr="000B65DE" w:rsidRDefault="000B65DE" w:rsidP="000B65DE"/>
    <w:p w:rsidR="00B512DC" w:rsidRPr="00B512DC" w:rsidRDefault="000B65DE" w:rsidP="000B65DE">
      <w:pPr>
        <w:numPr>
          <w:ilvl w:val="12"/>
          <w:numId w:val="0"/>
        </w:numPr>
        <w:jc w:val="both"/>
        <w:rPr>
          <w:rFonts w:ascii="Bookman Old Style" w:hAnsi="Bookman Old Style"/>
          <w:spacing w:val="-3"/>
          <w:lang w:val="es-CO"/>
        </w:rPr>
      </w:pPr>
      <w:r w:rsidRPr="000B65DE">
        <w:rPr>
          <w:rFonts w:ascii="Bookman Old Style" w:hAnsi="Bookman Old Style"/>
          <w:spacing w:val="-3"/>
          <w:lang w:val="es-ES_tradnl"/>
        </w:rPr>
        <w:t>La Tasa de Retorno para remunerar la actividad de Distribución de Gas Combustible</w:t>
      </w:r>
      <w:r w:rsidR="00940C7C">
        <w:rPr>
          <w:rFonts w:ascii="Bookman Old Style" w:hAnsi="Bookman Old Style"/>
          <w:spacing w:val="-3"/>
          <w:lang w:val="es-ES_tradnl"/>
        </w:rPr>
        <w:t xml:space="preserve"> para el nuevo Periodo Tarifario</w:t>
      </w:r>
      <w:r w:rsidRPr="000B65DE">
        <w:rPr>
          <w:rFonts w:ascii="Bookman Old Style" w:hAnsi="Bookman Old Style"/>
          <w:spacing w:val="-3"/>
          <w:lang w:val="es-ES_tradnl"/>
        </w:rPr>
        <w:t>, corresponderá a</w:t>
      </w:r>
      <w:r w:rsidR="00B512DC">
        <w:rPr>
          <w:rFonts w:ascii="Bookman Old Style" w:hAnsi="Bookman Old Style"/>
          <w:spacing w:val="-3"/>
          <w:lang w:val="es-ES_tradnl"/>
        </w:rPr>
        <w:t>l valor que se calcule con la metodología del WACC que esté vigente</w:t>
      </w:r>
      <w:r w:rsidR="00940C7C">
        <w:rPr>
          <w:rFonts w:ascii="Bookman Old Style" w:hAnsi="Bookman Old Style"/>
          <w:spacing w:val="-3"/>
          <w:lang w:val="es-ES_tradnl"/>
        </w:rPr>
        <w:t xml:space="preserve">, establecida </w:t>
      </w:r>
      <w:r w:rsidR="00B512DC">
        <w:rPr>
          <w:rFonts w:ascii="Bookman Old Style" w:hAnsi="Bookman Old Style"/>
          <w:spacing w:val="-3"/>
          <w:lang w:val="es-ES_tradnl"/>
        </w:rPr>
        <w:t>en resolución aparte</w:t>
      </w:r>
      <w:r w:rsidR="00940C7C">
        <w:rPr>
          <w:rFonts w:ascii="Bookman Old Style" w:hAnsi="Bookman Old Style"/>
          <w:spacing w:val="-3"/>
          <w:lang w:val="es-ES_tradnl"/>
        </w:rPr>
        <w:t>,</w:t>
      </w:r>
      <w:r w:rsidR="00B512DC">
        <w:rPr>
          <w:rFonts w:ascii="Bookman Old Style" w:hAnsi="Bookman Old Style"/>
          <w:spacing w:val="-3"/>
          <w:lang w:val="es-ES_tradnl"/>
        </w:rPr>
        <w:t xml:space="preserve"> antes de la aprobación de la primera solicitud tarifaria.</w:t>
      </w:r>
      <w:r w:rsidRPr="000B65DE">
        <w:rPr>
          <w:rFonts w:ascii="Bookman Old Style" w:hAnsi="Bookman Old Style"/>
          <w:spacing w:val="-3"/>
          <w:lang w:val="es-ES_tradnl"/>
        </w:rPr>
        <w:t xml:space="preserve"> </w:t>
      </w:r>
    </w:p>
    <w:p w:rsidR="000B65DE" w:rsidRPr="000B65DE" w:rsidRDefault="000B65DE" w:rsidP="00382E27">
      <w:pPr>
        <w:keepNext/>
        <w:numPr>
          <w:ilvl w:val="0"/>
          <w:numId w:val="2"/>
        </w:numPr>
        <w:tabs>
          <w:tab w:val="num" w:pos="1418"/>
        </w:tabs>
        <w:spacing w:before="240" w:after="60"/>
        <w:ind w:left="-142" w:firstLine="1560"/>
        <w:jc w:val="both"/>
        <w:outlineLvl w:val="0"/>
        <w:rPr>
          <w:rFonts w:ascii="Bookman Old Style" w:hAnsi="Bookman Old Style"/>
          <w:b/>
          <w:bCs/>
        </w:rPr>
      </w:pPr>
      <w:bookmarkStart w:id="22" w:name="_Ref289435962"/>
      <w:r w:rsidRPr="000B65DE">
        <w:rPr>
          <w:rFonts w:ascii="Bookman Old Style" w:hAnsi="Bookman Old Style"/>
          <w:b/>
          <w:bCs/>
        </w:rPr>
        <w:t xml:space="preserve"> APLICACIÓN DE LA METODOLOGÍA DE CANASTA DE TARIFAS PARA USUARIOS DIFERENTES A LOS DE USO RESIDENCIAL </w:t>
      </w:r>
    </w:p>
    <w:bookmarkEnd w:id="22"/>
    <w:p w:rsidR="000B65DE" w:rsidRPr="000B65DE" w:rsidRDefault="000B65DE" w:rsidP="000B65DE">
      <w:pPr>
        <w:ind w:left="0"/>
        <w:jc w:val="both"/>
        <w:rPr>
          <w:rFonts w:ascii="Bookman Old Style" w:hAnsi="Bookman Old Style"/>
          <w:lang w:val="es-CO"/>
        </w:rPr>
      </w:pPr>
    </w:p>
    <w:p w:rsidR="000B65DE" w:rsidRPr="000B65DE" w:rsidRDefault="000B65DE" w:rsidP="000B65DE">
      <w:pPr>
        <w:ind w:left="0"/>
        <w:jc w:val="both"/>
        <w:rPr>
          <w:rFonts w:ascii="Bookman Old Style" w:hAnsi="Bookman Old Style"/>
          <w:lang w:val="es-CO"/>
        </w:rPr>
      </w:pPr>
      <w:r w:rsidRPr="000B65DE">
        <w:rPr>
          <w:rFonts w:ascii="Bookman Old Style" w:hAnsi="Bookman Old Style"/>
          <w:lang w:val="es-CO"/>
        </w:rPr>
        <w:t>Para el correspondiente  Mercado Relevante de Distribución para el Siguiente Período Tarifario, se podrá aplicar la metodología de Canasta de Tarifas, de acuerdo con el Cargo Promedio de Distribución aprobado Aplicable a los Usuarios Diferentes a los de Uso Residencial</w:t>
      </w:r>
      <w:r w:rsidR="00BC57F9">
        <w:rPr>
          <w:rFonts w:ascii="Bookman Old Style" w:hAnsi="Bookman Old Style"/>
          <w:lang w:val="es-CO"/>
        </w:rPr>
        <w:t>. Esta canasta se podrá estructurar por Tipo de Usuario</w:t>
      </w:r>
      <w:r w:rsidRPr="000B65DE">
        <w:rPr>
          <w:rFonts w:ascii="Bookman Old Style" w:hAnsi="Bookman Old Style"/>
          <w:lang w:val="es-CO"/>
        </w:rPr>
        <w:t xml:space="preserve"> y el número de rangos</w:t>
      </w:r>
      <w:r w:rsidR="00BC57F9">
        <w:rPr>
          <w:rFonts w:ascii="Bookman Old Style" w:hAnsi="Bookman Old Style"/>
          <w:lang w:val="es-CO"/>
        </w:rPr>
        <w:t xml:space="preserve"> de consumo</w:t>
      </w:r>
      <w:r w:rsidRPr="000B65DE">
        <w:rPr>
          <w:rFonts w:ascii="Bookman Old Style" w:hAnsi="Bookman Old Style"/>
          <w:lang w:val="es-CO"/>
        </w:rPr>
        <w:t xml:space="preserve"> que determine cada distribuidor teniendo en cuenta lo siguiente:</w:t>
      </w:r>
    </w:p>
    <w:p w:rsidR="000B65DE" w:rsidRPr="000B65DE" w:rsidRDefault="000B65DE" w:rsidP="000B65DE">
      <w:pPr>
        <w:ind w:left="0"/>
        <w:jc w:val="both"/>
        <w:rPr>
          <w:rFonts w:ascii="Bookman Old Style" w:hAnsi="Bookman Old Style"/>
          <w:lang w:val="es-ES_tradnl"/>
        </w:rPr>
      </w:pPr>
    </w:p>
    <w:p w:rsidR="00BC57F9" w:rsidRDefault="00BC57F9" w:rsidP="008F4D9F">
      <w:pPr>
        <w:numPr>
          <w:ilvl w:val="1"/>
          <w:numId w:val="30"/>
        </w:numPr>
        <w:overflowPunct w:val="0"/>
        <w:autoSpaceDE w:val="0"/>
        <w:autoSpaceDN w:val="0"/>
        <w:adjustRightInd w:val="0"/>
        <w:jc w:val="both"/>
        <w:textAlignment w:val="baseline"/>
        <w:outlineLvl w:val="1"/>
        <w:rPr>
          <w:rFonts w:ascii="Bookman Old Style" w:hAnsi="Bookman Old Style"/>
          <w:b/>
          <w:bCs/>
          <w:lang w:val="es-CO"/>
        </w:rPr>
      </w:pPr>
      <w:r>
        <w:rPr>
          <w:rFonts w:ascii="Bookman Old Style" w:hAnsi="Bookman Old Style"/>
          <w:b/>
          <w:bCs/>
          <w:lang w:val="es-CO"/>
        </w:rPr>
        <w:t>TIPO DE USUARIO</w:t>
      </w:r>
    </w:p>
    <w:p w:rsidR="00BC57F9" w:rsidRDefault="00BC57F9" w:rsidP="00CB6E66">
      <w:pPr>
        <w:rPr>
          <w:lang w:val="es-CO"/>
        </w:rPr>
      </w:pPr>
    </w:p>
    <w:p w:rsidR="00BC57F9" w:rsidRPr="00C92948" w:rsidRDefault="00BC57F9" w:rsidP="00BC57F9">
      <w:pPr>
        <w:ind w:left="0"/>
        <w:jc w:val="both"/>
        <w:rPr>
          <w:rFonts w:ascii="Bookman Old Style" w:hAnsi="Bookman Old Style"/>
          <w:lang w:val="es-CO"/>
        </w:rPr>
      </w:pPr>
      <w:r w:rsidRPr="00BC57F9">
        <w:rPr>
          <w:rFonts w:ascii="Bookman Old Style" w:hAnsi="Bookman Old Style"/>
          <w:lang w:val="es-CO"/>
        </w:rPr>
        <w:t>Corresponde a las categorías de tipo de usuario: comercial, industrial, GNV, cogeneración</w:t>
      </w:r>
      <w:r w:rsidR="00187958">
        <w:rPr>
          <w:rFonts w:ascii="Bookman Old Style" w:hAnsi="Bookman Old Style"/>
          <w:lang w:val="es-CO"/>
        </w:rPr>
        <w:t>, autogeneración</w:t>
      </w:r>
      <w:r w:rsidRPr="00BC57F9">
        <w:rPr>
          <w:rFonts w:ascii="Bookman Old Style" w:hAnsi="Bookman Old Style"/>
          <w:lang w:val="es-CO"/>
        </w:rPr>
        <w:t xml:space="preserve"> y otros dentro de las cuales el Distribuidor podrá estructurar </w:t>
      </w:r>
      <w:r w:rsidR="00506F56">
        <w:rPr>
          <w:rFonts w:ascii="Bookman Old Style" w:hAnsi="Bookman Old Style"/>
          <w:lang w:val="es-CO"/>
        </w:rPr>
        <w:t xml:space="preserve">sus </w:t>
      </w:r>
      <w:r w:rsidRPr="00BC57F9">
        <w:rPr>
          <w:rFonts w:ascii="Bookman Old Style" w:hAnsi="Bookman Old Style"/>
          <w:lang w:val="es-CO"/>
        </w:rPr>
        <w:t>rangos de consumo.</w:t>
      </w:r>
    </w:p>
    <w:p w:rsidR="00BC57F9" w:rsidRPr="00BC57F9" w:rsidRDefault="00BC57F9" w:rsidP="00BC57F9">
      <w:pPr>
        <w:rPr>
          <w:lang w:val="es-CO"/>
        </w:rPr>
      </w:pPr>
    </w:p>
    <w:p w:rsidR="000B65DE" w:rsidRPr="000B65DE" w:rsidRDefault="000B65DE" w:rsidP="008F4D9F">
      <w:pPr>
        <w:numPr>
          <w:ilvl w:val="1"/>
          <w:numId w:val="30"/>
        </w:numPr>
        <w:overflowPunct w:val="0"/>
        <w:autoSpaceDE w:val="0"/>
        <w:autoSpaceDN w:val="0"/>
        <w:adjustRightInd w:val="0"/>
        <w:jc w:val="both"/>
        <w:textAlignment w:val="baseline"/>
        <w:outlineLvl w:val="1"/>
        <w:rPr>
          <w:rFonts w:ascii="Bookman Old Style" w:hAnsi="Bookman Old Style"/>
          <w:b/>
          <w:bCs/>
          <w:lang w:val="es-CO"/>
        </w:rPr>
      </w:pPr>
      <w:r w:rsidRPr="000B65DE">
        <w:rPr>
          <w:rFonts w:ascii="Bookman Old Style" w:hAnsi="Bookman Old Style"/>
          <w:b/>
          <w:bCs/>
          <w:lang w:val="es-CO"/>
        </w:rPr>
        <w:t>DEFINICIÓN DE RANGOS</w:t>
      </w:r>
    </w:p>
    <w:p w:rsidR="000B65DE" w:rsidRPr="000B65DE" w:rsidRDefault="000B65DE" w:rsidP="000B65DE"/>
    <w:p w:rsidR="000B65DE" w:rsidRPr="000B65DE" w:rsidRDefault="000B65DE" w:rsidP="000B65DE">
      <w:pPr>
        <w:ind w:left="0"/>
        <w:jc w:val="both"/>
        <w:rPr>
          <w:rFonts w:ascii="Bookman Old Style" w:hAnsi="Bookman Old Style"/>
          <w:lang w:val="es-CO"/>
        </w:rPr>
      </w:pPr>
      <w:r w:rsidRPr="000B65DE">
        <w:rPr>
          <w:rFonts w:ascii="Bookman Old Style" w:hAnsi="Bookman Old Style"/>
          <w:lang w:val="es-CO"/>
        </w:rPr>
        <w:t xml:space="preserve">Los rangos de la Canasta de Tarifas se deberán estructurar así: </w:t>
      </w:r>
    </w:p>
    <w:p w:rsidR="000B65DE" w:rsidRPr="000B65DE" w:rsidRDefault="000B65DE" w:rsidP="000B65DE">
      <w:pPr>
        <w:ind w:left="720"/>
        <w:jc w:val="both"/>
        <w:rPr>
          <w:rFonts w:ascii="Bookman Old Style" w:hAnsi="Bookman Old Style"/>
          <w:lang w:val="es-CO"/>
        </w:rPr>
      </w:pPr>
    </w:p>
    <w:p w:rsidR="000B65DE" w:rsidRPr="000B65DE" w:rsidRDefault="000B65DE" w:rsidP="008F4D9F">
      <w:pPr>
        <w:numPr>
          <w:ilvl w:val="0"/>
          <w:numId w:val="21"/>
        </w:numPr>
        <w:jc w:val="both"/>
        <w:rPr>
          <w:rFonts w:ascii="Bookman Old Style" w:hAnsi="Bookman Old Style"/>
          <w:lang w:val="es-CO"/>
        </w:rPr>
      </w:pPr>
      <w:r w:rsidRPr="000B65DE">
        <w:rPr>
          <w:rFonts w:ascii="Bookman Old Style" w:hAnsi="Bookman Old Style"/>
          <w:lang w:val="es-CO"/>
        </w:rPr>
        <w:t xml:space="preserve">El Distribuidor podrá definir una canasta de tarifas para la demanda de Usuarios Diferentes a los de Uso Residencial, para ello definirá </w:t>
      </w:r>
      <w:r w:rsidR="00416300">
        <w:rPr>
          <w:rFonts w:ascii="Bookman Old Style" w:hAnsi="Bookman Old Style"/>
          <w:lang w:val="es-CO"/>
        </w:rPr>
        <w:t xml:space="preserve">conforme la clasificación del </w:t>
      </w:r>
      <w:r w:rsidR="00BC57F9">
        <w:rPr>
          <w:rFonts w:ascii="Bookman Old Style" w:hAnsi="Bookman Old Style"/>
          <w:lang w:val="es-CO"/>
        </w:rPr>
        <w:t xml:space="preserve">tipo de </w:t>
      </w:r>
      <w:r w:rsidR="00416300">
        <w:rPr>
          <w:rFonts w:ascii="Bookman Old Style" w:hAnsi="Bookman Old Style"/>
          <w:lang w:val="es-CO"/>
        </w:rPr>
        <w:t xml:space="preserve">usuario </w:t>
      </w:r>
      <w:r w:rsidRPr="000B65DE">
        <w:rPr>
          <w:rFonts w:ascii="Bookman Old Style" w:hAnsi="Bookman Old Style"/>
          <w:lang w:val="es-CO"/>
        </w:rPr>
        <w:t xml:space="preserve">rangos en relación con el consumo. </w:t>
      </w:r>
    </w:p>
    <w:p w:rsidR="000B65DE" w:rsidRPr="00416300" w:rsidRDefault="000B65DE" w:rsidP="000B65DE">
      <w:pPr>
        <w:ind w:left="1080"/>
        <w:jc w:val="both"/>
        <w:rPr>
          <w:rFonts w:ascii="Bookman Old Style" w:hAnsi="Bookman Old Style"/>
          <w:sz w:val="18"/>
          <w:lang w:val="es-CO"/>
        </w:rPr>
      </w:pPr>
    </w:p>
    <w:p w:rsidR="000B65DE" w:rsidRPr="000B65DE" w:rsidRDefault="000B65DE" w:rsidP="008F4D9F">
      <w:pPr>
        <w:numPr>
          <w:ilvl w:val="0"/>
          <w:numId w:val="21"/>
        </w:numPr>
        <w:jc w:val="both"/>
        <w:rPr>
          <w:rFonts w:ascii="Bookman Old Style" w:hAnsi="Bookman Old Style"/>
          <w:lang w:val="es-CO"/>
        </w:rPr>
      </w:pPr>
      <w:r w:rsidRPr="000B65DE">
        <w:rPr>
          <w:rFonts w:ascii="Bookman Old Style" w:hAnsi="Bookman Old Style"/>
          <w:lang w:val="es-CO"/>
        </w:rPr>
        <w:t>El número rangos los establecerá el distribuidor de acuerdo con su mercado.</w:t>
      </w:r>
    </w:p>
    <w:p w:rsidR="000B65DE" w:rsidRPr="00416300" w:rsidRDefault="000B65DE" w:rsidP="000B65DE">
      <w:pPr>
        <w:ind w:left="0"/>
        <w:jc w:val="both"/>
        <w:rPr>
          <w:rFonts w:ascii="Bookman Old Style" w:hAnsi="Bookman Old Style"/>
          <w:sz w:val="18"/>
          <w:lang w:val="es-CO"/>
        </w:rPr>
      </w:pPr>
    </w:p>
    <w:p w:rsidR="000B65DE" w:rsidRPr="000B65DE" w:rsidRDefault="000B65DE" w:rsidP="008F4D9F">
      <w:pPr>
        <w:numPr>
          <w:ilvl w:val="0"/>
          <w:numId w:val="21"/>
        </w:numPr>
        <w:jc w:val="both"/>
        <w:rPr>
          <w:rFonts w:ascii="Bookman Old Style" w:hAnsi="Bookman Old Style"/>
          <w:lang w:val="es-CO"/>
        </w:rPr>
      </w:pPr>
      <w:r w:rsidRPr="000B65DE">
        <w:rPr>
          <w:rFonts w:ascii="Bookman Old Style" w:hAnsi="Bookman Old Style"/>
          <w:lang w:val="es-CO"/>
        </w:rPr>
        <w:t xml:space="preserve">Cada uno de los rangos tendrá asignado un Cargo de Distribución diferente, teniendo como referencia el Cargo Promedio de Distribución Aplicable a Usuarios  Diferentes a los de Uso Residencial. </w:t>
      </w:r>
    </w:p>
    <w:p w:rsidR="000B65DE" w:rsidRPr="00416300" w:rsidRDefault="000B65DE" w:rsidP="000B65DE">
      <w:pPr>
        <w:ind w:left="708"/>
        <w:rPr>
          <w:rFonts w:ascii="Bookman Old Style" w:hAnsi="Bookman Old Style"/>
          <w:sz w:val="16"/>
          <w:lang w:val="es-CO"/>
        </w:rPr>
      </w:pPr>
    </w:p>
    <w:p w:rsidR="000B65DE" w:rsidRPr="000B65DE" w:rsidRDefault="000B65DE" w:rsidP="008F4D9F">
      <w:pPr>
        <w:numPr>
          <w:ilvl w:val="0"/>
          <w:numId w:val="21"/>
        </w:numPr>
        <w:jc w:val="both"/>
        <w:rPr>
          <w:rFonts w:ascii="Bookman Old Style" w:hAnsi="Bookman Old Style"/>
          <w:lang w:val="es-CO"/>
        </w:rPr>
      </w:pPr>
      <w:r w:rsidRPr="000B65DE">
        <w:rPr>
          <w:rFonts w:ascii="Bookman Old Style" w:hAnsi="Bookman Old Style"/>
          <w:lang w:val="es-CO"/>
        </w:rPr>
        <w:t xml:space="preserve">Los cargos serán máximos por rango y deberán tener una tendencia continua descendente. Los cargos para los primeros rangos de consumo podrán ser mayores al Cargo Promedio de Distribución </w:t>
      </w:r>
      <w:r w:rsidRPr="000B65DE">
        <w:rPr>
          <w:rFonts w:ascii="Bookman Old Style" w:hAnsi="Bookman Old Style"/>
          <w:lang w:val="es-CO"/>
        </w:rPr>
        <w:lastRenderedPageBreak/>
        <w:t xml:space="preserve">aplicable a Usuarios Diferentes a los de Uso Residencial, siempre y cuando se cumpla la igualdad establecida en el numeral </w:t>
      </w:r>
      <w:r w:rsidR="008B26D0">
        <w:fldChar w:fldCharType="begin"/>
      </w:r>
      <w:r w:rsidR="008B26D0">
        <w:instrText xml:space="preserve"> REF _Ref329780558 \r \h  \* MERGEFORMAT </w:instrText>
      </w:r>
      <w:r w:rsidR="008B26D0">
        <w:fldChar w:fldCharType="separate"/>
      </w:r>
      <w:r w:rsidR="004D5C18" w:rsidRPr="004D5C18">
        <w:rPr>
          <w:rFonts w:ascii="Bookman Old Style" w:hAnsi="Bookman Old Style"/>
          <w:lang w:val="es-CO"/>
        </w:rPr>
        <w:t>10.4</w:t>
      </w:r>
      <w:r w:rsidR="008B26D0">
        <w:fldChar w:fldCharType="end"/>
      </w:r>
      <w:r w:rsidRPr="000B65DE">
        <w:rPr>
          <w:rFonts w:ascii="Bookman Old Style" w:hAnsi="Bookman Old Style"/>
          <w:lang w:val="es-CO"/>
        </w:rPr>
        <w:t xml:space="preserve">. </w:t>
      </w:r>
    </w:p>
    <w:p w:rsidR="000B65DE" w:rsidRPr="00416300" w:rsidRDefault="000B65DE" w:rsidP="000B65DE">
      <w:pPr>
        <w:ind w:left="708"/>
        <w:rPr>
          <w:rFonts w:ascii="Bookman Old Style" w:hAnsi="Bookman Old Style"/>
          <w:sz w:val="18"/>
          <w:lang w:val="es-CO"/>
        </w:rPr>
      </w:pPr>
    </w:p>
    <w:p w:rsidR="000B65DE" w:rsidRPr="000B65DE" w:rsidRDefault="000B65DE" w:rsidP="008F4D9F">
      <w:pPr>
        <w:numPr>
          <w:ilvl w:val="0"/>
          <w:numId w:val="21"/>
        </w:numPr>
        <w:jc w:val="both"/>
        <w:rPr>
          <w:rFonts w:ascii="Bookman Old Style" w:hAnsi="Bookman Old Style"/>
          <w:lang w:val="es-CO"/>
        </w:rPr>
      </w:pPr>
      <w:r w:rsidRPr="000B65DE">
        <w:rPr>
          <w:rFonts w:ascii="Bookman Old Style" w:hAnsi="Bookman Old Style"/>
          <w:lang w:val="es-CO"/>
        </w:rPr>
        <w:t xml:space="preserve">El cargo que se asigne a cada rango será igual para todos los usuarios del mismo tipo cuyo consumo esté comprendido en el mismo rango. </w:t>
      </w:r>
    </w:p>
    <w:p w:rsidR="000B65DE" w:rsidRPr="00416300" w:rsidRDefault="000B65DE" w:rsidP="000B65DE">
      <w:pPr>
        <w:ind w:left="0"/>
        <w:jc w:val="both"/>
        <w:rPr>
          <w:rFonts w:ascii="Bookman Old Style" w:hAnsi="Bookman Old Style"/>
          <w:sz w:val="18"/>
          <w:lang w:val="es-CO"/>
        </w:rPr>
      </w:pPr>
    </w:p>
    <w:p w:rsidR="000B65DE" w:rsidRPr="000B65DE" w:rsidRDefault="000B65DE" w:rsidP="008F4D9F">
      <w:pPr>
        <w:numPr>
          <w:ilvl w:val="0"/>
          <w:numId w:val="21"/>
        </w:numPr>
        <w:jc w:val="both"/>
        <w:rPr>
          <w:rFonts w:ascii="Bookman Old Style" w:hAnsi="Bookman Old Style"/>
          <w:lang w:val="es-CO"/>
        </w:rPr>
      </w:pPr>
      <w:r w:rsidRPr="000B65DE">
        <w:rPr>
          <w:rFonts w:ascii="Bookman Old Style" w:hAnsi="Bookman Old Style"/>
          <w:lang w:val="es-CO"/>
        </w:rPr>
        <w:t>El distribuidor podrá ofrecer cargos menores en cada rango siempre y cuando sean iguales para todos los usuarios del mismo rango y se cumpla lo definido en los artículos 34 y 98 de la Ley 142 de 1994.</w:t>
      </w:r>
    </w:p>
    <w:p w:rsidR="000B65DE" w:rsidRPr="000B65DE" w:rsidRDefault="000B65DE" w:rsidP="000B65DE">
      <w:pPr>
        <w:ind w:left="720"/>
        <w:jc w:val="both"/>
        <w:rPr>
          <w:rFonts w:ascii="Bookman Old Style" w:hAnsi="Bookman Old Style"/>
          <w:lang w:val="es-CO"/>
        </w:rPr>
      </w:pPr>
    </w:p>
    <w:p w:rsidR="000B65DE" w:rsidRPr="000B65DE" w:rsidRDefault="000B65DE" w:rsidP="008F4D9F">
      <w:pPr>
        <w:numPr>
          <w:ilvl w:val="1"/>
          <w:numId w:val="30"/>
        </w:numPr>
        <w:overflowPunct w:val="0"/>
        <w:autoSpaceDE w:val="0"/>
        <w:autoSpaceDN w:val="0"/>
        <w:adjustRightInd w:val="0"/>
        <w:jc w:val="both"/>
        <w:textAlignment w:val="baseline"/>
        <w:outlineLvl w:val="1"/>
        <w:rPr>
          <w:rFonts w:ascii="Bookman Old Style" w:hAnsi="Bookman Old Style"/>
          <w:b/>
          <w:bCs/>
          <w:lang w:val="es-CO"/>
        </w:rPr>
      </w:pPr>
      <w:r w:rsidRPr="000B65DE">
        <w:rPr>
          <w:rFonts w:ascii="Bookman Old Style" w:hAnsi="Bookman Old Style"/>
          <w:b/>
          <w:bCs/>
          <w:lang w:val="es-CO"/>
        </w:rPr>
        <w:t>APLICACIÓN DE LA CANASTA DE TARIFAS</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 xml:space="preserve">Con base en el Cargo Promedio de Distribución de Usuarios Diferentes a los de Uso Residencial, las empresas </w:t>
      </w:r>
      <w:r w:rsidR="00DA4F74">
        <w:rPr>
          <w:rFonts w:ascii="Bookman Old Style" w:hAnsi="Bookman Old Style"/>
          <w:lang w:val="es-ES_tradnl"/>
        </w:rPr>
        <w:t xml:space="preserve">podrán </w:t>
      </w:r>
      <w:r w:rsidRPr="000B65DE">
        <w:rPr>
          <w:rFonts w:ascii="Bookman Old Style" w:hAnsi="Bookman Old Style"/>
          <w:lang w:val="es-ES_tradnl"/>
        </w:rPr>
        <w:t>aplicar la metodología de Canasta de Tarifas teniendo en cuenta lo siguiente:</w:t>
      </w:r>
    </w:p>
    <w:p w:rsidR="000B65DE" w:rsidRPr="000B65DE" w:rsidRDefault="000B65DE" w:rsidP="000B65DE">
      <w:pPr>
        <w:ind w:left="0"/>
        <w:jc w:val="both"/>
        <w:rPr>
          <w:rFonts w:ascii="Bookman Old Style" w:hAnsi="Bookman Old Style"/>
          <w:lang w:val="es-ES_tradnl"/>
        </w:rPr>
      </w:pPr>
    </w:p>
    <w:p w:rsidR="000B65DE" w:rsidRPr="000B65DE" w:rsidRDefault="000B65DE" w:rsidP="00382E27">
      <w:pPr>
        <w:numPr>
          <w:ilvl w:val="0"/>
          <w:numId w:val="13"/>
        </w:numPr>
        <w:jc w:val="both"/>
        <w:rPr>
          <w:rFonts w:ascii="Bookman Old Style" w:hAnsi="Bookman Old Style"/>
          <w:lang w:val="es-CO"/>
        </w:rPr>
      </w:pPr>
      <w:r w:rsidRPr="000B65DE">
        <w:rPr>
          <w:rFonts w:ascii="Bookman Old Style" w:hAnsi="Bookman Old Style"/>
          <w:lang w:val="es-CO"/>
        </w:rPr>
        <w:t>La Canasta deberá cumplir la igualdad de ingresos en relación con los cargos cobrados y la demanda obtenida en cada rango y el total de la demanda y el Cargo Promedio de Distribución aplicar a los Usuarios Diferentes a los de Uso Residencial.</w:t>
      </w:r>
    </w:p>
    <w:p w:rsidR="000B65DE" w:rsidRPr="00416300" w:rsidRDefault="000B65DE" w:rsidP="000B65DE">
      <w:pPr>
        <w:ind w:left="0"/>
        <w:jc w:val="both"/>
        <w:rPr>
          <w:rFonts w:ascii="Bookman Old Style" w:hAnsi="Bookman Old Style"/>
          <w:sz w:val="18"/>
          <w:lang w:val="es-CO"/>
        </w:rPr>
      </w:pPr>
    </w:p>
    <w:p w:rsidR="000B65DE" w:rsidRPr="000B65DE" w:rsidRDefault="000B65DE" w:rsidP="00382E27">
      <w:pPr>
        <w:numPr>
          <w:ilvl w:val="0"/>
          <w:numId w:val="13"/>
        </w:numPr>
        <w:jc w:val="both"/>
        <w:rPr>
          <w:rFonts w:ascii="Bookman Old Style" w:hAnsi="Bookman Old Style"/>
          <w:lang w:val="es-CO"/>
        </w:rPr>
      </w:pPr>
      <w:r w:rsidRPr="000B65DE">
        <w:rPr>
          <w:rFonts w:ascii="Bookman Old Style" w:hAnsi="Bookman Old Style"/>
          <w:lang w:val="es-CO"/>
        </w:rPr>
        <w:t xml:space="preserve">El distribuidor mantendrá actualizado en su página web los cargos de distribución que aplica por </w:t>
      </w:r>
      <w:r w:rsidR="00506F56">
        <w:rPr>
          <w:rFonts w:ascii="Bookman Old Style" w:hAnsi="Bookman Old Style"/>
          <w:lang w:val="es-CO"/>
        </w:rPr>
        <w:t xml:space="preserve">tipo de usuario y </w:t>
      </w:r>
      <w:r w:rsidRPr="000B65DE">
        <w:rPr>
          <w:rFonts w:ascii="Bookman Old Style" w:hAnsi="Bookman Old Style"/>
          <w:lang w:val="es-CO"/>
        </w:rPr>
        <w:t xml:space="preserve">rangos de consumo, incluidos éstos. </w:t>
      </w:r>
    </w:p>
    <w:p w:rsidR="000B65DE" w:rsidRPr="00416300" w:rsidRDefault="000B65DE" w:rsidP="000B65DE">
      <w:pPr>
        <w:ind w:left="708"/>
        <w:jc w:val="both"/>
        <w:rPr>
          <w:rFonts w:ascii="Bookman Old Style" w:hAnsi="Bookman Old Style"/>
          <w:sz w:val="16"/>
          <w:lang w:val="es-CO"/>
        </w:rPr>
      </w:pPr>
    </w:p>
    <w:p w:rsidR="000B65DE" w:rsidRPr="000B65DE" w:rsidRDefault="000B65DE" w:rsidP="00382E27">
      <w:pPr>
        <w:numPr>
          <w:ilvl w:val="0"/>
          <w:numId w:val="13"/>
        </w:numPr>
        <w:jc w:val="both"/>
        <w:rPr>
          <w:rFonts w:ascii="Bookman Old Style" w:hAnsi="Bookman Old Style"/>
          <w:lang w:val="es-CO"/>
        </w:rPr>
      </w:pPr>
      <w:r w:rsidRPr="000B65DE">
        <w:rPr>
          <w:rFonts w:ascii="Bookman Old Style" w:hAnsi="Bookman Old Style"/>
          <w:lang w:val="es-CO"/>
        </w:rPr>
        <w:t>Los rangos de consumo definidos deberán aplicarse a partir del 1° de enero de cada año del período tarifario y deberán mantenerse por lo menos por un año, exceptuando el primer año de entrada del Cargo Promedio de Distribución aprobado, la cual podrá ser modificada en enero del año siguiente.</w:t>
      </w:r>
    </w:p>
    <w:p w:rsidR="000B65DE" w:rsidRPr="00416300" w:rsidRDefault="000B65DE" w:rsidP="000B65DE">
      <w:pPr>
        <w:ind w:left="708"/>
        <w:rPr>
          <w:rFonts w:ascii="Bookman Old Style" w:hAnsi="Bookman Old Style"/>
          <w:sz w:val="14"/>
          <w:szCs w:val="20"/>
          <w:lang w:val="es-CO"/>
        </w:rPr>
      </w:pPr>
    </w:p>
    <w:p w:rsidR="000B65DE" w:rsidRPr="000B65DE" w:rsidRDefault="000B65DE" w:rsidP="000B65DE">
      <w:pPr>
        <w:ind w:left="720"/>
        <w:jc w:val="both"/>
        <w:rPr>
          <w:rFonts w:ascii="Bookman Old Style" w:hAnsi="Bookman Old Style"/>
          <w:lang w:val="es-CO"/>
        </w:rPr>
      </w:pPr>
      <w:r w:rsidRPr="000B65DE">
        <w:rPr>
          <w:rFonts w:ascii="Bookman Old Style" w:hAnsi="Bookman Old Style"/>
          <w:lang w:val="es-CO"/>
        </w:rPr>
        <w:t>Las empresas no podrán tener  un cargo en un rango de consumo que esté por debajo de sus costos operacionales, tal y como está establecido en el Artículo 34 de la Ley 142 de 1994.</w:t>
      </w:r>
    </w:p>
    <w:p w:rsidR="000B65DE" w:rsidRPr="00416300" w:rsidRDefault="000B65DE" w:rsidP="000B65DE">
      <w:pPr>
        <w:ind w:left="720"/>
        <w:jc w:val="both"/>
        <w:rPr>
          <w:rFonts w:ascii="Bookman Old Style" w:hAnsi="Bookman Old Style"/>
          <w:sz w:val="18"/>
          <w:lang w:val="es-CO"/>
        </w:rPr>
      </w:pPr>
    </w:p>
    <w:p w:rsidR="000B65DE" w:rsidRPr="000B65DE" w:rsidRDefault="000B65DE" w:rsidP="00382E27">
      <w:pPr>
        <w:numPr>
          <w:ilvl w:val="0"/>
          <w:numId w:val="13"/>
        </w:numPr>
        <w:jc w:val="both"/>
        <w:rPr>
          <w:rFonts w:ascii="Bookman Old Style" w:hAnsi="Bookman Old Style"/>
          <w:lang w:val="es-CO"/>
        </w:rPr>
      </w:pPr>
      <w:r w:rsidRPr="000B65DE">
        <w:rPr>
          <w:rFonts w:ascii="Bookman Old Style" w:hAnsi="Bookman Old Style"/>
          <w:lang w:val="es-CO"/>
        </w:rPr>
        <w:t>No se permitirá la agrupación de consumos de usuarios para efectos de establecer un cargo diferente al correspondiente a su rango de consumo como usuario individual.</w:t>
      </w:r>
    </w:p>
    <w:p w:rsidR="0025178C" w:rsidRPr="000B65DE" w:rsidRDefault="0025178C" w:rsidP="000B65DE">
      <w:pPr>
        <w:ind w:left="708"/>
        <w:jc w:val="both"/>
        <w:rPr>
          <w:rFonts w:ascii="Bookman Old Style" w:hAnsi="Bookman Old Style"/>
          <w:lang w:val="es-CO"/>
        </w:rPr>
      </w:pPr>
    </w:p>
    <w:p w:rsidR="000B65DE" w:rsidRPr="000B65DE" w:rsidRDefault="000B65DE" w:rsidP="00382E27">
      <w:pPr>
        <w:numPr>
          <w:ilvl w:val="0"/>
          <w:numId w:val="13"/>
        </w:numPr>
        <w:jc w:val="both"/>
        <w:rPr>
          <w:rFonts w:ascii="Bookman Old Style" w:hAnsi="Bookman Old Style"/>
          <w:lang w:val="es-CO"/>
        </w:rPr>
      </w:pPr>
      <w:r w:rsidRPr="000B65DE">
        <w:rPr>
          <w:rFonts w:ascii="Bookman Old Style" w:hAnsi="Bookman Old Style"/>
        </w:rPr>
        <w:t xml:space="preserve">De acuerdo al principio de igualdad, </w:t>
      </w:r>
      <w:r w:rsidRPr="000B65DE">
        <w:rPr>
          <w:rFonts w:ascii="Bookman Old Style" w:hAnsi="Bookman Old Style"/>
          <w:lang w:val="es-CO"/>
        </w:rPr>
        <w:t xml:space="preserve">en el caso de que dos o más empresas distribuidoras estén o vayan a prestar el servicio en un mismo Mercado Relevante de Distribución, deberán acordar una misma </w:t>
      </w:r>
      <w:r w:rsidRPr="0025178C">
        <w:rPr>
          <w:rFonts w:ascii="Bookman Old Style" w:hAnsi="Bookman Old Style"/>
          <w:lang w:val="es-CO"/>
        </w:rPr>
        <w:t>Canasta</w:t>
      </w:r>
      <w:r w:rsidRPr="000B65DE">
        <w:rPr>
          <w:rFonts w:ascii="Bookman Old Style" w:hAnsi="Bookman Old Style"/>
          <w:lang w:val="es-CO"/>
        </w:rPr>
        <w:t xml:space="preserve"> de Tarifas aplicable al Mercado. </w:t>
      </w:r>
      <w:r w:rsidRPr="000B65DE">
        <w:rPr>
          <w:rFonts w:ascii="Bookman Old Style" w:hAnsi="Bookman Old Style"/>
        </w:rPr>
        <w:t>Mientras no lo acuerden sólo podrán aplicar el cargo promedio de distribución aplicable a  Usuarios Diferentes a los de Uso Residencial.</w:t>
      </w:r>
    </w:p>
    <w:p w:rsidR="000B65DE" w:rsidRPr="009400EB" w:rsidRDefault="000B65DE" w:rsidP="000B65DE">
      <w:pPr>
        <w:ind w:left="708"/>
        <w:rPr>
          <w:rFonts w:ascii="Bookman Old Style" w:hAnsi="Bookman Old Style"/>
          <w:sz w:val="4"/>
          <w:szCs w:val="20"/>
          <w:lang w:val="es-CO"/>
        </w:rPr>
      </w:pPr>
    </w:p>
    <w:p w:rsidR="000B65DE" w:rsidRPr="000B65DE" w:rsidRDefault="000B65DE" w:rsidP="000B65DE">
      <w:pPr>
        <w:ind w:left="720"/>
        <w:jc w:val="both"/>
        <w:rPr>
          <w:rFonts w:ascii="Bookman Old Style" w:hAnsi="Bookman Old Style"/>
        </w:rPr>
      </w:pPr>
      <w:r w:rsidRPr="000B65DE">
        <w:rPr>
          <w:rFonts w:ascii="Bookman Old Style" w:hAnsi="Bookman Old Style"/>
          <w:lang w:val="es-CO"/>
        </w:rPr>
        <w:t xml:space="preserve"> </w:t>
      </w:r>
    </w:p>
    <w:p w:rsidR="000B65DE" w:rsidRPr="000B65DE" w:rsidRDefault="000B65DE" w:rsidP="008F4D9F">
      <w:pPr>
        <w:numPr>
          <w:ilvl w:val="1"/>
          <w:numId w:val="30"/>
        </w:numPr>
        <w:overflowPunct w:val="0"/>
        <w:autoSpaceDE w:val="0"/>
        <w:autoSpaceDN w:val="0"/>
        <w:adjustRightInd w:val="0"/>
        <w:jc w:val="both"/>
        <w:textAlignment w:val="baseline"/>
        <w:outlineLvl w:val="1"/>
        <w:rPr>
          <w:rFonts w:ascii="Bookman Old Style" w:hAnsi="Bookman Old Style"/>
          <w:b/>
          <w:bCs/>
          <w:lang w:val="es-CO"/>
        </w:rPr>
      </w:pPr>
      <w:bookmarkStart w:id="23" w:name="_Ref329780558"/>
      <w:r w:rsidRPr="000B65DE">
        <w:rPr>
          <w:rFonts w:ascii="Bookman Old Style" w:hAnsi="Bookman Old Style"/>
          <w:b/>
          <w:bCs/>
          <w:lang w:val="es-CO"/>
        </w:rPr>
        <w:t>DEFINICIÓN DE LOS CARGOS EN LOS DIFERENTES RANGOS DE LA CANASTA DE TARIFAS</w:t>
      </w:r>
      <w:bookmarkEnd w:id="23"/>
    </w:p>
    <w:p w:rsidR="000B65DE" w:rsidRPr="000B65DE" w:rsidRDefault="000B65DE" w:rsidP="000B65DE">
      <w:pPr>
        <w:spacing w:after="200"/>
        <w:ind w:left="0"/>
        <w:contextualSpacing/>
        <w:jc w:val="both"/>
        <w:rPr>
          <w:rFonts w:ascii="Bookman Old Style" w:hAnsi="Bookman Old Style" w:cs="Arial"/>
          <w:lang w:val="es-CO" w:eastAsia="es-CO"/>
        </w:rPr>
      </w:pPr>
    </w:p>
    <w:p w:rsidR="000B65DE" w:rsidRPr="000B65DE" w:rsidRDefault="000B65DE" w:rsidP="000B65DE">
      <w:pPr>
        <w:spacing w:after="200"/>
        <w:ind w:left="0"/>
        <w:contextualSpacing/>
        <w:jc w:val="both"/>
        <w:rPr>
          <w:rFonts w:ascii="Bookman Old Style" w:hAnsi="Bookman Old Style" w:cs="Arial"/>
          <w:lang w:val="es-CO" w:eastAsia="es-CO"/>
        </w:rPr>
      </w:pPr>
      <w:r w:rsidRPr="000B65DE">
        <w:rPr>
          <w:rFonts w:ascii="Bookman Old Style" w:hAnsi="Bookman Old Style" w:cs="Arial"/>
          <w:lang w:val="es-CO" w:eastAsia="es-CO"/>
        </w:rPr>
        <w:t xml:space="preserve">A partir de los rangos definidos, el Distribuidor establecerá mensualmente los distintos cargos unitarios aplicables a cada rango en forma continua descendente, con la condición de que estos cargos se determinen con base en </w:t>
      </w:r>
      <w:r w:rsidRPr="000B65DE">
        <w:rPr>
          <w:rFonts w:ascii="Bookman Old Style" w:hAnsi="Bookman Old Style" w:cs="Arial"/>
          <w:lang w:val="es-CO" w:eastAsia="es-CO"/>
        </w:rPr>
        <w:lastRenderedPageBreak/>
        <w:t>la demanda facturada para cada rango de consumo en el trimestre anterior de la siguiente manera:</w:t>
      </w:r>
    </w:p>
    <w:p w:rsidR="000B65DE" w:rsidRPr="000B65DE" w:rsidRDefault="000B65DE" w:rsidP="000B65DE">
      <w:pPr>
        <w:spacing w:after="200"/>
        <w:ind w:left="720"/>
        <w:jc w:val="both"/>
        <w:rPr>
          <w:rFonts w:ascii="Arial" w:eastAsia="Calibri" w:hAnsi="Arial" w:cs="Arial"/>
          <w:lang w:val="es-CO" w:eastAsia="en-US"/>
        </w:rPr>
      </w:pPr>
    </w:p>
    <w:p w:rsidR="000B65DE" w:rsidRPr="0092172B" w:rsidRDefault="00364E59" w:rsidP="000B65DE">
      <w:pPr>
        <w:spacing w:after="200"/>
        <w:ind w:left="720"/>
        <w:jc w:val="center"/>
        <w:rPr>
          <w:rFonts w:ascii="Arial" w:eastAsia="Calibri" w:hAnsi="Arial" w:cs="Arial"/>
          <w:lang w:val="es-CO" w:eastAsia="en-US"/>
        </w:rPr>
      </w:pPr>
      <m:oMathPara>
        <m:oMathParaPr>
          <m:jc m:val="center"/>
        </m:oMathParaPr>
        <m:oMath>
          <m:f>
            <m:fPr>
              <m:ctrlPr>
                <w:rPr>
                  <w:rFonts w:ascii="Cambria Math" w:eastAsia="Calibri" w:hAnsi="Cambria Math" w:cs="Arial"/>
                  <w:lang w:val="es-CO" w:eastAsia="en-US"/>
                </w:rPr>
              </m:ctrlPr>
            </m:fPr>
            <m:num>
              <m:nary>
                <m:naryPr>
                  <m:chr m:val="∑"/>
                  <m:limLoc m:val="undOvr"/>
                  <m:ctrlPr>
                    <w:rPr>
                      <w:rFonts w:ascii="Cambria Math" w:eastAsia="Calibri" w:hAnsi="Cambria Math" w:cs="Arial"/>
                      <w:lang w:val="es-CO" w:eastAsia="en-US"/>
                    </w:rPr>
                  </m:ctrlPr>
                </m:naryPr>
                <m:sub>
                  <m:r>
                    <m:rPr>
                      <m:sty m:val="p"/>
                    </m:rPr>
                    <w:rPr>
                      <w:rFonts w:ascii="Cambria Math" w:eastAsia="Calibri" w:hAnsi="Cambria Math" w:cs="Arial"/>
                      <w:lang w:val="es-CO" w:eastAsia="en-US"/>
                    </w:rPr>
                    <m:t>h=1</m:t>
                  </m:r>
                </m:sub>
                <m:sup>
                  <m:r>
                    <m:rPr>
                      <m:sty m:val="p"/>
                    </m:rPr>
                    <w:rPr>
                      <w:rFonts w:ascii="Cambria Math" w:eastAsia="Calibri" w:hAnsi="Cambria Math" w:cs="Arial"/>
                      <w:lang w:val="es-CO" w:eastAsia="en-US"/>
                    </w:rPr>
                    <m:t>s</m:t>
                  </m:r>
                </m:sup>
                <m:e/>
              </m:nary>
              <m:nary>
                <m:naryPr>
                  <m:chr m:val="∑"/>
                  <m:limLoc m:val="undOvr"/>
                  <m:ctrlPr>
                    <w:rPr>
                      <w:rFonts w:ascii="Cambria Math" w:eastAsia="Calibri" w:hAnsi="Cambria Math" w:cs="Arial"/>
                      <w:lang w:val="es-CO" w:eastAsia="en-US"/>
                    </w:rPr>
                  </m:ctrlPr>
                </m:naryPr>
                <m:sub>
                  <m:r>
                    <m:rPr>
                      <m:sty m:val="p"/>
                    </m:rPr>
                    <w:rPr>
                      <w:rFonts w:ascii="Cambria Math" w:eastAsia="Calibri" w:hAnsi="Cambria Math" w:cs="Arial"/>
                      <w:lang w:val="es-CO" w:eastAsia="en-US"/>
                    </w:rPr>
                    <m:t>j=1</m:t>
                  </m:r>
                </m:sub>
                <m:sup>
                  <m:r>
                    <m:rPr>
                      <m:sty m:val="p"/>
                    </m:rPr>
                    <w:rPr>
                      <w:rFonts w:ascii="Cambria Math" w:eastAsia="Calibri" w:hAnsi="Cambria Math" w:cs="Arial"/>
                      <w:lang w:val="es-CO" w:eastAsia="en-US"/>
                    </w:rPr>
                    <m:t>n</m:t>
                  </m:r>
                </m:sup>
                <m:e>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D</m:t>
                      </m:r>
                    </m:e>
                    <m:sub>
                      <m:r>
                        <m:rPr>
                          <m:sty m:val="p"/>
                        </m:rPr>
                        <w:rPr>
                          <w:rFonts w:ascii="Cambria Math" w:eastAsia="Calibri" w:hAnsi="Cambria Math" w:cs="Arial"/>
                          <w:lang w:val="es-CO" w:eastAsia="en-US"/>
                        </w:rPr>
                        <m:t>jkhm</m:t>
                      </m:r>
                    </m:sub>
                  </m:sSub>
                  <m:r>
                    <m:rPr>
                      <m:sty m:val="p"/>
                    </m:rPr>
                    <w:rPr>
                      <w:rFonts w:ascii="Cambria Math" w:eastAsia="Calibri" w:hAnsi="Cambria Math" w:cs="Arial"/>
                      <w:lang w:val="es-CO" w:eastAsia="en-US"/>
                    </w:rPr>
                    <m:t>×</m:t>
                  </m:r>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Q</m:t>
                      </m:r>
                    </m:e>
                    <m:sub>
                      <m:r>
                        <m:rPr>
                          <m:sty m:val="p"/>
                        </m:rPr>
                        <w:rPr>
                          <w:rFonts w:ascii="Cambria Math" w:eastAsia="Calibri" w:hAnsi="Cambria Math" w:cs="Arial"/>
                          <w:lang w:val="es-CO" w:eastAsia="en-US"/>
                        </w:rPr>
                        <m:t>jkh(m-3)</m:t>
                      </m:r>
                    </m:sub>
                  </m:sSub>
                </m:e>
              </m:nary>
            </m:num>
            <m:den>
              <m:nary>
                <m:naryPr>
                  <m:chr m:val="∑"/>
                  <m:limLoc m:val="undOvr"/>
                  <m:ctrlPr>
                    <w:rPr>
                      <w:rFonts w:ascii="Cambria Math" w:eastAsia="Calibri" w:hAnsi="Cambria Math" w:cs="Arial"/>
                      <w:lang w:val="es-CO" w:eastAsia="en-US"/>
                    </w:rPr>
                  </m:ctrlPr>
                </m:naryPr>
                <m:sub>
                  <m:r>
                    <m:rPr>
                      <m:sty m:val="p"/>
                    </m:rPr>
                    <w:rPr>
                      <w:rFonts w:ascii="Cambria Math" w:eastAsia="Calibri" w:hAnsi="Cambria Math" w:cs="Arial"/>
                      <w:lang w:val="es-CO" w:eastAsia="en-US"/>
                    </w:rPr>
                    <m:t>j=1</m:t>
                  </m:r>
                </m:sub>
                <m:sup>
                  <m:r>
                    <m:rPr>
                      <m:sty m:val="p"/>
                    </m:rPr>
                    <w:rPr>
                      <w:rFonts w:ascii="Cambria Math" w:eastAsia="Calibri" w:hAnsi="Cambria Math" w:cs="Arial"/>
                      <w:lang w:val="es-CO" w:eastAsia="en-US"/>
                    </w:rPr>
                    <m:t>n</m:t>
                  </m:r>
                </m:sup>
                <m:e>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Q</m:t>
                      </m:r>
                    </m:e>
                    <m:sub>
                      <m:r>
                        <m:rPr>
                          <m:sty m:val="p"/>
                        </m:rPr>
                        <w:rPr>
                          <w:rFonts w:ascii="Cambria Math" w:eastAsia="Calibri" w:hAnsi="Cambria Math" w:cs="Arial"/>
                          <w:lang w:val="es-CO" w:eastAsia="en-US"/>
                        </w:rPr>
                        <m:t>(AUNR)(m-3)</m:t>
                      </m:r>
                    </m:sub>
                  </m:sSub>
                </m:e>
              </m:nary>
            </m:den>
          </m:f>
          <m:r>
            <m:rPr>
              <m:sty m:val="p"/>
            </m:rPr>
            <w:rPr>
              <w:rFonts w:ascii="Cambria Math" w:eastAsia="Calibri" w:hAnsi="Cambria Math" w:cs="Arial"/>
              <w:lang w:val="es-CO" w:eastAsia="en-US"/>
            </w:rPr>
            <m:t>≤</m:t>
          </m:r>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D</m:t>
              </m:r>
            </m:e>
            <m:sub>
              <m:sSub>
                <m:sSubPr>
                  <m:ctrlPr>
                    <w:rPr>
                      <w:rFonts w:ascii="Cambria Math" w:eastAsia="Calibri" w:hAnsi="Cambria Math" w:cs="Arial"/>
                      <w:lang w:val="es-CO" w:eastAsia="en-US"/>
                    </w:rPr>
                  </m:ctrlPr>
                </m:sSubPr>
                <m:e>
                  <m:d>
                    <m:dPr>
                      <m:ctrlPr>
                        <w:rPr>
                          <w:rFonts w:ascii="Cambria Math" w:eastAsia="Calibri" w:hAnsi="Cambria Math" w:cs="Arial"/>
                          <w:lang w:val="es-CO" w:eastAsia="en-US"/>
                        </w:rPr>
                      </m:ctrlPr>
                    </m:dPr>
                    <m:e>
                      <m:r>
                        <m:rPr>
                          <m:sty m:val="p"/>
                        </m:rPr>
                        <w:rPr>
                          <w:rFonts w:ascii="Cambria Math" w:eastAsia="Calibri" w:hAnsi="Cambria Math" w:cs="Arial"/>
                          <w:lang w:val="es-CO" w:eastAsia="en-US"/>
                        </w:rPr>
                        <m:t>AUNR</m:t>
                      </m:r>
                    </m:e>
                  </m:d>
                </m:e>
                <m:sub>
                  <m:r>
                    <m:rPr>
                      <m:sty m:val="p"/>
                    </m:rPr>
                    <w:rPr>
                      <w:rFonts w:ascii="Cambria Math" w:eastAsia="Calibri" w:hAnsi="Cambria Math" w:cs="Arial"/>
                      <w:lang w:val="es-CO" w:eastAsia="en-US"/>
                    </w:rPr>
                    <m:t>km</m:t>
                  </m:r>
                </m:sub>
              </m:sSub>
            </m:sub>
          </m:sSub>
        </m:oMath>
      </m:oMathPara>
    </w:p>
    <w:p w:rsidR="000B65DE" w:rsidRPr="000B65DE" w:rsidRDefault="000B65DE" w:rsidP="000B65DE">
      <w:pPr>
        <w:spacing w:after="200"/>
        <w:ind w:left="720"/>
        <w:jc w:val="both"/>
        <w:rPr>
          <w:rFonts w:ascii="Bookman Old Style" w:eastAsia="Calibri" w:hAnsi="Bookman Old Style" w:cs="Arial"/>
          <w:lang w:val="es-CO" w:eastAsia="en-US"/>
        </w:rPr>
      </w:pPr>
      <w:r w:rsidRPr="000B65DE">
        <w:rPr>
          <w:rFonts w:ascii="Bookman Old Style" w:eastAsia="Calibri" w:hAnsi="Bookman Old Style" w:cs="Arial"/>
          <w:lang w:val="es-CO" w:eastAsia="en-US"/>
        </w:rPr>
        <w:t>Donde:</w:t>
      </w:r>
    </w:p>
    <w:tbl>
      <w:tblPr>
        <w:tblW w:w="0" w:type="auto"/>
        <w:tblInd w:w="959" w:type="dxa"/>
        <w:tblLook w:val="04A0" w:firstRow="1" w:lastRow="0" w:firstColumn="1" w:lastColumn="0" w:noHBand="0" w:noVBand="1"/>
      </w:tblPr>
      <w:tblGrid>
        <w:gridCol w:w="1559"/>
        <w:gridCol w:w="6875"/>
      </w:tblGrid>
      <w:tr w:rsidR="000B65DE" w:rsidRPr="000B65DE" w:rsidTr="0025178C">
        <w:tc>
          <w:tcPr>
            <w:tcW w:w="1559" w:type="dxa"/>
          </w:tcPr>
          <w:p w:rsidR="000B65DE" w:rsidRPr="000B65DE" w:rsidRDefault="000B65DE" w:rsidP="000B65DE">
            <w:pPr>
              <w:ind w:left="0"/>
              <w:jc w:val="both"/>
              <w:rPr>
                <w:rFonts w:ascii="Bookman Old Style" w:eastAsia="Calibri" w:hAnsi="Bookman Old Style" w:cs="Arial"/>
                <w:lang w:val="es-CO" w:eastAsia="en-US"/>
              </w:rPr>
            </w:pPr>
            <w:r w:rsidRPr="000B65DE">
              <w:rPr>
                <w:rFonts w:ascii="Bookman Old Style" w:eastAsia="Calibri" w:hAnsi="Bookman Old Style" w:cs="Arial"/>
                <w:iCs/>
                <w:lang w:val="es-CO" w:eastAsia="en-US"/>
              </w:rPr>
              <w:t xml:space="preserve">j </w:t>
            </w:r>
          </w:p>
        </w:tc>
        <w:tc>
          <w:tcPr>
            <w:tcW w:w="6875" w:type="dxa"/>
          </w:tcPr>
          <w:p w:rsidR="000B65DE" w:rsidRPr="000B65DE" w:rsidRDefault="000B65DE" w:rsidP="000B65DE">
            <w:pPr>
              <w:ind w:left="0"/>
              <w:jc w:val="both"/>
              <w:rPr>
                <w:rFonts w:ascii="Bookman Old Style" w:eastAsia="Calibri" w:hAnsi="Bookman Old Style" w:cs="Arial"/>
                <w:lang w:val="es-CO" w:eastAsia="en-US"/>
              </w:rPr>
            </w:pPr>
            <w:r w:rsidRPr="000B65DE">
              <w:rPr>
                <w:rFonts w:ascii="Bookman Old Style" w:eastAsia="Calibri" w:hAnsi="Bookman Old Style" w:cs="Arial"/>
                <w:lang w:val="es-CO" w:eastAsia="en-US"/>
              </w:rPr>
              <w:t>Rango de la Canasta de Tarifas.</w:t>
            </w:r>
          </w:p>
          <w:p w:rsidR="000B65DE" w:rsidRPr="000B65DE" w:rsidRDefault="000B65DE" w:rsidP="000B65DE">
            <w:pPr>
              <w:ind w:left="0"/>
              <w:jc w:val="both"/>
              <w:rPr>
                <w:rFonts w:ascii="Bookman Old Style" w:eastAsia="Calibri" w:hAnsi="Bookman Old Style" w:cs="Arial"/>
                <w:lang w:val="es-CO" w:eastAsia="en-US"/>
              </w:rPr>
            </w:pPr>
          </w:p>
        </w:tc>
      </w:tr>
      <w:tr w:rsidR="000B65DE" w:rsidRPr="000B65DE" w:rsidTr="0025178C">
        <w:tc>
          <w:tcPr>
            <w:tcW w:w="1559" w:type="dxa"/>
          </w:tcPr>
          <w:p w:rsidR="000B65DE" w:rsidRPr="000B65DE" w:rsidRDefault="000B65DE" w:rsidP="000B65DE">
            <w:pPr>
              <w:ind w:left="0"/>
              <w:jc w:val="both"/>
              <w:rPr>
                <w:rFonts w:ascii="Bookman Old Style" w:eastAsia="Calibri" w:hAnsi="Bookman Old Style" w:cs="Arial"/>
                <w:lang w:val="es-CO" w:eastAsia="en-US"/>
              </w:rPr>
            </w:pPr>
            <w:r w:rsidRPr="000B65DE">
              <w:rPr>
                <w:rFonts w:ascii="Bookman Old Style" w:eastAsia="Calibri" w:hAnsi="Bookman Old Style" w:cs="Arial"/>
                <w:iCs/>
                <w:lang w:val="es-CO" w:eastAsia="en-US"/>
              </w:rPr>
              <w:t>m</w:t>
            </w:r>
            <w:r w:rsidRPr="000B65DE">
              <w:rPr>
                <w:rFonts w:ascii="Bookman Old Style" w:eastAsia="Calibri" w:hAnsi="Bookman Old Style" w:cs="Arial"/>
                <w:lang w:val="es-CO" w:eastAsia="en-US"/>
              </w:rPr>
              <w:t xml:space="preserve"> </w:t>
            </w:r>
          </w:p>
        </w:tc>
        <w:tc>
          <w:tcPr>
            <w:tcW w:w="6875" w:type="dxa"/>
          </w:tcPr>
          <w:p w:rsidR="000B65DE" w:rsidRPr="000B65DE" w:rsidRDefault="000B65DE" w:rsidP="000B65DE">
            <w:pPr>
              <w:ind w:left="34"/>
              <w:jc w:val="both"/>
              <w:rPr>
                <w:rFonts w:ascii="Bookman Old Style" w:eastAsia="Calibri" w:hAnsi="Bookman Old Style" w:cs="Arial"/>
                <w:i/>
                <w:iCs/>
                <w:lang w:val="es-CO" w:eastAsia="en-US"/>
              </w:rPr>
            </w:pPr>
            <w:r w:rsidRPr="000B65DE">
              <w:rPr>
                <w:rFonts w:ascii="Bookman Old Style" w:eastAsia="Calibri" w:hAnsi="Bookman Old Style" w:cs="Arial"/>
                <w:lang w:val="es-CO" w:eastAsia="en-US"/>
              </w:rPr>
              <w:t xml:space="preserve">Mes </w:t>
            </w:r>
            <w:r w:rsidRPr="000B65DE">
              <w:rPr>
                <w:rFonts w:ascii="Bookman Old Style" w:eastAsia="Calibri" w:hAnsi="Bookman Old Style" w:cs="Arial"/>
                <w:iCs/>
                <w:lang w:val="es-CO" w:eastAsia="en-US"/>
              </w:rPr>
              <w:t>m</w:t>
            </w:r>
            <w:r w:rsidRPr="000B65DE">
              <w:rPr>
                <w:rFonts w:ascii="Bookman Old Style" w:eastAsia="Calibri" w:hAnsi="Bookman Old Style" w:cs="Arial"/>
                <w:i/>
                <w:iCs/>
                <w:lang w:val="es-CO" w:eastAsia="en-US"/>
              </w:rPr>
              <w:t>.</w:t>
            </w:r>
          </w:p>
          <w:p w:rsidR="000B65DE" w:rsidRPr="000B65DE" w:rsidRDefault="000B65DE" w:rsidP="000B65DE">
            <w:pPr>
              <w:ind w:left="34"/>
              <w:jc w:val="both"/>
              <w:rPr>
                <w:rFonts w:ascii="Bookman Old Style" w:eastAsia="Calibri" w:hAnsi="Bookman Old Style" w:cs="Arial"/>
                <w:lang w:val="es-CO" w:eastAsia="en-US"/>
              </w:rPr>
            </w:pPr>
          </w:p>
        </w:tc>
      </w:tr>
      <w:tr w:rsidR="000B65DE" w:rsidRPr="000B65DE" w:rsidTr="0025178C">
        <w:tc>
          <w:tcPr>
            <w:tcW w:w="1559" w:type="dxa"/>
          </w:tcPr>
          <w:p w:rsidR="000B65DE" w:rsidRPr="000B65DE" w:rsidRDefault="000B65DE" w:rsidP="000B65DE">
            <w:pPr>
              <w:ind w:left="0"/>
              <w:jc w:val="both"/>
              <w:rPr>
                <w:rFonts w:ascii="Bookman Old Style" w:eastAsia="Calibri" w:hAnsi="Bookman Old Style" w:cs="Arial"/>
                <w:lang w:val="es-CO" w:eastAsia="en-US"/>
              </w:rPr>
            </w:pPr>
            <w:r w:rsidRPr="000B65DE">
              <w:rPr>
                <w:rFonts w:ascii="Bookman Old Style" w:eastAsia="Calibri" w:hAnsi="Bookman Old Style" w:cs="Arial"/>
                <w:iCs/>
                <w:lang w:val="es-CO" w:eastAsia="en-US"/>
              </w:rPr>
              <w:t>Q</w:t>
            </w:r>
            <w:r w:rsidRPr="000B65DE">
              <w:rPr>
                <w:rFonts w:ascii="Bookman Old Style" w:eastAsia="Calibri" w:hAnsi="Bookman Old Style" w:cs="Arial"/>
                <w:iCs/>
                <w:vertAlign w:val="subscript"/>
                <w:lang w:val="es-CO" w:eastAsia="en-US"/>
              </w:rPr>
              <w:t>jk</w:t>
            </w:r>
            <w:r w:rsidR="00790387">
              <w:rPr>
                <w:rFonts w:ascii="Bookman Old Style" w:eastAsia="Calibri" w:hAnsi="Bookman Old Style" w:cs="Arial"/>
                <w:iCs/>
                <w:vertAlign w:val="subscript"/>
                <w:lang w:val="es-CO" w:eastAsia="en-US"/>
              </w:rPr>
              <w:t>h</w:t>
            </w:r>
            <w:r w:rsidRPr="000B65DE">
              <w:rPr>
                <w:rFonts w:ascii="Bookman Old Style" w:eastAsia="Calibri" w:hAnsi="Bookman Old Style" w:cs="Arial"/>
                <w:iCs/>
                <w:vertAlign w:val="subscript"/>
                <w:lang w:val="es-CO" w:eastAsia="en-US"/>
              </w:rPr>
              <w:t>(m-3)</w:t>
            </w:r>
            <w:r w:rsidRPr="000B65DE">
              <w:rPr>
                <w:rFonts w:ascii="Bookman Old Style" w:eastAsia="Calibri" w:hAnsi="Bookman Old Style" w:cs="Arial"/>
                <w:iCs/>
                <w:lang w:val="es-CO" w:eastAsia="en-US"/>
              </w:rPr>
              <w:t xml:space="preserve"> </w:t>
            </w:r>
          </w:p>
        </w:tc>
        <w:tc>
          <w:tcPr>
            <w:tcW w:w="6875" w:type="dxa"/>
          </w:tcPr>
          <w:p w:rsidR="000B65DE" w:rsidRPr="000B65DE" w:rsidRDefault="000B65DE" w:rsidP="000B65DE">
            <w:pPr>
              <w:ind w:left="34"/>
              <w:jc w:val="both"/>
              <w:rPr>
                <w:rFonts w:ascii="Bookman Old Style" w:eastAsia="Calibri" w:hAnsi="Bookman Old Style" w:cs="Arial"/>
                <w:i/>
                <w:iCs/>
                <w:lang w:val="es-CO" w:eastAsia="en-US"/>
              </w:rPr>
            </w:pPr>
            <w:r w:rsidRPr="000B65DE">
              <w:rPr>
                <w:rFonts w:ascii="Bookman Old Style" w:eastAsia="Calibri" w:hAnsi="Bookman Old Style" w:cs="Arial"/>
                <w:lang w:val="es-CO" w:eastAsia="en-US"/>
              </w:rPr>
              <w:t xml:space="preserve">Consumo total de los usuarios del rango </w:t>
            </w:r>
            <w:r w:rsidRPr="000B65DE">
              <w:rPr>
                <w:rFonts w:ascii="Bookman Old Style" w:eastAsia="Calibri" w:hAnsi="Bookman Old Style" w:cs="Arial"/>
                <w:i/>
                <w:iCs/>
                <w:lang w:val="es-CO" w:eastAsia="en-US"/>
              </w:rPr>
              <w:t>j</w:t>
            </w:r>
            <w:r w:rsidRPr="000B65DE">
              <w:rPr>
                <w:rFonts w:ascii="Bookman Old Style" w:eastAsia="Calibri" w:hAnsi="Bookman Old Style" w:cs="Arial"/>
                <w:lang w:val="es-CO" w:eastAsia="en-US"/>
              </w:rPr>
              <w:t xml:space="preserve"> de consumo, </w:t>
            </w:r>
            <w:r w:rsidR="00790387">
              <w:rPr>
                <w:rFonts w:ascii="Bookman Old Style" w:eastAsia="Calibri" w:hAnsi="Bookman Old Style" w:cs="Arial"/>
                <w:lang w:val="es-CO" w:eastAsia="en-US"/>
              </w:rPr>
              <w:t>del tipo de usuario h,</w:t>
            </w:r>
            <w:r w:rsidR="00790387" w:rsidRPr="000B65DE">
              <w:rPr>
                <w:rFonts w:ascii="Bookman Old Style" w:eastAsia="Calibri" w:hAnsi="Bookman Old Style" w:cs="Arial"/>
                <w:lang w:val="es-CO" w:eastAsia="en-US"/>
              </w:rPr>
              <w:t xml:space="preserve"> </w:t>
            </w:r>
            <w:r w:rsidRPr="000B65DE">
              <w:rPr>
                <w:rFonts w:ascii="Bookman Old Style" w:eastAsia="Calibri" w:hAnsi="Bookman Old Style" w:cs="Arial"/>
                <w:lang w:val="es-CO" w:eastAsia="en-US"/>
              </w:rPr>
              <w:t xml:space="preserve">durante el trimestre anterior al mes </w:t>
            </w:r>
            <w:r w:rsidRPr="000B65DE">
              <w:rPr>
                <w:rFonts w:ascii="Bookman Old Style" w:eastAsia="Calibri" w:hAnsi="Bookman Old Style" w:cs="Arial"/>
                <w:i/>
                <w:iCs/>
                <w:lang w:val="es-CO" w:eastAsia="en-US"/>
              </w:rPr>
              <w:t xml:space="preserve">m </w:t>
            </w:r>
            <w:r w:rsidRPr="000B65DE">
              <w:rPr>
                <w:rFonts w:ascii="Bookman Old Style" w:eastAsia="Calibri" w:hAnsi="Bookman Old Style" w:cs="Arial"/>
                <w:iCs/>
                <w:lang w:val="es-CO" w:eastAsia="en-US"/>
              </w:rPr>
              <w:t xml:space="preserve">en el </w:t>
            </w:r>
            <w:r w:rsidRPr="000B65DE">
              <w:rPr>
                <w:rFonts w:ascii="Bookman Old Style" w:hAnsi="Bookman Old Style"/>
                <w:bCs/>
              </w:rPr>
              <w:t>Mercado Relevante de Distribución para el Siguiente Período Tarifario k</w:t>
            </w:r>
            <w:r w:rsidRPr="000B65DE">
              <w:rPr>
                <w:rFonts w:ascii="Bookman Old Style" w:eastAsia="Calibri" w:hAnsi="Bookman Old Style" w:cs="Arial"/>
                <w:i/>
                <w:iCs/>
                <w:lang w:val="es-CO" w:eastAsia="en-US"/>
              </w:rPr>
              <w:t>.</w:t>
            </w:r>
          </w:p>
          <w:p w:rsidR="000B65DE" w:rsidRPr="000B65DE" w:rsidRDefault="000B65DE" w:rsidP="000B65DE">
            <w:pPr>
              <w:ind w:left="34"/>
              <w:jc w:val="both"/>
              <w:rPr>
                <w:rFonts w:ascii="Bookman Old Style" w:eastAsia="Calibri" w:hAnsi="Bookman Old Style" w:cs="Arial"/>
                <w:lang w:val="es-CO" w:eastAsia="en-US"/>
              </w:rPr>
            </w:pPr>
          </w:p>
        </w:tc>
      </w:tr>
      <w:tr w:rsidR="000B65DE" w:rsidRPr="000B65DE" w:rsidTr="0025178C">
        <w:tc>
          <w:tcPr>
            <w:tcW w:w="1559" w:type="dxa"/>
          </w:tcPr>
          <w:p w:rsidR="000B65DE" w:rsidRPr="000B65DE" w:rsidRDefault="000B65DE" w:rsidP="000B65DE">
            <w:pPr>
              <w:ind w:left="0"/>
              <w:jc w:val="both"/>
              <w:rPr>
                <w:rFonts w:ascii="Bookman Old Style" w:eastAsia="Calibri" w:hAnsi="Bookman Old Style" w:cs="Arial"/>
                <w:lang w:val="es-CO" w:eastAsia="en-US"/>
              </w:rPr>
            </w:pPr>
            <w:r w:rsidRPr="000B65DE">
              <w:rPr>
                <w:rFonts w:ascii="Bookman Old Style" w:eastAsia="Calibri" w:hAnsi="Bookman Old Style" w:cs="Arial"/>
                <w:iCs/>
                <w:lang w:val="es-CO" w:eastAsia="en-US"/>
              </w:rPr>
              <w:t>D</w:t>
            </w:r>
            <w:r w:rsidRPr="000B65DE">
              <w:rPr>
                <w:rFonts w:ascii="Bookman Old Style" w:eastAsia="Calibri" w:hAnsi="Bookman Old Style" w:cs="Arial"/>
                <w:iCs/>
                <w:vertAlign w:val="subscript"/>
                <w:lang w:val="es-CO" w:eastAsia="en-US"/>
              </w:rPr>
              <w:t>jk</w:t>
            </w:r>
            <w:r w:rsidR="00790387">
              <w:rPr>
                <w:rFonts w:ascii="Bookman Old Style" w:eastAsia="Calibri" w:hAnsi="Bookman Old Style" w:cs="Arial"/>
                <w:iCs/>
                <w:vertAlign w:val="subscript"/>
                <w:lang w:val="es-CO" w:eastAsia="en-US"/>
              </w:rPr>
              <w:t>h</w:t>
            </w:r>
            <w:r w:rsidRPr="000B65DE">
              <w:rPr>
                <w:rFonts w:ascii="Bookman Old Style" w:eastAsia="Calibri" w:hAnsi="Bookman Old Style" w:cs="Arial"/>
                <w:iCs/>
                <w:vertAlign w:val="subscript"/>
                <w:lang w:val="es-CO" w:eastAsia="en-US"/>
              </w:rPr>
              <w:t>m</w:t>
            </w:r>
            <w:r w:rsidRPr="000B65DE">
              <w:rPr>
                <w:rFonts w:ascii="Bookman Old Style" w:eastAsia="Calibri" w:hAnsi="Bookman Old Style" w:cs="Arial"/>
                <w:lang w:val="es-CO" w:eastAsia="en-US"/>
              </w:rPr>
              <w:t xml:space="preserve"> </w:t>
            </w:r>
          </w:p>
        </w:tc>
        <w:tc>
          <w:tcPr>
            <w:tcW w:w="6875" w:type="dxa"/>
          </w:tcPr>
          <w:p w:rsidR="000B65DE" w:rsidRPr="000B65DE" w:rsidRDefault="000B65DE" w:rsidP="000B65DE">
            <w:pPr>
              <w:ind w:left="34"/>
              <w:jc w:val="both"/>
              <w:rPr>
                <w:rFonts w:ascii="Bookman Old Style" w:eastAsia="Calibri" w:hAnsi="Bookman Old Style" w:cs="Arial"/>
                <w:i/>
                <w:lang w:val="es-CO" w:eastAsia="en-US"/>
              </w:rPr>
            </w:pPr>
            <w:r w:rsidRPr="000B65DE">
              <w:rPr>
                <w:rFonts w:ascii="Bookman Old Style" w:eastAsia="Calibri" w:hAnsi="Bookman Old Style" w:cs="Arial"/>
                <w:lang w:val="es-CO" w:eastAsia="en-US"/>
              </w:rPr>
              <w:t xml:space="preserve">Cargo de Distribución definido por el distribuidor aplicable en el mes </w:t>
            </w:r>
            <w:r w:rsidRPr="000B65DE">
              <w:rPr>
                <w:rFonts w:ascii="Bookman Old Style" w:eastAsia="Calibri" w:hAnsi="Bookman Old Style" w:cs="Arial"/>
                <w:iCs/>
                <w:lang w:val="es-CO" w:eastAsia="en-US"/>
              </w:rPr>
              <w:t>m</w:t>
            </w:r>
            <w:r w:rsidRPr="000B65DE">
              <w:rPr>
                <w:rFonts w:ascii="Bookman Old Style" w:eastAsia="Calibri" w:hAnsi="Bookman Old Style" w:cs="Arial"/>
                <w:lang w:val="es-CO" w:eastAsia="en-US"/>
              </w:rPr>
              <w:t xml:space="preserve"> a los usuarios del rango </w:t>
            </w:r>
            <w:r w:rsidRPr="000B65DE">
              <w:rPr>
                <w:rFonts w:ascii="Bookman Old Style" w:eastAsia="Calibri" w:hAnsi="Bookman Old Style" w:cs="Arial"/>
                <w:i/>
                <w:iCs/>
                <w:lang w:val="es-CO" w:eastAsia="en-US"/>
              </w:rPr>
              <w:t>j</w:t>
            </w:r>
            <w:r w:rsidRPr="000B65DE">
              <w:rPr>
                <w:rFonts w:ascii="Bookman Old Style" w:eastAsia="Calibri" w:hAnsi="Bookman Old Style" w:cs="Arial"/>
                <w:lang w:val="es-CO" w:eastAsia="en-US"/>
              </w:rPr>
              <w:t xml:space="preserve"> de consumo, </w:t>
            </w:r>
            <w:r w:rsidR="00790387">
              <w:rPr>
                <w:rFonts w:ascii="Bookman Old Style" w:eastAsia="Calibri" w:hAnsi="Bookman Old Style" w:cs="Arial"/>
                <w:lang w:val="es-CO" w:eastAsia="en-US"/>
              </w:rPr>
              <w:t xml:space="preserve">del tipo de usuario h, </w:t>
            </w:r>
            <w:r w:rsidRPr="000B65DE">
              <w:rPr>
                <w:rFonts w:ascii="Bookman Old Style" w:eastAsia="Calibri" w:hAnsi="Bookman Old Style" w:cs="Arial"/>
                <w:lang w:val="es-CO" w:eastAsia="en-US"/>
              </w:rPr>
              <w:t xml:space="preserve">en el </w:t>
            </w:r>
            <w:r w:rsidRPr="000B65DE">
              <w:rPr>
                <w:rFonts w:ascii="Bookman Old Style" w:hAnsi="Bookman Old Style"/>
                <w:bCs/>
              </w:rPr>
              <w:t>Mercado Relevante de Distribución para el Siguiente Período Tarifario k</w:t>
            </w:r>
          </w:p>
          <w:p w:rsidR="000B65DE" w:rsidRPr="000B65DE" w:rsidRDefault="000B65DE" w:rsidP="000B65DE">
            <w:pPr>
              <w:ind w:left="34"/>
              <w:jc w:val="both"/>
              <w:rPr>
                <w:rFonts w:ascii="Bookman Old Style" w:eastAsia="Calibri" w:hAnsi="Bookman Old Style" w:cs="Arial"/>
                <w:lang w:val="es-CO" w:eastAsia="en-US"/>
              </w:rPr>
            </w:pPr>
          </w:p>
        </w:tc>
      </w:tr>
      <w:tr w:rsidR="000B65DE" w:rsidRPr="000B65DE" w:rsidTr="0025178C">
        <w:tc>
          <w:tcPr>
            <w:tcW w:w="1559" w:type="dxa"/>
          </w:tcPr>
          <w:p w:rsidR="000B65DE" w:rsidRPr="00763F41" w:rsidRDefault="00364E59" w:rsidP="000B65DE">
            <w:pPr>
              <w:ind w:left="0"/>
              <w:jc w:val="both"/>
              <w:rPr>
                <w:rFonts w:ascii="Bookman Old Style" w:eastAsia="Calibri" w:hAnsi="Bookman Old Style" w:cs="Arial"/>
                <w:lang w:val="es-CO" w:eastAsia="en-US"/>
              </w:rPr>
            </w:pPr>
            <m:oMath>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D</m:t>
                  </m:r>
                </m:e>
                <m:sub>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AUNR</m:t>
                      </m:r>
                    </m:e>
                    <m:sub>
                      <m:r>
                        <w:rPr>
                          <w:rFonts w:ascii="Cambria Math" w:eastAsia="Calibri" w:hAnsi="Cambria Math" w:cs="Arial"/>
                          <w:lang w:val="es-CO" w:eastAsia="en-US"/>
                        </w:rPr>
                        <m:t>km</m:t>
                      </m:r>
                    </m:sub>
                  </m:sSub>
                </m:sub>
              </m:sSub>
            </m:oMath>
            <w:r w:rsidR="000B65DE" w:rsidRPr="00763F41">
              <w:rPr>
                <w:rFonts w:ascii="Bookman Old Style" w:eastAsia="Calibri" w:hAnsi="Bookman Old Style" w:cs="Arial"/>
                <w:lang w:val="es-CO" w:eastAsia="en-US"/>
              </w:rPr>
              <w:t xml:space="preserve"> </w:t>
            </w:r>
          </w:p>
          <w:p w:rsidR="000B65DE" w:rsidRPr="000B65DE" w:rsidRDefault="000B65DE" w:rsidP="000B65DE">
            <w:pPr>
              <w:ind w:left="0"/>
              <w:jc w:val="both"/>
              <w:rPr>
                <w:rFonts w:ascii="Bookman Old Style" w:eastAsia="Calibri" w:hAnsi="Bookman Old Style" w:cs="Arial"/>
                <w:i/>
                <w:iCs/>
                <w:lang w:val="es-CO" w:eastAsia="en-US"/>
              </w:rPr>
            </w:pPr>
          </w:p>
        </w:tc>
        <w:tc>
          <w:tcPr>
            <w:tcW w:w="6875" w:type="dxa"/>
          </w:tcPr>
          <w:p w:rsidR="000B65DE" w:rsidRPr="000B65DE" w:rsidRDefault="000B65DE" w:rsidP="000B65DE">
            <w:pPr>
              <w:ind w:left="0"/>
              <w:jc w:val="both"/>
              <w:rPr>
                <w:rFonts w:ascii="Bookman Old Style" w:eastAsia="Calibri" w:hAnsi="Bookman Old Style" w:cs="Arial"/>
                <w:lang w:val="es-CO" w:eastAsia="en-US"/>
              </w:rPr>
            </w:pPr>
            <w:r w:rsidRPr="000B65DE">
              <w:rPr>
                <w:rFonts w:ascii="Bookman Old Style" w:eastAsia="Calibri" w:hAnsi="Bookman Old Style" w:cs="Arial"/>
                <w:lang w:val="es-CO" w:eastAsia="en-US"/>
              </w:rPr>
              <w:t xml:space="preserve">Cargo Promedio de Distribución Aplicable a los Usuarios Diferentes a los de Uso Residencial y que es definido por la CREG para el Mercado Relevante de Distribución para el Siguiente Período Tarifario k aplicable en el mes </w:t>
            </w:r>
            <w:r w:rsidRPr="000B65DE">
              <w:rPr>
                <w:rFonts w:ascii="Bookman Old Style" w:eastAsia="Calibri" w:hAnsi="Bookman Old Style" w:cs="Arial"/>
                <w:iCs/>
                <w:lang w:val="es-CO" w:eastAsia="en-US"/>
              </w:rPr>
              <w:t>m.</w:t>
            </w:r>
            <w:r w:rsidRPr="000B65DE">
              <w:rPr>
                <w:rFonts w:ascii="Bookman Old Style" w:eastAsia="Calibri" w:hAnsi="Bookman Old Style" w:cs="Arial"/>
                <w:lang w:val="es-CO" w:eastAsia="en-US"/>
              </w:rPr>
              <w:t xml:space="preserve"> </w:t>
            </w:r>
          </w:p>
          <w:p w:rsidR="000B65DE" w:rsidRPr="000B65DE" w:rsidRDefault="000B65DE" w:rsidP="000B65DE">
            <w:pPr>
              <w:ind w:left="0"/>
              <w:jc w:val="both"/>
              <w:rPr>
                <w:rFonts w:ascii="Bookman Old Style" w:eastAsia="Calibri" w:hAnsi="Bookman Old Style" w:cs="Arial"/>
                <w:lang w:val="es-CO" w:eastAsia="en-US"/>
              </w:rPr>
            </w:pPr>
          </w:p>
        </w:tc>
      </w:tr>
      <w:tr w:rsidR="000B65DE" w:rsidRPr="000B65DE" w:rsidTr="0025178C">
        <w:tc>
          <w:tcPr>
            <w:tcW w:w="1559" w:type="dxa"/>
          </w:tcPr>
          <w:p w:rsidR="000B65DE" w:rsidRPr="0092172B" w:rsidRDefault="00364E59" w:rsidP="000B65DE">
            <w:pPr>
              <w:ind w:left="0"/>
              <w:jc w:val="both"/>
              <w:rPr>
                <w:lang w:val="es-CO" w:eastAsia="en-US"/>
              </w:rPr>
            </w:pPr>
            <m:oMathPara>
              <m:oMathParaPr>
                <m:jc m:val="left"/>
              </m:oMathParaPr>
              <m:oMath>
                <m:sSub>
                  <m:sSubPr>
                    <m:ctrlPr>
                      <w:rPr>
                        <w:rFonts w:ascii="Cambria Math" w:eastAsia="Calibri" w:hAnsi="Cambria Math" w:cs="Arial"/>
                        <w:lang w:val="es-CO" w:eastAsia="en-US"/>
                      </w:rPr>
                    </m:ctrlPr>
                  </m:sSubPr>
                  <m:e>
                    <m:r>
                      <m:rPr>
                        <m:sty m:val="p"/>
                      </m:rPr>
                      <w:rPr>
                        <w:rFonts w:ascii="Cambria Math" w:eastAsia="Calibri" w:hAnsi="Cambria Math" w:cs="Arial"/>
                        <w:lang w:val="es-CO" w:eastAsia="en-US"/>
                      </w:rPr>
                      <m:t>Q</m:t>
                    </m:r>
                  </m:e>
                  <m:sub>
                    <m:r>
                      <m:rPr>
                        <m:sty m:val="p"/>
                      </m:rPr>
                      <w:rPr>
                        <w:rFonts w:ascii="Cambria Math" w:eastAsia="Calibri" w:hAnsi="Cambria Math" w:cs="Arial"/>
                        <w:lang w:val="es-CO" w:eastAsia="en-US"/>
                      </w:rPr>
                      <m:t>AUNR(m-3)</m:t>
                    </m:r>
                  </m:sub>
                </m:sSub>
              </m:oMath>
            </m:oMathPara>
          </w:p>
        </w:tc>
        <w:tc>
          <w:tcPr>
            <w:tcW w:w="6875" w:type="dxa"/>
          </w:tcPr>
          <w:p w:rsidR="000B65DE" w:rsidRPr="000B65DE" w:rsidRDefault="000B65DE" w:rsidP="00790387">
            <w:pPr>
              <w:ind w:left="34"/>
              <w:jc w:val="both"/>
              <w:rPr>
                <w:rFonts w:ascii="Bookman Old Style" w:eastAsia="Calibri" w:hAnsi="Bookman Old Style" w:cs="Arial"/>
                <w:lang w:val="es-CO" w:eastAsia="en-US"/>
              </w:rPr>
            </w:pPr>
            <w:r w:rsidRPr="000B65DE">
              <w:rPr>
                <w:rFonts w:ascii="Bookman Old Style" w:eastAsia="Calibri" w:hAnsi="Bookman Old Style" w:cs="Arial"/>
                <w:lang w:val="es-CO" w:eastAsia="en-US"/>
              </w:rPr>
              <w:t xml:space="preserve">Demanda total de los Usuarios Diferentes a los de Uso Residencial, durante el trimestre anterior al mes </w:t>
            </w:r>
            <w:r w:rsidRPr="000B65DE">
              <w:rPr>
                <w:rFonts w:ascii="Bookman Old Style" w:eastAsia="Calibri" w:hAnsi="Bookman Old Style" w:cs="Arial"/>
                <w:i/>
                <w:iCs/>
                <w:lang w:val="es-CO" w:eastAsia="en-US"/>
              </w:rPr>
              <w:t xml:space="preserve">m </w:t>
            </w:r>
            <w:r w:rsidRPr="000B65DE">
              <w:rPr>
                <w:rFonts w:ascii="Bookman Old Style" w:eastAsia="Calibri" w:hAnsi="Bookman Old Style" w:cs="Arial"/>
                <w:iCs/>
                <w:lang w:val="es-CO" w:eastAsia="en-US"/>
              </w:rPr>
              <w:t xml:space="preserve">en el </w:t>
            </w:r>
            <w:r w:rsidRPr="000B65DE">
              <w:rPr>
                <w:rFonts w:ascii="Bookman Old Style" w:hAnsi="Bookman Old Style"/>
                <w:bCs/>
              </w:rPr>
              <w:t>Mercado Relevante de Distribución para el Siguiente Período Tarifario k.</w:t>
            </w:r>
          </w:p>
        </w:tc>
      </w:tr>
      <w:tr w:rsidR="000B65DE" w:rsidRPr="000B65DE" w:rsidTr="0025178C">
        <w:tc>
          <w:tcPr>
            <w:tcW w:w="1559" w:type="dxa"/>
          </w:tcPr>
          <w:p w:rsidR="000B65DE" w:rsidRPr="00790387" w:rsidRDefault="000B65DE" w:rsidP="000B65DE">
            <w:pPr>
              <w:ind w:left="0"/>
              <w:jc w:val="both"/>
              <w:rPr>
                <w:sz w:val="20"/>
                <w:lang w:val="es-CO" w:eastAsia="en-US"/>
              </w:rPr>
            </w:pPr>
          </w:p>
        </w:tc>
        <w:tc>
          <w:tcPr>
            <w:tcW w:w="6875" w:type="dxa"/>
          </w:tcPr>
          <w:p w:rsidR="00734983" w:rsidRPr="000B65DE" w:rsidRDefault="00734983" w:rsidP="00734983">
            <w:pPr>
              <w:ind w:left="34"/>
              <w:jc w:val="both"/>
              <w:rPr>
                <w:rFonts w:ascii="Bookman Old Style" w:eastAsia="Calibri" w:hAnsi="Bookman Old Style" w:cs="Arial"/>
                <w:lang w:val="es-CO" w:eastAsia="en-US"/>
              </w:rPr>
            </w:pPr>
          </w:p>
        </w:tc>
      </w:tr>
      <w:tr w:rsidR="00734983" w:rsidRPr="000B65DE" w:rsidTr="0025178C">
        <w:tc>
          <w:tcPr>
            <w:tcW w:w="1559" w:type="dxa"/>
          </w:tcPr>
          <w:p w:rsidR="00734983" w:rsidRDefault="00FF0C99" w:rsidP="000B65DE">
            <w:pPr>
              <w:ind w:left="0"/>
              <w:jc w:val="both"/>
              <w:rPr>
                <w:lang w:val="es-CO" w:eastAsia="en-US"/>
              </w:rPr>
            </w:pPr>
            <w:r>
              <w:rPr>
                <w:lang w:val="es-CO" w:eastAsia="en-US"/>
              </w:rPr>
              <w:t>H</w:t>
            </w:r>
          </w:p>
        </w:tc>
        <w:tc>
          <w:tcPr>
            <w:tcW w:w="6875" w:type="dxa"/>
          </w:tcPr>
          <w:p w:rsidR="00734983" w:rsidRDefault="00734983" w:rsidP="00734983">
            <w:pPr>
              <w:ind w:left="34"/>
              <w:jc w:val="both"/>
              <w:rPr>
                <w:rFonts w:ascii="Bookman Old Style" w:eastAsia="Calibri" w:hAnsi="Bookman Old Style" w:cs="Arial"/>
                <w:lang w:val="es-CO" w:eastAsia="en-US"/>
              </w:rPr>
            </w:pPr>
            <w:r>
              <w:rPr>
                <w:rFonts w:ascii="Bookman Old Style" w:eastAsia="Calibri" w:hAnsi="Bookman Old Style" w:cs="Arial"/>
                <w:lang w:val="es-CO" w:eastAsia="en-US"/>
              </w:rPr>
              <w:t xml:space="preserve">Usuario de Uso diferente al Residencial </w:t>
            </w:r>
          </w:p>
          <w:p w:rsidR="00734983" w:rsidRDefault="00734983" w:rsidP="00734983">
            <w:pPr>
              <w:ind w:left="34"/>
              <w:jc w:val="both"/>
              <w:rPr>
                <w:rFonts w:ascii="Bookman Old Style" w:eastAsia="Calibri" w:hAnsi="Bookman Old Style" w:cs="Arial"/>
                <w:lang w:val="es-CO" w:eastAsia="en-US"/>
              </w:rPr>
            </w:pPr>
          </w:p>
        </w:tc>
      </w:tr>
      <w:tr w:rsidR="00734983" w:rsidRPr="000B65DE" w:rsidTr="0025178C">
        <w:tc>
          <w:tcPr>
            <w:tcW w:w="1559" w:type="dxa"/>
          </w:tcPr>
          <w:p w:rsidR="00734983" w:rsidRDefault="00FF0C99" w:rsidP="000B65DE">
            <w:pPr>
              <w:ind w:left="0"/>
              <w:jc w:val="both"/>
              <w:rPr>
                <w:lang w:val="es-CO" w:eastAsia="en-US"/>
              </w:rPr>
            </w:pPr>
            <w:r>
              <w:rPr>
                <w:lang w:val="es-CO" w:eastAsia="en-US"/>
              </w:rPr>
              <w:t>S</w:t>
            </w:r>
          </w:p>
        </w:tc>
        <w:tc>
          <w:tcPr>
            <w:tcW w:w="6875" w:type="dxa"/>
          </w:tcPr>
          <w:p w:rsidR="00734983" w:rsidRDefault="00734983" w:rsidP="00734983">
            <w:pPr>
              <w:ind w:left="34"/>
              <w:jc w:val="both"/>
              <w:rPr>
                <w:rFonts w:ascii="Bookman Old Style" w:eastAsia="Calibri" w:hAnsi="Bookman Old Style" w:cs="Arial"/>
                <w:lang w:val="es-CO" w:eastAsia="en-US"/>
              </w:rPr>
            </w:pPr>
            <w:r>
              <w:rPr>
                <w:rFonts w:ascii="Bookman Old Style" w:eastAsia="Calibri" w:hAnsi="Bookman Old Style" w:cs="Arial"/>
                <w:lang w:val="es-CO" w:eastAsia="en-US"/>
              </w:rPr>
              <w:t>Número total de Tipo de Usuario de Uso diferente al Residencial</w:t>
            </w:r>
          </w:p>
        </w:tc>
      </w:tr>
    </w:tbl>
    <w:p w:rsidR="00E13412" w:rsidRPr="001D4E8E" w:rsidRDefault="000B65DE" w:rsidP="001A6C44">
      <w:pPr>
        <w:keepNext/>
        <w:numPr>
          <w:ilvl w:val="0"/>
          <w:numId w:val="2"/>
        </w:numPr>
        <w:tabs>
          <w:tab w:val="num" w:pos="1560"/>
        </w:tabs>
        <w:spacing w:before="240" w:after="60"/>
        <w:ind w:firstLine="1418"/>
        <w:jc w:val="both"/>
        <w:outlineLvl w:val="0"/>
        <w:rPr>
          <w:rFonts w:ascii="Bookman Old Style" w:hAnsi="Bookman Old Style"/>
        </w:rPr>
      </w:pPr>
      <w:bookmarkStart w:id="24" w:name="_Ref332875960"/>
      <w:bookmarkStart w:id="25" w:name="_Toc526875608"/>
      <w:bookmarkStart w:id="26" w:name="_Toc526933128"/>
      <w:bookmarkStart w:id="27" w:name="_Toc527179724"/>
      <w:bookmarkStart w:id="28" w:name="_Toc527179902"/>
      <w:bookmarkStart w:id="29" w:name="_Toc527183731"/>
      <w:bookmarkStart w:id="30" w:name="_Toc527184379"/>
      <w:bookmarkStart w:id="31" w:name="_Toc527184857"/>
      <w:bookmarkStart w:id="32" w:name="_Toc527194151"/>
      <w:bookmarkStart w:id="33" w:name="_Toc527194205"/>
      <w:r w:rsidRPr="000B65DE">
        <w:rPr>
          <w:rFonts w:ascii="Bookman Old Style" w:hAnsi="Bookman Old Style"/>
          <w:b/>
          <w:bCs/>
        </w:rPr>
        <w:t xml:space="preserve">GRADUALIDAD EN LA APLICACIÓN DE LOS NUEVOS </w:t>
      </w:r>
      <w:r w:rsidR="00D76AF3" w:rsidRPr="000B65DE">
        <w:rPr>
          <w:rFonts w:ascii="Bookman Old Style" w:hAnsi="Bookman Old Style"/>
          <w:b/>
          <w:bCs/>
        </w:rPr>
        <w:t>CARGOS</w:t>
      </w:r>
      <w:r w:rsidR="001D4E8E">
        <w:rPr>
          <w:rFonts w:ascii="Bookman Old Style" w:hAnsi="Bookman Old Style"/>
          <w:b/>
          <w:bCs/>
        </w:rPr>
        <w:t xml:space="preserve"> DE DISTRIBUCION A USUARIOS DE USO RESIDENCIAL</w:t>
      </w:r>
      <w:r w:rsidR="00D76AF3" w:rsidRPr="000B65DE">
        <w:rPr>
          <w:rFonts w:ascii="Bookman Old Style" w:hAnsi="Bookman Old Style"/>
          <w:b/>
          <w:bCs/>
        </w:rPr>
        <w:t>.</w:t>
      </w:r>
    </w:p>
    <w:bookmarkEnd w:id="24"/>
    <w:p w:rsidR="001D4E8E" w:rsidRDefault="001D4E8E" w:rsidP="001A6C44">
      <w:pPr>
        <w:spacing w:after="200"/>
        <w:ind w:left="0"/>
        <w:contextualSpacing/>
        <w:jc w:val="both"/>
        <w:rPr>
          <w:rFonts w:ascii="Bookman Old Style" w:hAnsi="Bookman Old Style" w:cs="Arial"/>
          <w:lang w:val="es-CO" w:eastAsia="es-CO"/>
        </w:rPr>
      </w:pPr>
    </w:p>
    <w:p w:rsidR="002433DC" w:rsidRDefault="002433DC" w:rsidP="002433DC">
      <w:pPr>
        <w:spacing w:after="200"/>
        <w:ind w:left="0"/>
        <w:contextualSpacing/>
        <w:jc w:val="both"/>
        <w:rPr>
          <w:rFonts w:ascii="Bookman Old Style" w:hAnsi="Bookman Old Style" w:cs="Arial"/>
          <w:lang w:val="es-CO" w:eastAsia="es-CO"/>
        </w:rPr>
      </w:pPr>
      <w:r w:rsidRPr="001A6C44">
        <w:rPr>
          <w:rFonts w:ascii="Bookman Old Style" w:hAnsi="Bookman Old Style" w:cs="Arial"/>
          <w:lang w:val="es-CO" w:eastAsia="es-CO"/>
        </w:rPr>
        <w:t>Cuando de la aprobación de los Cargos de Distribución aplicables a usuarios de Uso Residencial, resulten incrementos superiores a dos veces el IPC del</w:t>
      </w:r>
      <w:r>
        <w:rPr>
          <w:rFonts w:ascii="Bookman Old Style" w:hAnsi="Bookman Old Style" w:cs="Arial"/>
          <w:lang w:val="es-CO" w:eastAsia="es-CO"/>
        </w:rPr>
        <w:t xml:space="preserve"> año inmediatamente anterior al </w:t>
      </w:r>
      <w:r w:rsidRPr="001A6C44">
        <w:rPr>
          <w:rFonts w:ascii="Bookman Old Style" w:hAnsi="Bookman Old Style" w:cs="Arial"/>
          <w:lang w:val="es-CO" w:eastAsia="es-CO"/>
        </w:rPr>
        <w:t xml:space="preserve">Cargo de Distribución que se venía cobrando con la anterior metodología tarifaria a este tipo de usuarios, el Distribuidor </w:t>
      </w:r>
      <w:r>
        <w:rPr>
          <w:rFonts w:ascii="Bookman Old Style" w:hAnsi="Bookman Old Style" w:cs="Arial"/>
          <w:lang w:val="es-CO" w:eastAsia="es-CO"/>
        </w:rPr>
        <w:t xml:space="preserve">podrá aplicar </w:t>
      </w:r>
      <w:r w:rsidRPr="001A6C44">
        <w:rPr>
          <w:rFonts w:ascii="Bookman Old Style" w:hAnsi="Bookman Old Style" w:cs="Arial"/>
          <w:lang w:val="es-CO" w:eastAsia="es-CO"/>
        </w:rPr>
        <w:t>la siguiente f</w:t>
      </w:r>
      <w:r>
        <w:rPr>
          <w:rFonts w:ascii="Bookman Old Style" w:hAnsi="Bookman Old Style" w:cs="Arial"/>
          <w:lang w:val="es-CO" w:eastAsia="es-CO"/>
        </w:rPr>
        <w:t>ó</w:t>
      </w:r>
      <w:r w:rsidRPr="001A6C44">
        <w:rPr>
          <w:rFonts w:ascii="Bookman Old Style" w:hAnsi="Bookman Old Style" w:cs="Arial"/>
          <w:lang w:val="es-CO" w:eastAsia="es-CO"/>
        </w:rPr>
        <w:t>rmula:</w:t>
      </w:r>
    </w:p>
    <w:p w:rsidR="002433DC" w:rsidRDefault="002433DC" w:rsidP="002433DC">
      <w:pPr>
        <w:spacing w:after="200"/>
        <w:ind w:left="0"/>
        <w:contextualSpacing/>
        <w:jc w:val="both"/>
        <w:rPr>
          <w:rFonts w:ascii="Bookman Old Style" w:hAnsi="Bookman Old Style" w:cs="Arial"/>
          <w:lang w:val="es-CO" w:eastAsia="es-CO"/>
        </w:rPr>
      </w:pPr>
    </w:p>
    <w:p w:rsidR="009622F4" w:rsidRDefault="009622F4" w:rsidP="002433DC">
      <w:pPr>
        <w:spacing w:after="200"/>
        <w:ind w:left="0"/>
        <w:contextualSpacing/>
        <w:jc w:val="both"/>
        <w:rPr>
          <w:rFonts w:ascii="Bookman Old Style" w:hAnsi="Bookman Old Style" w:cs="Arial"/>
          <w:lang w:val="es-CO" w:eastAsia="es-CO"/>
        </w:rPr>
      </w:pPr>
    </w:p>
    <w:p w:rsidR="009622F4" w:rsidRDefault="009622F4" w:rsidP="002433DC">
      <w:pPr>
        <w:spacing w:after="200"/>
        <w:ind w:left="0"/>
        <w:contextualSpacing/>
        <w:jc w:val="both"/>
        <w:rPr>
          <w:rFonts w:ascii="Bookman Old Style" w:hAnsi="Bookman Old Style" w:cs="Arial"/>
          <w:lang w:val="es-CO" w:eastAsia="es-CO"/>
        </w:rPr>
      </w:pPr>
    </w:p>
    <w:p w:rsidR="009622F4" w:rsidRDefault="009622F4" w:rsidP="002433DC">
      <w:pPr>
        <w:spacing w:after="200"/>
        <w:ind w:left="0"/>
        <w:contextualSpacing/>
        <w:jc w:val="both"/>
        <w:rPr>
          <w:rFonts w:ascii="Bookman Old Style" w:hAnsi="Bookman Old Style" w:cs="Arial"/>
          <w:lang w:val="es-CO" w:eastAsia="es-CO"/>
        </w:rPr>
      </w:pPr>
    </w:p>
    <w:p w:rsidR="009622F4" w:rsidRDefault="009622F4" w:rsidP="002433DC">
      <w:pPr>
        <w:spacing w:after="200"/>
        <w:ind w:left="0"/>
        <w:contextualSpacing/>
        <w:jc w:val="both"/>
        <w:rPr>
          <w:rFonts w:ascii="Bookman Old Style" w:hAnsi="Bookman Old Style" w:cs="Arial"/>
          <w:lang w:val="es-CO" w:eastAsia="es-CO"/>
        </w:rPr>
      </w:pPr>
    </w:p>
    <w:p w:rsidR="002433DC" w:rsidRPr="002D596F" w:rsidRDefault="00364E59" w:rsidP="002433DC">
      <w:pPr>
        <w:spacing w:after="200"/>
        <w:ind w:left="0"/>
        <w:contextualSpacing/>
        <w:jc w:val="both"/>
        <w:rPr>
          <w:rFonts w:ascii="Bookman Old Style" w:hAnsi="Bookman Old Style" w:cs="Arial"/>
          <w:lang w:val="es-CO" w:eastAsia="es-CO"/>
        </w:rPr>
      </w:pPr>
      <m:oMathPara>
        <m:oMath>
          <m:sSub>
            <m:sSubPr>
              <m:ctrlPr>
                <w:rPr>
                  <w:rFonts w:ascii="Cambria Math" w:hAnsi="Cambria Math" w:cs="Arial"/>
                  <w:lang w:val="es-CO" w:eastAsia="es-CO"/>
                </w:rPr>
              </m:ctrlPr>
            </m:sSubPr>
            <m:e>
              <m:r>
                <m:rPr>
                  <m:sty m:val="p"/>
                </m:rPr>
                <w:rPr>
                  <w:rFonts w:ascii="Cambria Math" w:hAnsi="Cambria Math" w:cs="Arial"/>
                  <w:lang w:val="es-CO" w:eastAsia="es-CO"/>
                </w:rPr>
                <m:t>D</m:t>
              </m:r>
            </m:e>
            <m:sub>
              <m:d>
                <m:dPr>
                  <m:ctrlPr>
                    <w:rPr>
                      <w:rFonts w:ascii="Cambria Math" w:hAnsi="Cambria Math" w:cs="Arial"/>
                      <w:lang w:val="es-CO" w:eastAsia="es-CO"/>
                    </w:rPr>
                  </m:ctrlPr>
                </m:dPr>
                <m:e>
                  <m:r>
                    <m:rPr>
                      <m:sty m:val="p"/>
                    </m:rPr>
                    <w:rPr>
                      <w:rFonts w:ascii="Cambria Math" w:hAnsi="Cambria Math" w:cs="Arial"/>
                      <w:lang w:val="es-CO" w:eastAsia="es-CO"/>
                    </w:rPr>
                    <m:t>AUR</m:t>
                  </m:r>
                </m:e>
              </m:d>
              <m:r>
                <m:rPr>
                  <m:sty m:val="p"/>
                </m:rPr>
                <w:rPr>
                  <w:rFonts w:ascii="Cambria Math" w:hAnsi="Cambria Math" w:cs="Arial"/>
                  <w:lang w:val="es-CO" w:eastAsia="es-CO"/>
                </w:rPr>
                <m:t>,k,m</m:t>
              </m:r>
            </m:sub>
          </m:sSub>
          <m:r>
            <m:rPr>
              <m:sty m:val="p"/>
            </m:rPr>
            <w:rPr>
              <w:rFonts w:ascii="Cambria Math" w:hAnsi="Cambria Math" w:cs="Arial"/>
              <w:lang w:val="es-CO" w:eastAsia="es-CO"/>
            </w:rPr>
            <m:t>=min</m:t>
          </m:r>
          <m:d>
            <m:dPr>
              <m:begChr m:val="["/>
              <m:endChr m:val="]"/>
              <m:ctrlPr>
                <w:rPr>
                  <w:rFonts w:ascii="Cambria Math" w:hAnsi="Cambria Math" w:cs="Arial"/>
                  <w:lang w:val="es-CO" w:eastAsia="es-CO"/>
                </w:rPr>
              </m:ctrlPr>
            </m:dPr>
            <m:e>
              <m:sSub>
                <m:sSubPr>
                  <m:ctrlPr>
                    <w:rPr>
                      <w:rFonts w:ascii="Cambria Math" w:hAnsi="Cambria Math" w:cs="Arial"/>
                      <w:lang w:val="es-CO" w:eastAsia="es-CO"/>
                    </w:rPr>
                  </m:ctrlPr>
                </m:sSubPr>
                <m:e>
                  <m:r>
                    <m:rPr>
                      <m:sty m:val="p"/>
                    </m:rPr>
                    <w:rPr>
                      <w:rFonts w:ascii="Cambria Math" w:hAnsi="Cambria Math" w:cs="Arial"/>
                      <w:lang w:val="es-CO" w:eastAsia="es-CO"/>
                    </w:rPr>
                    <m:t>D</m:t>
                  </m:r>
                </m:e>
                <m:sub>
                  <m:d>
                    <m:dPr>
                      <m:ctrlPr>
                        <w:rPr>
                          <w:rFonts w:ascii="Cambria Math" w:hAnsi="Cambria Math" w:cs="Arial"/>
                          <w:lang w:val="es-CO" w:eastAsia="es-CO"/>
                        </w:rPr>
                      </m:ctrlPr>
                    </m:dPr>
                    <m:e>
                      <m:r>
                        <m:rPr>
                          <m:sty m:val="p"/>
                        </m:rPr>
                        <w:rPr>
                          <w:rFonts w:ascii="Cambria Math" w:hAnsi="Cambria Math" w:cs="Arial"/>
                          <w:lang w:val="es-CO" w:eastAsia="es-CO"/>
                        </w:rPr>
                        <m:t>AUR</m:t>
                      </m:r>
                    </m:e>
                  </m:d>
                  <m:r>
                    <m:rPr>
                      <m:sty m:val="p"/>
                    </m:rPr>
                    <w:rPr>
                      <w:rFonts w:ascii="Cambria Math" w:hAnsi="Cambria Math" w:cs="Arial"/>
                      <w:lang w:val="es-CO" w:eastAsia="es-CO"/>
                    </w:rPr>
                    <m:t>,k,m-1</m:t>
                  </m:r>
                </m:sub>
              </m:sSub>
              <m:r>
                <m:rPr>
                  <m:sty m:val="p"/>
                </m:rPr>
                <w:rPr>
                  <w:rFonts w:ascii="Cambria Math" w:hAnsi="Cambria Math" w:cs="Arial"/>
                  <w:lang w:val="es-CO" w:eastAsia="es-CO"/>
                </w:rPr>
                <m:t>×</m:t>
              </m:r>
              <m:d>
                <m:dPr>
                  <m:ctrlPr>
                    <w:rPr>
                      <w:rFonts w:ascii="Cambria Math" w:hAnsi="Cambria Math" w:cs="Arial"/>
                      <w:lang w:val="es-CO" w:eastAsia="es-CO"/>
                    </w:rPr>
                  </m:ctrlPr>
                </m:dPr>
                <m:e>
                  <m:r>
                    <m:rPr>
                      <m:sty m:val="p"/>
                    </m:rPr>
                    <w:rPr>
                      <w:rFonts w:ascii="Cambria Math" w:hAnsi="Cambria Math" w:cs="Arial"/>
                      <w:lang w:val="es-CO" w:eastAsia="es-CO"/>
                    </w:rPr>
                    <m:t>1+PV</m:t>
                  </m:r>
                </m:e>
              </m:d>
              <m:r>
                <m:rPr>
                  <m:sty m:val="p"/>
                </m:rPr>
                <w:rPr>
                  <w:rFonts w:ascii="Cambria Math" w:hAnsi="Cambria Math" w:cs="Arial"/>
                  <w:lang w:val="es-CO" w:eastAsia="es-CO"/>
                </w:rPr>
                <m:t xml:space="preserve">, </m:t>
              </m:r>
              <m:sSub>
                <m:sSubPr>
                  <m:ctrlPr>
                    <w:rPr>
                      <w:rFonts w:ascii="Cambria Math" w:hAnsi="Cambria Math" w:cs="Arial"/>
                      <w:lang w:val="es-CO" w:eastAsia="es-CO"/>
                    </w:rPr>
                  </m:ctrlPr>
                </m:sSubPr>
                <m:e>
                  <m:r>
                    <m:rPr>
                      <m:sty m:val="p"/>
                    </m:rPr>
                    <w:rPr>
                      <w:rFonts w:ascii="Cambria Math" w:hAnsi="Cambria Math" w:cs="Arial"/>
                      <w:lang w:val="es-CO" w:eastAsia="es-CO"/>
                    </w:rPr>
                    <m:t>D</m:t>
                  </m:r>
                </m:e>
                <m:sub>
                  <m:d>
                    <m:dPr>
                      <m:ctrlPr>
                        <w:rPr>
                          <w:rFonts w:ascii="Cambria Math" w:hAnsi="Cambria Math" w:cs="Arial"/>
                          <w:lang w:val="es-CO" w:eastAsia="es-CO"/>
                        </w:rPr>
                      </m:ctrlPr>
                    </m:dPr>
                    <m:e>
                      <m:r>
                        <m:rPr>
                          <m:sty m:val="p"/>
                        </m:rPr>
                        <w:rPr>
                          <w:rFonts w:ascii="Cambria Math" w:hAnsi="Cambria Math" w:cs="Arial"/>
                          <w:lang w:val="es-CO" w:eastAsia="es-CO"/>
                        </w:rPr>
                        <m:t>AUR</m:t>
                      </m:r>
                    </m:e>
                  </m:d>
                  <m:r>
                    <m:rPr>
                      <m:sty m:val="p"/>
                    </m:rPr>
                    <w:rPr>
                      <w:rFonts w:ascii="Cambria Math" w:hAnsi="Cambria Math" w:cs="Arial"/>
                      <w:lang w:val="es-CO" w:eastAsia="es-CO"/>
                    </w:rPr>
                    <m:t>,k,m-1</m:t>
                  </m:r>
                </m:sub>
              </m:sSub>
              <m:r>
                <m:rPr>
                  <m:sty m:val="p"/>
                </m:rPr>
                <w:rPr>
                  <w:rFonts w:ascii="Cambria Math" w:hAnsi="Cambria Math" w:cs="Arial"/>
                  <w:lang w:val="es-CO" w:eastAsia="es-CO"/>
                </w:rPr>
                <m:t>+</m:t>
              </m:r>
              <m:f>
                <m:fPr>
                  <m:ctrlPr>
                    <w:rPr>
                      <w:rFonts w:ascii="Cambria Math" w:hAnsi="Cambria Math" w:cs="Arial"/>
                      <w:lang w:val="es-CO" w:eastAsia="es-CO"/>
                    </w:rPr>
                  </m:ctrlPr>
                </m:fPr>
                <m:num>
                  <m:sSub>
                    <m:sSubPr>
                      <m:ctrlPr>
                        <w:rPr>
                          <w:rFonts w:ascii="Cambria Math" w:hAnsi="Cambria Math" w:cs="Arial"/>
                          <w:lang w:val="es-CO" w:eastAsia="es-CO"/>
                        </w:rPr>
                      </m:ctrlPr>
                    </m:sSubPr>
                    <m:e>
                      <m:r>
                        <m:rPr>
                          <m:sty m:val="p"/>
                        </m:rPr>
                        <w:rPr>
                          <w:rFonts w:ascii="Cambria Math" w:hAnsi="Cambria Math" w:cs="Arial"/>
                          <w:lang w:val="es-CO" w:eastAsia="es-CO"/>
                        </w:rPr>
                        <m:t>SA</m:t>
                      </m:r>
                    </m:e>
                    <m:sub>
                      <m:r>
                        <m:rPr>
                          <m:sty m:val="p"/>
                        </m:rPr>
                        <w:rPr>
                          <w:rFonts w:ascii="Cambria Math" w:hAnsi="Cambria Math" w:cs="Arial"/>
                          <w:lang w:val="es-CO" w:eastAsia="es-CO"/>
                        </w:rPr>
                        <m:t>k,m,j</m:t>
                      </m:r>
                    </m:sub>
                  </m:sSub>
                </m:num>
                <m:den>
                  <m:sSub>
                    <m:sSubPr>
                      <m:ctrlPr>
                        <w:rPr>
                          <w:rFonts w:ascii="Cambria Math" w:hAnsi="Cambria Math" w:cs="Arial"/>
                          <w:lang w:val="es-CO" w:eastAsia="es-CO"/>
                        </w:rPr>
                      </m:ctrlPr>
                    </m:sSubPr>
                    <m:e>
                      <m:r>
                        <m:rPr>
                          <m:sty m:val="p"/>
                        </m:rPr>
                        <w:rPr>
                          <w:rFonts w:ascii="Cambria Math" w:hAnsi="Cambria Math" w:cs="Arial"/>
                          <w:lang w:val="es-CO" w:eastAsia="es-CO"/>
                        </w:rPr>
                        <m:t>VR</m:t>
                      </m:r>
                    </m:e>
                    <m:sub>
                      <m:r>
                        <m:rPr>
                          <m:sty m:val="p"/>
                        </m:rPr>
                        <w:rPr>
                          <w:rFonts w:ascii="Cambria Math" w:hAnsi="Cambria Math" w:cs="Arial"/>
                          <w:lang w:val="es-CO" w:eastAsia="es-CO"/>
                        </w:rPr>
                        <m:t>k,m,j</m:t>
                      </m:r>
                    </m:sub>
                  </m:sSub>
                </m:den>
              </m:f>
            </m:e>
          </m:d>
        </m:oMath>
      </m:oMathPara>
    </w:p>
    <w:p w:rsidR="002433DC" w:rsidRDefault="002433DC" w:rsidP="002433DC">
      <w:pPr>
        <w:spacing w:after="200"/>
        <w:ind w:left="0"/>
        <w:contextualSpacing/>
        <w:jc w:val="both"/>
        <w:rPr>
          <w:rFonts w:ascii="Bookman Old Style" w:hAnsi="Bookman Old Style" w:cs="Arial"/>
          <w:lang w:val="es-CO" w:eastAsia="es-CO"/>
        </w:rPr>
      </w:pPr>
    </w:p>
    <w:p w:rsidR="002433DC" w:rsidRPr="002D596F" w:rsidRDefault="00364E59" w:rsidP="002433DC">
      <w:pPr>
        <w:spacing w:after="200"/>
        <w:ind w:left="0"/>
        <w:contextualSpacing/>
        <w:jc w:val="both"/>
        <w:rPr>
          <w:rFonts w:ascii="Bookman Old Style" w:hAnsi="Bookman Old Style" w:cs="Arial"/>
          <w:lang w:val="es-CO" w:eastAsia="es-CO"/>
        </w:rPr>
      </w:pPr>
      <m:oMathPara>
        <m:oMath>
          <m:sSub>
            <m:sSubPr>
              <m:ctrlPr>
                <w:rPr>
                  <w:rFonts w:ascii="Cambria Math" w:hAnsi="Cambria Math" w:cs="Arial"/>
                  <w:lang w:val="es-CO" w:eastAsia="es-CO"/>
                </w:rPr>
              </m:ctrlPr>
            </m:sSubPr>
            <m:e>
              <m:r>
                <m:rPr>
                  <m:sty m:val="p"/>
                </m:rPr>
                <w:rPr>
                  <w:rFonts w:ascii="Cambria Math" w:hAnsi="Cambria Math" w:cs="Arial"/>
                  <w:lang w:val="es-CO" w:eastAsia="es-CO"/>
                </w:rPr>
                <m:t>SA</m:t>
              </m:r>
            </m:e>
            <m:sub>
              <m:r>
                <m:rPr>
                  <m:sty m:val="p"/>
                </m:rPr>
                <w:rPr>
                  <w:rFonts w:ascii="Cambria Math" w:hAnsi="Cambria Math" w:cs="Arial"/>
                  <w:lang w:val="es-CO" w:eastAsia="es-CO"/>
                </w:rPr>
                <m:t>k,m,j</m:t>
              </m:r>
            </m:sub>
          </m:sSub>
          <m:r>
            <m:rPr>
              <m:sty m:val="p"/>
            </m:rPr>
            <w:rPr>
              <w:rFonts w:ascii="Cambria Math" w:hAnsi="Cambria Math" w:cs="Arial"/>
              <w:lang w:val="es-CO" w:eastAsia="es-CO"/>
            </w:rPr>
            <m:t>=</m:t>
          </m:r>
          <m:d>
            <m:dPr>
              <m:begChr m:val="["/>
              <m:endChr m:val="]"/>
              <m:ctrlPr>
                <w:rPr>
                  <w:rFonts w:ascii="Cambria Math" w:hAnsi="Cambria Math" w:cs="Arial"/>
                  <w:lang w:val="es-CO" w:eastAsia="es-CO"/>
                </w:rPr>
              </m:ctrlPr>
            </m:dPr>
            <m:e>
              <m:sSub>
                <m:sSubPr>
                  <m:ctrlPr>
                    <w:rPr>
                      <w:rFonts w:ascii="Cambria Math" w:hAnsi="Cambria Math" w:cs="Arial"/>
                      <w:lang w:val="es-CO" w:eastAsia="es-CO"/>
                    </w:rPr>
                  </m:ctrlPr>
                </m:sSubPr>
                <m:e>
                  <m:r>
                    <m:rPr>
                      <m:sty m:val="p"/>
                    </m:rPr>
                    <w:rPr>
                      <w:rFonts w:ascii="Cambria Math" w:hAnsi="Cambria Math" w:cs="Arial"/>
                      <w:lang w:val="es-CO" w:eastAsia="es-CO"/>
                    </w:rPr>
                    <m:t>SA</m:t>
                  </m:r>
                </m:e>
                <m:sub>
                  <m:r>
                    <m:rPr>
                      <m:sty m:val="p"/>
                    </m:rPr>
                    <w:rPr>
                      <w:rFonts w:ascii="Cambria Math" w:hAnsi="Cambria Math" w:cs="Arial"/>
                      <w:lang w:val="es-CO" w:eastAsia="es-CO"/>
                    </w:rPr>
                    <m:t>k,m-1,j</m:t>
                  </m:r>
                </m:sub>
              </m:sSub>
              <m:r>
                <m:rPr>
                  <m:sty m:val="p"/>
                </m:rPr>
                <w:rPr>
                  <w:rFonts w:ascii="Cambria Math" w:hAnsi="Cambria Math" w:cs="Arial"/>
                  <w:lang w:val="es-CO" w:eastAsia="es-CO"/>
                </w:rPr>
                <m:t>+</m:t>
              </m:r>
              <m:d>
                <m:dPr>
                  <m:ctrlPr>
                    <w:rPr>
                      <w:rFonts w:ascii="Cambria Math" w:hAnsi="Cambria Math" w:cs="Arial"/>
                      <w:lang w:val="es-CO" w:eastAsia="es-CO"/>
                    </w:rPr>
                  </m:ctrlPr>
                </m:dPr>
                <m:e>
                  <m:sSub>
                    <m:sSubPr>
                      <m:ctrlPr>
                        <w:rPr>
                          <w:rFonts w:ascii="Cambria Math" w:hAnsi="Cambria Math" w:cs="Arial"/>
                          <w:lang w:val="es-CO" w:eastAsia="es-CO"/>
                        </w:rPr>
                      </m:ctrlPr>
                    </m:sSubPr>
                    <m:e>
                      <m:r>
                        <m:rPr>
                          <m:sty m:val="p"/>
                        </m:rPr>
                        <w:rPr>
                          <w:rFonts w:ascii="Cambria Math" w:hAnsi="Cambria Math" w:cs="Arial"/>
                          <w:lang w:val="es-CO" w:eastAsia="es-CO"/>
                        </w:rPr>
                        <m:t>DR</m:t>
                      </m:r>
                    </m:e>
                    <m:sub>
                      <m:d>
                        <m:dPr>
                          <m:ctrlPr>
                            <w:rPr>
                              <w:rFonts w:ascii="Cambria Math" w:hAnsi="Cambria Math" w:cs="Arial"/>
                              <w:lang w:val="es-CO" w:eastAsia="es-CO"/>
                            </w:rPr>
                          </m:ctrlPr>
                        </m:dPr>
                        <m:e>
                          <m:r>
                            <m:rPr>
                              <m:sty m:val="p"/>
                            </m:rPr>
                            <w:rPr>
                              <w:rFonts w:ascii="Cambria Math" w:hAnsi="Cambria Math" w:cs="Arial"/>
                              <w:lang w:val="es-CO" w:eastAsia="es-CO"/>
                            </w:rPr>
                            <m:t>AUR</m:t>
                          </m:r>
                        </m:e>
                      </m:d>
                      <m:r>
                        <m:rPr>
                          <m:sty m:val="p"/>
                        </m:rPr>
                        <w:rPr>
                          <w:rFonts w:ascii="Cambria Math" w:hAnsi="Cambria Math" w:cs="Arial"/>
                          <w:lang w:val="es-CO" w:eastAsia="es-CO"/>
                        </w:rPr>
                        <m:t>,k,m</m:t>
                      </m:r>
                    </m:sub>
                  </m:sSub>
                  <m:r>
                    <m:rPr>
                      <m:sty m:val="p"/>
                    </m:rPr>
                    <w:rPr>
                      <w:rFonts w:ascii="Cambria Math" w:hAnsi="Cambria Math" w:cs="Arial"/>
                      <w:lang w:val="es-CO" w:eastAsia="es-CO"/>
                    </w:rPr>
                    <m:t>-</m:t>
                  </m:r>
                  <m:sSub>
                    <m:sSubPr>
                      <m:ctrlPr>
                        <w:rPr>
                          <w:rFonts w:ascii="Cambria Math" w:hAnsi="Cambria Math" w:cs="Arial"/>
                          <w:lang w:val="es-CO" w:eastAsia="es-CO"/>
                        </w:rPr>
                      </m:ctrlPr>
                    </m:sSubPr>
                    <m:e>
                      <m:r>
                        <m:rPr>
                          <m:sty m:val="p"/>
                        </m:rPr>
                        <w:rPr>
                          <w:rFonts w:ascii="Cambria Math" w:hAnsi="Cambria Math" w:cs="Arial"/>
                          <w:lang w:val="es-CO" w:eastAsia="es-CO"/>
                        </w:rPr>
                        <m:t>DA</m:t>
                      </m:r>
                    </m:e>
                    <m:sub>
                      <m:d>
                        <m:dPr>
                          <m:ctrlPr>
                            <w:rPr>
                              <w:rFonts w:ascii="Cambria Math" w:hAnsi="Cambria Math" w:cs="Arial"/>
                              <w:lang w:val="es-CO" w:eastAsia="es-CO"/>
                            </w:rPr>
                          </m:ctrlPr>
                        </m:dPr>
                        <m:e>
                          <m:r>
                            <m:rPr>
                              <m:sty m:val="p"/>
                            </m:rPr>
                            <w:rPr>
                              <w:rFonts w:ascii="Cambria Math" w:hAnsi="Cambria Math" w:cs="Arial"/>
                              <w:lang w:val="es-CO" w:eastAsia="es-CO"/>
                            </w:rPr>
                            <m:t>AUR</m:t>
                          </m:r>
                        </m:e>
                      </m:d>
                      <m:r>
                        <m:rPr>
                          <m:sty m:val="p"/>
                        </m:rPr>
                        <w:rPr>
                          <w:rFonts w:ascii="Cambria Math" w:hAnsi="Cambria Math" w:cs="Arial"/>
                          <w:lang w:val="es-CO" w:eastAsia="es-CO"/>
                        </w:rPr>
                        <m:t>.k,m</m:t>
                      </m:r>
                    </m:sub>
                  </m:sSub>
                </m:e>
              </m:d>
              <m:r>
                <m:rPr>
                  <m:sty m:val="p"/>
                </m:rPr>
                <w:rPr>
                  <w:rFonts w:ascii="Cambria Math" w:hAnsi="Cambria Math" w:cs="Arial"/>
                  <w:lang w:val="es-CO" w:eastAsia="es-CO"/>
                </w:rPr>
                <m:t>×</m:t>
              </m:r>
              <m:sSub>
                <m:sSubPr>
                  <m:ctrlPr>
                    <w:rPr>
                      <w:rFonts w:ascii="Cambria Math" w:hAnsi="Cambria Math" w:cs="Arial"/>
                      <w:lang w:val="es-CO" w:eastAsia="es-CO"/>
                    </w:rPr>
                  </m:ctrlPr>
                </m:sSubPr>
                <m:e>
                  <m:r>
                    <m:rPr>
                      <m:sty m:val="p"/>
                    </m:rPr>
                    <w:rPr>
                      <w:rFonts w:ascii="Cambria Math" w:hAnsi="Cambria Math" w:cs="Arial"/>
                      <w:lang w:val="es-CO" w:eastAsia="es-CO"/>
                    </w:rPr>
                    <m:t>VR</m:t>
                  </m:r>
                </m:e>
                <m:sub>
                  <m:r>
                    <m:rPr>
                      <m:sty m:val="p"/>
                    </m:rPr>
                    <w:rPr>
                      <w:rFonts w:ascii="Cambria Math" w:hAnsi="Cambria Math" w:cs="Arial"/>
                      <w:lang w:val="es-CO" w:eastAsia="es-CO"/>
                    </w:rPr>
                    <m:t>k,m,j</m:t>
                  </m:r>
                </m:sub>
              </m:sSub>
            </m:e>
          </m:d>
          <m:r>
            <m:rPr>
              <m:sty m:val="p"/>
            </m:rPr>
            <w:rPr>
              <w:rFonts w:ascii="Cambria Math" w:hAnsi="Cambria Math" w:cs="Arial"/>
              <w:lang w:val="es-CO" w:eastAsia="es-CO"/>
            </w:rPr>
            <m:t>×</m:t>
          </m:r>
          <m:d>
            <m:dPr>
              <m:ctrlPr>
                <w:rPr>
                  <w:rFonts w:ascii="Cambria Math" w:hAnsi="Cambria Math" w:cs="Arial"/>
                  <w:lang w:val="es-CO" w:eastAsia="es-CO"/>
                </w:rPr>
              </m:ctrlPr>
            </m:dPr>
            <m:e>
              <m:r>
                <m:rPr>
                  <m:sty m:val="p"/>
                </m:rPr>
                <w:rPr>
                  <w:rFonts w:ascii="Cambria Math" w:hAnsi="Cambria Math" w:cs="Arial"/>
                  <w:lang w:val="es-CO" w:eastAsia="es-CO"/>
                </w:rPr>
                <m:t>1+i</m:t>
              </m:r>
            </m:e>
          </m:d>
        </m:oMath>
      </m:oMathPara>
    </w:p>
    <w:p w:rsidR="002433DC" w:rsidRPr="001A6C44" w:rsidRDefault="002433DC" w:rsidP="002433DC">
      <w:pPr>
        <w:spacing w:after="200"/>
        <w:ind w:left="0"/>
        <w:contextualSpacing/>
        <w:jc w:val="both"/>
        <w:rPr>
          <w:rFonts w:ascii="Bookman Old Style" w:hAnsi="Bookman Old Style" w:cs="Arial"/>
          <w:lang w:val="es-CO" w:eastAsia="es-CO"/>
        </w:rPr>
      </w:pPr>
    </w:p>
    <w:p w:rsidR="002433DC" w:rsidRPr="001A6C44" w:rsidRDefault="002433DC" w:rsidP="002433DC">
      <w:pPr>
        <w:tabs>
          <w:tab w:val="center" w:pos="4512"/>
          <w:tab w:val="left" w:pos="7088"/>
        </w:tabs>
        <w:suppressAutoHyphens/>
        <w:ind w:left="1361" w:right="284"/>
        <w:jc w:val="center"/>
        <w:rPr>
          <w:rFonts w:ascii="Bookman Old Style" w:hAnsi="Bookman Old Style" w:cs="Arial"/>
          <w:lang w:val="es-ES_tradnl"/>
        </w:rPr>
      </w:pPr>
    </w:p>
    <w:p w:rsidR="002433DC" w:rsidRDefault="002433DC" w:rsidP="002433DC">
      <w:pPr>
        <w:ind w:left="0"/>
        <w:jc w:val="both"/>
        <w:rPr>
          <w:rFonts w:ascii="Bookman Old Style" w:hAnsi="Bookman Old Style"/>
          <w:color w:val="000000"/>
        </w:rPr>
      </w:pPr>
      <w:r w:rsidRPr="001A6C44">
        <w:rPr>
          <w:rFonts w:ascii="Bookman Old Style" w:hAnsi="Bookman Old Style"/>
          <w:color w:val="000000"/>
        </w:rPr>
        <w:t>Dónde:</w:t>
      </w:r>
    </w:p>
    <w:p w:rsidR="002433DC" w:rsidRDefault="002433DC" w:rsidP="002433DC">
      <w:pPr>
        <w:ind w:left="0"/>
        <w:jc w:val="both"/>
        <w:rPr>
          <w:rFonts w:ascii="Bookman Old Style" w:hAnsi="Bookman Old Style"/>
          <w:color w:val="000000"/>
        </w:rPr>
      </w:pPr>
    </w:p>
    <w:tbl>
      <w:tblPr>
        <w:tblStyle w:val="Tablaconcuadrcul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7261"/>
      </w:tblGrid>
      <w:tr w:rsidR="002433DC" w:rsidTr="00E139B1">
        <w:tc>
          <w:tcPr>
            <w:tcW w:w="2127" w:type="dxa"/>
          </w:tcPr>
          <w:p w:rsidR="002433DC" w:rsidRPr="002D596F" w:rsidRDefault="009622F4" w:rsidP="00E139B1">
            <w:pPr>
              <w:ind w:left="0"/>
              <w:jc w:val="both"/>
              <w:rPr>
                <w:rFonts w:ascii="Bookman Old Style" w:hAnsi="Bookman Old Style"/>
                <w:color w:val="000000"/>
              </w:rPr>
            </w:pPr>
            <w:r>
              <w:rPr>
                <w:rFonts w:ascii="Bookman Old Style" w:hAnsi="Bookman Old Style"/>
                <w:color w:val="000000"/>
              </w:rPr>
              <w:t>M</w:t>
            </w:r>
          </w:p>
        </w:tc>
        <w:tc>
          <w:tcPr>
            <w:tcW w:w="7261" w:type="dxa"/>
          </w:tcPr>
          <w:p w:rsidR="002433DC" w:rsidRDefault="002433DC" w:rsidP="00E139B1">
            <w:pPr>
              <w:ind w:left="0"/>
              <w:jc w:val="both"/>
              <w:rPr>
                <w:rFonts w:ascii="Bookman Old Style" w:hAnsi="Bookman Old Style"/>
                <w:color w:val="000000"/>
              </w:rPr>
            </w:pPr>
            <w:r w:rsidRPr="001A6C44">
              <w:rPr>
                <w:rFonts w:ascii="Bookman Old Style" w:hAnsi="Bookman Old Style"/>
                <w:color w:val="000000"/>
              </w:rPr>
              <w:t>Mes para el cual se calcula el cargo de distribución.</w:t>
            </w:r>
          </w:p>
          <w:p w:rsidR="002433DC" w:rsidRDefault="002433DC" w:rsidP="00E139B1">
            <w:pPr>
              <w:ind w:left="0"/>
              <w:jc w:val="both"/>
              <w:rPr>
                <w:rFonts w:ascii="Bookman Old Style" w:hAnsi="Bookman Old Style"/>
                <w:color w:val="000000"/>
              </w:rPr>
            </w:pPr>
          </w:p>
        </w:tc>
      </w:tr>
      <w:tr w:rsidR="002433DC" w:rsidTr="00E139B1">
        <w:tc>
          <w:tcPr>
            <w:tcW w:w="2127" w:type="dxa"/>
          </w:tcPr>
          <w:p w:rsidR="002433DC" w:rsidRPr="002D596F" w:rsidRDefault="002433DC" w:rsidP="00E139B1">
            <w:pPr>
              <w:ind w:left="0"/>
              <w:jc w:val="both"/>
              <w:rPr>
                <w:rFonts w:ascii="Bookman Old Style" w:hAnsi="Bookman Old Style"/>
                <w:color w:val="000000"/>
              </w:rPr>
            </w:pPr>
            <w:r w:rsidRPr="002D596F">
              <w:rPr>
                <w:rFonts w:ascii="Bookman Old Style" w:hAnsi="Bookman Old Style"/>
                <w:color w:val="000000"/>
              </w:rPr>
              <w:t>PV</w:t>
            </w:r>
          </w:p>
        </w:tc>
        <w:tc>
          <w:tcPr>
            <w:tcW w:w="7261" w:type="dxa"/>
          </w:tcPr>
          <w:p w:rsidR="000B0EFE" w:rsidRDefault="002433DC" w:rsidP="000B0EFE">
            <w:pPr>
              <w:ind w:left="0"/>
              <w:jc w:val="both"/>
              <w:rPr>
                <w:rFonts w:ascii="Bookman Old Style" w:hAnsi="Bookman Old Style"/>
                <w:color w:val="000000"/>
              </w:rPr>
            </w:pPr>
            <w:r w:rsidRPr="001A6C44">
              <w:rPr>
                <w:rFonts w:ascii="Bookman Old Style" w:hAnsi="Bookman Old Style"/>
                <w:color w:val="000000"/>
              </w:rPr>
              <w:t xml:space="preserve">Porcentaje de Variación Mensual que aplicará el Distribuidor sobre el </w:t>
            </w:r>
            <w:r>
              <w:rPr>
                <w:rFonts w:ascii="Bookman Old Style" w:hAnsi="Bookman Old Style"/>
                <w:color w:val="000000"/>
              </w:rPr>
              <w:t>Cargo de Distribución aplicable a los Usuarios de Uso Residencial</w:t>
            </w:r>
            <w:r w:rsidRPr="001A6C44">
              <w:rPr>
                <w:rFonts w:ascii="Bookman Old Style" w:hAnsi="Bookman Old Style"/>
                <w:color w:val="000000"/>
              </w:rPr>
              <w:t xml:space="preserve">. </w:t>
            </w:r>
            <w:r>
              <w:rPr>
                <w:rFonts w:ascii="Bookman Old Style" w:hAnsi="Bookman Old Style"/>
                <w:color w:val="000000"/>
              </w:rPr>
              <w:t xml:space="preserve">Este </w:t>
            </w:r>
            <w:r w:rsidR="000B0EFE">
              <w:rPr>
                <w:rFonts w:ascii="Bookman Old Style" w:hAnsi="Bookman Old Style"/>
                <w:color w:val="000000"/>
              </w:rPr>
              <w:t xml:space="preserve">será </w:t>
            </w:r>
            <w:r>
              <w:rPr>
                <w:rFonts w:ascii="Bookman Old Style" w:hAnsi="Bookman Old Style"/>
                <w:color w:val="000000"/>
              </w:rPr>
              <w:t>definido por cada distribuidor</w:t>
            </w:r>
            <w:r w:rsidRPr="001A6C44">
              <w:rPr>
                <w:rFonts w:ascii="Bookman Old Style" w:hAnsi="Bookman Old Style"/>
                <w:color w:val="000000"/>
              </w:rPr>
              <w:t xml:space="preserve"> y </w:t>
            </w:r>
            <w:r w:rsidR="000B0EFE">
              <w:rPr>
                <w:rFonts w:ascii="Bookman Old Style" w:hAnsi="Bookman Old Style"/>
                <w:color w:val="000000"/>
              </w:rPr>
              <w:t>podrá cambiar de un mes a otro</w:t>
            </w:r>
            <w:r>
              <w:rPr>
                <w:rFonts w:ascii="Bookman Old Style" w:hAnsi="Bookman Old Style"/>
                <w:color w:val="000000"/>
              </w:rPr>
              <w:t>.</w:t>
            </w:r>
          </w:p>
          <w:p w:rsidR="002433DC" w:rsidRDefault="000B0EFE" w:rsidP="000B0EFE">
            <w:pPr>
              <w:ind w:left="0"/>
              <w:jc w:val="both"/>
              <w:rPr>
                <w:rFonts w:ascii="Bookman Old Style" w:hAnsi="Bookman Old Style"/>
                <w:color w:val="000000"/>
              </w:rPr>
            </w:pPr>
            <w:r>
              <w:rPr>
                <w:rFonts w:ascii="Bookman Old Style" w:hAnsi="Bookman Old Style"/>
                <w:color w:val="000000"/>
              </w:rPr>
              <w:t xml:space="preserve"> </w:t>
            </w:r>
          </w:p>
        </w:tc>
      </w:tr>
      <w:tr w:rsidR="002433DC" w:rsidTr="00E139B1">
        <w:tc>
          <w:tcPr>
            <w:tcW w:w="2127" w:type="dxa"/>
          </w:tcPr>
          <w:p w:rsidR="002433DC" w:rsidRPr="002D596F" w:rsidRDefault="00364E59" w:rsidP="002433DC">
            <w:pPr>
              <w:ind w:left="0"/>
              <w:jc w:val="both"/>
              <w:rPr>
                <w:rFonts w:ascii="Bookman Old Style" w:hAnsi="Bookman Old Style"/>
                <w:color w:val="000000"/>
              </w:rPr>
            </w:pPr>
            <m:oMathPara>
              <m:oMathParaPr>
                <m:jc m:val="left"/>
              </m:oMathParaPr>
              <m:oMath>
                <m:sSub>
                  <m:sSubPr>
                    <m:ctrlPr>
                      <w:rPr>
                        <w:rFonts w:ascii="Cambria Math" w:hAnsi="Cambria Math" w:cs="Arial"/>
                        <w:lang w:val="es-CO" w:eastAsia="es-CO"/>
                      </w:rPr>
                    </m:ctrlPr>
                  </m:sSubPr>
                  <m:e>
                    <m:r>
                      <m:rPr>
                        <m:sty m:val="p"/>
                      </m:rPr>
                      <w:rPr>
                        <w:rFonts w:ascii="Cambria Math" w:hAnsi="Cambria Math" w:cs="Arial"/>
                        <w:lang w:val="es-CO" w:eastAsia="es-CO"/>
                      </w:rPr>
                      <m:t>SA</m:t>
                    </m:r>
                  </m:e>
                  <m:sub>
                    <m:r>
                      <m:rPr>
                        <m:sty m:val="p"/>
                      </m:rPr>
                      <w:rPr>
                        <w:rFonts w:ascii="Cambria Math" w:hAnsi="Cambria Math" w:cs="Arial"/>
                        <w:lang w:val="es-CO" w:eastAsia="es-CO"/>
                      </w:rPr>
                      <m:t>k,m,j</m:t>
                    </m:r>
                  </m:sub>
                </m:sSub>
              </m:oMath>
            </m:oMathPara>
          </w:p>
        </w:tc>
        <w:tc>
          <w:tcPr>
            <w:tcW w:w="7261" w:type="dxa"/>
          </w:tcPr>
          <w:p w:rsidR="002433DC" w:rsidRPr="001A6C44" w:rsidRDefault="002433DC" w:rsidP="00E139B1">
            <w:pPr>
              <w:ind w:left="0"/>
              <w:jc w:val="both"/>
              <w:rPr>
                <w:rFonts w:ascii="Bookman Old Style" w:hAnsi="Bookman Old Style"/>
                <w:color w:val="000000"/>
              </w:rPr>
            </w:pPr>
            <w:r w:rsidRPr="001A6C44">
              <w:rPr>
                <w:rFonts w:ascii="Bookman Old Style" w:hAnsi="Bookman Old Style"/>
                <w:color w:val="000000"/>
              </w:rPr>
              <w:t xml:space="preserve">Saldo Acumulado, expresado en $, del Distribuidor </w:t>
            </w:r>
            <w:r>
              <w:rPr>
                <w:rFonts w:ascii="Bookman Old Style" w:hAnsi="Bookman Old Style"/>
                <w:color w:val="000000"/>
              </w:rPr>
              <w:t>j</w:t>
            </w:r>
            <w:r w:rsidRPr="001A6C44">
              <w:rPr>
                <w:rFonts w:ascii="Bookman Old Style" w:hAnsi="Bookman Old Style"/>
                <w:color w:val="000000"/>
              </w:rPr>
              <w:t xml:space="preserve"> para el mes m del </w:t>
            </w:r>
            <w:r>
              <w:rPr>
                <w:rFonts w:ascii="Bookman Old Style" w:hAnsi="Bookman Old Style"/>
                <w:color w:val="000000"/>
              </w:rPr>
              <w:t>M</w:t>
            </w:r>
            <w:r w:rsidRPr="001A6C44">
              <w:rPr>
                <w:rFonts w:ascii="Bookman Old Style" w:hAnsi="Bookman Old Style"/>
                <w:color w:val="000000"/>
              </w:rPr>
              <w:t xml:space="preserve">ercado </w:t>
            </w:r>
            <w:r>
              <w:rPr>
                <w:rFonts w:ascii="Bookman Old Style" w:hAnsi="Bookman Old Style"/>
                <w:color w:val="000000"/>
              </w:rPr>
              <w:t>Relevante de Distribución para el Siguiente Periodo Tarifario k</w:t>
            </w:r>
            <w:r w:rsidRPr="001A6C44">
              <w:rPr>
                <w:rFonts w:ascii="Bookman Old Style" w:hAnsi="Bookman Old Style"/>
                <w:color w:val="000000"/>
              </w:rPr>
              <w:t xml:space="preserve">, por las diferencias entre el Cargo </w:t>
            </w:r>
            <w:r>
              <w:rPr>
                <w:rFonts w:ascii="Bookman Old Style" w:hAnsi="Bookman Old Style"/>
                <w:color w:val="000000"/>
              </w:rPr>
              <w:t>de Distribución aplicable a los Usuarios de Uso Residencial</w:t>
            </w:r>
            <w:r w:rsidRPr="001A6C44">
              <w:rPr>
                <w:rFonts w:ascii="Bookman Old Style" w:hAnsi="Bookman Old Style"/>
                <w:color w:val="000000"/>
              </w:rPr>
              <w:t xml:space="preserve"> </w:t>
            </w:r>
            <m:oMath>
              <m:sSub>
                <m:sSubPr>
                  <m:ctrlPr>
                    <w:rPr>
                      <w:rFonts w:ascii="Cambria Math" w:hAnsi="Cambria Math" w:cs="Arial"/>
                      <w:lang w:val="es-CO" w:eastAsia="es-CO"/>
                    </w:rPr>
                  </m:ctrlPr>
                </m:sSubPr>
                <m:e>
                  <m:r>
                    <m:rPr>
                      <m:sty m:val="p"/>
                    </m:rPr>
                    <w:rPr>
                      <w:rFonts w:ascii="Cambria Math" w:hAnsi="Cambria Math" w:cs="Arial"/>
                      <w:lang w:val="es-CO" w:eastAsia="es-CO"/>
                    </w:rPr>
                    <m:t>DR</m:t>
                  </m:r>
                </m:e>
                <m:sub>
                  <m:d>
                    <m:dPr>
                      <m:ctrlPr>
                        <w:rPr>
                          <w:rFonts w:ascii="Cambria Math" w:hAnsi="Cambria Math" w:cs="Arial"/>
                          <w:lang w:val="es-CO" w:eastAsia="es-CO"/>
                        </w:rPr>
                      </m:ctrlPr>
                    </m:dPr>
                    <m:e>
                      <m:r>
                        <m:rPr>
                          <m:sty m:val="p"/>
                        </m:rPr>
                        <w:rPr>
                          <w:rFonts w:ascii="Cambria Math" w:hAnsi="Cambria Math" w:cs="Arial"/>
                          <w:lang w:val="es-CO" w:eastAsia="es-CO"/>
                        </w:rPr>
                        <m:t>AUR</m:t>
                      </m:r>
                    </m:e>
                  </m:d>
                  <m:r>
                    <m:rPr>
                      <m:sty m:val="p"/>
                    </m:rPr>
                    <w:rPr>
                      <w:rFonts w:ascii="Cambria Math" w:hAnsi="Cambria Math" w:cs="Arial"/>
                      <w:lang w:val="es-CO" w:eastAsia="es-CO"/>
                    </w:rPr>
                    <m:t>,k,m</m:t>
                  </m:r>
                </m:sub>
              </m:sSub>
            </m:oMath>
            <w:r w:rsidRPr="001A6C44">
              <w:rPr>
                <w:rFonts w:ascii="Bookman Old Style" w:hAnsi="Bookman Old Style"/>
                <w:color w:val="000000"/>
              </w:rPr>
              <w:t xml:space="preserve"> y el  Cargo </w:t>
            </w:r>
            <w:r>
              <w:rPr>
                <w:rFonts w:ascii="Bookman Old Style" w:hAnsi="Bookman Old Style"/>
                <w:color w:val="000000"/>
              </w:rPr>
              <w:t>de Distribución</w:t>
            </w:r>
            <w:r w:rsidRPr="001A6C44">
              <w:rPr>
                <w:rFonts w:ascii="Bookman Old Style" w:hAnsi="Bookman Old Style"/>
                <w:color w:val="000000"/>
              </w:rPr>
              <w:t xml:space="preserve"> aplicado</w:t>
            </w:r>
            <w:r>
              <w:rPr>
                <w:rFonts w:ascii="Bookman Old Style" w:hAnsi="Bookman Old Style"/>
                <w:color w:val="000000"/>
              </w:rPr>
              <w:t xml:space="preserve"> </w:t>
            </w:r>
            <m:oMath>
              <m:sSub>
                <m:sSubPr>
                  <m:ctrlPr>
                    <w:rPr>
                      <w:rFonts w:ascii="Cambria Math" w:hAnsi="Cambria Math" w:cs="Arial"/>
                      <w:lang w:val="es-CO" w:eastAsia="es-CO"/>
                    </w:rPr>
                  </m:ctrlPr>
                </m:sSubPr>
                <m:e>
                  <m:r>
                    <m:rPr>
                      <m:sty m:val="p"/>
                    </m:rPr>
                    <w:rPr>
                      <w:rFonts w:ascii="Cambria Math" w:hAnsi="Cambria Math" w:cs="Arial"/>
                      <w:lang w:val="es-CO" w:eastAsia="es-CO"/>
                    </w:rPr>
                    <m:t>DA</m:t>
                  </m:r>
                </m:e>
                <m:sub>
                  <m:d>
                    <m:dPr>
                      <m:ctrlPr>
                        <w:rPr>
                          <w:rFonts w:ascii="Cambria Math" w:hAnsi="Cambria Math" w:cs="Arial"/>
                          <w:lang w:val="es-CO" w:eastAsia="es-CO"/>
                        </w:rPr>
                      </m:ctrlPr>
                    </m:dPr>
                    <m:e>
                      <m:r>
                        <m:rPr>
                          <m:sty m:val="p"/>
                        </m:rPr>
                        <w:rPr>
                          <w:rFonts w:ascii="Cambria Math" w:hAnsi="Cambria Math" w:cs="Arial"/>
                          <w:lang w:val="es-CO" w:eastAsia="es-CO"/>
                        </w:rPr>
                        <m:t>AUR</m:t>
                      </m:r>
                    </m:e>
                  </m:d>
                  <m:r>
                    <m:rPr>
                      <m:sty m:val="p"/>
                    </m:rPr>
                    <w:rPr>
                      <w:rFonts w:ascii="Cambria Math" w:hAnsi="Cambria Math" w:cs="Arial"/>
                      <w:lang w:val="es-CO" w:eastAsia="es-CO"/>
                    </w:rPr>
                    <m:t>.k,m</m:t>
                  </m:r>
                </m:sub>
              </m:sSub>
            </m:oMath>
            <w:r w:rsidRPr="001A6C44">
              <w:rPr>
                <w:rFonts w:ascii="Bookman Old Style" w:hAnsi="Bookman Old Style"/>
                <w:color w:val="000000"/>
              </w:rPr>
              <w:t>.  A la fecha de entrada en vigencia de la presente resolución dicho valor será cero.</w:t>
            </w:r>
          </w:p>
          <w:p w:rsidR="002433DC" w:rsidRDefault="002433DC" w:rsidP="00E139B1">
            <w:pPr>
              <w:ind w:left="0"/>
              <w:jc w:val="both"/>
              <w:rPr>
                <w:rFonts w:ascii="Bookman Old Style" w:hAnsi="Bookman Old Style"/>
                <w:color w:val="000000"/>
              </w:rPr>
            </w:pPr>
          </w:p>
        </w:tc>
      </w:tr>
      <w:tr w:rsidR="002433DC" w:rsidTr="00E139B1">
        <w:tc>
          <w:tcPr>
            <w:tcW w:w="2127" w:type="dxa"/>
          </w:tcPr>
          <w:p w:rsidR="002433DC" w:rsidRPr="002D596F" w:rsidRDefault="00364E59" w:rsidP="00E139B1">
            <w:pPr>
              <w:ind w:left="0"/>
              <w:jc w:val="both"/>
              <w:rPr>
                <w:rFonts w:ascii="Bookman Old Style" w:hAnsi="Bookman Old Style"/>
                <w:color w:val="000000"/>
              </w:rPr>
            </w:pPr>
            <m:oMathPara>
              <m:oMathParaPr>
                <m:jc m:val="left"/>
              </m:oMathParaPr>
              <m:oMath>
                <m:sSub>
                  <m:sSubPr>
                    <m:ctrlPr>
                      <w:rPr>
                        <w:rFonts w:ascii="Cambria Math" w:hAnsi="Cambria Math" w:cs="Arial"/>
                        <w:lang w:val="es-CO" w:eastAsia="es-CO"/>
                      </w:rPr>
                    </m:ctrlPr>
                  </m:sSubPr>
                  <m:e>
                    <m:r>
                      <m:rPr>
                        <m:sty m:val="p"/>
                      </m:rPr>
                      <w:rPr>
                        <w:rFonts w:ascii="Cambria Math" w:hAnsi="Cambria Math" w:cs="Arial"/>
                        <w:lang w:val="es-CO" w:eastAsia="es-CO"/>
                      </w:rPr>
                      <m:t>VR</m:t>
                    </m:r>
                  </m:e>
                  <m:sub>
                    <m:r>
                      <m:rPr>
                        <m:sty m:val="p"/>
                      </m:rPr>
                      <w:rPr>
                        <w:rFonts w:ascii="Cambria Math" w:hAnsi="Cambria Math" w:cs="Arial"/>
                        <w:lang w:val="es-CO" w:eastAsia="es-CO"/>
                      </w:rPr>
                      <m:t>k,m,j</m:t>
                    </m:r>
                  </m:sub>
                </m:sSub>
              </m:oMath>
            </m:oMathPara>
          </w:p>
        </w:tc>
        <w:tc>
          <w:tcPr>
            <w:tcW w:w="7261" w:type="dxa"/>
          </w:tcPr>
          <w:p w:rsidR="002433DC" w:rsidRDefault="002433DC" w:rsidP="00E139B1">
            <w:pPr>
              <w:ind w:left="0"/>
              <w:jc w:val="both"/>
              <w:rPr>
                <w:rFonts w:ascii="Bookman Old Style" w:hAnsi="Bookman Old Style"/>
                <w:color w:val="000000"/>
              </w:rPr>
            </w:pPr>
            <w:r w:rsidRPr="001A6C44">
              <w:rPr>
                <w:rFonts w:ascii="Bookman Old Style" w:hAnsi="Bookman Old Style"/>
                <w:color w:val="000000"/>
              </w:rPr>
              <w:t xml:space="preserve">Ventas de gas a usuarios </w:t>
            </w:r>
            <w:r>
              <w:rPr>
                <w:rFonts w:ascii="Bookman Old Style" w:hAnsi="Bookman Old Style"/>
                <w:color w:val="000000"/>
              </w:rPr>
              <w:t>residenciales</w:t>
            </w:r>
            <w:r w:rsidRPr="001A6C44">
              <w:rPr>
                <w:rFonts w:ascii="Bookman Old Style" w:hAnsi="Bookman Old Style"/>
                <w:color w:val="000000"/>
              </w:rPr>
              <w:t xml:space="preserve">, en el mes m efectuadas por el Distribuidor </w:t>
            </w:r>
            <w:r>
              <w:rPr>
                <w:rFonts w:ascii="Bookman Old Style" w:hAnsi="Bookman Old Style"/>
                <w:color w:val="000000"/>
              </w:rPr>
              <w:t>j</w:t>
            </w:r>
            <w:r w:rsidRPr="001A6C44">
              <w:rPr>
                <w:rFonts w:ascii="Bookman Old Style" w:hAnsi="Bookman Old Style"/>
                <w:color w:val="000000"/>
              </w:rPr>
              <w:t xml:space="preserve">, en el </w:t>
            </w:r>
            <w:r w:rsidR="00632807">
              <w:rPr>
                <w:rFonts w:ascii="Bookman Old Style" w:hAnsi="Bookman Old Style"/>
                <w:color w:val="000000"/>
              </w:rPr>
              <w:t>M</w:t>
            </w:r>
            <w:r w:rsidRPr="001A6C44">
              <w:rPr>
                <w:rFonts w:ascii="Bookman Old Style" w:hAnsi="Bookman Old Style"/>
                <w:color w:val="000000"/>
              </w:rPr>
              <w:t xml:space="preserve">ercado </w:t>
            </w:r>
            <w:r w:rsidR="00632807">
              <w:rPr>
                <w:rFonts w:ascii="Bookman Old Style" w:hAnsi="Bookman Old Style"/>
                <w:color w:val="000000"/>
              </w:rPr>
              <w:t>R</w:t>
            </w:r>
            <w:r>
              <w:rPr>
                <w:rFonts w:ascii="Bookman Old Style" w:hAnsi="Bookman Old Style"/>
                <w:color w:val="000000"/>
              </w:rPr>
              <w:t xml:space="preserve">elevante de </w:t>
            </w:r>
            <w:r w:rsidR="00632807">
              <w:rPr>
                <w:rFonts w:ascii="Bookman Old Style" w:hAnsi="Bookman Old Style"/>
                <w:color w:val="000000"/>
              </w:rPr>
              <w:t>D</w:t>
            </w:r>
            <w:r>
              <w:rPr>
                <w:rFonts w:ascii="Bookman Old Style" w:hAnsi="Bookman Old Style"/>
                <w:color w:val="000000"/>
              </w:rPr>
              <w:t xml:space="preserve">istribución </w:t>
            </w:r>
            <w:r w:rsidR="00632807">
              <w:rPr>
                <w:rFonts w:ascii="Bookman Old Style" w:hAnsi="Bookman Old Style"/>
                <w:color w:val="000000"/>
              </w:rPr>
              <w:t xml:space="preserve">para el Siguiente Periodo Tarifario </w:t>
            </w:r>
            <w:r>
              <w:rPr>
                <w:rFonts w:ascii="Bookman Old Style" w:hAnsi="Bookman Old Style"/>
                <w:color w:val="000000"/>
              </w:rPr>
              <w:t>k</w:t>
            </w:r>
            <w:r w:rsidRPr="001A6C44">
              <w:rPr>
                <w:rFonts w:ascii="Bookman Old Style" w:hAnsi="Bookman Old Style"/>
                <w:color w:val="000000"/>
              </w:rPr>
              <w:t>, expresado en m</w:t>
            </w:r>
            <w:r w:rsidRPr="002433DC">
              <w:rPr>
                <w:rFonts w:ascii="Bookman Old Style" w:hAnsi="Bookman Old Style"/>
                <w:color w:val="000000"/>
                <w:vertAlign w:val="superscript"/>
              </w:rPr>
              <w:t>3</w:t>
            </w:r>
            <w:r w:rsidRPr="001A6C44">
              <w:rPr>
                <w:rFonts w:ascii="Bookman Old Style" w:hAnsi="Bookman Old Style"/>
                <w:color w:val="000000"/>
              </w:rPr>
              <w:t>.</w:t>
            </w:r>
          </w:p>
          <w:p w:rsidR="002433DC" w:rsidRDefault="002433DC" w:rsidP="00E139B1">
            <w:pPr>
              <w:ind w:left="0"/>
              <w:jc w:val="both"/>
              <w:rPr>
                <w:rFonts w:ascii="Bookman Old Style" w:hAnsi="Bookman Old Style"/>
                <w:color w:val="000000"/>
              </w:rPr>
            </w:pPr>
          </w:p>
        </w:tc>
      </w:tr>
      <w:tr w:rsidR="002433DC" w:rsidTr="00E139B1">
        <w:tc>
          <w:tcPr>
            <w:tcW w:w="2127" w:type="dxa"/>
          </w:tcPr>
          <w:p w:rsidR="002433DC" w:rsidRPr="002D596F" w:rsidRDefault="00364E59" w:rsidP="00E139B1">
            <w:pPr>
              <w:ind w:left="0"/>
              <w:jc w:val="both"/>
              <w:rPr>
                <w:rFonts w:ascii="Bookman Old Style" w:hAnsi="Bookman Old Style"/>
                <w:color w:val="000000"/>
              </w:rPr>
            </w:pPr>
            <m:oMathPara>
              <m:oMathParaPr>
                <m:jc m:val="left"/>
              </m:oMathParaPr>
              <m:oMath>
                <m:sSub>
                  <m:sSubPr>
                    <m:ctrlPr>
                      <w:rPr>
                        <w:rFonts w:ascii="Cambria Math" w:hAnsi="Cambria Math" w:cs="Arial"/>
                        <w:lang w:val="es-CO" w:eastAsia="es-CO"/>
                      </w:rPr>
                    </m:ctrlPr>
                  </m:sSubPr>
                  <m:e>
                    <m:r>
                      <m:rPr>
                        <m:sty m:val="p"/>
                      </m:rPr>
                      <w:rPr>
                        <w:rFonts w:ascii="Cambria Math" w:hAnsi="Cambria Math" w:cs="Arial"/>
                        <w:lang w:val="es-CO" w:eastAsia="es-CO"/>
                      </w:rPr>
                      <m:t>DR</m:t>
                    </m:r>
                  </m:e>
                  <m:sub>
                    <m:d>
                      <m:dPr>
                        <m:ctrlPr>
                          <w:rPr>
                            <w:rFonts w:ascii="Cambria Math" w:hAnsi="Cambria Math" w:cs="Arial"/>
                            <w:lang w:val="es-CO" w:eastAsia="es-CO"/>
                          </w:rPr>
                        </m:ctrlPr>
                      </m:dPr>
                      <m:e>
                        <m:r>
                          <m:rPr>
                            <m:sty m:val="p"/>
                          </m:rPr>
                          <w:rPr>
                            <w:rFonts w:ascii="Cambria Math" w:hAnsi="Cambria Math" w:cs="Arial"/>
                            <w:lang w:val="es-CO" w:eastAsia="es-CO"/>
                          </w:rPr>
                          <m:t>AUR</m:t>
                        </m:r>
                      </m:e>
                    </m:d>
                    <m:r>
                      <m:rPr>
                        <m:sty m:val="p"/>
                      </m:rPr>
                      <w:rPr>
                        <w:rFonts w:ascii="Cambria Math" w:hAnsi="Cambria Math" w:cs="Arial"/>
                        <w:lang w:val="es-CO" w:eastAsia="es-CO"/>
                      </w:rPr>
                      <m:t>,k,m,j</m:t>
                    </m:r>
                  </m:sub>
                </m:sSub>
              </m:oMath>
            </m:oMathPara>
          </w:p>
        </w:tc>
        <w:tc>
          <w:tcPr>
            <w:tcW w:w="7261" w:type="dxa"/>
          </w:tcPr>
          <w:p w:rsidR="002433DC" w:rsidRDefault="002433DC" w:rsidP="00E139B1">
            <w:pPr>
              <w:ind w:left="0"/>
              <w:jc w:val="both"/>
              <w:rPr>
                <w:rFonts w:ascii="Bookman Old Style" w:hAnsi="Bookman Old Style"/>
                <w:color w:val="000000"/>
              </w:rPr>
            </w:pPr>
            <w:r w:rsidRPr="001A6C44">
              <w:rPr>
                <w:rFonts w:ascii="Bookman Old Style" w:hAnsi="Bookman Old Style"/>
                <w:color w:val="000000"/>
              </w:rPr>
              <w:t xml:space="preserve">Cargo real </w:t>
            </w:r>
            <w:r>
              <w:rPr>
                <w:rFonts w:ascii="Bookman Old Style" w:hAnsi="Bookman Old Style"/>
                <w:color w:val="000000"/>
              </w:rPr>
              <w:t>de Distribución</w:t>
            </w:r>
            <w:r w:rsidRPr="001A6C44">
              <w:rPr>
                <w:rFonts w:ascii="Bookman Old Style" w:hAnsi="Bookman Old Style"/>
                <w:color w:val="000000"/>
              </w:rPr>
              <w:t xml:space="preserve"> calculado mediante la nueva metodología, expresado en $/m</w:t>
            </w:r>
            <w:r w:rsidRPr="002433DC">
              <w:rPr>
                <w:rFonts w:ascii="Bookman Old Style" w:hAnsi="Bookman Old Style"/>
                <w:color w:val="000000"/>
                <w:vertAlign w:val="superscript"/>
              </w:rPr>
              <w:t>3</w:t>
            </w:r>
            <w:r w:rsidRPr="001A6C44">
              <w:rPr>
                <w:rFonts w:ascii="Bookman Old Style" w:hAnsi="Bookman Old Style"/>
                <w:color w:val="000000"/>
              </w:rPr>
              <w:t xml:space="preserve">, calculado para el mes m, para el </w:t>
            </w:r>
            <w:r>
              <w:rPr>
                <w:rFonts w:ascii="Bookman Old Style" w:hAnsi="Bookman Old Style"/>
              </w:rPr>
              <w:t>Distribuidor</w:t>
            </w:r>
            <w:r w:rsidRPr="001A6C44">
              <w:rPr>
                <w:rFonts w:ascii="Bookman Old Style" w:hAnsi="Bookman Old Style"/>
              </w:rPr>
              <w:t xml:space="preserve"> </w:t>
            </w:r>
            <w:r w:rsidRPr="00133EAD">
              <w:rPr>
                <w:rFonts w:ascii="Bookman Old Style" w:hAnsi="Bookman Old Style"/>
              </w:rPr>
              <w:t>j,</w:t>
            </w:r>
            <w:r w:rsidRPr="001A6C44">
              <w:rPr>
                <w:rFonts w:ascii="Bookman Old Style" w:hAnsi="Bookman Old Style"/>
              </w:rPr>
              <w:t xml:space="preserve"> en el </w:t>
            </w:r>
            <w:r w:rsidRPr="001D4E8E">
              <w:rPr>
                <w:rFonts w:ascii="Bookman Old Style" w:hAnsi="Bookman Old Style"/>
                <w:color w:val="000000"/>
              </w:rPr>
              <w:t xml:space="preserve">Mercado de </w:t>
            </w:r>
            <w:r w:rsidR="00632807">
              <w:rPr>
                <w:rFonts w:ascii="Bookman Old Style" w:hAnsi="Bookman Old Style"/>
                <w:color w:val="000000"/>
              </w:rPr>
              <w:t>R</w:t>
            </w:r>
            <w:r>
              <w:rPr>
                <w:rFonts w:ascii="Bookman Old Style" w:hAnsi="Bookman Old Style"/>
                <w:color w:val="000000"/>
              </w:rPr>
              <w:t xml:space="preserve">elevante de </w:t>
            </w:r>
            <w:r w:rsidR="00632807">
              <w:rPr>
                <w:rFonts w:ascii="Bookman Old Style" w:hAnsi="Bookman Old Style"/>
                <w:color w:val="000000"/>
              </w:rPr>
              <w:t>D</w:t>
            </w:r>
            <w:r>
              <w:rPr>
                <w:rFonts w:ascii="Bookman Old Style" w:hAnsi="Bookman Old Style"/>
                <w:color w:val="000000"/>
              </w:rPr>
              <w:t>istribución</w:t>
            </w:r>
            <w:r w:rsidRPr="001D4E8E">
              <w:rPr>
                <w:rFonts w:ascii="Bookman Old Style" w:hAnsi="Bookman Old Style"/>
                <w:color w:val="000000"/>
              </w:rPr>
              <w:t xml:space="preserve"> </w:t>
            </w:r>
            <w:r w:rsidR="00632807">
              <w:rPr>
                <w:rFonts w:ascii="Bookman Old Style" w:hAnsi="Bookman Old Style"/>
                <w:color w:val="000000"/>
              </w:rPr>
              <w:t xml:space="preserve">para el Siguiente Periodo Tarifario </w:t>
            </w:r>
            <w:r>
              <w:rPr>
                <w:rFonts w:ascii="Bookman Old Style" w:hAnsi="Bookman Old Style"/>
                <w:color w:val="000000"/>
              </w:rPr>
              <w:t>k</w:t>
            </w:r>
            <w:r w:rsidRPr="001D4E8E">
              <w:rPr>
                <w:rFonts w:ascii="Bookman Old Style" w:hAnsi="Bookman Old Style"/>
                <w:color w:val="000000"/>
              </w:rPr>
              <w:t>. Para el primer mes será igual al cargo total resultante de la nueva metodología.</w:t>
            </w:r>
          </w:p>
          <w:p w:rsidR="002433DC" w:rsidRDefault="002433DC" w:rsidP="00E139B1">
            <w:pPr>
              <w:ind w:left="0"/>
              <w:jc w:val="both"/>
              <w:rPr>
                <w:rFonts w:ascii="Bookman Old Style" w:hAnsi="Bookman Old Style"/>
                <w:color w:val="000000"/>
              </w:rPr>
            </w:pPr>
          </w:p>
        </w:tc>
      </w:tr>
      <w:tr w:rsidR="002433DC" w:rsidTr="00E139B1">
        <w:tc>
          <w:tcPr>
            <w:tcW w:w="2127" w:type="dxa"/>
          </w:tcPr>
          <w:p w:rsidR="002433DC" w:rsidRPr="002D596F" w:rsidRDefault="00364E59" w:rsidP="00E139B1">
            <w:pPr>
              <w:ind w:left="0"/>
              <w:jc w:val="both"/>
              <w:rPr>
                <w:rFonts w:ascii="Bookman Old Style" w:hAnsi="Bookman Old Style"/>
                <w:color w:val="000000"/>
              </w:rPr>
            </w:pPr>
            <m:oMathPara>
              <m:oMathParaPr>
                <m:jc m:val="left"/>
              </m:oMathParaPr>
              <m:oMath>
                <m:sSub>
                  <m:sSubPr>
                    <m:ctrlPr>
                      <w:rPr>
                        <w:rFonts w:ascii="Cambria Math" w:hAnsi="Cambria Math" w:cs="Arial"/>
                        <w:lang w:val="es-CO" w:eastAsia="es-CO"/>
                      </w:rPr>
                    </m:ctrlPr>
                  </m:sSubPr>
                  <m:e>
                    <m:r>
                      <m:rPr>
                        <m:sty m:val="p"/>
                      </m:rPr>
                      <w:rPr>
                        <w:rFonts w:ascii="Cambria Math" w:hAnsi="Cambria Math" w:cs="Arial"/>
                        <w:lang w:val="es-CO" w:eastAsia="es-CO"/>
                      </w:rPr>
                      <m:t>DA</m:t>
                    </m:r>
                  </m:e>
                  <m:sub>
                    <m:d>
                      <m:dPr>
                        <m:ctrlPr>
                          <w:rPr>
                            <w:rFonts w:ascii="Cambria Math" w:hAnsi="Cambria Math" w:cs="Arial"/>
                            <w:lang w:val="es-CO" w:eastAsia="es-CO"/>
                          </w:rPr>
                        </m:ctrlPr>
                      </m:dPr>
                      <m:e>
                        <m:r>
                          <m:rPr>
                            <m:sty m:val="p"/>
                          </m:rPr>
                          <w:rPr>
                            <w:rFonts w:ascii="Cambria Math" w:hAnsi="Cambria Math" w:cs="Arial"/>
                            <w:lang w:val="es-CO" w:eastAsia="es-CO"/>
                          </w:rPr>
                          <m:t>AUR</m:t>
                        </m:r>
                      </m:e>
                    </m:d>
                    <m:r>
                      <m:rPr>
                        <m:sty m:val="p"/>
                      </m:rPr>
                      <w:rPr>
                        <w:rFonts w:ascii="Cambria Math" w:hAnsi="Cambria Math" w:cs="Arial"/>
                        <w:lang w:val="es-CO" w:eastAsia="es-CO"/>
                      </w:rPr>
                      <m:t>.k,m,j</m:t>
                    </m:r>
                  </m:sub>
                </m:sSub>
              </m:oMath>
            </m:oMathPara>
          </w:p>
        </w:tc>
        <w:tc>
          <w:tcPr>
            <w:tcW w:w="7261" w:type="dxa"/>
          </w:tcPr>
          <w:p w:rsidR="002433DC" w:rsidRDefault="002433DC" w:rsidP="00E139B1">
            <w:pPr>
              <w:ind w:left="0"/>
              <w:jc w:val="both"/>
              <w:rPr>
                <w:rFonts w:ascii="Bookman Old Style" w:hAnsi="Bookman Old Style"/>
                <w:color w:val="000000"/>
              </w:rPr>
            </w:pPr>
            <w:r w:rsidRPr="001D4E8E">
              <w:rPr>
                <w:rFonts w:ascii="Bookman Old Style" w:hAnsi="Bookman Old Style"/>
                <w:color w:val="000000"/>
              </w:rPr>
              <w:t>Cargo aplicado de</w:t>
            </w:r>
            <w:r>
              <w:rPr>
                <w:rFonts w:ascii="Bookman Old Style" w:hAnsi="Bookman Old Style"/>
                <w:color w:val="000000"/>
              </w:rPr>
              <w:t xml:space="preserve"> distribución</w:t>
            </w:r>
            <w:r w:rsidRPr="001D4E8E">
              <w:rPr>
                <w:rFonts w:ascii="Bookman Old Style" w:hAnsi="Bookman Old Style"/>
                <w:color w:val="000000"/>
              </w:rPr>
              <w:t>, expresado en $/m</w:t>
            </w:r>
            <w:r w:rsidRPr="002433DC">
              <w:rPr>
                <w:rFonts w:ascii="Bookman Old Style" w:hAnsi="Bookman Old Style"/>
                <w:color w:val="000000"/>
                <w:vertAlign w:val="superscript"/>
              </w:rPr>
              <w:t>3</w:t>
            </w:r>
            <w:r w:rsidRPr="001D4E8E">
              <w:rPr>
                <w:rFonts w:ascii="Bookman Old Style" w:hAnsi="Bookman Old Style"/>
                <w:color w:val="000000"/>
              </w:rPr>
              <w:t xml:space="preserve">, calculado para el mes m, para el Distribuidor </w:t>
            </w:r>
            <w:r>
              <w:rPr>
                <w:rFonts w:ascii="Bookman Old Style" w:hAnsi="Bookman Old Style"/>
                <w:color w:val="000000"/>
              </w:rPr>
              <w:t>j</w:t>
            </w:r>
            <w:r w:rsidRPr="001D4E8E">
              <w:rPr>
                <w:rFonts w:ascii="Bookman Old Style" w:hAnsi="Bookman Old Style"/>
                <w:color w:val="000000"/>
              </w:rPr>
              <w:t xml:space="preserve">, en el Mercado </w:t>
            </w:r>
            <w:r w:rsidR="00133EAD">
              <w:rPr>
                <w:rFonts w:ascii="Bookman Old Style" w:hAnsi="Bookman Old Style"/>
                <w:color w:val="000000"/>
              </w:rPr>
              <w:t>R</w:t>
            </w:r>
            <w:r>
              <w:rPr>
                <w:rFonts w:ascii="Bookman Old Style" w:hAnsi="Bookman Old Style"/>
                <w:color w:val="000000"/>
              </w:rPr>
              <w:t xml:space="preserve">elevante de </w:t>
            </w:r>
            <w:r w:rsidR="00133EAD">
              <w:rPr>
                <w:rFonts w:ascii="Bookman Old Style" w:hAnsi="Bookman Old Style"/>
                <w:color w:val="000000"/>
              </w:rPr>
              <w:t>D</w:t>
            </w:r>
            <w:r>
              <w:rPr>
                <w:rFonts w:ascii="Bookman Old Style" w:hAnsi="Bookman Old Style"/>
                <w:color w:val="000000"/>
              </w:rPr>
              <w:t xml:space="preserve">istribución </w:t>
            </w:r>
            <w:r w:rsidR="00632807">
              <w:rPr>
                <w:rFonts w:ascii="Bookman Old Style" w:hAnsi="Bookman Old Style"/>
                <w:color w:val="000000"/>
              </w:rPr>
              <w:t xml:space="preserve">para el Siguiente Periodo Tarifario </w:t>
            </w:r>
            <w:r w:rsidR="00133EAD">
              <w:rPr>
                <w:rFonts w:ascii="Bookman Old Style" w:hAnsi="Bookman Old Style"/>
                <w:color w:val="000000"/>
              </w:rPr>
              <w:t>k</w:t>
            </w:r>
            <w:r w:rsidRPr="001D4E8E">
              <w:rPr>
                <w:rFonts w:ascii="Bookman Old Style" w:hAnsi="Bookman Old Style"/>
                <w:color w:val="000000"/>
              </w:rPr>
              <w:t>. Este valor</w:t>
            </w:r>
            <w:r>
              <w:rPr>
                <w:rFonts w:ascii="Bookman Old Style" w:hAnsi="Bookman Old Style"/>
                <w:color w:val="000000"/>
              </w:rPr>
              <w:t xml:space="preserve"> para el primer mes de aplicación</w:t>
            </w:r>
            <w:r w:rsidRPr="001D4E8E">
              <w:rPr>
                <w:rFonts w:ascii="Bookman Old Style" w:hAnsi="Bookman Old Style"/>
                <w:color w:val="000000"/>
              </w:rPr>
              <w:t xml:space="preserve"> será </w:t>
            </w:r>
            <w:r>
              <w:rPr>
                <w:rFonts w:ascii="Bookman Old Style" w:hAnsi="Bookman Old Style"/>
                <w:color w:val="000000"/>
              </w:rPr>
              <w:t>igual al cargo de distribución anterior multiplicado por el valor de PV.</w:t>
            </w:r>
          </w:p>
          <w:p w:rsidR="002433DC" w:rsidRDefault="002433DC" w:rsidP="00E139B1">
            <w:pPr>
              <w:ind w:left="0"/>
              <w:jc w:val="both"/>
              <w:rPr>
                <w:rFonts w:ascii="Bookman Old Style" w:hAnsi="Bookman Old Style"/>
                <w:color w:val="000000"/>
              </w:rPr>
            </w:pPr>
          </w:p>
        </w:tc>
      </w:tr>
      <w:tr w:rsidR="002433DC" w:rsidTr="00E139B1">
        <w:tc>
          <w:tcPr>
            <w:tcW w:w="2127" w:type="dxa"/>
          </w:tcPr>
          <w:p w:rsidR="002433DC" w:rsidRPr="002D596F" w:rsidRDefault="009622F4" w:rsidP="00E139B1">
            <w:pPr>
              <w:ind w:left="0"/>
              <w:jc w:val="both"/>
              <w:rPr>
                <w:rFonts w:ascii="Bookman Old Style" w:hAnsi="Bookman Old Style"/>
                <w:lang w:val="es-CO" w:eastAsia="es-CO"/>
              </w:rPr>
            </w:pPr>
            <w:r w:rsidRPr="002D596F">
              <w:rPr>
                <w:rFonts w:ascii="Bookman Old Style" w:hAnsi="Bookman Old Style"/>
                <w:lang w:val="es-CO" w:eastAsia="es-CO"/>
              </w:rPr>
              <w:t>I</w:t>
            </w:r>
          </w:p>
        </w:tc>
        <w:tc>
          <w:tcPr>
            <w:tcW w:w="7261" w:type="dxa"/>
          </w:tcPr>
          <w:p w:rsidR="002433DC" w:rsidRDefault="002433DC" w:rsidP="00E139B1">
            <w:pPr>
              <w:ind w:left="0"/>
              <w:jc w:val="both"/>
              <w:rPr>
                <w:rFonts w:ascii="Bookman Old Style" w:hAnsi="Bookman Old Style"/>
                <w:color w:val="000000"/>
              </w:rPr>
            </w:pPr>
            <w:r w:rsidRPr="001D4E8E">
              <w:rPr>
                <w:rFonts w:ascii="Bookman Old Style" w:hAnsi="Bookman Old Style"/>
                <w:color w:val="000000"/>
              </w:rPr>
              <w:t>Tasa de interés nominal mensual que</w:t>
            </w:r>
            <w:r>
              <w:rPr>
                <w:rFonts w:ascii="Bookman Old Style" w:hAnsi="Bookman Old Style"/>
                <w:color w:val="000000"/>
              </w:rPr>
              <w:t xml:space="preserve"> se le reconoce al Distribuidor por los saldos acumulados en </w:t>
            </w:r>
            <w:r w:rsidRPr="001D4E8E">
              <w:rPr>
                <w:rFonts w:ascii="Bookman Old Style" w:hAnsi="Bookman Old Style"/>
                <w:color w:val="000000"/>
              </w:rPr>
              <w:t>la variable</w:t>
            </w:r>
            <m:oMath>
              <m:sSub>
                <m:sSubPr>
                  <m:ctrlPr>
                    <w:rPr>
                      <w:rFonts w:ascii="Cambria Math" w:hAnsi="Cambria Math" w:cs="Arial"/>
                      <w:lang w:val="es-CO" w:eastAsia="es-CO"/>
                    </w:rPr>
                  </m:ctrlPr>
                </m:sSubPr>
                <m:e>
                  <m:r>
                    <m:rPr>
                      <m:sty m:val="p"/>
                    </m:rPr>
                    <w:rPr>
                      <w:rFonts w:ascii="Cambria Math" w:hAnsi="Cambria Math" w:cs="Arial"/>
                      <w:lang w:val="es-CO" w:eastAsia="es-CO"/>
                    </w:rPr>
                    <m:t xml:space="preserve"> SA</m:t>
                  </m:r>
                </m:e>
                <m:sub>
                  <m:r>
                    <m:rPr>
                      <m:sty m:val="p"/>
                    </m:rPr>
                    <w:rPr>
                      <w:rFonts w:ascii="Cambria Math" w:hAnsi="Cambria Math" w:cs="Arial"/>
                      <w:lang w:val="es-CO" w:eastAsia="es-CO"/>
                    </w:rPr>
                    <m:t>k,m,j</m:t>
                  </m:r>
                </m:sub>
              </m:sSub>
            </m:oMath>
            <w:r w:rsidRPr="001D4E8E">
              <w:rPr>
                <w:rFonts w:ascii="Bookman Old Style" w:hAnsi="Bookman Old Style"/>
                <w:color w:val="000000"/>
              </w:rPr>
              <w:t>. Este valor no podrá ser superior al interés bancario corriente para consumo y ordinario que es certificado por la Superintendencia Financiera de Colombia.</w:t>
            </w:r>
          </w:p>
          <w:p w:rsidR="002433DC" w:rsidRPr="001D4E8E" w:rsidRDefault="002433DC" w:rsidP="00E139B1">
            <w:pPr>
              <w:ind w:left="0"/>
              <w:jc w:val="both"/>
              <w:rPr>
                <w:rFonts w:ascii="Bookman Old Style" w:hAnsi="Bookman Old Style"/>
                <w:color w:val="000000"/>
              </w:rPr>
            </w:pPr>
          </w:p>
        </w:tc>
      </w:tr>
    </w:tbl>
    <w:p w:rsidR="00FC79BF" w:rsidRDefault="00FC79BF" w:rsidP="002433DC">
      <w:pPr>
        <w:ind w:left="0"/>
        <w:jc w:val="both"/>
        <w:rPr>
          <w:rFonts w:ascii="Bookman Old Style" w:hAnsi="Bookman Old Style"/>
          <w:color w:val="000000"/>
        </w:rPr>
      </w:pPr>
    </w:p>
    <w:p w:rsidR="002433DC" w:rsidRPr="001D4E8E" w:rsidRDefault="002433DC" w:rsidP="002433DC">
      <w:pPr>
        <w:ind w:left="0"/>
        <w:jc w:val="both"/>
        <w:rPr>
          <w:rFonts w:ascii="Bookman Old Style" w:hAnsi="Bookman Old Style"/>
          <w:color w:val="000000"/>
        </w:rPr>
      </w:pPr>
      <w:r w:rsidRPr="001D4E8E">
        <w:rPr>
          <w:rFonts w:ascii="Bookman Old Style" w:hAnsi="Bookman Old Style"/>
          <w:color w:val="000000"/>
        </w:rPr>
        <w:t xml:space="preserve">El Distribuidor deberá entregar un informe mensual a la Superintendencia de Servicios Públicos Domiciliarios y  a la CREG sobre el </w:t>
      </w:r>
      <w:r w:rsidR="008D558B">
        <w:rPr>
          <w:rFonts w:ascii="Bookman Old Style" w:hAnsi="Bookman Old Style"/>
          <w:color w:val="000000"/>
        </w:rPr>
        <w:t xml:space="preserve">PV y la tasa de interés aplicada, el </w:t>
      </w:r>
      <w:r w:rsidRPr="001D4E8E">
        <w:rPr>
          <w:rFonts w:ascii="Bookman Old Style" w:hAnsi="Bookman Old Style"/>
          <w:color w:val="000000"/>
        </w:rPr>
        <w:t>estado de las cuentas relacionadas con la senda tarifaria diseñada, en donde se indiquen valores cobrados y los saldos pendientes durante el tiempo restante.</w:t>
      </w:r>
    </w:p>
    <w:p w:rsidR="001A6C44" w:rsidRPr="002433DC" w:rsidRDefault="001A6C44" w:rsidP="001572F2"/>
    <w:p w:rsidR="000B65DE" w:rsidRPr="000B65DE" w:rsidRDefault="000B65DE" w:rsidP="00382E27">
      <w:pPr>
        <w:keepNext/>
        <w:numPr>
          <w:ilvl w:val="0"/>
          <w:numId w:val="2"/>
        </w:numPr>
        <w:tabs>
          <w:tab w:val="num" w:pos="1560"/>
        </w:tabs>
        <w:spacing w:before="240" w:after="60"/>
        <w:ind w:firstLine="1418"/>
        <w:jc w:val="both"/>
        <w:outlineLvl w:val="0"/>
        <w:rPr>
          <w:rFonts w:ascii="Bookman Old Style" w:hAnsi="Bookman Old Style"/>
          <w:b/>
          <w:bCs/>
        </w:rPr>
      </w:pPr>
      <w:r w:rsidRPr="000B65DE">
        <w:rPr>
          <w:rFonts w:ascii="Bookman Old Style" w:hAnsi="Bookman Old Style"/>
          <w:b/>
          <w:bCs/>
        </w:rPr>
        <w:t xml:space="preserve">FÓRMULA DE ACTUALIZACIÓN DEL CARGO DE DISTRIBUCIÓN APLICABLE A USUARIOS DE USO </w:t>
      </w:r>
      <w:r w:rsidRPr="0025178C">
        <w:rPr>
          <w:rFonts w:ascii="Bookman Old Style" w:hAnsi="Bookman Old Style"/>
          <w:b/>
          <w:bCs/>
        </w:rPr>
        <w:t>RESI</w:t>
      </w:r>
      <w:r w:rsidR="0027498B" w:rsidRPr="0025178C">
        <w:rPr>
          <w:rFonts w:ascii="Bookman Old Style" w:hAnsi="Bookman Old Style"/>
          <w:b/>
          <w:bCs/>
        </w:rPr>
        <w:t>D</w:t>
      </w:r>
      <w:r w:rsidRPr="0025178C">
        <w:rPr>
          <w:rFonts w:ascii="Bookman Old Style" w:hAnsi="Bookman Old Style"/>
          <w:b/>
          <w:bCs/>
        </w:rPr>
        <w:t>ENC</w:t>
      </w:r>
      <w:r w:rsidRPr="000B65DE">
        <w:rPr>
          <w:rFonts w:ascii="Bookman Old Style" w:hAnsi="Bookman Old Style"/>
          <w:b/>
          <w:bCs/>
        </w:rPr>
        <w:t xml:space="preserve">IAL Y DEL CARGO PROMEDIO DE DISTRIBUCIÓN APLICABLE A USUARIOS DIFERENTES A LOS DE USO RESIDENCIAL </w:t>
      </w:r>
      <w:bookmarkEnd w:id="25"/>
      <w:bookmarkEnd w:id="26"/>
      <w:bookmarkEnd w:id="27"/>
      <w:bookmarkEnd w:id="28"/>
      <w:bookmarkEnd w:id="29"/>
      <w:bookmarkEnd w:id="30"/>
      <w:bookmarkEnd w:id="31"/>
      <w:bookmarkEnd w:id="32"/>
      <w:bookmarkEnd w:id="33"/>
    </w:p>
    <w:p w:rsidR="000B65DE" w:rsidRDefault="000B65DE" w:rsidP="000B65DE">
      <w:pPr>
        <w:ind w:left="708"/>
        <w:rPr>
          <w:rFonts w:ascii="Bookman Old Style" w:hAnsi="Bookman Old Style"/>
          <w:b/>
          <w:bCs/>
          <w:lang w:val="es-ES_tradnl"/>
        </w:rPr>
      </w:pPr>
    </w:p>
    <w:p w:rsidR="00755106" w:rsidRPr="000B65DE" w:rsidRDefault="00755106" w:rsidP="000B65DE">
      <w:pPr>
        <w:ind w:left="708"/>
        <w:rPr>
          <w:rFonts w:ascii="Bookman Old Style" w:hAnsi="Bookman Old Style"/>
          <w:b/>
          <w:bCs/>
          <w:lang w:val="es-ES_tradnl"/>
        </w:rPr>
      </w:pPr>
    </w:p>
    <w:p w:rsidR="000B65DE" w:rsidRPr="000B65DE" w:rsidRDefault="000B65DE" w:rsidP="000B65DE">
      <w:pPr>
        <w:ind w:left="0"/>
        <w:jc w:val="both"/>
        <w:rPr>
          <w:rFonts w:ascii="Bookman Old Style" w:hAnsi="Bookman Old Style"/>
          <w:color w:val="000000"/>
        </w:rPr>
      </w:pPr>
      <w:r w:rsidRPr="000B65DE">
        <w:rPr>
          <w:rFonts w:ascii="Bookman Old Style" w:hAnsi="Bookman Old Style"/>
          <w:color w:val="000000"/>
        </w:rPr>
        <w:t>Los Cargos de Distribución aprobados en resoluciones particulares de la CREG conforme a la presente resolución, expresado en pesos de la Fecha Base, se actualizarán mes a mes de acuerdo con la siguiente fórmula general:</w:t>
      </w:r>
    </w:p>
    <w:p w:rsidR="000B65DE" w:rsidRDefault="000B65DE" w:rsidP="000B65DE">
      <w:pPr>
        <w:ind w:left="390"/>
        <w:jc w:val="both"/>
        <w:rPr>
          <w:rFonts w:ascii="Bookman Old Style" w:hAnsi="Bookman Old Style"/>
          <w:color w:val="000000"/>
        </w:rPr>
      </w:pPr>
    </w:p>
    <w:p w:rsidR="00755106" w:rsidRDefault="00755106" w:rsidP="000B65DE">
      <w:pPr>
        <w:ind w:left="390"/>
        <w:jc w:val="both"/>
        <w:rPr>
          <w:rFonts w:ascii="Bookman Old Style" w:hAnsi="Bookman Old Style"/>
          <w:color w:val="000000"/>
        </w:rPr>
      </w:pPr>
    </w:p>
    <w:p w:rsidR="00755106" w:rsidRPr="000B65DE" w:rsidRDefault="00755106" w:rsidP="000B65DE">
      <w:pPr>
        <w:ind w:left="390"/>
        <w:jc w:val="both"/>
        <w:rPr>
          <w:rFonts w:ascii="Bookman Old Style" w:hAnsi="Bookman Old Style"/>
          <w:color w:val="000000"/>
        </w:rPr>
      </w:pPr>
    </w:p>
    <w:p w:rsidR="000B65DE" w:rsidRPr="0092172B" w:rsidRDefault="00364E59" w:rsidP="000B65DE">
      <w:pPr>
        <w:ind w:left="390"/>
        <w:jc w:val="center"/>
        <w:rPr>
          <w:rFonts w:ascii="Bookman Old Style" w:hAnsi="Bookman Old Style"/>
          <w:color w:val="000000"/>
        </w:rPr>
      </w:pPr>
      <m:oMathPara>
        <m:oMath>
          <m:sSub>
            <m:sSubPr>
              <m:ctrlPr>
                <w:rPr>
                  <w:rFonts w:ascii="Cambria Math" w:hAnsi="Cambria Math"/>
                  <w:color w:val="000000"/>
                </w:rPr>
              </m:ctrlPr>
            </m:sSubPr>
            <m:e>
              <m:r>
                <m:rPr>
                  <m:sty m:val="p"/>
                </m:rPr>
                <w:rPr>
                  <w:rFonts w:ascii="Cambria Math" w:hAnsi="Cambria Math"/>
                  <w:color w:val="000000"/>
                </w:rPr>
                <m:t>D</m:t>
              </m:r>
            </m:e>
            <m:sub>
              <m:r>
                <m:rPr>
                  <m:sty m:val="p"/>
                </m:rPr>
                <w:rPr>
                  <w:rFonts w:ascii="Cambria Math" w:hAnsi="Cambria Math"/>
                  <w:color w:val="000000"/>
                </w:rPr>
                <m:t>k,tu,m</m:t>
              </m:r>
            </m:sub>
          </m:sSub>
          <m:r>
            <m:rPr>
              <m:sty m:val="p"/>
            </m:rPr>
            <w:rPr>
              <w:rFonts w:ascii="Cambria Math" w:hAnsi="Cambria Math"/>
              <w:color w:val="000000"/>
            </w:rPr>
            <m:t>=</m:t>
          </m:r>
          <m:d>
            <m:dPr>
              <m:ctrlPr>
                <w:rPr>
                  <w:rFonts w:ascii="Cambria Math" w:hAnsi="Cambria Math"/>
                  <w:color w:val="000000"/>
                </w:rPr>
              </m:ctrlPr>
            </m:dPr>
            <m:e>
              <m:sSub>
                <m:sSubPr>
                  <m:ctrlPr>
                    <w:rPr>
                      <w:rFonts w:ascii="Cambria Math" w:hAnsi="Cambria Math"/>
                      <w:color w:val="000000"/>
                    </w:rPr>
                  </m:ctrlPr>
                </m:sSubPr>
                <m:e>
                  <m:r>
                    <m:rPr>
                      <m:sty m:val="p"/>
                    </m:rPr>
                    <w:rPr>
                      <w:rFonts w:ascii="Cambria Math" w:hAnsi="Cambria Math"/>
                      <w:color w:val="000000"/>
                    </w:rPr>
                    <m:t>D</m:t>
                  </m:r>
                </m:e>
                <m:sub>
                  <m:r>
                    <m:rPr>
                      <m:sty m:val="p"/>
                    </m:rPr>
                    <w:rPr>
                      <w:rFonts w:ascii="Cambria Math" w:hAnsi="Cambria Math"/>
                      <w:color w:val="000000"/>
                    </w:rPr>
                    <m:t>k,tu,inv</m:t>
                  </m:r>
                </m:sub>
              </m:sSub>
              <m:r>
                <m:rPr>
                  <m:sty m:val="p"/>
                </m:rPr>
                <w:rPr>
                  <w:rFonts w:ascii="Cambria Math" w:hAnsi="Cambria Math"/>
                  <w:color w:val="000000"/>
                </w:rPr>
                <m:t>×</m:t>
              </m:r>
              <m:f>
                <m:fPr>
                  <m:ctrlPr>
                    <w:rPr>
                      <w:rFonts w:ascii="Cambria Math" w:hAnsi="Cambria Math"/>
                      <w:color w:val="000000"/>
                    </w:rPr>
                  </m:ctrlPr>
                </m:fPr>
                <m:num>
                  <m:sSub>
                    <m:sSubPr>
                      <m:ctrlPr>
                        <w:rPr>
                          <w:rFonts w:ascii="Cambria Math" w:hAnsi="Cambria Math"/>
                          <w:color w:val="000000"/>
                        </w:rPr>
                      </m:ctrlPr>
                    </m:sSubPr>
                    <m:e>
                      <m:r>
                        <m:rPr>
                          <m:sty m:val="p"/>
                        </m:rPr>
                        <w:rPr>
                          <w:rFonts w:ascii="Cambria Math" w:hAnsi="Cambria Math"/>
                          <w:color w:val="000000"/>
                        </w:rPr>
                        <m:t>IPP</m:t>
                      </m:r>
                    </m:e>
                    <m:sub>
                      <m:r>
                        <m:rPr>
                          <m:sty m:val="p"/>
                        </m:rPr>
                        <w:rPr>
                          <w:rFonts w:ascii="Cambria Math" w:hAnsi="Cambria Math"/>
                          <w:color w:val="000000"/>
                        </w:rPr>
                        <m:t>m-1</m:t>
                      </m:r>
                    </m:sub>
                  </m:sSub>
                </m:num>
                <m:den>
                  <m:sSub>
                    <m:sSubPr>
                      <m:ctrlPr>
                        <w:rPr>
                          <w:rFonts w:ascii="Cambria Math" w:hAnsi="Cambria Math"/>
                          <w:color w:val="000000"/>
                        </w:rPr>
                      </m:ctrlPr>
                    </m:sSubPr>
                    <m:e>
                      <m:r>
                        <m:rPr>
                          <m:sty m:val="p"/>
                        </m:rPr>
                        <w:rPr>
                          <w:rFonts w:ascii="Cambria Math" w:hAnsi="Cambria Math"/>
                          <w:color w:val="000000"/>
                        </w:rPr>
                        <m:t>IPP</m:t>
                      </m:r>
                    </m:e>
                    <m:sub>
                      <m:r>
                        <m:rPr>
                          <m:sty m:val="p"/>
                        </m:rPr>
                        <w:rPr>
                          <w:rFonts w:ascii="Cambria Math" w:hAnsi="Cambria Math"/>
                          <w:color w:val="000000"/>
                        </w:rPr>
                        <m:t>0</m:t>
                      </m:r>
                    </m:sub>
                  </m:sSub>
                </m:den>
              </m:f>
            </m:e>
          </m:d>
          <m:r>
            <w:rPr>
              <w:rFonts w:ascii="Cambria Math" w:hAnsi="Cambria Math"/>
              <w:color w:val="000000"/>
            </w:rPr>
            <m:t>+</m:t>
          </m:r>
          <m:d>
            <m:dPr>
              <m:ctrlPr>
                <w:rPr>
                  <w:rFonts w:ascii="Cambria Math" w:hAnsi="Cambria Math"/>
                  <w:color w:val="000000"/>
                </w:rPr>
              </m:ctrlPr>
            </m:dPr>
            <m:e>
              <m:sSub>
                <m:sSubPr>
                  <m:ctrlPr>
                    <w:rPr>
                      <w:rFonts w:ascii="Cambria Math" w:hAnsi="Cambria Math"/>
                      <w:color w:val="000000"/>
                    </w:rPr>
                  </m:ctrlPr>
                </m:sSubPr>
                <m:e>
                  <m:r>
                    <m:rPr>
                      <m:sty m:val="p"/>
                    </m:rPr>
                    <w:rPr>
                      <w:rFonts w:ascii="Cambria Math" w:hAnsi="Cambria Math"/>
                      <w:color w:val="000000"/>
                    </w:rPr>
                    <m:t>D</m:t>
                  </m:r>
                </m:e>
                <m:sub>
                  <m:r>
                    <m:rPr>
                      <m:sty m:val="p"/>
                    </m:rPr>
                    <w:rPr>
                      <w:rFonts w:ascii="Cambria Math" w:hAnsi="Cambria Math"/>
                      <w:color w:val="000000"/>
                    </w:rPr>
                    <m:t>k,tu,AOM</m:t>
                  </m:r>
                </m:sub>
              </m:sSub>
              <m:r>
                <m:rPr>
                  <m:sty m:val="p"/>
                </m:rPr>
                <w:rPr>
                  <w:rFonts w:ascii="Cambria Math" w:hAnsi="Cambria Math"/>
                  <w:color w:val="000000"/>
                </w:rPr>
                <m:t>×</m:t>
              </m:r>
              <m:f>
                <m:fPr>
                  <m:ctrlPr>
                    <w:rPr>
                      <w:rFonts w:ascii="Cambria Math" w:hAnsi="Cambria Math"/>
                      <w:color w:val="000000"/>
                    </w:rPr>
                  </m:ctrlPr>
                </m:fPr>
                <m:num>
                  <m:sSub>
                    <m:sSubPr>
                      <m:ctrlPr>
                        <w:rPr>
                          <w:rFonts w:ascii="Cambria Math" w:hAnsi="Cambria Math"/>
                          <w:color w:val="000000"/>
                        </w:rPr>
                      </m:ctrlPr>
                    </m:sSubPr>
                    <m:e>
                      <m:r>
                        <m:rPr>
                          <m:sty m:val="p"/>
                        </m:rPr>
                        <w:rPr>
                          <w:rFonts w:ascii="Cambria Math" w:hAnsi="Cambria Math"/>
                          <w:color w:val="000000"/>
                        </w:rPr>
                        <m:t>IPC</m:t>
                      </m:r>
                    </m:e>
                    <m:sub>
                      <m:r>
                        <m:rPr>
                          <m:sty m:val="p"/>
                        </m:rPr>
                        <w:rPr>
                          <w:rFonts w:ascii="Cambria Math" w:hAnsi="Cambria Math"/>
                          <w:color w:val="000000"/>
                        </w:rPr>
                        <m:t>m-1</m:t>
                      </m:r>
                    </m:sub>
                  </m:sSub>
                </m:num>
                <m:den>
                  <m:sSub>
                    <m:sSubPr>
                      <m:ctrlPr>
                        <w:rPr>
                          <w:rFonts w:ascii="Cambria Math" w:hAnsi="Cambria Math"/>
                          <w:color w:val="000000"/>
                        </w:rPr>
                      </m:ctrlPr>
                    </m:sSubPr>
                    <m:e>
                      <m:r>
                        <m:rPr>
                          <m:sty m:val="p"/>
                        </m:rPr>
                        <w:rPr>
                          <w:rFonts w:ascii="Cambria Math" w:hAnsi="Cambria Math"/>
                          <w:color w:val="000000"/>
                        </w:rPr>
                        <m:t>IPC</m:t>
                      </m:r>
                    </m:e>
                    <m:sub>
                      <m:r>
                        <m:rPr>
                          <m:sty m:val="p"/>
                        </m:rPr>
                        <w:rPr>
                          <w:rFonts w:ascii="Cambria Math" w:hAnsi="Cambria Math"/>
                          <w:color w:val="000000"/>
                        </w:rPr>
                        <m:t>0</m:t>
                      </m:r>
                    </m:sub>
                  </m:sSub>
                </m:den>
              </m:f>
            </m:e>
          </m:d>
        </m:oMath>
      </m:oMathPara>
    </w:p>
    <w:p w:rsidR="000B65DE" w:rsidRPr="000B65DE" w:rsidRDefault="000B65DE" w:rsidP="000B65DE">
      <w:pPr>
        <w:tabs>
          <w:tab w:val="left" w:pos="3519"/>
        </w:tabs>
        <w:ind w:left="390"/>
        <w:jc w:val="center"/>
        <w:rPr>
          <w:rFonts w:ascii="Bookman Old Style" w:hAnsi="Bookman Old Style"/>
          <w:color w:val="000000"/>
        </w:rPr>
      </w:pPr>
    </w:p>
    <w:p w:rsidR="000B65DE" w:rsidRPr="000B65DE" w:rsidRDefault="000B65DE" w:rsidP="000B65DE">
      <w:pPr>
        <w:ind w:left="0"/>
        <w:jc w:val="both"/>
        <w:rPr>
          <w:rFonts w:ascii="Bookman Old Style" w:hAnsi="Bookman Old Style"/>
          <w:color w:val="000000"/>
        </w:rPr>
      </w:pPr>
      <w:r w:rsidRPr="000B65DE">
        <w:rPr>
          <w:rFonts w:ascii="Bookman Old Style" w:hAnsi="Bookman Old Style"/>
          <w:color w:val="000000"/>
        </w:rPr>
        <w:t>Donde,</w:t>
      </w:r>
    </w:p>
    <w:p w:rsidR="000B65DE" w:rsidRDefault="000B65DE" w:rsidP="000B65DE">
      <w:pPr>
        <w:tabs>
          <w:tab w:val="left" w:pos="858"/>
        </w:tabs>
        <w:ind w:left="1326" w:hanging="1326"/>
        <w:jc w:val="both"/>
        <w:rPr>
          <w:rFonts w:ascii="Bookman Old Style" w:hAnsi="Bookman Old Style"/>
          <w:color w:val="000000"/>
        </w:rPr>
      </w:pPr>
    </w:p>
    <w:p w:rsidR="00755106" w:rsidRPr="000B65DE" w:rsidRDefault="00755106" w:rsidP="000B65DE">
      <w:pPr>
        <w:tabs>
          <w:tab w:val="left" w:pos="858"/>
        </w:tabs>
        <w:ind w:left="1326" w:hanging="1326"/>
        <w:jc w:val="both"/>
        <w:rPr>
          <w:rFonts w:ascii="Bookman Old Style" w:hAnsi="Bookman Old Style"/>
          <w:color w:val="000000"/>
        </w:rPr>
      </w:pPr>
    </w:p>
    <w:tbl>
      <w:tblPr>
        <w:tblW w:w="0" w:type="auto"/>
        <w:tblInd w:w="817" w:type="dxa"/>
        <w:tblLook w:val="04A0" w:firstRow="1" w:lastRow="0" w:firstColumn="1" w:lastColumn="0" w:noHBand="0" w:noVBand="1"/>
      </w:tblPr>
      <w:tblGrid>
        <w:gridCol w:w="2126"/>
        <w:gridCol w:w="6629"/>
      </w:tblGrid>
      <w:tr w:rsidR="000B65DE" w:rsidRPr="000B65DE" w:rsidTr="00382E27">
        <w:tc>
          <w:tcPr>
            <w:tcW w:w="2126" w:type="dxa"/>
            <w:shd w:val="clear" w:color="auto" w:fill="auto"/>
          </w:tcPr>
          <w:p w:rsidR="000B65DE" w:rsidRPr="0092172B" w:rsidRDefault="00364E59" w:rsidP="002D596F">
            <w:pPr>
              <w:tabs>
                <w:tab w:val="left" w:pos="858"/>
              </w:tabs>
              <w:ind w:left="0"/>
              <w:jc w:val="both"/>
              <w:rPr>
                <w:rFonts w:ascii="Bookman Old Style" w:hAnsi="Bookman Old Style"/>
                <w:color w:val="000000"/>
              </w:rPr>
            </w:pPr>
            <m:oMathPara>
              <m:oMathParaPr>
                <m:jc m:val="left"/>
              </m:oMathParaPr>
              <m:oMath>
                <m:sSub>
                  <m:sSubPr>
                    <m:ctrlPr>
                      <w:rPr>
                        <w:rFonts w:ascii="Cambria Math" w:hAnsi="Cambria Math"/>
                        <w:color w:val="000000"/>
                        <w:sz w:val="28"/>
                      </w:rPr>
                    </m:ctrlPr>
                  </m:sSubPr>
                  <m:e>
                    <m:r>
                      <m:rPr>
                        <m:sty m:val="p"/>
                      </m:rPr>
                      <w:rPr>
                        <w:rFonts w:ascii="Cambria Math" w:hAnsi="Cambria Math"/>
                        <w:color w:val="000000"/>
                        <w:sz w:val="28"/>
                      </w:rPr>
                      <m:t>D</m:t>
                    </m:r>
                  </m:e>
                  <m:sub>
                    <m:r>
                      <m:rPr>
                        <m:sty m:val="p"/>
                      </m:rPr>
                      <w:rPr>
                        <w:rFonts w:ascii="Cambria Math" w:hAnsi="Cambria Math"/>
                        <w:color w:val="000000"/>
                        <w:sz w:val="28"/>
                      </w:rPr>
                      <m:t>ktum</m:t>
                    </m:r>
                  </m:sub>
                </m:sSub>
              </m:oMath>
            </m:oMathPara>
          </w:p>
        </w:tc>
        <w:tc>
          <w:tcPr>
            <w:tcW w:w="6629" w:type="dxa"/>
            <w:shd w:val="clear" w:color="auto" w:fill="auto"/>
          </w:tcPr>
          <w:p w:rsidR="000B65DE" w:rsidRPr="000B65DE" w:rsidRDefault="000B65DE" w:rsidP="00382E27">
            <w:pPr>
              <w:tabs>
                <w:tab w:val="left" w:pos="858"/>
              </w:tabs>
              <w:ind w:left="0"/>
              <w:jc w:val="both"/>
              <w:rPr>
                <w:rFonts w:ascii="Bookman Old Style" w:hAnsi="Bookman Old Style"/>
                <w:color w:val="000000"/>
              </w:rPr>
            </w:pPr>
            <w:r w:rsidRPr="000B65DE">
              <w:rPr>
                <w:rFonts w:ascii="Bookman Old Style" w:hAnsi="Bookman Old Style"/>
                <w:color w:val="000000"/>
              </w:rPr>
              <w:t xml:space="preserve">Cargo de Distribución </w:t>
            </w:r>
            <w:r w:rsidR="002D6650">
              <w:rPr>
                <w:rFonts w:ascii="Bookman Old Style" w:hAnsi="Bookman Old Style"/>
                <w:color w:val="000000"/>
              </w:rPr>
              <w:t>expresado en $/m</w:t>
            </w:r>
            <w:r w:rsidR="002D6650" w:rsidRPr="00345083">
              <w:rPr>
                <w:rFonts w:ascii="Bookman Old Style" w:hAnsi="Bookman Old Style"/>
                <w:color w:val="000000"/>
                <w:vertAlign w:val="superscript"/>
              </w:rPr>
              <w:t>3</w:t>
            </w:r>
            <w:r w:rsidR="002D6650">
              <w:rPr>
                <w:rFonts w:ascii="Bookman Old Style" w:hAnsi="Bookman Old Style"/>
                <w:color w:val="000000"/>
                <w:vertAlign w:val="superscript"/>
              </w:rPr>
              <w:t xml:space="preserve"> </w:t>
            </w:r>
            <w:r w:rsidR="00F76FD0">
              <w:rPr>
                <w:rFonts w:ascii="Bookman Old Style" w:hAnsi="Bookman Old Style"/>
                <w:color w:val="000000"/>
              </w:rPr>
              <w:t>para el Mercado Relevante de Distribución k</w:t>
            </w:r>
            <w:r w:rsidR="002D6650">
              <w:rPr>
                <w:rFonts w:ascii="Bookman Old Style" w:hAnsi="Bookman Old Style"/>
                <w:color w:val="000000"/>
              </w:rPr>
              <w:t>,</w:t>
            </w:r>
            <w:r w:rsidR="00F76FD0">
              <w:rPr>
                <w:rFonts w:ascii="Bookman Old Style" w:hAnsi="Bookman Old Style"/>
                <w:color w:val="000000"/>
              </w:rPr>
              <w:t xml:space="preserve"> por tipo de usuario</w:t>
            </w:r>
            <w:r w:rsidR="002D6650">
              <w:rPr>
                <w:rFonts w:ascii="Bookman Old Style" w:hAnsi="Bookman Old Style"/>
                <w:color w:val="000000"/>
              </w:rPr>
              <w:t xml:space="preserve"> y</w:t>
            </w:r>
            <w:r w:rsidR="00F76FD0">
              <w:rPr>
                <w:rFonts w:ascii="Bookman Old Style" w:hAnsi="Bookman Old Style"/>
                <w:color w:val="000000"/>
              </w:rPr>
              <w:t xml:space="preserve"> aplicable en el mes m</w:t>
            </w:r>
            <w:r w:rsidR="002D6650">
              <w:rPr>
                <w:rFonts w:ascii="Bookman Old Style" w:hAnsi="Bookman Old Style"/>
                <w:color w:val="000000"/>
              </w:rPr>
              <w:t>.</w:t>
            </w:r>
            <w:r w:rsidR="00F76FD0">
              <w:rPr>
                <w:rFonts w:ascii="Bookman Old Style" w:hAnsi="Bookman Old Style"/>
                <w:color w:val="000000"/>
              </w:rPr>
              <w:t xml:space="preserve"> </w:t>
            </w:r>
          </w:p>
          <w:p w:rsidR="000B65DE" w:rsidRPr="000B65DE" w:rsidRDefault="000B65DE" w:rsidP="00382E27">
            <w:pPr>
              <w:tabs>
                <w:tab w:val="left" w:pos="858"/>
              </w:tabs>
              <w:ind w:left="0"/>
              <w:jc w:val="both"/>
              <w:rPr>
                <w:rFonts w:ascii="Bookman Old Style" w:hAnsi="Bookman Old Style"/>
                <w:color w:val="000000"/>
              </w:rPr>
            </w:pPr>
          </w:p>
        </w:tc>
      </w:tr>
      <w:tr w:rsidR="000B65DE" w:rsidRPr="000B65DE" w:rsidTr="00382E27">
        <w:tc>
          <w:tcPr>
            <w:tcW w:w="2126" w:type="dxa"/>
            <w:shd w:val="clear" w:color="auto" w:fill="auto"/>
          </w:tcPr>
          <w:p w:rsidR="000B65DE" w:rsidRPr="0092172B" w:rsidRDefault="00364E59" w:rsidP="00F76FD0">
            <w:pPr>
              <w:tabs>
                <w:tab w:val="left" w:pos="858"/>
              </w:tabs>
              <w:ind w:left="0"/>
              <w:jc w:val="both"/>
              <w:rPr>
                <w:rFonts w:ascii="Bookman Old Style" w:hAnsi="Bookman Old Style"/>
                <w:color w:val="000000"/>
              </w:rPr>
            </w:pPr>
            <m:oMathPara>
              <m:oMathParaPr>
                <m:jc m:val="left"/>
              </m:oMathParaPr>
              <m:oMath>
                <m:sSub>
                  <m:sSubPr>
                    <m:ctrlPr>
                      <w:rPr>
                        <w:rFonts w:ascii="Cambria Math" w:hAnsi="Cambria Math"/>
                        <w:color w:val="000000"/>
                        <w:sz w:val="28"/>
                      </w:rPr>
                    </m:ctrlPr>
                  </m:sSubPr>
                  <m:e>
                    <m:r>
                      <m:rPr>
                        <m:sty m:val="p"/>
                      </m:rPr>
                      <w:rPr>
                        <w:rFonts w:ascii="Cambria Math" w:hAnsi="Cambria Math"/>
                        <w:color w:val="000000"/>
                        <w:sz w:val="28"/>
                      </w:rPr>
                      <m:t>D</m:t>
                    </m:r>
                  </m:e>
                  <m:sub>
                    <m:r>
                      <m:rPr>
                        <m:sty m:val="p"/>
                      </m:rPr>
                      <w:rPr>
                        <w:rFonts w:ascii="Cambria Math" w:hAnsi="Cambria Math"/>
                        <w:color w:val="000000"/>
                        <w:sz w:val="28"/>
                      </w:rPr>
                      <m:t xml:space="preserve">k,tu,inv </m:t>
                    </m:r>
                  </m:sub>
                </m:sSub>
              </m:oMath>
            </m:oMathPara>
          </w:p>
        </w:tc>
        <w:tc>
          <w:tcPr>
            <w:tcW w:w="6629" w:type="dxa"/>
            <w:shd w:val="clear" w:color="auto" w:fill="auto"/>
          </w:tcPr>
          <w:p w:rsidR="000B65DE" w:rsidRDefault="000B65DE" w:rsidP="002D6650">
            <w:pPr>
              <w:tabs>
                <w:tab w:val="left" w:pos="858"/>
              </w:tabs>
              <w:ind w:left="0"/>
              <w:jc w:val="both"/>
              <w:rPr>
                <w:rFonts w:ascii="Bookman Old Style" w:hAnsi="Bookman Old Style"/>
                <w:color w:val="000000"/>
              </w:rPr>
            </w:pPr>
            <w:r w:rsidRPr="000B65DE">
              <w:rPr>
                <w:rFonts w:ascii="Bookman Old Style" w:hAnsi="Bookman Old Style"/>
                <w:color w:val="000000"/>
              </w:rPr>
              <w:t xml:space="preserve">Cargo de Distribución </w:t>
            </w:r>
            <w:r w:rsidR="002D6650">
              <w:rPr>
                <w:rFonts w:ascii="Bookman Old Style" w:hAnsi="Bookman Old Style"/>
                <w:color w:val="000000"/>
              </w:rPr>
              <w:t>expresado en $/m</w:t>
            </w:r>
            <w:r w:rsidR="002D6650" w:rsidRPr="00345083">
              <w:rPr>
                <w:rFonts w:ascii="Bookman Old Style" w:hAnsi="Bookman Old Style"/>
                <w:color w:val="000000"/>
                <w:vertAlign w:val="superscript"/>
              </w:rPr>
              <w:t>3</w:t>
            </w:r>
            <w:r w:rsidR="002D6650">
              <w:rPr>
                <w:rFonts w:ascii="Bookman Old Style" w:hAnsi="Bookman Old Style"/>
                <w:color w:val="000000"/>
              </w:rPr>
              <w:t xml:space="preserve"> a pesos de la Fecha Base y </w:t>
            </w:r>
            <w:r w:rsidR="00F76FD0">
              <w:rPr>
                <w:rFonts w:ascii="Bookman Old Style" w:hAnsi="Bookman Old Style"/>
                <w:color w:val="000000"/>
              </w:rPr>
              <w:t>para el Mercado Relevante de Distribución k,</w:t>
            </w:r>
            <w:r w:rsidR="00F76FD0" w:rsidRPr="000B65DE">
              <w:rPr>
                <w:rFonts w:ascii="Bookman Old Style" w:hAnsi="Bookman Old Style"/>
                <w:color w:val="000000"/>
              </w:rPr>
              <w:t xml:space="preserve"> </w:t>
            </w:r>
            <w:r w:rsidRPr="000B65DE">
              <w:rPr>
                <w:rFonts w:ascii="Bookman Old Style" w:hAnsi="Bookman Old Style"/>
                <w:color w:val="000000"/>
              </w:rPr>
              <w:t>por tipo de usuario</w:t>
            </w:r>
            <w:r w:rsidR="002D6650">
              <w:rPr>
                <w:rFonts w:ascii="Bookman Old Style" w:hAnsi="Bookman Old Style"/>
                <w:color w:val="000000"/>
              </w:rPr>
              <w:t xml:space="preserve"> y</w:t>
            </w:r>
            <w:r w:rsidRPr="000B65DE">
              <w:rPr>
                <w:rFonts w:ascii="Bookman Old Style" w:hAnsi="Bookman Old Style"/>
                <w:color w:val="000000"/>
              </w:rPr>
              <w:t xml:space="preserve"> </w:t>
            </w:r>
            <w:r w:rsidR="00F76FD0">
              <w:rPr>
                <w:rFonts w:ascii="Bookman Old Style" w:hAnsi="Bookman Old Style"/>
                <w:color w:val="000000"/>
              </w:rPr>
              <w:t>correspondiente a la componente de inversión</w:t>
            </w:r>
            <w:r w:rsidR="002D6650">
              <w:rPr>
                <w:rFonts w:ascii="Bookman Old Style" w:hAnsi="Bookman Old Style"/>
                <w:color w:val="000000"/>
              </w:rPr>
              <w:t xml:space="preserve">. </w:t>
            </w:r>
          </w:p>
          <w:p w:rsidR="002D6650" w:rsidRPr="000B65DE" w:rsidRDefault="002D6650" w:rsidP="002D6650">
            <w:pPr>
              <w:tabs>
                <w:tab w:val="left" w:pos="858"/>
              </w:tabs>
              <w:ind w:left="0"/>
              <w:jc w:val="both"/>
              <w:rPr>
                <w:rFonts w:ascii="Bookman Old Style" w:hAnsi="Bookman Old Style"/>
                <w:color w:val="000000"/>
              </w:rPr>
            </w:pPr>
          </w:p>
        </w:tc>
      </w:tr>
      <w:tr w:rsidR="000B65DE" w:rsidRPr="000B65DE" w:rsidTr="00382E27">
        <w:tc>
          <w:tcPr>
            <w:tcW w:w="2126" w:type="dxa"/>
            <w:shd w:val="clear" w:color="auto" w:fill="auto"/>
          </w:tcPr>
          <w:p w:rsidR="000B65DE" w:rsidRPr="000B65DE" w:rsidRDefault="00364E59" w:rsidP="00382E27">
            <w:pPr>
              <w:tabs>
                <w:tab w:val="left" w:pos="858"/>
              </w:tabs>
              <w:ind w:left="0"/>
              <w:jc w:val="both"/>
              <w:rPr>
                <w:rFonts w:ascii="Bookman Old Style" w:hAnsi="Bookman Old Style"/>
                <w:color w:val="000000"/>
              </w:rPr>
            </w:pPr>
            <m:oMath>
              <m:sSub>
                <m:sSubPr>
                  <m:ctrlPr>
                    <w:rPr>
                      <w:rFonts w:ascii="Cambria Math" w:hAnsi="Cambria Math"/>
                      <w:color w:val="000000"/>
                      <w:sz w:val="28"/>
                    </w:rPr>
                  </m:ctrlPr>
                </m:sSubPr>
                <m:e>
                  <m:r>
                    <m:rPr>
                      <m:sty m:val="p"/>
                    </m:rPr>
                    <w:rPr>
                      <w:rFonts w:ascii="Cambria Math" w:hAnsi="Cambria Math"/>
                      <w:color w:val="000000"/>
                      <w:sz w:val="28"/>
                    </w:rPr>
                    <m:t>IPP</m:t>
                  </m:r>
                </m:e>
                <m:sub>
                  <m:r>
                    <m:rPr>
                      <m:sty m:val="p"/>
                    </m:rPr>
                    <w:rPr>
                      <w:rFonts w:ascii="Cambria Math" w:hAnsi="Cambria Math"/>
                      <w:color w:val="000000"/>
                      <w:sz w:val="28"/>
                    </w:rPr>
                    <m:t>m-1</m:t>
                  </m:r>
                </m:sub>
              </m:sSub>
            </m:oMath>
            <w:r w:rsidR="000B65DE" w:rsidRPr="000B65DE">
              <w:rPr>
                <w:rFonts w:ascii="Bookman Old Style" w:hAnsi="Bookman Old Style"/>
                <w:color w:val="000000"/>
              </w:rPr>
              <w:tab/>
            </w:r>
          </w:p>
        </w:tc>
        <w:tc>
          <w:tcPr>
            <w:tcW w:w="6629" w:type="dxa"/>
            <w:shd w:val="clear" w:color="auto" w:fill="auto"/>
          </w:tcPr>
          <w:p w:rsidR="000B65DE" w:rsidRPr="000B65DE" w:rsidRDefault="000B65DE" w:rsidP="00382E27">
            <w:pPr>
              <w:tabs>
                <w:tab w:val="left" w:pos="858"/>
              </w:tabs>
              <w:ind w:left="0"/>
              <w:jc w:val="both"/>
              <w:rPr>
                <w:rFonts w:ascii="Bookman Old Style" w:hAnsi="Bookman Old Style"/>
                <w:color w:val="000000"/>
              </w:rPr>
            </w:pPr>
            <w:r w:rsidRPr="000B65DE">
              <w:rPr>
                <w:rFonts w:ascii="Bookman Old Style" w:hAnsi="Bookman Old Style"/>
                <w:color w:val="000000"/>
              </w:rPr>
              <w:t>Índice de Precios al Productor Total Nacional reportado por el DANE para el mes (</w:t>
            </w:r>
            <w:r w:rsidRPr="000B65DE">
              <w:rPr>
                <w:rFonts w:ascii="Bookman Old Style" w:hAnsi="Bookman Old Style"/>
                <w:i/>
                <w:color w:val="000000"/>
              </w:rPr>
              <w:t>m-1</w:t>
            </w:r>
            <w:r w:rsidRPr="000B65DE">
              <w:rPr>
                <w:rFonts w:ascii="Bookman Old Style" w:hAnsi="Bookman Old Style"/>
                <w:color w:val="000000"/>
              </w:rPr>
              <w:t>).</w:t>
            </w:r>
          </w:p>
          <w:p w:rsidR="000B65DE" w:rsidRPr="000B65DE" w:rsidRDefault="000B65DE" w:rsidP="00382E27">
            <w:pPr>
              <w:tabs>
                <w:tab w:val="left" w:pos="858"/>
              </w:tabs>
              <w:ind w:left="0"/>
              <w:jc w:val="both"/>
              <w:rPr>
                <w:rFonts w:ascii="Bookman Old Style" w:hAnsi="Bookman Old Style"/>
                <w:color w:val="000000"/>
              </w:rPr>
            </w:pPr>
          </w:p>
        </w:tc>
      </w:tr>
      <w:tr w:rsidR="000B65DE" w:rsidRPr="000B65DE" w:rsidTr="00382E27">
        <w:tc>
          <w:tcPr>
            <w:tcW w:w="2126" w:type="dxa"/>
            <w:shd w:val="clear" w:color="auto" w:fill="auto"/>
          </w:tcPr>
          <w:p w:rsidR="000B65DE" w:rsidRPr="0092172B" w:rsidRDefault="00364E59" w:rsidP="00382E27">
            <w:pPr>
              <w:tabs>
                <w:tab w:val="left" w:pos="858"/>
              </w:tabs>
              <w:ind w:left="0"/>
              <w:jc w:val="both"/>
              <w:rPr>
                <w:rFonts w:ascii="Bookman Old Style" w:hAnsi="Bookman Old Style"/>
                <w:color w:val="000000"/>
              </w:rPr>
            </w:pPr>
            <m:oMathPara>
              <m:oMathParaPr>
                <m:jc m:val="left"/>
              </m:oMathParaPr>
              <m:oMath>
                <m:sSub>
                  <m:sSubPr>
                    <m:ctrlPr>
                      <w:rPr>
                        <w:rFonts w:ascii="Cambria Math" w:hAnsi="Cambria Math"/>
                        <w:color w:val="000000"/>
                        <w:sz w:val="28"/>
                      </w:rPr>
                    </m:ctrlPr>
                  </m:sSubPr>
                  <m:e>
                    <m:r>
                      <m:rPr>
                        <m:sty m:val="p"/>
                      </m:rPr>
                      <w:rPr>
                        <w:rFonts w:ascii="Cambria Math" w:hAnsi="Cambria Math"/>
                        <w:color w:val="000000"/>
                        <w:sz w:val="28"/>
                      </w:rPr>
                      <m:t>IPP</m:t>
                    </m:r>
                  </m:e>
                  <m:sub>
                    <m:r>
                      <m:rPr>
                        <m:sty m:val="p"/>
                      </m:rPr>
                      <w:rPr>
                        <w:rFonts w:ascii="Cambria Math" w:hAnsi="Cambria Math"/>
                        <w:color w:val="000000"/>
                        <w:sz w:val="28"/>
                      </w:rPr>
                      <m:t>0</m:t>
                    </m:r>
                  </m:sub>
                </m:sSub>
              </m:oMath>
            </m:oMathPara>
          </w:p>
        </w:tc>
        <w:tc>
          <w:tcPr>
            <w:tcW w:w="6629" w:type="dxa"/>
            <w:shd w:val="clear" w:color="auto" w:fill="auto"/>
          </w:tcPr>
          <w:p w:rsidR="000B65DE" w:rsidRPr="000B65DE" w:rsidRDefault="000B65DE" w:rsidP="00382E27">
            <w:pPr>
              <w:tabs>
                <w:tab w:val="left" w:pos="858"/>
              </w:tabs>
              <w:ind w:left="0"/>
              <w:jc w:val="both"/>
              <w:rPr>
                <w:rFonts w:ascii="Bookman Old Style" w:hAnsi="Bookman Old Style"/>
                <w:color w:val="000000"/>
              </w:rPr>
            </w:pPr>
            <w:r w:rsidRPr="000B65DE">
              <w:rPr>
                <w:rFonts w:ascii="Bookman Old Style" w:hAnsi="Bookman Old Style"/>
                <w:color w:val="000000"/>
              </w:rPr>
              <w:t xml:space="preserve">Índice de Precios al Productor Total Nacional reportado por el DANE para la Fecha Base </w:t>
            </w:r>
            <w:r w:rsidR="002D6650">
              <w:rPr>
                <w:rFonts w:ascii="Bookman Old Style" w:hAnsi="Bookman Old Style"/>
                <w:color w:val="000000"/>
              </w:rPr>
              <w:t>en la cual se aprobaron los C</w:t>
            </w:r>
            <w:r w:rsidRPr="000B65DE">
              <w:rPr>
                <w:rFonts w:ascii="Bookman Old Style" w:hAnsi="Bookman Old Style"/>
                <w:color w:val="000000"/>
              </w:rPr>
              <w:t>argo</w:t>
            </w:r>
            <w:r w:rsidR="002D6650">
              <w:rPr>
                <w:rFonts w:ascii="Bookman Old Style" w:hAnsi="Bookman Old Style"/>
                <w:color w:val="000000"/>
              </w:rPr>
              <w:t>s de</w:t>
            </w:r>
            <w:r w:rsidRPr="000B65DE">
              <w:rPr>
                <w:rFonts w:ascii="Bookman Old Style" w:hAnsi="Bookman Old Style"/>
                <w:color w:val="000000"/>
              </w:rPr>
              <w:t xml:space="preserve"> </w:t>
            </w:r>
            <w:r w:rsidR="002D6650">
              <w:rPr>
                <w:rFonts w:ascii="Bookman Old Style" w:hAnsi="Bookman Old Style"/>
                <w:color w:val="000000"/>
              </w:rPr>
              <w:t>D</w:t>
            </w:r>
            <w:r w:rsidRPr="000B65DE">
              <w:rPr>
                <w:rFonts w:ascii="Bookman Old Style" w:hAnsi="Bookman Old Style"/>
                <w:color w:val="000000"/>
              </w:rPr>
              <w:t>istribución.</w:t>
            </w:r>
          </w:p>
          <w:p w:rsidR="000B65DE" w:rsidRPr="000B65DE" w:rsidRDefault="000B65DE" w:rsidP="00382E27">
            <w:pPr>
              <w:tabs>
                <w:tab w:val="left" w:pos="858"/>
              </w:tabs>
              <w:ind w:left="0"/>
              <w:jc w:val="both"/>
              <w:rPr>
                <w:rFonts w:ascii="Bookman Old Style" w:hAnsi="Bookman Old Style"/>
                <w:color w:val="000000"/>
              </w:rPr>
            </w:pPr>
          </w:p>
        </w:tc>
      </w:tr>
      <w:tr w:rsidR="00900913" w:rsidRPr="000B65DE" w:rsidTr="00382E27">
        <w:tc>
          <w:tcPr>
            <w:tcW w:w="2126" w:type="dxa"/>
            <w:shd w:val="clear" w:color="auto" w:fill="auto"/>
          </w:tcPr>
          <w:p w:rsidR="00900913" w:rsidRPr="00900913" w:rsidRDefault="00364E59" w:rsidP="00F76FD0">
            <w:pPr>
              <w:tabs>
                <w:tab w:val="left" w:pos="858"/>
              </w:tabs>
              <w:ind w:left="0"/>
              <w:jc w:val="both"/>
              <w:rPr>
                <w:color w:val="000000"/>
                <w:sz w:val="28"/>
              </w:rPr>
            </w:pPr>
            <m:oMathPara>
              <m:oMathParaPr>
                <m:jc m:val="left"/>
              </m:oMathParaPr>
              <m:oMath>
                <m:sSub>
                  <m:sSubPr>
                    <m:ctrlPr>
                      <w:rPr>
                        <w:rFonts w:ascii="Cambria Math" w:hAnsi="Cambria Math"/>
                        <w:color w:val="000000"/>
                      </w:rPr>
                    </m:ctrlPr>
                  </m:sSubPr>
                  <m:e>
                    <m:r>
                      <m:rPr>
                        <m:sty m:val="p"/>
                      </m:rPr>
                      <w:rPr>
                        <w:rFonts w:ascii="Cambria Math" w:hAnsi="Cambria Math"/>
                        <w:color w:val="000000"/>
                      </w:rPr>
                      <m:t>D</m:t>
                    </m:r>
                  </m:e>
                  <m:sub>
                    <m:r>
                      <m:rPr>
                        <m:sty m:val="p"/>
                      </m:rPr>
                      <w:rPr>
                        <w:rFonts w:ascii="Cambria Math" w:hAnsi="Cambria Math"/>
                        <w:color w:val="000000"/>
                      </w:rPr>
                      <m:t>k,tu,AOM</m:t>
                    </m:r>
                  </m:sub>
                </m:sSub>
              </m:oMath>
            </m:oMathPara>
          </w:p>
        </w:tc>
        <w:tc>
          <w:tcPr>
            <w:tcW w:w="6629" w:type="dxa"/>
            <w:shd w:val="clear" w:color="auto" w:fill="auto"/>
          </w:tcPr>
          <w:p w:rsidR="00900913" w:rsidRPr="000B65DE" w:rsidRDefault="00900913" w:rsidP="00900913">
            <w:pPr>
              <w:tabs>
                <w:tab w:val="left" w:pos="858"/>
              </w:tabs>
              <w:ind w:left="0"/>
              <w:jc w:val="both"/>
              <w:rPr>
                <w:rFonts w:ascii="Bookman Old Style" w:hAnsi="Bookman Old Style"/>
                <w:color w:val="000000"/>
              </w:rPr>
            </w:pPr>
            <w:r w:rsidRPr="000B65DE">
              <w:rPr>
                <w:rFonts w:ascii="Bookman Old Style" w:hAnsi="Bookman Old Style"/>
                <w:color w:val="000000"/>
              </w:rPr>
              <w:t xml:space="preserve">Cargo de Distribución </w:t>
            </w:r>
            <w:r w:rsidR="002D6650">
              <w:rPr>
                <w:rFonts w:ascii="Bookman Old Style" w:hAnsi="Bookman Old Style"/>
                <w:color w:val="000000"/>
              </w:rPr>
              <w:t xml:space="preserve">expresado en $/m3 a pesos de la Fecha Base y para el Mercado Relevante de Distribución </w:t>
            </w:r>
            <w:r w:rsidRPr="000B65DE">
              <w:rPr>
                <w:rFonts w:ascii="Bookman Old Style" w:hAnsi="Bookman Old Style"/>
                <w:color w:val="000000"/>
              </w:rPr>
              <w:t xml:space="preserve">por tipo de </w:t>
            </w:r>
            <w:r>
              <w:rPr>
                <w:rFonts w:ascii="Bookman Old Style" w:hAnsi="Bookman Old Style"/>
                <w:color w:val="000000"/>
              </w:rPr>
              <w:t>correspondiente a la componente de gastos de Administración, Operación y Mantenimiento – AOM.</w:t>
            </w:r>
          </w:p>
          <w:p w:rsidR="00900913" w:rsidRDefault="00900913" w:rsidP="00382E27">
            <w:pPr>
              <w:tabs>
                <w:tab w:val="left" w:pos="858"/>
              </w:tabs>
              <w:ind w:left="0"/>
              <w:jc w:val="both"/>
              <w:rPr>
                <w:rFonts w:ascii="Bookman Old Style" w:hAnsi="Bookman Old Style"/>
                <w:color w:val="000000"/>
              </w:rPr>
            </w:pPr>
          </w:p>
          <w:p w:rsidR="00755106" w:rsidRDefault="00755106" w:rsidP="00382E27">
            <w:pPr>
              <w:tabs>
                <w:tab w:val="left" w:pos="858"/>
              </w:tabs>
              <w:ind w:left="0"/>
              <w:jc w:val="both"/>
              <w:rPr>
                <w:rFonts w:ascii="Bookman Old Style" w:hAnsi="Bookman Old Style"/>
                <w:color w:val="000000"/>
              </w:rPr>
            </w:pPr>
          </w:p>
          <w:p w:rsidR="00755106" w:rsidRPr="000B65DE" w:rsidRDefault="00755106" w:rsidP="00382E27">
            <w:pPr>
              <w:tabs>
                <w:tab w:val="left" w:pos="858"/>
              </w:tabs>
              <w:ind w:left="0"/>
              <w:jc w:val="both"/>
              <w:rPr>
                <w:rFonts w:ascii="Bookman Old Style" w:hAnsi="Bookman Old Style"/>
                <w:color w:val="000000"/>
              </w:rPr>
            </w:pPr>
          </w:p>
        </w:tc>
      </w:tr>
      <w:tr w:rsidR="00900913" w:rsidRPr="00FC79BF" w:rsidTr="00382E27">
        <w:tc>
          <w:tcPr>
            <w:tcW w:w="2126" w:type="dxa"/>
            <w:shd w:val="clear" w:color="auto" w:fill="auto"/>
          </w:tcPr>
          <w:p w:rsidR="00900913" w:rsidRPr="00FC79BF" w:rsidRDefault="00364E59" w:rsidP="00382E27">
            <w:pPr>
              <w:tabs>
                <w:tab w:val="left" w:pos="858"/>
              </w:tabs>
              <w:ind w:left="0"/>
              <w:jc w:val="both"/>
              <w:rPr>
                <w:color w:val="000000"/>
                <w:sz w:val="28"/>
              </w:rPr>
            </w:pPr>
            <m:oMathPara>
              <m:oMathParaPr>
                <m:jc m:val="left"/>
              </m:oMathParaPr>
              <m:oMath>
                <m:sSub>
                  <m:sSubPr>
                    <m:ctrlPr>
                      <w:rPr>
                        <w:rFonts w:ascii="Cambria Math" w:hAnsi="Cambria Math"/>
                        <w:color w:val="000000"/>
                      </w:rPr>
                    </m:ctrlPr>
                  </m:sSubPr>
                  <m:e>
                    <m:r>
                      <m:rPr>
                        <m:sty m:val="p"/>
                      </m:rPr>
                      <w:rPr>
                        <w:rFonts w:ascii="Cambria Math" w:hAnsi="Cambria Math"/>
                        <w:color w:val="000000"/>
                      </w:rPr>
                      <m:t>IPC</m:t>
                    </m:r>
                  </m:e>
                  <m:sub>
                    <m:r>
                      <m:rPr>
                        <m:sty m:val="p"/>
                      </m:rPr>
                      <w:rPr>
                        <w:rFonts w:ascii="Cambria Math" w:hAnsi="Cambria Math"/>
                        <w:color w:val="000000"/>
                      </w:rPr>
                      <m:t>m-1</m:t>
                    </m:r>
                  </m:sub>
                </m:sSub>
              </m:oMath>
            </m:oMathPara>
          </w:p>
        </w:tc>
        <w:tc>
          <w:tcPr>
            <w:tcW w:w="6629" w:type="dxa"/>
            <w:shd w:val="clear" w:color="auto" w:fill="auto"/>
          </w:tcPr>
          <w:p w:rsidR="00900913" w:rsidRPr="00FC79BF" w:rsidRDefault="00900913" w:rsidP="00900913">
            <w:pPr>
              <w:tabs>
                <w:tab w:val="left" w:pos="858"/>
              </w:tabs>
              <w:ind w:left="0"/>
              <w:jc w:val="both"/>
              <w:rPr>
                <w:rFonts w:ascii="Bookman Old Style" w:hAnsi="Bookman Old Style"/>
                <w:color w:val="000000"/>
              </w:rPr>
            </w:pPr>
            <w:r w:rsidRPr="00FC79BF">
              <w:rPr>
                <w:rFonts w:ascii="Bookman Old Style" w:hAnsi="Bookman Old Style"/>
                <w:color w:val="000000"/>
              </w:rPr>
              <w:t>Índice de Precios al Consumidor Total Nacional reportado por el DANE para el mes (</w:t>
            </w:r>
            <w:r w:rsidRPr="00FC79BF">
              <w:rPr>
                <w:rFonts w:ascii="Bookman Old Style" w:hAnsi="Bookman Old Style"/>
                <w:i/>
                <w:color w:val="000000"/>
              </w:rPr>
              <w:t>m-1</w:t>
            </w:r>
            <w:r w:rsidRPr="00FC79BF">
              <w:rPr>
                <w:rFonts w:ascii="Bookman Old Style" w:hAnsi="Bookman Old Style"/>
                <w:color w:val="000000"/>
              </w:rPr>
              <w:t>).</w:t>
            </w:r>
          </w:p>
          <w:p w:rsidR="00900913" w:rsidRPr="00FC79BF" w:rsidRDefault="00900913" w:rsidP="00382E27">
            <w:pPr>
              <w:tabs>
                <w:tab w:val="left" w:pos="858"/>
              </w:tabs>
              <w:ind w:left="0"/>
              <w:jc w:val="both"/>
              <w:rPr>
                <w:rFonts w:ascii="Bookman Old Style" w:hAnsi="Bookman Old Style"/>
                <w:color w:val="000000"/>
              </w:rPr>
            </w:pPr>
          </w:p>
        </w:tc>
      </w:tr>
      <w:tr w:rsidR="00900913" w:rsidRPr="000B65DE" w:rsidTr="00382E27">
        <w:tc>
          <w:tcPr>
            <w:tcW w:w="2126" w:type="dxa"/>
            <w:shd w:val="clear" w:color="auto" w:fill="auto"/>
          </w:tcPr>
          <w:p w:rsidR="00900913" w:rsidRPr="00FC79BF" w:rsidRDefault="00364E59" w:rsidP="00900913">
            <w:pPr>
              <w:tabs>
                <w:tab w:val="left" w:pos="858"/>
              </w:tabs>
              <w:ind w:left="0"/>
              <w:rPr>
                <w:rFonts w:ascii="Bookman Old Style" w:hAnsi="Bookman Old Style"/>
                <w:color w:val="000000"/>
              </w:rPr>
            </w:pPr>
            <m:oMathPara>
              <m:oMathParaPr>
                <m:jc m:val="left"/>
              </m:oMathParaPr>
              <m:oMath>
                <m:sSub>
                  <m:sSubPr>
                    <m:ctrlPr>
                      <w:rPr>
                        <w:rFonts w:ascii="Cambria Math" w:hAnsi="Cambria Math"/>
                        <w:color w:val="000000"/>
                      </w:rPr>
                    </m:ctrlPr>
                  </m:sSubPr>
                  <m:e>
                    <m:r>
                      <m:rPr>
                        <m:sty m:val="p"/>
                      </m:rPr>
                      <w:rPr>
                        <w:rFonts w:ascii="Cambria Math" w:hAnsi="Cambria Math"/>
                        <w:color w:val="000000"/>
                      </w:rPr>
                      <m:t>IPC</m:t>
                    </m:r>
                  </m:e>
                  <m:sub>
                    <m:r>
                      <m:rPr>
                        <m:sty m:val="p"/>
                      </m:rPr>
                      <w:rPr>
                        <w:rFonts w:ascii="Cambria Math" w:hAnsi="Cambria Math"/>
                        <w:color w:val="000000"/>
                      </w:rPr>
                      <m:t>0</m:t>
                    </m:r>
                  </m:sub>
                </m:sSub>
              </m:oMath>
            </m:oMathPara>
          </w:p>
        </w:tc>
        <w:tc>
          <w:tcPr>
            <w:tcW w:w="6629" w:type="dxa"/>
            <w:shd w:val="clear" w:color="auto" w:fill="auto"/>
          </w:tcPr>
          <w:p w:rsidR="00900913" w:rsidRPr="00FC79BF" w:rsidRDefault="00900913" w:rsidP="00954CA2">
            <w:pPr>
              <w:tabs>
                <w:tab w:val="left" w:pos="858"/>
              </w:tabs>
              <w:ind w:left="0"/>
              <w:jc w:val="both"/>
              <w:rPr>
                <w:rFonts w:ascii="Bookman Old Style" w:hAnsi="Bookman Old Style"/>
                <w:color w:val="000000"/>
              </w:rPr>
            </w:pPr>
            <w:r w:rsidRPr="00FC79BF">
              <w:rPr>
                <w:rFonts w:ascii="Bookman Old Style" w:hAnsi="Bookman Old Style"/>
                <w:color w:val="000000"/>
              </w:rPr>
              <w:t>Índice de Precios al Consumidor Total Nacional reportado por el DANE para la Fecha Base de</w:t>
            </w:r>
            <w:r w:rsidR="002D6650" w:rsidRPr="00FC79BF">
              <w:rPr>
                <w:rFonts w:ascii="Bookman Old Style" w:hAnsi="Bookman Old Style"/>
                <w:color w:val="000000"/>
              </w:rPr>
              <w:t xml:space="preserve"> </w:t>
            </w:r>
            <w:r w:rsidRPr="00FC79BF">
              <w:rPr>
                <w:rFonts w:ascii="Bookman Old Style" w:hAnsi="Bookman Old Style"/>
                <w:color w:val="000000"/>
              </w:rPr>
              <w:t>l</w:t>
            </w:r>
            <w:r w:rsidR="002D6650" w:rsidRPr="00FC79BF">
              <w:rPr>
                <w:rFonts w:ascii="Bookman Old Style" w:hAnsi="Bookman Old Style"/>
                <w:color w:val="000000"/>
              </w:rPr>
              <w:t>os</w:t>
            </w:r>
            <w:r w:rsidRPr="00FC79BF">
              <w:rPr>
                <w:rFonts w:ascii="Bookman Old Style" w:hAnsi="Bookman Old Style"/>
                <w:color w:val="000000"/>
              </w:rPr>
              <w:t xml:space="preserve"> </w:t>
            </w:r>
            <w:r w:rsidR="002D6650" w:rsidRPr="00FC79BF">
              <w:rPr>
                <w:rFonts w:ascii="Bookman Old Style" w:hAnsi="Bookman Old Style"/>
                <w:color w:val="000000"/>
              </w:rPr>
              <w:t>Cargos de D</w:t>
            </w:r>
            <w:r w:rsidRPr="00FC79BF">
              <w:rPr>
                <w:rFonts w:ascii="Bookman Old Style" w:hAnsi="Bookman Old Style"/>
                <w:color w:val="000000"/>
              </w:rPr>
              <w:t>istribución.</w:t>
            </w:r>
          </w:p>
          <w:p w:rsidR="00900913" w:rsidRPr="00FC79BF" w:rsidRDefault="00900913" w:rsidP="00382E27">
            <w:pPr>
              <w:tabs>
                <w:tab w:val="left" w:pos="858"/>
              </w:tabs>
              <w:ind w:left="0"/>
              <w:jc w:val="both"/>
              <w:rPr>
                <w:rFonts w:ascii="Bookman Old Style" w:hAnsi="Bookman Old Style"/>
                <w:color w:val="000000"/>
              </w:rPr>
            </w:pPr>
          </w:p>
        </w:tc>
      </w:tr>
      <w:tr w:rsidR="00900913" w:rsidRPr="000B65DE" w:rsidTr="00382E27">
        <w:tc>
          <w:tcPr>
            <w:tcW w:w="2126" w:type="dxa"/>
            <w:shd w:val="clear" w:color="auto" w:fill="auto"/>
          </w:tcPr>
          <w:p w:rsidR="00900913" w:rsidRPr="000B65DE" w:rsidRDefault="000B0EFE" w:rsidP="00382E27">
            <w:pPr>
              <w:tabs>
                <w:tab w:val="left" w:pos="858"/>
              </w:tabs>
              <w:ind w:left="0"/>
              <w:jc w:val="both"/>
              <w:rPr>
                <w:rFonts w:ascii="Bookman Old Style" w:hAnsi="Bookman Old Style"/>
                <w:color w:val="000000"/>
              </w:rPr>
            </w:pPr>
            <w:r w:rsidRPr="000B65DE">
              <w:rPr>
                <w:rFonts w:ascii="Bookman Old Style" w:hAnsi="Bookman Old Style"/>
                <w:color w:val="000000"/>
              </w:rPr>
              <w:t>T</w:t>
            </w:r>
            <w:r w:rsidR="00900913" w:rsidRPr="000B65DE">
              <w:rPr>
                <w:rFonts w:ascii="Bookman Old Style" w:hAnsi="Bookman Old Style"/>
                <w:color w:val="000000"/>
              </w:rPr>
              <w:t>u</w:t>
            </w:r>
          </w:p>
        </w:tc>
        <w:tc>
          <w:tcPr>
            <w:tcW w:w="6629" w:type="dxa"/>
            <w:shd w:val="clear" w:color="auto" w:fill="auto"/>
          </w:tcPr>
          <w:p w:rsidR="00900913" w:rsidRPr="000B65DE" w:rsidRDefault="00900913" w:rsidP="00382E27">
            <w:pPr>
              <w:tabs>
                <w:tab w:val="left" w:pos="858"/>
              </w:tabs>
              <w:ind w:left="0"/>
              <w:jc w:val="both"/>
              <w:rPr>
                <w:rFonts w:ascii="Bookman Old Style" w:hAnsi="Bookman Old Style"/>
                <w:color w:val="000000"/>
              </w:rPr>
            </w:pPr>
            <w:r w:rsidRPr="000B65DE">
              <w:rPr>
                <w:rFonts w:ascii="Bookman Old Style" w:hAnsi="Bookman Old Style"/>
                <w:color w:val="000000"/>
              </w:rPr>
              <w:t>Tipo de usuario</w:t>
            </w:r>
            <w:r w:rsidR="002D6650">
              <w:rPr>
                <w:rFonts w:ascii="Bookman Old Style" w:hAnsi="Bookman Old Style"/>
                <w:color w:val="000000"/>
              </w:rPr>
              <w:t>, este puede</w:t>
            </w:r>
            <w:r w:rsidRPr="000B65DE">
              <w:rPr>
                <w:rFonts w:ascii="Bookman Old Style" w:hAnsi="Bookman Old Style"/>
                <w:color w:val="000000"/>
              </w:rPr>
              <w:t xml:space="preserve"> corresponde</w:t>
            </w:r>
            <w:r w:rsidR="002D6650">
              <w:rPr>
                <w:rFonts w:ascii="Bookman Old Style" w:hAnsi="Bookman Old Style"/>
                <w:color w:val="000000"/>
              </w:rPr>
              <w:t>r</w:t>
            </w:r>
            <w:r w:rsidRPr="000B65DE">
              <w:rPr>
                <w:rFonts w:ascii="Bookman Old Style" w:hAnsi="Bookman Old Style"/>
                <w:color w:val="000000"/>
              </w:rPr>
              <w:t xml:space="preserve"> a usuarios de Uso Residencial (AUR) </w:t>
            </w:r>
            <w:r w:rsidR="002D6650">
              <w:rPr>
                <w:rFonts w:ascii="Bookman Old Style" w:hAnsi="Bookman Old Style"/>
                <w:color w:val="000000"/>
              </w:rPr>
              <w:t>o</w:t>
            </w:r>
            <w:r w:rsidRPr="000B65DE">
              <w:rPr>
                <w:rFonts w:ascii="Bookman Old Style" w:hAnsi="Bookman Old Style"/>
                <w:color w:val="000000"/>
              </w:rPr>
              <w:t xml:space="preserve"> a Usuarios Diferentes a los de Uso Residencial (AUNR).</w:t>
            </w:r>
          </w:p>
          <w:p w:rsidR="00900913" w:rsidRPr="000B65DE" w:rsidRDefault="00900913" w:rsidP="00382E27">
            <w:pPr>
              <w:tabs>
                <w:tab w:val="left" w:pos="858"/>
              </w:tabs>
              <w:ind w:left="0"/>
              <w:jc w:val="both"/>
              <w:rPr>
                <w:rFonts w:ascii="Bookman Old Style" w:hAnsi="Bookman Old Style"/>
                <w:color w:val="000000"/>
              </w:rPr>
            </w:pPr>
          </w:p>
        </w:tc>
      </w:tr>
    </w:tbl>
    <w:p w:rsidR="000B65DE" w:rsidRPr="000B65DE" w:rsidRDefault="000B65DE" w:rsidP="00382E27">
      <w:pPr>
        <w:keepNext/>
        <w:numPr>
          <w:ilvl w:val="0"/>
          <w:numId w:val="2"/>
        </w:numPr>
        <w:spacing w:before="240" w:after="60"/>
        <w:jc w:val="both"/>
        <w:outlineLvl w:val="0"/>
        <w:rPr>
          <w:rFonts w:ascii="Bookman Old Style" w:hAnsi="Bookman Old Style"/>
          <w:b/>
          <w:bCs/>
        </w:rPr>
      </w:pPr>
      <w:r w:rsidRPr="000B65DE">
        <w:rPr>
          <w:rFonts w:ascii="Bookman Old Style" w:hAnsi="Bookman Old Style"/>
          <w:b/>
          <w:bCs/>
        </w:rPr>
        <w:t>REPOSICIÓN DE ACTIVOS.</w:t>
      </w:r>
    </w:p>
    <w:p w:rsidR="000B65DE" w:rsidRPr="000B65DE" w:rsidRDefault="000B65DE" w:rsidP="000B65DE">
      <w:pPr>
        <w:rPr>
          <w:lang w:val="es-ES_tradnl"/>
        </w:rPr>
      </w:pPr>
      <w:r w:rsidRPr="000B65DE">
        <w:rPr>
          <w:lang w:val="es-ES_tradnl"/>
        </w:rPr>
        <w:t xml:space="preserve"> </w:t>
      </w:r>
    </w:p>
    <w:p w:rsidR="000B65DE" w:rsidRPr="000B65DE" w:rsidRDefault="000B65DE" w:rsidP="008F4D9F">
      <w:pPr>
        <w:numPr>
          <w:ilvl w:val="1"/>
          <w:numId w:val="31"/>
        </w:numPr>
        <w:overflowPunct w:val="0"/>
        <w:autoSpaceDE w:val="0"/>
        <w:autoSpaceDN w:val="0"/>
        <w:adjustRightInd w:val="0"/>
        <w:jc w:val="both"/>
        <w:textAlignment w:val="baseline"/>
        <w:outlineLvl w:val="1"/>
        <w:rPr>
          <w:rFonts w:ascii="Bookman Old Style" w:hAnsi="Bookman Old Style"/>
          <w:b/>
          <w:bCs/>
          <w:szCs w:val="20"/>
          <w:lang w:val="es-CO"/>
        </w:rPr>
      </w:pPr>
      <w:r w:rsidRPr="000B65DE">
        <w:rPr>
          <w:rFonts w:ascii="Bookman Old Style" w:hAnsi="Bookman Old Style"/>
          <w:b/>
          <w:bCs/>
          <w:szCs w:val="20"/>
          <w:lang w:val="es-CO"/>
        </w:rPr>
        <w:t xml:space="preserve">REPOSICIÓN DE ACTIVOS DEL PERÍODO TARIFARIO QUE CONCLUYE. </w:t>
      </w:r>
    </w:p>
    <w:p w:rsidR="000B65DE" w:rsidRPr="000B65DE" w:rsidRDefault="000B65DE" w:rsidP="000B65DE"/>
    <w:p w:rsidR="000B65DE" w:rsidRPr="000B65DE" w:rsidRDefault="000B65DE" w:rsidP="000B65DE">
      <w:pPr>
        <w:ind w:left="0"/>
        <w:jc w:val="both"/>
        <w:rPr>
          <w:rFonts w:ascii="Bookman Old Style" w:eastAsia="Calibri" w:hAnsi="Bookman Old Style"/>
          <w:lang w:eastAsia="en-US"/>
        </w:rPr>
      </w:pPr>
    </w:p>
    <w:p w:rsidR="000B65DE" w:rsidRPr="000B65DE" w:rsidRDefault="000B65DE" w:rsidP="000B65DE">
      <w:pPr>
        <w:ind w:left="0"/>
        <w:jc w:val="both"/>
        <w:rPr>
          <w:rFonts w:ascii="Bookman Old Style" w:eastAsia="Calibri" w:hAnsi="Bookman Old Style"/>
          <w:lang w:eastAsia="en-US"/>
        </w:rPr>
      </w:pPr>
      <w:r w:rsidRPr="000B65DE">
        <w:rPr>
          <w:rFonts w:ascii="Bookman Old Style" w:eastAsia="Calibri" w:hAnsi="Bookman Old Style"/>
          <w:lang w:eastAsia="en-US"/>
        </w:rPr>
        <w:t>El distribuidor podrá presentar en su solicitud tarifaria los activos que fueron objeto de reposición en el período tarifario que concluye. Para ello deberá reportar la información del activo existente que se repuso y las características del activo por el cual fue repuesto. Estos activos serán retirados de la Inversión Existente (IE) al costo reconocido y considerados dentro de la Inversión Ejecutada durante el Período Tarifario que culmina y no Prevista en el Programa de Nuevas Inversiones (INPE).</w:t>
      </w:r>
    </w:p>
    <w:p w:rsidR="000B65DE" w:rsidRPr="000B65DE" w:rsidRDefault="000B65DE" w:rsidP="000B65DE">
      <w:pPr>
        <w:rPr>
          <w:lang w:val="es-ES_tradnl"/>
        </w:rPr>
      </w:pPr>
    </w:p>
    <w:p w:rsidR="000B65DE" w:rsidRPr="000B65DE" w:rsidRDefault="000B65DE" w:rsidP="000B65DE">
      <w:pPr>
        <w:rPr>
          <w:lang w:val="es-ES_tradnl"/>
        </w:rPr>
      </w:pPr>
    </w:p>
    <w:p w:rsidR="000B65DE" w:rsidRPr="000B65DE" w:rsidRDefault="000B65DE" w:rsidP="008F4D9F">
      <w:pPr>
        <w:numPr>
          <w:ilvl w:val="1"/>
          <w:numId w:val="31"/>
        </w:numPr>
        <w:overflowPunct w:val="0"/>
        <w:autoSpaceDE w:val="0"/>
        <w:autoSpaceDN w:val="0"/>
        <w:adjustRightInd w:val="0"/>
        <w:jc w:val="both"/>
        <w:textAlignment w:val="baseline"/>
        <w:outlineLvl w:val="1"/>
        <w:rPr>
          <w:rFonts w:ascii="Bookman Old Style" w:hAnsi="Bookman Old Style"/>
          <w:b/>
          <w:bCs/>
          <w:szCs w:val="20"/>
          <w:lang w:val="es-CO"/>
        </w:rPr>
      </w:pPr>
      <w:r w:rsidRPr="000B65DE">
        <w:rPr>
          <w:rFonts w:ascii="Bookman Old Style" w:hAnsi="Bookman Old Style"/>
          <w:b/>
          <w:bCs/>
          <w:szCs w:val="20"/>
          <w:lang w:val="es-CO"/>
        </w:rPr>
        <w:t xml:space="preserve"> REPOSICIÓN DE ACTIVOS PARA EL SIGUIENTE PERÍODO TARIFARIO.</w:t>
      </w:r>
    </w:p>
    <w:p w:rsidR="000B65DE" w:rsidRPr="000B65DE" w:rsidRDefault="000B65DE" w:rsidP="000B65DE"/>
    <w:p w:rsidR="000B65DE" w:rsidRPr="000B65DE" w:rsidRDefault="000B65DE" w:rsidP="000B65DE">
      <w:pPr>
        <w:ind w:left="0"/>
        <w:jc w:val="both"/>
        <w:rPr>
          <w:rFonts w:ascii="Bookman Old Style" w:eastAsia="Calibri" w:hAnsi="Bookman Old Style"/>
          <w:lang w:eastAsia="en-US"/>
        </w:rPr>
      </w:pPr>
      <w:r w:rsidRPr="000B65DE">
        <w:rPr>
          <w:rFonts w:ascii="Bookman Old Style" w:eastAsia="Calibri" w:hAnsi="Bookman Old Style"/>
          <w:lang w:eastAsia="en-US"/>
        </w:rPr>
        <w:t xml:space="preserve">El distribuidor podrá presentar en su solicitud tarifaria un programa de reposición de activos para el siguiente Período Tarifario de acuerdo con el </w:t>
      </w:r>
      <w:r w:rsidR="00AF6018" w:rsidRPr="000B65DE">
        <w:rPr>
          <w:rFonts w:ascii="Bookman Old Style" w:eastAsia="Calibri" w:hAnsi="Bookman Old Style"/>
          <w:lang w:eastAsia="en-US"/>
        </w:rPr>
        <w:fldChar w:fldCharType="begin"/>
      </w:r>
      <w:r w:rsidRPr="000B65DE">
        <w:rPr>
          <w:rFonts w:ascii="Bookman Old Style" w:eastAsia="Calibri" w:hAnsi="Bookman Old Style"/>
          <w:lang w:eastAsia="en-US"/>
        </w:rPr>
        <w:instrText xml:space="preserve"> REF _Ref332876141 \r \h </w:instrText>
      </w:r>
      <w:r w:rsidR="00AF6018" w:rsidRPr="000B65DE">
        <w:rPr>
          <w:rFonts w:ascii="Bookman Old Style" w:eastAsia="Calibri" w:hAnsi="Bookman Old Style"/>
          <w:lang w:eastAsia="en-US"/>
        </w:rPr>
      </w:r>
      <w:r w:rsidR="00AF6018" w:rsidRPr="000B65DE">
        <w:rPr>
          <w:rFonts w:ascii="Bookman Old Style" w:eastAsia="Calibri" w:hAnsi="Bookman Old Style"/>
          <w:lang w:eastAsia="en-US"/>
        </w:rPr>
        <w:fldChar w:fldCharType="separate"/>
      </w:r>
      <w:r w:rsidR="004D5C18">
        <w:rPr>
          <w:rFonts w:ascii="Bookman Old Style" w:eastAsia="Calibri" w:hAnsi="Bookman Old Style"/>
          <w:lang w:eastAsia="en-US"/>
        </w:rPr>
        <w:t>ANEXO 17</w:t>
      </w:r>
      <w:r w:rsidR="00AF6018" w:rsidRPr="000B65DE">
        <w:rPr>
          <w:rFonts w:ascii="Bookman Old Style" w:eastAsia="Calibri" w:hAnsi="Bookman Old Style"/>
          <w:lang w:eastAsia="en-US"/>
        </w:rPr>
        <w:fldChar w:fldCharType="end"/>
      </w:r>
      <w:r w:rsidRPr="000B65DE">
        <w:rPr>
          <w:rFonts w:ascii="Bookman Old Style" w:eastAsia="Calibri" w:hAnsi="Bookman Old Style"/>
          <w:lang w:eastAsia="en-US"/>
        </w:rPr>
        <w:t xml:space="preserve"> de esta Resolución. Este programa sólo será aceptable para aquellos activos que clasifiquen dentro de Inversión Existente (IE) que estén en servicio y que hayan cumplido su vida útil normativa de operación, exceptuando terrenos y edificaciones.</w:t>
      </w:r>
    </w:p>
    <w:p w:rsidR="000B65DE" w:rsidRPr="000B65DE" w:rsidRDefault="000B65DE" w:rsidP="000B65DE">
      <w:pPr>
        <w:rPr>
          <w:lang w:val="es-ES_tradnl"/>
        </w:rPr>
      </w:pPr>
    </w:p>
    <w:p w:rsidR="000B65DE" w:rsidRPr="000B65DE" w:rsidRDefault="000B65DE" w:rsidP="000B65DE">
      <w:pPr>
        <w:spacing w:after="200"/>
        <w:ind w:left="0"/>
        <w:jc w:val="both"/>
        <w:rPr>
          <w:rFonts w:ascii="Bookman Old Style" w:eastAsia="Calibri" w:hAnsi="Bookman Old Style" w:cs="Arial"/>
          <w:color w:val="000000"/>
          <w:lang w:val="es-CO" w:eastAsia="en-US"/>
        </w:rPr>
      </w:pPr>
      <w:r w:rsidRPr="000B65DE">
        <w:rPr>
          <w:rFonts w:ascii="Bookman Old Style" w:eastAsia="Calibri" w:hAnsi="Bookman Old Style" w:cs="Arial"/>
          <w:color w:val="000000"/>
          <w:lang w:val="es-CO" w:eastAsia="en-US"/>
        </w:rPr>
        <w:t xml:space="preserve">El programa de reposición deberá indicar dentro del Mercado Relevante de Distribución, los activos existentes que serán retirados de la Inversión Base Existente (IE) y serán homologados a las Unidades Constructivas de acuerdo con el </w:t>
      </w:r>
      <w:r w:rsidR="00AF6018" w:rsidRPr="000B65DE">
        <w:rPr>
          <w:rFonts w:ascii="Bookman Old Style" w:eastAsia="Calibri" w:hAnsi="Bookman Old Style" w:cs="Arial"/>
          <w:color w:val="000000"/>
          <w:lang w:val="es-CO" w:eastAsia="en-US"/>
        </w:rPr>
        <w:fldChar w:fldCharType="begin"/>
      </w:r>
      <w:r w:rsidRPr="000B65DE">
        <w:rPr>
          <w:rFonts w:ascii="Bookman Old Style" w:eastAsia="Calibri" w:hAnsi="Bookman Old Style" w:cs="Arial"/>
          <w:color w:val="000000"/>
          <w:lang w:val="es-CO" w:eastAsia="en-US"/>
        </w:rPr>
        <w:instrText xml:space="preserve"> REF _Ref320543087 \r \h </w:instrText>
      </w:r>
      <w:r w:rsidR="00AF6018" w:rsidRPr="000B65DE">
        <w:rPr>
          <w:rFonts w:ascii="Bookman Old Style" w:eastAsia="Calibri" w:hAnsi="Bookman Old Style" w:cs="Arial"/>
          <w:color w:val="000000"/>
          <w:lang w:val="es-CO" w:eastAsia="en-US"/>
        </w:rPr>
      </w:r>
      <w:r w:rsidR="00AF6018" w:rsidRPr="000B65DE">
        <w:rPr>
          <w:rFonts w:ascii="Bookman Old Style" w:eastAsia="Calibri" w:hAnsi="Bookman Old Style" w:cs="Arial"/>
          <w:color w:val="000000"/>
          <w:lang w:val="es-CO" w:eastAsia="en-US"/>
        </w:rPr>
        <w:fldChar w:fldCharType="separate"/>
      </w:r>
      <w:r w:rsidR="004D5C18">
        <w:rPr>
          <w:rFonts w:ascii="Bookman Old Style" w:eastAsia="Calibri" w:hAnsi="Bookman Old Style" w:cs="Arial"/>
          <w:color w:val="000000"/>
          <w:lang w:val="es-CO" w:eastAsia="en-US"/>
        </w:rPr>
        <w:t>ANEXO 5</w:t>
      </w:r>
      <w:r w:rsidR="00AF6018" w:rsidRPr="000B65DE">
        <w:rPr>
          <w:rFonts w:ascii="Bookman Old Style" w:eastAsia="Calibri" w:hAnsi="Bookman Old Style" w:cs="Arial"/>
          <w:color w:val="000000"/>
          <w:lang w:val="es-CO" w:eastAsia="en-US"/>
        </w:rPr>
        <w:fldChar w:fldCharType="end"/>
      </w:r>
      <w:r w:rsidRPr="000B65DE">
        <w:rPr>
          <w:rFonts w:ascii="Bookman Old Style" w:eastAsia="Calibri" w:hAnsi="Bookman Old Style" w:cs="Arial"/>
          <w:color w:val="000000"/>
          <w:lang w:val="es-CO" w:eastAsia="en-US"/>
        </w:rPr>
        <w:t xml:space="preserve"> de esta Resolución, su ubicación a través de coordenadas georeferenciadas y el activo por el cual será remplazado, si así ocurre de acuerdo con las Unidades Constructivas del </w:t>
      </w:r>
      <w:r w:rsidR="00AF6018" w:rsidRPr="000B65DE">
        <w:rPr>
          <w:rFonts w:ascii="Bookman Old Style" w:eastAsia="Calibri" w:hAnsi="Bookman Old Style" w:cs="Arial"/>
          <w:color w:val="000000"/>
          <w:lang w:val="es-CO" w:eastAsia="en-US"/>
        </w:rPr>
        <w:fldChar w:fldCharType="begin"/>
      </w:r>
      <w:r w:rsidRPr="000B65DE">
        <w:rPr>
          <w:rFonts w:ascii="Bookman Old Style" w:eastAsia="Calibri" w:hAnsi="Bookman Old Style" w:cs="Arial"/>
          <w:color w:val="000000"/>
          <w:lang w:val="es-CO" w:eastAsia="en-US"/>
        </w:rPr>
        <w:instrText xml:space="preserve"> REF _Ref332815666 \r \h </w:instrText>
      </w:r>
      <w:r w:rsidR="00AF6018" w:rsidRPr="000B65DE">
        <w:rPr>
          <w:rFonts w:ascii="Bookman Old Style" w:eastAsia="Calibri" w:hAnsi="Bookman Old Style" w:cs="Arial"/>
          <w:color w:val="000000"/>
          <w:lang w:val="es-CO" w:eastAsia="en-US"/>
        </w:rPr>
      </w:r>
      <w:r w:rsidR="00AF6018" w:rsidRPr="000B65DE">
        <w:rPr>
          <w:rFonts w:ascii="Bookman Old Style" w:eastAsia="Calibri" w:hAnsi="Bookman Old Style" w:cs="Arial"/>
          <w:color w:val="000000"/>
          <w:lang w:val="es-CO" w:eastAsia="en-US"/>
        </w:rPr>
        <w:fldChar w:fldCharType="separate"/>
      </w:r>
      <w:r w:rsidR="004D5C18">
        <w:rPr>
          <w:rFonts w:ascii="Bookman Old Style" w:eastAsia="Calibri" w:hAnsi="Bookman Old Style" w:cs="Arial"/>
          <w:color w:val="000000"/>
          <w:lang w:val="es-CO" w:eastAsia="en-US"/>
        </w:rPr>
        <w:t>ANEXO 7</w:t>
      </w:r>
      <w:r w:rsidR="00AF6018" w:rsidRPr="000B65DE">
        <w:rPr>
          <w:rFonts w:ascii="Bookman Old Style" w:eastAsia="Calibri" w:hAnsi="Bookman Old Style" w:cs="Arial"/>
          <w:color w:val="000000"/>
          <w:lang w:val="es-CO" w:eastAsia="en-US"/>
        </w:rPr>
        <w:fldChar w:fldCharType="end"/>
      </w:r>
      <w:r w:rsidRPr="000B65DE">
        <w:rPr>
          <w:rFonts w:ascii="Bookman Old Style" w:eastAsia="Calibri" w:hAnsi="Bookman Old Style" w:cs="Arial"/>
          <w:color w:val="000000"/>
          <w:lang w:val="es-CO" w:eastAsia="en-US"/>
        </w:rPr>
        <w:t xml:space="preserve"> y </w:t>
      </w:r>
      <w:r w:rsidR="00AF6018" w:rsidRPr="000B65DE">
        <w:rPr>
          <w:rFonts w:ascii="Bookman Old Style" w:eastAsia="Calibri" w:hAnsi="Bookman Old Style" w:cs="Arial"/>
          <w:color w:val="000000"/>
          <w:lang w:val="es-CO" w:eastAsia="en-US"/>
        </w:rPr>
        <w:fldChar w:fldCharType="begin"/>
      </w:r>
      <w:r w:rsidRPr="000B65DE">
        <w:rPr>
          <w:rFonts w:ascii="Bookman Old Style" w:eastAsia="Calibri" w:hAnsi="Bookman Old Style" w:cs="Arial"/>
          <w:color w:val="000000"/>
          <w:lang w:val="es-CO" w:eastAsia="en-US"/>
        </w:rPr>
        <w:instrText xml:space="preserve"> REF _Ref330910423 \r \h </w:instrText>
      </w:r>
      <w:r w:rsidR="00AF6018" w:rsidRPr="000B65DE">
        <w:rPr>
          <w:rFonts w:ascii="Bookman Old Style" w:eastAsia="Calibri" w:hAnsi="Bookman Old Style" w:cs="Arial"/>
          <w:color w:val="000000"/>
          <w:lang w:val="es-CO" w:eastAsia="en-US"/>
        </w:rPr>
      </w:r>
      <w:r w:rsidR="00AF6018" w:rsidRPr="000B65DE">
        <w:rPr>
          <w:rFonts w:ascii="Bookman Old Style" w:eastAsia="Calibri" w:hAnsi="Bookman Old Style" w:cs="Arial"/>
          <w:color w:val="000000"/>
          <w:lang w:val="es-CO" w:eastAsia="en-US"/>
        </w:rPr>
        <w:fldChar w:fldCharType="separate"/>
      </w:r>
      <w:r w:rsidR="004D5C18">
        <w:rPr>
          <w:rFonts w:ascii="Bookman Old Style" w:eastAsia="Calibri" w:hAnsi="Bookman Old Style" w:cs="Arial"/>
          <w:color w:val="000000"/>
          <w:lang w:val="es-CO" w:eastAsia="en-US"/>
        </w:rPr>
        <w:t>ANEXO 8</w:t>
      </w:r>
      <w:r w:rsidR="00AF6018" w:rsidRPr="000B65DE">
        <w:rPr>
          <w:rFonts w:ascii="Bookman Old Style" w:eastAsia="Calibri" w:hAnsi="Bookman Old Style" w:cs="Arial"/>
          <w:color w:val="000000"/>
          <w:lang w:val="es-CO" w:eastAsia="en-US"/>
        </w:rPr>
        <w:fldChar w:fldCharType="end"/>
      </w:r>
      <w:r w:rsidRPr="000B65DE">
        <w:rPr>
          <w:rFonts w:ascii="Bookman Old Style" w:eastAsia="Calibri" w:hAnsi="Bookman Old Style" w:cs="Arial"/>
          <w:color w:val="000000"/>
          <w:lang w:val="es-CO" w:eastAsia="en-US"/>
        </w:rPr>
        <w:t>.</w:t>
      </w:r>
    </w:p>
    <w:p w:rsidR="000B65DE" w:rsidRPr="000B65DE" w:rsidRDefault="000B65DE" w:rsidP="000B65DE">
      <w:pPr>
        <w:spacing w:after="200"/>
        <w:ind w:left="0"/>
        <w:jc w:val="both"/>
        <w:rPr>
          <w:rFonts w:ascii="Bookman Old Style" w:eastAsia="Calibri" w:hAnsi="Bookman Old Style" w:cs="Arial"/>
          <w:color w:val="000000"/>
          <w:lang w:val="es-CO" w:eastAsia="en-US"/>
        </w:rPr>
      </w:pPr>
      <w:r w:rsidRPr="000B65DE">
        <w:rPr>
          <w:rFonts w:ascii="Bookman Old Style" w:eastAsia="Calibri" w:hAnsi="Bookman Old Style" w:cs="Arial"/>
          <w:color w:val="000000"/>
          <w:lang w:val="es-CO" w:eastAsia="en-US"/>
        </w:rPr>
        <w:t xml:space="preserve">La Comisión de acuerdo con este programa de reposición y el análisis respectivo, aprobará y determinará los activos a excluir de la base de activos existentes y el reconocimiento de las inversiones en reposición de activos. Tanto los activos a excluir como aquellos a reconocer se tomarán de acuerdo a la fecha en que se ejecuten y entren en operación los Activos de Reposición. Para ello el distribuidor utilizará una fórmula de ajuste de los Cargos de </w:t>
      </w:r>
      <w:r w:rsidRPr="000B65DE">
        <w:rPr>
          <w:rFonts w:ascii="Bookman Old Style" w:eastAsia="Calibri" w:hAnsi="Bookman Old Style" w:cs="Arial"/>
          <w:color w:val="000000"/>
          <w:lang w:val="es-CO" w:eastAsia="en-US"/>
        </w:rPr>
        <w:lastRenderedPageBreak/>
        <w:t xml:space="preserve">Distribución, a partir del mes siguiente de entrada en operación del activo repuesto, de acuerdo con un delta de reposición definido regulatoriamente. </w:t>
      </w:r>
    </w:p>
    <w:p w:rsidR="000B65DE" w:rsidRPr="000B65DE" w:rsidRDefault="000B65DE" w:rsidP="000B65DE">
      <w:pPr>
        <w:spacing w:after="200"/>
        <w:ind w:left="0"/>
        <w:jc w:val="both"/>
        <w:rPr>
          <w:rFonts w:ascii="Bookman Old Style" w:eastAsia="Calibri" w:hAnsi="Bookman Old Style" w:cs="Arial"/>
          <w:color w:val="000000"/>
          <w:lang w:val="es-CO" w:eastAsia="en-US"/>
        </w:rPr>
      </w:pPr>
      <w:r w:rsidRPr="000B65DE">
        <w:rPr>
          <w:rFonts w:ascii="Bookman Old Style" w:eastAsia="Calibri" w:hAnsi="Bookman Old Style" w:cs="Arial"/>
          <w:color w:val="000000"/>
          <w:lang w:val="es-CO" w:eastAsia="en-US"/>
        </w:rPr>
        <w:t>El distribuidor sólo podrá aplicar el delta de reposición de acuerdo a su programa de reposición aprobado previamente por la Comisión en la resolución particular que le aprueba cargos, y siempre y cuando entre en operación el activo de reposición correspondiente.</w:t>
      </w:r>
    </w:p>
    <w:p w:rsidR="009400EB" w:rsidRDefault="009400EB" w:rsidP="009400EB">
      <w:pPr>
        <w:ind w:left="0"/>
        <w:jc w:val="both"/>
        <w:rPr>
          <w:rFonts w:ascii="Bookman Old Style" w:eastAsia="Calibri" w:hAnsi="Bookman Old Style" w:cs="Arial"/>
          <w:color w:val="000000"/>
          <w:lang w:val="es-CO" w:eastAsia="en-US"/>
        </w:rPr>
      </w:pPr>
    </w:p>
    <w:p w:rsidR="000B65DE" w:rsidRPr="000B65DE" w:rsidRDefault="000B65DE" w:rsidP="000B65DE">
      <w:pPr>
        <w:spacing w:after="200"/>
        <w:ind w:left="0"/>
        <w:jc w:val="both"/>
        <w:rPr>
          <w:rFonts w:ascii="Bookman Old Style" w:eastAsia="Calibri" w:hAnsi="Bookman Old Style" w:cs="Arial"/>
          <w:color w:val="000000"/>
          <w:lang w:val="es-CO" w:eastAsia="en-US"/>
        </w:rPr>
      </w:pPr>
      <w:r w:rsidRPr="000B65DE">
        <w:rPr>
          <w:rFonts w:ascii="Bookman Old Style" w:eastAsia="Calibri" w:hAnsi="Bookman Old Style" w:cs="Arial"/>
          <w:color w:val="000000"/>
          <w:lang w:val="es-CO" w:eastAsia="en-US"/>
        </w:rPr>
        <w:t>Lo anterior se hará de acuerdo con la siguiente fórmula:</w:t>
      </w:r>
    </w:p>
    <w:p w:rsidR="000B65DE" w:rsidRPr="000B65DE" w:rsidRDefault="000B65DE" w:rsidP="000B65DE">
      <w:pPr>
        <w:spacing w:after="200"/>
        <w:ind w:left="0"/>
        <w:jc w:val="both"/>
        <w:rPr>
          <w:rFonts w:ascii="Bookman Old Style" w:hAnsi="Bookman Old Style" w:cs="Arial"/>
          <w:color w:val="000000"/>
          <w:lang w:val="es-CO" w:eastAsia="en-US"/>
        </w:rPr>
      </w:pPr>
    </w:p>
    <w:p w:rsidR="000B65DE" w:rsidRPr="0092172B" w:rsidRDefault="00364E59" w:rsidP="000B65DE">
      <w:pPr>
        <w:spacing w:after="200"/>
        <w:ind w:left="0"/>
        <w:jc w:val="center"/>
        <w:rPr>
          <w:rFonts w:ascii="Bookman Old Style" w:hAnsi="Bookman Old Style" w:cs="Arial"/>
          <w:color w:val="000000"/>
          <w:lang w:val="es-CO" w:eastAsia="en-US"/>
        </w:rPr>
      </w:pPr>
      <m:oMathPara>
        <m:oMath>
          <m:sSub>
            <m:sSubPr>
              <m:ctrlPr>
                <w:rPr>
                  <w:rFonts w:ascii="Cambria Math" w:hAnsi="Cambria Math" w:cs="Arial"/>
                  <w:color w:val="000000"/>
                  <w:lang w:val="es-CO" w:eastAsia="en-US"/>
                </w:rPr>
              </m:ctrlPr>
            </m:sSubPr>
            <m:e>
              <m:sSub>
                <m:sSubPr>
                  <m:ctrlPr>
                    <w:rPr>
                      <w:rFonts w:ascii="Cambria Math" w:hAnsi="Cambria Math" w:cs="Arial"/>
                      <w:color w:val="000000"/>
                      <w:lang w:val="es-CO" w:eastAsia="en-US"/>
                    </w:rPr>
                  </m:ctrlPr>
                </m:sSubPr>
                <m:e>
                  <m:r>
                    <m:rPr>
                      <m:sty m:val="p"/>
                    </m:rPr>
                    <w:rPr>
                      <w:rFonts w:ascii="Cambria Math" w:hAnsi="Cambria Math" w:cs="Arial"/>
                      <w:color w:val="000000"/>
                      <w:lang w:val="es-CO" w:eastAsia="en-US"/>
                    </w:rPr>
                    <m:t>∆</m:t>
                  </m:r>
                </m:e>
                <m:sub>
                  <m:r>
                    <m:rPr>
                      <m:sty m:val="p"/>
                    </m:rPr>
                    <w:rPr>
                      <w:rFonts w:ascii="Cambria Math" w:hAnsi="Cambria Math" w:cs="Arial"/>
                      <w:color w:val="000000"/>
                      <w:lang w:val="es-CO" w:eastAsia="en-US"/>
                    </w:rPr>
                    <m:t>Rep</m:t>
                  </m:r>
                </m:sub>
              </m:sSub>
            </m:e>
            <m:sub>
              <m:r>
                <m:rPr>
                  <m:sty m:val="p"/>
                </m:rPr>
                <w:rPr>
                  <w:rFonts w:ascii="Cambria Math" w:hAnsi="Cambria Math" w:cs="Arial"/>
                  <w:color w:val="000000"/>
                  <w:lang w:val="es-CO" w:eastAsia="en-US"/>
                </w:rPr>
                <m:t>t</m:t>
              </m:r>
            </m:sub>
          </m:sSub>
          <m:r>
            <m:rPr>
              <m:sty m:val="p"/>
            </m:rPr>
            <w:rPr>
              <w:rFonts w:ascii="Cambria Math" w:hAnsi="Cambria Math" w:cs="Arial"/>
              <w:color w:val="000000"/>
              <w:lang w:val="es-CO" w:eastAsia="en-US"/>
            </w:rPr>
            <m:t>=</m:t>
          </m:r>
          <m:f>
            <m:fPr>
              <m:ctrlPr>
                <w:rPr>
                  <w:rFonts w:ascii="Cambria Math" w:hAnsi="Cambria Math" w:cs="Arial"/>
                  <w:color w:val="000000"/>
                  <w:lang w:val="es-CO" w:eastAsia="en-US"/>
                </w:rPr>
              </m:ctrlPr>
            </m:fPr>
            <m:num>
              <m:sSub>
                <m:sSubPr>
                  <m:ctrlPr>
                    <w:rPr>
                      <w:rFonts w:ascii="Cambria Math" w:hAnsi="Cambria Math" w:cs="Arial"/>
                      <w:color w:val="000000"/>
                      <w:lang w:val="es-CO" w:eastAsia="en-US"/>
                    </w:rPr>
                  </m:ctrlPr>
                </m:sSubPr>
                <m:e>
                  <m:sSub>
                    <m:sSubPr>
                      <m:ctrlPr>
                        <w:rPr>
                          <w:rFonts w:ascii="Cambria Math" w:hAnsi="Cambria Math" w:cs="Arial"/>
                          <w:color w:val="000000"/>
                          <w:lang w:val="es-CO" w:eastAsia="en-US"/>
                        </w:rPr>
                      </m:ctrlPr>
                    </m:sSubPr>
                    <m:e>
                      <m:r>
                        <m:rPr>
                          <m:sty m:val="p"/>
                        </m:rPr>
                        <w:rPr>
                          <w:rFonts w:ascii="Cambria Math" w:hAnsi="Cambria Math" w:cs="Arial"/>
                          <w:color w:val="000000"/>
                          <w:lang w:val="es-CO" w:eastAsia="en-US"/>
                        </w:rPr>
                        <m:t>IRNA</m:t>
                      </m:r>
                    </m:e>
                    <m:sub>
                      <m:r>
                        <m:rPr>
                          <m:sty m:val="p"/>
                        </m:rPr>
                        <w:rPr>
                          <w:rFonts w:ascii="Cambria Math" w:hAnsi="Cambria Math" w:cs="Arial"/>
                          <w:color w:val="000000"/>
                          <w:lang w:val="es-CO" w:eastAsia="en-US"/>
                        </w:rPr>
                        <m:t>k</m:t>
                      </m:r>
                    </m:sub>
                  </m:sSub>
                  <m:r>
                    <m:rPr>
                      <m:sty m:val="p"/>
                    </m:rPr>
                    <w:rPr>
                      <w:rFonts w:ascii="Cambria Math" w:hAnsi="Cambria Math" w:cs="Arial"/>
                      <w:color w:val="000000"/>
                      <w:lang w:val="es-CO" w:eastAsia="en-US"/>
                    </w:rPr>
                    <m:t>-IBAE</m:t>
                  </m:r>
                </m:e>
                <m:sub>
                  <m:r>
                    <m:rPr>
                      <m:sty m:val="p"/>
                    </m:rPr>
                    <w:rPr>
                      <w:rFonts w:ascii="Cambria Math" w:hAnsi="Cambria Math" w:cs="Arial"/>
                      <w:color w:val="000000"/>
                      <w:lang w:val="es-CO" w:eastAsia="en-US"/>
                    </w:rPr>
                    <m:t>k</m:t>
                  </m:r>
                </m:sub>
              </m:sSub>
            </m:num>
            <m:den>
              <m:sSub>
                <m:sSubPr>
                  <m:ctrlPr>
                    <w:rPr>
                      <w:rFonts w:ascii="Cambria Math" w:hAnsi="Cambria Math" w:cs="Arial"/>
                      <w:color w:val="000000"/>
                      <w:lang w:val="es-CO" w:eastAsia="en-US"/>
                    </w:rPr>
                  </m:ctrlPr>
                </m:sSubPr>
                <m:e>
                  <m:r>
                    <m:rPr>
                      <m:sty m:val="p"/>
                    </m:rPr>
                    <w:rPr>
                      <w:rFonts w:ascii="Cambria Math" w:hAnsi="Cambria Math" w:cs="Arial"/>
                      <w:color w:val="000000"/>
                      <w:lang w:val="es-CO" w:eastAsia="en-US"/>
                    </w:rPr>
                    <m:t>Q</m:t>
                  </m:r>
                </m:e>
                <m:sub>
                  <m:r>
                    <m:rPr>
                      <m:sty m:val="p"/>
                    </m:rPr>
                    <w:rPr>
                      <w:rFonts w:ascii="Cambria Math" w:hAnsi="Cambria Math" w:cs="Arial"/>
                      <w:color w:val="000000"/>
                      <w:lang w:val="es-CO" w:eastAsia="en-US"/>
                    </w:rPr>
                    <m:t>CT</m:t>
                  </m:r>
                </m:sub>
              </m:sSub>
            </m:den>
          </m:f>
        </m:oMath>
      </m:oMathPara>
    </w:p>
    <w:p w:rsidR="000B65DE" w:rsidRPr="000B65DE" w:rsidRDefault="000B65DE" w:rsidP="000B65DE">
      <w:pPr>
        <w:spacing w:after="200"/>
        <w:ind w:left="0"/>
        <w:jc w:val="both"/>
        <w:rPr>
          <w:rFonts w:ascii="Bookman Old Style" w:eastAsia="Calibri" w:hAnsi="Bookman Old Style" w:cs="Arial"/>
          <w:color w:val="000000"/>
          <w:lang w:val="es-CO" w:eastAsia="en-US"/>
        </w:rPr>
      </w:pPr>
      <w:r w:rsidRPr="000B65DE">
        <w:rPr>
          <w:rFonts w:ascii="Bookman Old Style" w:eastAsia="Calibri" w:hAnsi="Bookman Old Style" w:cs="Arial"/>
          <w:color w:val="000000"/>
          <w:lang w:val="es-CO" w:eastAsia="en-US"/>
        </w:rPr>
        <w:t>Donde:</w:t>
      </w:r>
    </w:p>
    <w:tbl>
      <w:tblPr>
        <w:tblW w:w="9072" w:type="dxa"/>
        <w:tblInd w:w="534" w:type="dxa"/>
        <w:tblLayout w:type="fixed"/>
        <w:tblLook w:val="04A0" w:firstRow="1" w:lastRow="0" w:firstColumn="1" w:lastColumn="0" w:noHBand="0" w:noVBand="1"/>
      </w:tblPr>
      <w:tblGrid>
        <w:gridCol w:w="869"/>
        <w:gridCol w:w="8203"/>
      </w:tblGrid>
      <w:tr w:rsidR="000B65DE" w:rsidRPr="000B65DE" w:rsidTr="00382E27">
        <w:tc>
          <w:tcPr>
            <w:tcW w:w="869" w:type="dxa"/>
          </w:tcPr>
          <w:p w:rsidR="000B65DE" w:rsidRPr="0092172B" w:rsidRDefault="00364E59" w:rsidP="000B65DE">
            <w:pPr>
              <w:ind w:left="0"/>
              <w:jc w:val="both"/>
              <w:rPr>
                <w:rFonts w:ascii="Bookman Old Style" w:eastAsia="Calibri" w:hAnsi="Bookman Old Style" w:cs="Arial"/>
                <w:color w:val="000000"/>
                <w:lang w:val="es-CO" w:eastAsia="en-US"/>
              </w:rPr>
            </w:pPr>
            <m:oMathPara>
              <m:oMathParaPr>
                <m:jc m:val="left"/>
              </m:oMathParaPr>
              <m:oMath>
                <m:sSub>
                  <m:sSubPr>
                    <m:ctrlPr>
                      <w:rPr>
                        <w:rFonts w:ascii="Cambria Math" w:eastAsia="Calibri" w:hAnsi="Cambria Math" w:cs="Arial"/>
                        <w:color w:val="000000"/>
                        <w:lang w:val="es-CO" w:eastAsia="en-US"/>
                      </w:rPr>
                    </m:ctrlPr>
                  </m:sSubPr>
                  <m:e>
                    <m:r>
                      <m:rPr>
                        <m:sty m:val="p"/>
                      </m:rPr>
                      <w:rPr>
                        <w:rFonts w:ascii="Cambria Math" w:eastAsia="Calibri" w:hAnsi="Cambria Math" w:cs="Arial"/>
                        <w:color w:val="000000"/>
                        <w:lang w:val="es-CO" w:eastAsia="en-US"/>
                      </w:rPr>
                      <m:t>∆</m:t>
                    </m:r>
                  </m:e>
                  <m:sub>
                    <m:r>
                      <m:rPr>
                        <m:sty m:val="p"/>
                      </m:rPr>
                      <w:rPr>
                        <w:rFonts w:ascii="Cambria Math" w:eastAsia="Calibri" w:hAnsi="Cambria Math" w:cs="Arial"/>
                        <w:color w:val="000000"/>
                        <w:lang w:val="es-CO" w:eastAsia="en-US"/>
                      </w:rPr>
                      <m:t>Rept</m:t>
                    </m:r>
                  </m:sub>
                </m:sSub>
              </m:oMath>
            </m:oMathPara>
          </w:p>
        </w:tc>
        <w:tc>
          <w:tcPr>
            <w:tcW w:w="8203" w:type="dxa"/>
          </w:tcPr>
          <w:p w:rsidR="000B65DE" w:rsidRPr="000B65DE" w:rsidRDefault="000B65DE" w:rsidP="000B65DE">
            <w:pPr>
              <w:ind w:left="0"/>
              <w:jc w:val="both"/>
              <w:rPr>
                <w:rFonts w:ascii="Bookman Old Style" w:eastAsia="Calibri" w:hAnsi="Bookman Old Style" w:cs="Arial"/>
                <w:color w:val="000000"/>
                <w:lang w:val="es-CO" w:eastAsia="en-US"/>
              </w:rPr>
            </w:pPr>
            <w:r w:rsidRPr="000B65DE">
              <w:rPr>
                <w:rFonts w:ascii="Bookman Old Style" w:eastAsia="Calibri" w:hAnsi="Bookman Old Style" w:cs="Arial"/>
                <w:color w:val="000000"/>
                <w:lang w:val="es-CO" w:eastAsia="en-US"/>
              </w:rPr>
              <w:t>Delta del cargo de distribución por efecto del programa de reposición de activos del año t del Período Tarifario. Expresado en pesos de la Fecha Base por metro cúbico.</w:t>
            </w:r>
          </w:p>
          <w:p w:rsidR="000B65DE" w:rsidRPr="000B65DE" w:rsidRDefault="000B65DE" w:rsidP="000B65DE">
            <w:pPr>
              <w:ind w:left="0"/>
              <w:jc w:val="both"/>
              <w:rPr>
                <w:rFonts w:ascii="Bookman Old Style" w:eastAsia="Calibri" w:hAnsi="Bookman Old Style" w:cs="Arial"/>
                <w:color w:val="000000"/>
                <w:lang w:val="es-CO" w:eastAsia="en-US"/>
              </w:rPr>
            </w:pPr>
          </w:p>
        </w:tc>
      </w:tr>
      <w:tr w:rsidR="000B65DE" w:rsidRPr="000B65DE" w:rsidTr="00382E27">
        <w:tc>
          <w:tcPr>
            <w:tcW w:w="869" w:type="dxa"/>
          </w:tcPr>
          <w:p w:rsidR="000B65DE" w:rsidRPr="000B65DE" w:rsidRDefault="000B65DE" w:rsidP="000B65DE">
            <w:pPr>
              <w:ind w:left="0"/>
              <w:jc w:val="both"/>
              <w:rPr>
                <w:rFonts w:ascii="Bookman Old Style" w:eastAsia="Calibri" w:hAnsi="Bookman Old Style" w:cs="Arial"/>
                <w:color w:val="000000"/>
                <w:lang w:val="es-CO" w:eastAsia="en-US"/>
              </w:rPr>
            </w:pPr>
            <w:r w:rsidRPr="000B65DE">
              <w:rPr>
                <w:rFonts w:ascii="Bookman Old Style" w:eastAsia="Calibri" w:hAnsi="Bookman Old Style" w:cs="Arial"/>
                <w:color w:val="000000"/>
                <w:lang w:val="es-CO" w:eastAsia="en-US"/>
              </w:rPr>
              <w:t>t</w:t>
            </w:r>
          </w:p>
        </w:tc>
        <w:tc>
          <w:tcPr>
            <w:tcW w:w="8203" w:type="dxa"/>
          </w:tcPr>
          <w:p w:rsidR="000B65DE" w:rsidRPr="000B65DE" w:rsidRDefault="000B65DE" w:rsidP="000B65DE">
            <w:pPr>
              <w:ind w:left="0"/>
              <w:jc w:val="both"/>
              <w:rPr>
                <w:rFonts w:ascii="Bookman Old Style" w:eastAsia="Calibri" w:hAnsi="Bookman Old Style" w:cs="Arial"/>
                <w:color w:val="000000"/>
                <w:lang w:val="es-CO" w:eastAsia="en-US"/>
              </w:rPr>
            </w:pPr>
            <w:r w:rsidRPr="000B65DE">
              <w:rPr>
                <w:rFonts w:ascii="Bookman Old Style" w:eastAsia="Calibri" w:hAnsi="Bookman Old Style" w:cs="Arial"/>
                <w:color w:val="000000"/>
                <w:lang w:val="es-CO" w:eastAsia="en-US"/>
              </w:rPr>
              <w:t>Año del Período Tarifario en que se repondrán los activos.</w:t>
            </w:r>
          </w:p>
          <w:p w:rsidR="000B65DE" w:rsidRPr="000B65DE" w:rsidRDefault="000B65DE" w:rsidP="000B65DE">
            <w:pPr>
              <w:ind w:left="0"/>
              <w:jc w:val="both"/>
              <w:rPr>
                <w:rFonts w:ascii="Bookman Old Style" w:eastAsia="Calibri" w:hAnsi="Bookman Old Style" w:cs="Arial"/>
                <w:color w:val="000000"/>
                <w:lang w:val="es-CO" w:eastAsia="en-US"/>
              </w:rPr>
            </w:pPr>
          </w:p>
        </w:tc>
      </w:tr>
      <w:tr w:rsidR="000B65DE" w:rsidRPr="000B65DE" w:rsidTr="00382E27">
        <w:tc>
          <w:tcPr>
            <w:tcW w:w="869" w:type="dxa"/>
          </w:tcPr>
          <w:p w:rsidR="000B65DE" w:rsidRPr="0092172B" w:rsidRDefault="00364E59" w:rsidP="000B65DE">
            <w:pPr>
              <w:ind w:left="0"/>
              <w:jc w:val="both"/>
              <w:rPr>
                <w:rFonts w:ascii="Bookman Old Style" w:eastAsia="Calibri" w:hAnsi="Bookman Old Style" w:cs="Arial"/>
                <w:color w:val="000000"/>
                <w:lang w:val="es-CO" w:eastAsia="en-US"/>
              </w:rPr>
            </w:pPr>
            <m:oMathPara>
              <m:oMathParaPr>
                <m:jc m:val="left"/>
              </m:oMathParaPr>
              <m:oMath>
                <m:sSub>
                  <m:sSubPr>
                    <m:ctrlPr>
                      <w:rPr>
                        <w:rFonts w:ascii="Cambria Math" w:hAnsi="Cambria Math" w:cs="Arial"/>
                        <w:color w:val="000000"/>
                        <w:lang w:val="es-CO" w:eastAsia="en-US"/>
                      </w:rPr>
                    </m:ctrlPr>
                  </m:sSubPr>
                  <m:e>
                    <m:r>
                      <m:rPr>
                        <m:sty m:val="p"/>
                      </m:rPr>
                      <w:rPr>
                        <w:rFonts w:ascii="Cambria Math" w:hAnsi="Cambria Math" w:cs="Arial"/>
                        <w:color w:val="000000"/>
                        <w:lang w:val="es-CO" w:eastAsia="en-US"/>
                      </w:rPr>
                      <m:t>IRNA</m:t>
                    </m:r>
                  </m:e>
                  <m:sub>
                    <m:r>
                      <m:rPr>
                        <m:sty m:val="p"/>
                      </m:rPr>
                      <w:rPr>
                        <w:rFonts w:ascii="Cambria Math" w:hAnsi="Cambria Math" w:cs="Arial"/>
                        <w:color w:val="000000"/>
                        <w:lang w:val="es-CO" w:eastAsia="en-US"/>
                      </w:rPr>
                      <m:t>k</m:t>
                    </m:r>
                  </m:sub>
                </m:sSub>
              </m:oMath>
            </m:oMathPara>
          </w:p>
        </w:tc>
        <w:tc>
          <w:tcPr>
            <w:tcW w:w="8203" w:type="dxa"/>
          </w:tcPr>
          <w:p w:rsidR="000B65DE" w:rsidRPr="000B65DE" w:rsidRDefault="000B65DE" w:rsidP="000B65DE">
            <w:pPr>
              <w:ind w:left="0"/>
              <w:jc w:val="both"/>
              <w:rPr>
                <w:rFonts w:ascii="Bookman Old Style" w:eastAsia="Calibri" w:hAnsi="Bookman Old Style" w:cs="Arial"/>
                <w:color w:val="000000"/>
                <w:lang w:val="es-CO" w:eastAsia="en-US"/>
              </w:rPr>
            </w:pPr>
            <w:r w:rsidRPr="000B65DE">
              <w:rPr>
                <w:rFonts w:ascii="Bookman Old Style" w:eastAsia="Calibri" w:hAnsi="Bookman Old Style" w:cs="Arial"/>
                <w:color w:val="000000"/>
                <w:lang w:val="es-CO" w:eastAsia="en-US"/>
              </w:rPr>
              <w:t>Costo anual equivalente de la Inversión Base a reconocer por los activos nuevos que remplazan los activos existentes que serán objeto de reposición, expresado a pesos de la Fecha Base.</w:t>
            </w:r>
          </w:p>
          <w:p w:rsidR="000B65DE" w:rsidRPr="000B65DE" w:rsidRDefault="000B65DE" w:rsidP="000B65DE">
            <w:pPr>
              <w:ind w:left="0"/>
              <w:jc w:val="both"/>
              <w:rPr>
                <w:rFonts w:ascii="Bookman Old Style" w:eastAsia="Calibri" w:hAnsi="Bookman Old Style" w:cs="Arial"/>
                <w:color w:val="000000"/>
                <w:lang w:val="es-CO" w:eastAsia="en-US"/>
              </w:rPr>
            </w:pPr>
          </w:p>
          <w:p w:rsidR="000B65DE" w:rsidRPr="0092172B" w:rsidRDefault="00364E59" w:rsidP="000B65DE">
            <w:pPr>
              <w:tabs>
                <w:tab w:val="left" w:pos="426"/>
              </w:tabs>
              <w:spacing w:after="200"/>
              <w:ind w:left="0"/>
              <w:jc w:val="center"/>
              <w:rPr>
                <w:rFonts w:ascii="Bookman Old Style" w:hAnsi="Bookman Old Style" w:cs="Arial"/>
                <w:sz w:val="22"/>
                <w:lang w:val="es-CO" w:eastAsia="en-US"/>
              </w:rPr>
            </w:pPr>
            <m:oMathPara>
              <m:oMath>
                <m:sSub>
                  <m:sSubPr>
                    <m:ctrlPr>
                      <w:rPr>
                        <w:rFonts w:ascii="Cambria Math" w:eastAsia="Calibri" w:hAnsi="Cambria Math" w:cs="Arial"/>
                        <w:sz w:val="22"/>
                        <w:lang w:val="es-CO" w:eastAsia="en-US"/>
                      </w:rPr>
                    </m:ctrlPr>
                  </m:sSubPr>
                  <m:e>
                    <m:r>
                      <m:rPr>
                        <m:sty m:val="p"/>
                      </m:rPr>
                      <w:rPr>
                        <w:rFonts w:ascii="Cambria Math" w:eastAsia="Calibri" w:hAnsi="Cambria Math" w:cs="Arial"/>
                        <w:sz w:val="22"/>
                        <w:lang w:val="es-CO" w:eastAsia="en-US"/>
                      </w:rPr>
                      <m:t>IRNA</m:t>
                    </m:r>
                  </m:e>
                  <m:sub>
                    <m:r>
                      <m:rPr>
                        <m:sty m:val="p"/>
                      </m:rPr>
                      <w:rPr>
                        <w:rFonts w:ascii="Cambria Math" w:eastAsia="Calibri" w:hAnsi="Cambria Math" w:cs="Arial"/>
                        <w:sz w:val="22"/>
                        <w:lang w:val="es-CO" w:eastAsia="en-US"/>
                      </w:rPr>
                      <m:t>k</m:t>
                    </m:r>
                  </m:sub>
                </m:sSub>
                <m:r>
                  <m:rPr>
                    <m:sty m:val="p"/>
                  </m:rPr>
                  <w:rPr>
                    <w:rFonts w:ascii="Cambria Math" w:eastAsia="Calibri" w:hAnsi="Arial" w:cs="Arial"/>
                    <w:sz w:val="22"/>
                    <w:lang w:val="es-CO" w:eastAsia="en-US"/>
                  </w:rPr>
                  <m:t>=</m:t>
                </m:r>
                <m:d>
                  <m:dPr>
                    <m:begChr m:val="["/>
                    <m:endChr m:val="]"/>
                    <m:ctrlPr>
                      <w:rPr>
                        <w:rFonts w:ascii="Cambria Math" w:eastAsia="Calibri" w:hAnsi="Arial" w:cs="Arial"/>
                        <w:sz w:val="22"/>
                        <w:lang w:val="es-CO" w:eastAsia="en-US"/>
                      </w:rPr>
                    </m:ctrlPr>
                  </m:dPr>
                  <m:e>
                    <m:nary>
                      <m:naryPr>
                        <m:chr m:val="∑"/>
                        <m:limLoc m:val="undOvr"/>
                        <m:ctrlPr>
                          <w:rPr>
                            <w:rFonts w:ascii="Cambria Math" w:eastAsia="Calibri" w:hAnsi="Arial" w:cs="Arial"/>
                            <w:sz w:val="22"/>
                            <w:lang w:val="es-CO" w:eastAsia="en-US"/>
                          </w:rPr>
                        </m:ctrlPr>
                      </m:naryPr>
                      <m:sub>
                        <m:r>
                          <m:rPr>
                            <m:sty m:val="p"/>
                          </m:rPr>
                          <w:rPr>
                            <w:rFonts w:ascii="Cambria Math" w:eastAsia="Calibri" w:hAnsi="Cambria Math" w:cs="Arial"/>
                            <w:sz w:val="22"/>
                            <w:lang w:val="es-CO" w:eastAsia="en-US"/>
                          </w:rPr>
                          <m:t>i</m:t>
                        </m:r>
                        <m:r>
                          <m:rPr>
                            <m:sty m:val="p"/>
                          </m:rPr>
                          <w:rPr>
                            <w:rFonts w:ascii="Cambria Math" w:eastAsia="Calibri" w:hAnsi="Arial" w:cs="Arial"/>
                            <w:sz w:val="22"/>
                            <w:lang w:val="es-CO" w:eastAsia="en-US"/>
                          </w:rPr>
                          <m:t>=1</m:t>
                        </m:r>
                      </m:sub>
                      <m:sup>
                        <m:r>
                          <m:rPr>
                            <m:sty m:val="p"/>
                          </m:rPr>
                          <w:rPr>
                            <w:rFonts w:ascii="Cambria Math" w:eastAsia="Calibri" w:hAnsi="Cambria Math" w:cs="Arial"/>
                            <w:sz w:val="22"/>
                            <w:lang w:val="es-CO" w:eastAsia="en-US"/>
                          </w:rPr>
                          <m:t>NR</m:t>
                        </m:r>
                      </m:sup>
                      <m:e>
                        <m:r>
                          <m:rPr>
                            <m:sty m:val="p"/>
                          </m:rPr>
                          <w:rPr>
                            <w:rFonts w:ascii="Cambria Math" w:eastAsia="Calibri" w:hAnsi="Arial" w:cs="Arial"/>
                            <w:sz w:val="22"/>
                            <w:lang w:val="es-CO" w:eastAsia="en-US"/>
                          </w:rPr>
                          <m:t>(</m:t>
                        </m:r>
                        <m:sSub>
                          <m:sSubPr>
                            <m:ctrlPr>
                              <w:rPr>
                                <w:rFonts w:ascii="Cambria Math" w:eastAsia="Calibri" w:hAnsi="Arial" w:cs="Arial"/>
                                <w:sz w:val="22"/>
                                <w:lang w:val="es-CO" w:eastAsia="en-US"/>
                              </w:rPr>
                            </m:ctrlPr>
                          </m:sSubPr>
                          <m:e>
                            <m:r>
                              <m:rPr>
                                <m:sty m:val="p"/>
                              </m:rPr>
                              <w:rPr>
                                <w:rFonts w:ascii="Cambria Math" w:eastAsia="Calibri" w:hAnsi="Arial" w:cs="Arial"/>
                                <w:sz w:val="22"/>
                                <w:lang w:val="es-CO" w:eastAsia="en-US"/>
                              </w:rPr>
                              <m:t>Q</m:t>
                            </m:r>
                            <m:r>
                              <m:rPr>
                                <m:sty m:val="p"/>
                              </m:rPr>
                              <w:rPr>
                                <w:rFonts w:ascii="Cambria Math" w:eastAsia="Calibri" w:hAnsi="Cambria Math" w:cs="Arial"/>
                                <w:sz w:val="22"/>
                                <w:lang w:val="es-CO" w:eastAsia="en-US"/>
                              </w:rPr>
                              <m:t>UCN</m:t>
                            </m:r>
                          </m:e>
                          <m:sub>
                            <m:r>
                              <m:rPr>
                                <m:sty m:val="p"/>
                              </m:rPr>
                              <w:rPr>
                                <w:rFonts w:ascii="Cambria Math" w:eastAsia="Calibri" w:hAnsi="Arial" w:cs="Arial"/>
                                <w:sz w:val="22"/>
                                <w:lang w:val="es-CO" w:eastAsia="en-US"/>
                              </w:rPr>
                              <m:t>ik</m:t>
                            </m:r>
                          </m:sub>
                        </m:sSub>
                        <m:r>
                          <m:rPr>
                            <m:sty m:val="p"/>
                          </m:rPr>
                          <w:rPr>
                            <w:rFonts w:ascii="Cambria Math" w:eastAsia="Calibri" w:hAnsi="Arial" w:cs="Arial"/>
                            <w:sz w:val="22"/>
                            <w:lang w:val="es-CO" w:eastAsia="en-US"/>
                          </w:rPr>
                          <m:t>×</m:t>
                        </m:r>
                        <m:sSub>
                          <m:sSubPr>
                            <m:ctrlPr>
                              <w:rPr>
                                <w:rFonts w:ascii="Cambria Math" w:eastAsia="Calibri" w:hAnsi="Arial" w:cs="Arial"/>
                                <w:sz w:val="22"/>
                                <w:lang w:val="es-CO" w:eastAsia="en-US"/>
                              </w:rPr>
                            </m:ctrlPr>
                          </m:sSubPr>
                          <m:e>
                            <m:r>
                              <m:rPr>
                                <m:sty m:val="p"/>
                              </m:rPr>
                              <w:rPr>
                                <w:rFonts w:ascii="Cambria Math" w:eastAsia="Calibri" w:hAnsi="Cambria Math" w:cs="Arial"/>
                                <w:sz w:val="22"/>
                                <w:lang w:val="es-CO" w:eastAsia="en-US"/>
                              </w:rPr>
                              <m:t>PUCN</m:t>
                            </m:r>
                          </m:e>
                          <m:sub>
                            <m:r>
                              <m:rPr>
                                <m:sty m:val="p"/>
                              </m:rPr>
                              <w:rPr>
                                <w:rFonts w:ascii="Cambria Math" w:eastAsia="Calibri" w:hAnsi="Cambria Math" w:cs="Arial"/>
                                <w:sz w:val="22"/>
                                <w:lang w:val="es-CO" w:eastAsia="en-US"/>
                              </w:rPr>
                              <m:t>i</m:t>
                            </m:r>
                          </m:sub>
                        </m:sSub>
                        <m:r>
                          <m:rPr>
                            <m:sty m:val="p"/>
                          </m:rPr>
                          <w:rPr>
                            <w:rFonts w:ascii="Cambria Math" w:eastAsia="Calibri" w:hAnsi="Arial" w:cs="Arial"/>
                            <w:sz w:val="22"/>
                            <w:lang w:val="es-CO" w:eastAsia="en-US"/>
                          </w:rPr>
                          <m:t>)</m:t>
                        </m:r>
                      </m:e>
                    </m:nary>
                  </m:e>
                </m:d>
                <m:r>
                  <m:rPr>
                    <m:sty m:val="p"/>
                  </m:rPr>
                  <w:rPr>
                    <w:rFonts w:ascii="Cambria Math" w:eastAsia="Calibri" w:hAnsi="Arial" w:cs="Arial"/>
                    <w:sz w:val="22"/>
                    <w:lang w:val="es-CO" w:eastAsia="en-US"/>
                  </w:rPr>
                  <m:t>×</m:t>
                </m:r>
                <m:f>
                  <m:fPr>
                    <m:ctrlPr>
                      <w:rPr>
                        <w:rFonts w:ascii="Cambria Math" w:eastAsia="Calibri" w:hAnsi="Arial" w:cs="Arial"/>
                        <w:sz w:val="22"/>
                        <w:lang w:val="es-CO" w:eastAsia="en-US"/>
                      </w:rPr>
                    </m:ctrlPr>
                  </m:fPr>
                  <m:num>
                    <m:r>
                      <m:rPr>
                        <m:sty m:val="p"/>
                      </m:rPr>
                      <w:rPr>
                        <w:rFonts w:ascii="Cambria Math" w:eastAsia="Calibri" w:hAnsi="Cambria Math" w:cs="Arial"/>
                        <w:sz w:val="22"/>
                        <w:lang w:val="es-CO" w:eastAsia="en-US"/>
                      </w:rPr>
                      <m:t>r</m:t>
                    </m:r>
                  </m:num>
                  <m:den>
                    <m:r>
                      <m:rPr>
                        <m:sty m:val="p"/>
                      </m:rPr>
                      <w:rPr>
                        <w:rFonts w:ascii="Cambria Math" w:eastAsia="Calibri" w:hAnsi="Arial" w:cs="Arial"/>
                        <w:sz w:val="22"/>
                        <w:lang w:val="es-CO" w:eastAsia="en-US"/>
                      </w:rPr>
                      <m:t>1</m:t>
                    </m:r>
                    <m:r>
                      <m:rPr>
                        <m:sty m:val="p"/>
                      </m:rPr>
                      <w:rPr>
                        <w:rFonts w:ascii="Cambria Math" w:eastAsia="Calibri" w:hAnsi="Arial" w:cs="Arial"/>
                        <w:sz w:val="22"/>
                        <w:lang w:val="es-CO" w:eastAsia="en-US"/>
                      </w:rPr>
                      <m:t>-</m:t>
                    </m:r>
                    <m:sSup>
                      <m:sSupPr>
                        <m:ctrlPr>
                          <w:rPr>
                            <w:rFonts w:ascii="Cambria Math" w:eastAsia="Calibri" w:hAnsi="Arial" w:cs="Arial"/>
                            <w:sz w:val="22"/>
                            <w:lang w:val="es-CO" w:eastAsia="en-US"/>
                          </w:rPr>
                        </m:ctrlPr>
                      </m:sSupPr>
                      <m:e>
                        <m:r>
                          <m:rPr>
                            <m:sty m:val="p"/>
                          </m:rPr>
                          <w:rPr>
                            <w:rFonts w:ascii="Cambria Math" w:eastAsia="Calibri" w:hAnsi="Arial" w:cs="Arial"/>
                            <w:sz w:val="22"/>
                            <w:lang w:val="es-CO" w:eastAsia="en-US"/>
                          </w:rPr>
                          <m:t>(1+</m:t>
                        </m:r>
                        <m:r>
                          <m:rPr>
                            <m:sty m:val="p"/>
                          </m:rPr>
                          <w:rPr>
                            <w:rFonts w:ascii="Cambria Math" w:eastAsia="Calibri" w:hAnsi="Cambria Math" w:cs="Arial"/>
                            <w:sz w:val="22"/>
                            <w:lang w:val="es-CO" w:eastAsia="en-US"/>
                          </w:rPr>
                          <m:t>r</m:t>
                        </m:r>
                        <m:r>
                          <m:rPr>
                            <m:sty m:val="p"/>
                          </m:rPr>
                          <w:rPr>
                            <w:rFonts w:ascii="Cambria Math" w:eastAsia="Calibri" w:hAnsi="Arial" w:cs="Arial"/>
                            <w:sz w:val="22"/>
                            <w:lang w:val="es-CO" w:eastAsia="en-US"/>
                          </w:rPr>
                          <m:t>)</m:t>
                        </m:r>
                      </m:e>
                      <m:sup>
                        <m:r>
                          <m:rPr>
                            <m:sty m:val="p"/>
                          </m:rPr>
                          <w:rPr>
                            <w:rFonts w:ascii="Cambria Math" w:eastAsia="Calibri" w:hAnsi="Cambria Math" w:cs="Arial"/>
                            <w:sz w:val="22"/>
                            <w:lang w:val="es-CO" w:eastAsia="en-US"/>
                          </w:rPr>
                          <m:t>-u</m:t>
                        </m:r>
                      </m:sup>
                    </m:sSup>
                  </m:den>
                </m:f>
              </m:oMath>
            </m:oMathPara>
          </w:p>
          <w:tbl>
            <w:tblPr>
              <w:tblW w:w="8363" w:type="dxa"/>
              <w:tblLayout w:type="fixed"/>
              <w:tblLook w:val="04A0" w:firstRow="1" w:lastRow="0" w:firstColumn="1" w:lastColumn="0" w:noHBand="0" w:noVBand="1"/>
            </w:tblPr>
            <w:tblGrid>
              <w:gridCol w:w="1495"/>
              <w:gridCol w:w="773"/>
              <w:gridCol w:w="4760"/>
              <w:gridCol w:w="1335"/>
            </w:tblGrid>
            <w:tr w:rsidR="000B65DE" w:rsidRPr="000B65DE" w:rsidTr="00382E27">
              <w:tc>
                <w:tcPr>
                  <w:tcW w:w="2268" w:type="dxa"/>
                  <w:gridSpan w:val="2"/>
                </w:tcPr>
                <w:p w:rsidR="000B65DE" w:rsidRPr="000B65DE" w:rsidRDefault="000B65DE" w:rsidP="000B65DE">
                  <w:pPr>
                    <w:tabs>
                      <w:tab w:val="left" w:pos="426"/>
                    </w:tabs>
                    <w:spacing w:after="200" w:line="276" w:lineRule="auto"/>
                    <w:ind w:left="0"/>
                    <w:rPr>
                      <w:rFonts w:ascii="Bookman Old Style" w:hAnsi="Bookman Old Style" w:cs="Arial"/>
                      <w:lang w:val="es-CO" w:eastAsia="en-US"/>
                    </w:rPr>
                  </w:pPr>
                </w:p>
                <w:p w:rsidR="000B65DE" w:rsidRPr="000B65DE" w:rsidRDefault="000B65DE" w:rsidP="000B65DE">
                  <w:pPr>
                    <w:tabs>
                      <w:tab w:val="left" w:pos="426"/>
                    </w:tabs>
                    <w:spacing w:after="200" w:line="276" w:lineRule="auto"/>
                    <w:ind w:left="0"/>
                    <w:rPr>
                      <w:rFonts w:ascii="Bookman Old Style" w:hAnsi="Bookman Old Style" w:cs="Arial"/>
                      <w:lang w:val="es-CO" w:eastAsia="en-US"/>
                    </w:rPr>
                  </w:pPr>
                  <w:r w:rsidRPr="000B65DE">
                    <w:rPr>
                      <w:rFonts w:ascii="Bookman Old Style" w:hAnsi="Bookman Old Style" w:cs="Arial"/>
                      <w:lang w:val="es-CO" w:eastAsia="en-US"/>
                    </w:rPr>
                    <w:t>Donde:</w:t>
                  </w:r>
                </w:p>
              </w:tc>
              <w:tc>
                <w:tcPr>
                  <w:tcW w:w="6095" w:type="dxa"/>
                  <w:gridSpan w:val="2"/>
                </w:tcPr>
                <w:p w:rsidR="000B65DE" w:rsidRPr="000B65DE" w:rsidRDefault="000B65DE" w:rsidP="000B65DE">
                  <w:pPr>
                    <w:tabs>
                      <w:tab w:val="left" w:pos="426"/>
                    </w:tabs>
                    <w:spacing w:after="200"/>
                    <w:ind w:left="0"/>
                    <w:jc w:val="both"/>
                    <w:rPr>
                      <w:rFonts w:ascii="Bookman Old Style" w:hAnsi="Bookman Old Style" w:cs="Arial"/>
                      <w:lang w:val="es-CO" w:eastAsia="en-US"/>
                    </w:rPr>
                  </w:pPr>
                </w:p>
              </w:tc>
            </w:tr>
            <w:tr w:rsidR="000B65DE" w:rsidRPr="000B65DE" w:rsidTr="00382E27">
              <w:trPr>
                <w:gridAfter w:val="1"/>
                <w:wAfter w:w="1335" w:type="dxa"/>
              </w:trPr>
              <w:tc>
                <w:tcPr>
                  <w:tcW w:w="1495" w:type="dxa"/>
                </w:tcPr>
                <w:p w:rsidR="000B65DE" w:rsidRPr="000B65DE" w:rsidRDefault="000B65DE" w:rsidP="000B65DE">
                  <w:pPr>
                    <w:tabs>
                      <w:tab w:val="left" w:pos="426"/>
                    </w:tabs>
                    <w:spacing w:after="200" w:line="276" w:lineRule="auto"/>
                    <w:ind w:left="0"/>
                    <w:jc w:val="both"/>
                    <w:rPr>
                      <w:rFonts w:ascii="Bookman Old Style" w:hAnsi="Bookman Old Style" w:cs="Arial"/>
                      <w:lang w:val="es-CO" w:eastAsia="en-US"/>
                    </w:rPr>
                  </w:pPr>
                  <w:r w:rsidRPr="000B65DE">
                    <w:rPr>
                      <w:rFonts w:ascii="Bookman Old Style" w:hAnsi="Bookman Old Style" w:cs="Arial"/>
                      <w:lang w:val="es-CO" w:eastAsia="en-US"/>
                    </w:rPr>
                    <w:t>NR</w:t>
                  </w:r>
                </w:p>
              </w:tc>
              <w:tc>
                <w:tcPr>
                  <w:tcW w:w="5533" w:type="dxa"/>
                  <w:gridSpan w:val="2"/>
                </w:tcPr>
                <w:p w:rsidR="000B65DE" w:rsidRPr="000B65DE" w:rsidRDefault="000B65DE" w:rsidP="000B65DE">
                  <w:pPr>
                    <w:tabs>
                      <w:tab w:val="left" w:pos="-29"/>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Número</w:t>
                  </w:r>
                  <w:r w:rsidRPr="000B65DE">
                    <w:rPr>
                      <w:rFonts w:ascii="Bookman Old Style" w:hAnsi="Bookman Old Style" w:cs="Arial"/>
                      <w:lang w:val="es-CO" w:eastAsia="en-US"/>
                    </w:rPr>
                    <w:cr/>
                    <w:t>de total de QUCN reportadas para remplazar  para el Mercado Relevante de Distribución para el Siguiente Período Tarifario k.</w:t>
                  </w:r>
                </w:p>
              </w:tc>
            </w:tr>
            <w:tr w:rsidR="000B65DE" w:rsidRPr="000B65DE" w:rsidTr="00382E27">
              <w:trPr>
                <w:gridAfter w:val="1"/>
                <w:wAfter w:w="1335" w:type="dxa"/>
              </w:trPr>
              <w:tc>
                <w:tcPr>
                  <w:tcW w:w="1495" w:type="dxa"/>
                </w:tcPr>
                <w:p w:rsidR="000B65DE" w:rsidRPr="0092172B" w:rsidRDefault="00364E59" w:rsidP="000B65DE">
                  <w:pPr>
                    <w:tabs>
                      <w:tab w:val="left" w:pos="426"/>
                    </w:tabs>
                    <w:spacing w:after="200" w:line="276" w:lineRule="auto"/>
                    <w:ind w:left="0"/>
                    <w:jc w:val="both"/>
                    <w:rPr>
                      <w:rFonts w:ascii="Bookman Old Style" w:hAnsi="Bookman Old Style" w:cs="Arial"/>
                      <w:lang w:val="es-CO" w:eastAsia="en-US"/>
                    </w:rPr>
                  </w:pPr>
                  <m:oMathPara>
                    <m:oMathParaPr>
                      <m:jc m:val="left"/>
                    </m:oMathParaPr>
                    <m:oMath>
                      <m:sSub>
                        <m:sSubPr>
                          <m:ctrlPr>
                            <w:rPr>
                              <w:rFonts w:ascii="Cambria Math" w:eastAsia="Calibri" w:hAnsi="Arial" w:cs="Arial"/>
                              <w:lang w:val="es-CO" w:eastAsia="en-US"/>
                            </w:rPr>
                          </m:ctrlPr>
                        </m:sSubPr>
                        <m:e>
                          <m:r>
                            <m:rPr>
                              <m:sty m:val="p"/>
                            </m:rPr>
                            <w:rPr>
                              <w:rFonts w:ascii="Cambria Math" w:eastAsia="Calibri" w:hAnsi="Cambria Math" w:cs="Arial"/>
                              <w:lang w:val="es-CO" w:eastAsia="en-US"/>
                            </w:rPr>
                            <m:t>UCN</m:t>
                          </m:r>
                        </m:e>
                        <m:sub>
                          <m:r>
                            <m:rPr>
                              <m:sty m:val="p"/>
                            </m:rPr>
                            <w:rPr>
                              <w:rFonts w:ascii="Cambria Math" w:eastAsia="Calibri" w:hAnsi="Cambria Math" w:cs="Arial"/>
                              <w:lang w:val="es-CO" w:eastAsia="en-US"/>
                            </w:rPr>
                            <m:t>i</m:t>
                          </m:r>
                        </m:sub>
                      </m:sSub>
                    </m:oMath>
                  </m:oMathPara>
                </w:p>
              </w:tc>
              <w:tc>
                <w:tcPr>
                  <w:tcW w:w="5533" w:type="dxa"/>
                  <w:gridSpan w:val="2"/>
                </w:tcPr>
                <w:p w:rsidR="000B65DE" w:rsidRPr="000B65DE" w:rsidRDefault="000B65DE" w:rsidP="000B65DE">
                  <w:pPr>
                    <w:tabs>
                      <w:tab w:val="left" w:pos="-29"/>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Unidad constructiva i</w:t>
                  </w:r>
                </w:p>
              </w:tc>
            </w:tr>
            <w:tr w:rsidR="000B65DE" w:rsidRPr="000B65DE" w:rsidTr="00382E27">
              <w:trPr>
                <w:gridAfter w:val="1"/>
                <w:wAfter w:w="1335" w:type="dxa"/>
              </w:trPr>
              <w:tc>
                <w:tcPr>
                  <w:tcW w:w="1495" w:type="dxa"/>
                </w:tcPr>
                <w:p w:rsidR="000B65DE" w:rsidRPr="0092172B" w:rsidRDefault="00364E59" w:rsidP="000B65DE">
                  <w:pPr>
                    <w:tabs>
                      <w:tab w:val="left" w:pos="426"/>
                    </w:tabs>
                    <w:spacing w:after="200" w:line="276" w:lineRule="auto"/>
                    <w:ind w:left="0"/>
                    <w:jc w:val="both"/>
                    <w:rPr>
                      <w:rFonts w:ascii="Bookman Old Style" w:hAnsi="Bookman Old Style" w:cs="Arial"/>
                      <w:lang w:val="es-CO" w:eastAsia="en-US"/>
                    </w:rPr>
                  </w:pPr>
                  <m:oMathPara>
                    <m:oMathParaPr>
                      <m:jc m:val="left"/>
                    </m:oMathParaPr>
                    <m:oMath>
                      <m:sSub>
                        <m:sSubPr>
                          <m:ctrlPr>
                            <w:rPr>
                              <w:rFonts w:ascii="Cambria Math" w:eastAsia="Calibri" w:hAnsi="Arial" w:cs="Arial"/>
                              <w:lang w:val="es-CO" w:eastAsia="en-US"/>
                            </w:rPr>
                          </m:ctrlPr>
                        </m:sSubPr>
                        <m:e>
                          <m:r>
                            <m:rPr>
                              <m:sty m:val="p"/>
                            </m:rPr>
                            <w:rPr>
                              <w:rFonts w:ascii="Cambria Math" w:eastAsia="Calibri" w:hAnsi="Arial" w:cs="Arial"/>
                              <w:lang w:val="es-CO" w:eastAsia="en-US"/>
                            </w:rPr>
                            <m:t>QUCN</m:t>
                          </m:r>
                        </m:e>
                        <m:sub>
                          <m:r>
                            <m:rPr>
                              <m:sty m:val="p"/>
                            </m:rPr>
                            <w:rPr>
                              <w:rFonts w:ascii="Cambria Math" w:eastAsia="Calibri" w:hAnsi="Arial" w:cs="Arial"/>
                              <w:lang w:val="es-CO" w:eastAsia="en-US"/>
                            </w:rPr>
                            <m:t>ik</m:t>
                          </m:r>
                        </m:sub>
                      </m:sSub>
                    </m:oMath>
                  </m:oMathPara>
                </w:p>
              </w:tc>
              <w:tc>
                <w:tcPr>
                  <w:tcW w:w="5533" w:type="dxa"/>
                  <w:gridSpan w:val="2"/>
                </w:tcPr>
                <w:p w:rsidR="000B65DE" w:rsidRPr="000B65DE" w:rsidRDefault="000B65DE" w:rsidP="00763F41">
                  <w:pPr>
                    <w:tabs>
                      <w:tab w:val="left" w:pos="-29"/>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Cantidad de la unidad constructiva de inversión a reponer</w:t>
                  </w:r>
                  <w:r w:rsidR="00763F41">
                    <w:rPr>
                      <w:rFonts w:ascii="Bookman Old Style" w:hAnsi="Bookman Old Style" w:cs="Arial"/>
                      <w:lang w:val="es-CO" w:eastAsia="en-US"/>
                    </w:rPr>
                    <w:t xml:space="preserve"> </w:t>
                  </w:r>
                  <m:oMath>
                    <m:sSub>
                      <m:sSubPr>
                        <m:ctrlPr>
                          <w:rPr>
                            <w:rFonts w:ascii="Cambria Math" w:eastAsia="Calibri" w:hAnsi="Arial" w:cs="Arial"/>
                            <w:i/>
                            <w:lang w:val="es-CO" w:eastAsia="en-US"/>
                          </w:rPr>
                        </m:ctrlPr>
                      </m:sSubPr>
                      <m:e>
                        <m:r>
                          <w:rPr>
                            <w:rFonts w:ascii="Cambria Math" w:eastAsia="Calibri" w:hAnsi="Cambria Math" w:cs="Arial"/>
                            <w:lang w:val="es-CO" w:eastAsia="en-US"/>
                          </w:rPr>
                          <m:t>UCN</m:t>
                        </m:r>
                      </m:e>
                      <m:sub>
                        <m:r>
                          <w:rPr>
                            <w:rFonts w:ascii="Cambria Math" w:eastAsia="Calibri" w:hAnsi="Cambria Math" w:cs="Arial"/>
                            <w:lang w:val="es-CO" w:eastAsia="en-US"/>
                          </w:rPr>
                          <m:t>i</m:t>
                        </m:r>
                      </m:sub>
                    </m:sSub>
                    <m:r>
                      <w:rPr>
                        <w:rFonts w:ascii="Cambria Math" w:eastAsia="Calibri" w:hAnsi="Arial" w:cs="Arial"/>
                        <w:lang w:val="es-CO" w:eastAsia="en-US"/>
                      </w:rPr>
                      <m:t xml:space="preserve">  </m:t>
                    </m:r>
                  </m:oMath>
                  <w:r w:rsidRPr="000B65DE">
                    <w:rPr>
                      <w:rFonts w:ascii="Bookman Old Style" w:hAnsi="Bookman Old Style" w:cs="Arial"/>
                      <w:lang w:val="es-CO" w:eastAsia="en-US"/>
                    </w:rPr>
                    <w:t>para</w:t>
                  </w:r>
                  <w:r w:rsidR="00763F41">
                    <w:rPr>
                      <w:rFonts w:ascii="Bookman Old Style" w:hAnsi="Bookman Old Style" w:cs="Arial"/>
                      <w:lang w:val="es-CO" w:eastAsia="en-US"/>
                    </w:rPr>
                    <w:t xml:space="preserve"> el</w:t>
                  </w:r>
                  <w:r w:rsidRPr="000B65DE">
                    <w:rPr>
                      <w:rFonts w:ascii="Bookman Old Style" w:hAnsi="Bookman Old Style" w:cs="Arial"/>
                      <w:lang w:val="es-CO" w:eastAsia="en-US"/>
                    </w:rPr>
                    <w:t xml:space="preserve"> </w:t>
                  </w:r>
                  <w:r w:rsidR="00763F41" w:rsidRPr="000B65DE">
                    <w:rPr>
                      <w:rFonts w:ascii="Bookman Old Style" w:hAnsi="Bookman Old Style" w:cs="Arial"/>
                      <w:lang w:val="es-CO" w:eastAsia="en-US"/>
                    </w:rPr>
                    <w:t xml:space="preserve">Mercado Relevante de Distribución para el Siguiente Período Tarifario </w:t>
                  </w:r>
                  <w:r w:rsidRPr="000B65DE">
                    <w:rPr>
                      <w:rFonts w:ascii="Bookman Old Style" w:hAnsi="Bookman Old Style" w:cs="Arial"/>
                      <w:i/>
                      <w:lang w:val="es-CO" w:eastAsia="en-US"/>
                    </w:rPr>
                    <w:t>k</w:t>
                  </w:r>
                </w:p>
              </w:tc>
            </w:tr>
            <w:tr w:rsidR="000B65DE" w:rsidRPr="000B65DE" w:rsidTr="00382E27">
              <w:trPr>
                <w:gridAfter w:val="1"/>
                <w:wAfter w:w="1335" w:type="dxa"/>
              </w:trPr>
              <w:tc>
                <w:tcPr>
                  <w:tcW w:w="1495" w:type="dxa"/>
                </w:tcPr>
                <w:p w:rsidR="000B65DE" w:rsidRPr="008A3B62" w:rsidRDefault="00364E59" w:rsidP="00763F41">
                  <w:pPr>
                    <w:tabs>
                      <w:tab w:val="left" w:pos="426"/>
                    </w:tabs>
                    <w:spacing w:after="200" w:line="276" w:lineRule="auto"/>
                    <w:ind w:left="0"/>
                    <w:jc w:val="both"/>
                    <w:rPr>
                      <w:rFonts w:ascii="Bookman Old Style" w:hAnsi="Bookman Old Style" w:cs="Arial"/>
                      <w:lang w:val="es-CO" w:eastAsia="en-US"/>
                    </w:rPr>
                  </w:pPr>
                  <m:oMathPara>
                    <m:oMathParaPr>
                      <m:jc m:val="left"/>
                    </m:oMathParaPr>
                    <m:oMath>
                      <m:sSub>
                        <m:sSubPr>
                          <m:ctrlPr>
                            <w:rPr>
                              <w:rFonts w:ascii="Cambria Math" w:eastAsia="Calibri" w:hAnsi="Arial" w:cs="Arial"/>
                              <w:lang w:val="es-CO" w:eastAsia="en-US"/>
                            </w:rPr>
                          </m:ctrlPr>
                        </m:sSubPr>
                        <m:e>
                          <m:r>
                            <m:rPr>
                              <m:sty m:val="p"/>
                            </m:rPr>
                            <w:rPr>
                              <w:rFonts w:ascii="Cambria Math" w:eastAsia="Calibri" w:hAnsi="Cambria Math" w:cs="Arial"/>
                              <w:lang w:val="es-CO" w:eastAsia="en-US"/>
                            </w:rPr>
                            <m:t>PUCN</m:t>
                          </m:r>
                        </m:e>
                        <m:sub>
                          <m:r>
                            <m:rPr>
                              <m:sty m:val="p"/>
                            </m:rPr>
                            <w:rPr>
                              <w:rFonts w:ascii="Cambria Math" w:eastAsia="Calibri" w:hAnsi="Cambria Math" w:cs="Arial"/>
                              <w:lang w:val="es-CO" w:eastAsia="en-US"/>
                            </w:rPr>
                            <m:t>i</m:t>
                          </m:r>
                        </m:sub>
                      </m:sSub>
                    </m:oMath>
                  </m:oMathPara>
                </w:p>
              </w:tc>
              <w:tc>
                <w:tcPr>
                  <w:tcW w:w="5533" w:type="dxa"/>
                  <w:gridSpan w:val="2"/>
                </w:tcPr>
                <w:p w:rsidR="000B65DE" w:rsidRPr="000B65DE" w:rsidRDefault="000B65DE" w:rsidP="001D6604">
                  <w:pPr>
                    <w:tabs>
                      <w:tab w:val="left" w:pos="-29"/>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Costo unitario reconocido para la</w:t>
                  </w:r>
                  <w:r w:rsidR="001D6604">
                    <w:rPr>
                      <w:rFonts w:ascii="Bookman Old Style" w:hAnsi="Bookman Old Style" w:cs="Arial"/>
                      <w:lang w:val="es-CO" w:eastAsia="en-US"/>
                    </w:rPr>
                    <w:t xml:space="preserve"> </w:t>
                  </w:r>
                  <m:oMath>
                    <m:sSub>
                      <m:sSubPr>
                        <m:ctrlPr>
                          <w:rPr>
                            <w:rFonts w:ascii="Cambria Math" w:eastAsia="Calibri" w:hAnsi="Arial" w:cs="Arial"/>
                            <w:i/>
                            <w:lang w:val="es-CO" w:eastAsia="en-US"/>
                          </w:rPr>
                        </m:ctrlPr>
                      </m:sSubPr>
                      <m:e>
                        <m:r>
                          <w:rPr>
                            <w:rFonts w:ascii="Cambria Math" w:eastAsia="Calibri" w:hAnsi="Cambria Math" w:cs="Arial"/>
                            <w:lang w:val="es-CO" w:eastAsia="en-US"/>
                          </w:rPr>
                          <m:t>UCN</m:t>
                        </m:r>
                      </m:e>
                      <m:sub>
                        <m:r>
                          <w:rPr>
                            <w:rFonts w:ascii="Cambria Math" w:eastAsia="Calibri" w:hAnsi="Cambria Math" w:cs="Arial"/>
                            <w:lang w:val="es-CO" w:eastAsia="en-US"/>
                          </w:rPr>
                          <m:t>i</m:t>
                        </m:r>
                      </m:sub>
                    </m:sSub>
                    <m:r>
                      <w:rPr>
                        <w:rFonts w:ascii="Cambria Math" w:eastAsia="Calibri" w:hAnsi="Arial" w:cs="Arial"/>
                        <w:lang w:val="es-CO" w:eastAsia="en-US"/>
                      </w:rPr>
                      <m:t xml:space="preserve">  </m:t>
                    </m:r>
                  </m:oMath>
                  <w:r w:rsidRPr="000B65DE">
                    <w:rPr>
                      <w:rFonts w:ascii="Bookman Old Style" w:hAnsi="Bookman Old Style" w:cs="Arial"/>
                      <w:lang w:val="es-CO" w:eastAsia="en-US"/>
                    </w:rPr>
                    <w:t xml:space="preserve">relacionado en el </w:t>
                  </w:r>
                  <w:r w:rsidR="00AF6018" w:rsidRPr="000B65DE">
                    <w:rPr>
                      <w:rFonts w:ascii="Bookman Old Style" w:hAnsi="Bookman Old Style" w:cs="Arial"/>
                      <w:lang w:val="es-CO" w:eastAsia="en-US"/>
                    </w:rPr>
                    <w:fldChar w:fldCharType="begin"/>
                  </w:r>
                  <w:r w:rsidRPr="000B65DE">
                    <w:rPr>
                      <w:rFonts w:ascii="Bookman Old Style" w:hAnsi="Bookman Old Style" w:cs="Arial"/>
                      <w:lang w:val="es-CO" w:eastAsia="en-US"/>
                    </w:rPr>
                    <w:instrText xml:space="preserve"> REF _Ref330910423 \r \h </w:instrText>
                  </w:r>
                  <w:r w:rsidR="00AF6018" w:rsidRPr="000B65DE">
                    <w:rPr>
                      <w:rFonts w:ascii="Bookman Old Style" w:hAnsi="Bookman Old Style" w:cs="Arial"/>
                      <w:lang w:val="es-CO" w:eastAsia="en-US"/>
                    </w:rPr>
                  </w:r>
                  <w:r w:rsidR="00AF6018" w:rsidRPr="000B65DE">
                    <w:rPr>
                      <w:rFonts w:ascii="Bookman Old Style" w:hAnsi="Bookman Old Style" w:cs="Arial"/>
                      <w:lang w:val="es-CO" w:eastAsia="en-US"/>
                    </w:rPr>
                    <w:fldChar w:fldCharType="separate"/>
                  </w:r>
                  <w:r w:rsidR="004D5C18">
                    <w:rPr>
                      <w:rFonts w:ascii="Bookman Old Style" w:hAnsi="Bookman Old Style" w:cs="Arial"/>
                      <w:lang w:val="es-CO" w:eastAsia="en-US"/>
                    </w:rPr>
                    <w:t>ANEXO 8</w:t>
                  </w:r>
                  <w:r w:rsidR="00AF6018" w:rsidRPr="000B65DE">
                    <w:rPr>
                      <w:rFonts w:ascii="Bookman Old Style" w:hAnsi="Bookman Old Style" w:cs="Arial"/>
                      <w:lang w:val="es-CO" w:eastAsia="en-US"/>
                    </w:rPr>
                    <w:fldChar w:fldCharType="end"/>
                  </w:r>
                  <w:r w:rsidR="001D6604">
                    <w:rPr>
                      <w:rFonts w:ascii="Bookman Old Style" w:hAnsi="Bookman Old Style" w:cs="Arial"/>
                      <w:lang w:val="es-CO" w:eastAsia="en-US"/>
                    </w:rPr>
                    <w:t>.</w:t>
                  </w:r>
                </w:p>
              </w:tc>
            </w:tr>
            <w:tr w:rsidR="000B65DE" w:rsidRPr="000B65DE" w:rsidTr="00382E27">
              <w:trPr>
                <w:gridAfter w:val="1"/>
                <w:wAfter w:w="1335" w:type="dxa"/>
              </w:trPr>
              <w:tc>
                <w:tcPr>
                  <w:tcW w:w="1495" w:type="dxa"/>
                </w:tcPr>
                <w:p w:rsidR="000B65DE" w:rsidRPr="008A3B62" w:rsidRDefault="00CD68AD" w:rsidP="000B65DE">
                  <w:pPr>
                    <w:tabs>
                      <w:tab w:val="left" w:pos="33"/>
                    </w:tabs>
                    <w:spacing w:before="120" w:after="200" w:line="276" w:lineRule="auto"/>
                    <w:ind w:left="0"/>
                    <w:jc w:val="both"/>
                    <w:rPr>
                      <w:rFonts w:ascii="Bookman Old Style" w:eastAsia="Calibri" w:hAnsi="Bookman Old Style" w:cs="Arial"/>
                      <w:sz w:val="22"/>
                      <w:szCs w:val="22"/>
                      <w:lang w:val="es-CO" w:eastAsia="en-US"/>
                    </w:rPr>
                  </w:pPr>
                  <w:r w:rsidRPr="008A3B62">
                    <w:rPr>
                      <w:rFonts w:ascii="Bookman Old Style" w:eastAsia="Calibri" w:hAnsi="Bookman Old Style" w:cs="Arial"/>
                      <w:sz w:val="22"/>
                      <w:szCs w:val="22"/>
                      <w:lang w:val="es-CO" w:eastAsia="en-US"/>
                    </w:rPr>
                    <w:t>r</w:t>
                  </w:r>
                </w:p>
              </w:tc>
              <w:tc>
                <w:tcPr>
                  <w:tcW w:w="5533" w:type="dxa"/>
                  <w:gridSpan w:val="2"/>
                </w:tcPr>
                <w:p w:rsidR="000B65DE" w:rsidRPr="000B65DE" w:rsidRDefault="000B65DE" w:rsidP="000B65DE">
                  <w:pPr>
                    <w:tabs>
                      <w:tab w:val="left" w:pos="-29"/>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Tasa de</w:t>
                  </w:r>
                  <w:r w:rsidRPr="000B65DE">
                    <w:rPr>
                      <w:rFonts w:ascii="Bookman Old Style" w:hAnsi="Bookman Old Style" w:cs="Arial"/>
                      <w:lang w:val="es-CO" w:eastAsia="en-US"/>
                    </w:rPr>
                    <w:cr/>
                    <w:t xml:space="preserve"> Retorno reconocida para la metodología de Precio Máximo.</w:t>
                  </w:r>
                </w:p>
              </w:tc>
            </w:tr>
            <w:tr w:rsidR="000B65DE" w:rsidRPr="000B65DE" w:rsidTr="00382E27">
              <w:trPr>
                <w:gridAfter w:val="1"/>
                <w:wAfter w:w="1335" w:type="dxa"/>
              </w:trPr>
              <w:tc>
                <w:tcPr>
                  <w:tcW w:w="1495" w:type="dxa"/>
                </w:tcPr>
                <w:p w:rsidR="000B65DE" w:rsidRPr="000B65DE" w:rsidRDefault="00CD68AD" w:rsidP="000B65DE">
                  <w:pPr>
                    <w:tabs>
                      <w:tab w:val="left" w:pos="33"/>
                    </w:tabs>
                    <w:spacing w:before="120" w:after="200" w:line="276" w:lineRule="auto"/>
                    <w:ind w:left="0"/>
                    <w:jc w:val="both"/>
                    <w:rPr>
                      <w:rFonts w:ascii="Bookman Old Style" w:eastAsia="Calibri" w:hAnsi="Bookman Old Style" w:cs="Arial"/>
                      <w:sz w:val="22"/>
                      <w:szCs w:val="22"/>
                      <w:lang w:val="es-CO" w:eastAsia="en-US"/>
                    </w:rPr>
                  </w:pPr>
                  <w:r w:rsidRPr="008A3B62">
                    <w:rPr>
                      <w:rFonts w:ascii="Bookman Old Style" w:eastAsia="Calibri" w:hAnsi="Bookman Old Style" w:cs="Arial"/>
                      <w:sz w:val="22"/>
                      <w:szCs w:val="22"/>
                      <w:lang w:val="es-CO" w:eastAsia="en-US"/>
                    </w:rPr>
                    <w:lastRenderedPageBreak/>
                    <w:t>u</w:t>
                  </w:r>
                </w:p>
              </w:tc>
              <w:tc>
                <w:tcPr>
                  <w:tcW w:w="5533" w:type="dxa"/>
                  <w:gridSpan w:val="2"/>
                </w:tcPr>
                <w:p w:rsidR="000B65DE" w:rsidRPr="000B65DE" w:rsidRDefault="000B65DE" w:rsidP="000B65DE">
                  <w:pPr>
                    <w:tabs>
                      <w:tab w:val="left" w:pos="-29"/>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Vida útil normativa en años, reconocida para los</w:t>
                  </w:r>
                  <w:r w:rsidRPr="000B65DE">
                    <w:rPr>
                      <w:rFonts w:ascii="Bookman Old Style" w:hAnsi="Bookman Old Style" w:cs="Arial"/>
                      <w:lang w:val="es-CO" w:eastAsia="en-US"/>
                    </w:rPr>
                    <w:cr/>
                    <w:t>activos igual 20 años</w:t>
                  </w:r>
                </w:p>
              </w:tc>
            </w:tr>
            <w:tr w:rsidR="000B65DE" w:rsidRPr="000B65DE" w:rsidTr="00382E27">
              <w:trPr>
                <w:gridAfter w:val="1"/>
                <w:wAfter w:w="1335" w:type="dxa"/>
              </w:trPr>
              <w:tc>
                <w:tcPr>
                  <w:tcW w:w="1495" w:type="dxa"/>
                </w:tcPr>
                <w:p w:rsidR="000B65DE" w:rsidRPr="000B65DE" w:rsidRDefault="00CD68AD" w:rsidP="00CD68AD">
                  <w:pPr>
                    <w:tabs>
                      <w:tab w:val="left" w:pos="33"/>
                    </w:tabs>
                    <w:spacing w:before="120" w:after="200" w:line="276" w:lineRule="auto"/>
                    <w:ind w:left="0"/>
                    <w:jc w:val="both"/>
                    <w:rPr>
                      <w:rFonts w:ascii="Bookman Old Style" w:eastAsia="Calibri" w:hAnsi="Bookman Old Style" w:cs="Arial"/>
                      <w:sz w:val="22"/>
                      <w:szCs w:val="22"/>
                      <w:lang w:val="es-CO" w:eastAsia="en-US"/>
                    </w:rPr>
                  </w:pPr>
                  <w:r w:rsidRPr="008A3B62">
                    <w:rPr>
                      <w:rFonts w:ascii="Bookman Old Style" w:eastAsia="Calibri" w:hAnsi="Bookman Old Style" w:cs="Arial"/>
                      <w:sz w:val="22"/>
                      <w:szCs w:val="22"/>
                      <w:lang w:val="es-CO" w:eastAsia="en-US"/>
                    </w:rPr>
                    <w:t>k</w:t>
                  </w:r>
                </w:p>
              </w:tc>
              <w:tc>
                <w:tcPr>
                  <w:tcW w:w="5533" w:type="dxa"/>
                  <w:gridSpan w:val="2"/>
                </w:tcPr>
                <w:p w:rsidR="000B65DE" w:rsidRDefault="000B65DE" w:rsidP="000B65DE">
                  <w:pPr>
                    <w:tabs>
                      <w:tab w:val="left" w:pos="-29"/>
                    </w:tabs>
                    <w:spacing w:after="200"/>
                    <w:ind w:left="0"/>
                    <w:jc w:val="both"/>
                    <w:rPr>
                      <w:rFonts w:ascii="Bookman Old Style" w:hAnsi="Bookman Old Style" w:cs="Arial"/>
                      <w:lang w:val="es-CO" w:eastAsia="en-US"/>
                    </w:rPr>
                  </w:pPr>
                  <w:r w:rsidRPr="000B65DE">
                    <w:rPr>
                      <w:rFonts w:ascii="Bookman Old Style" w:hAnsi="Bookman Old Style" w:cs="Arial"/>
                      <w:lang w:val="es-CO" w:eastAsia="en-US"/>
                    </w:rPr>
                    <w:t>Mercado Relevante de Distribución para el Siguiente Período Tarifario en análisis</w:t>
                  </w:r>
                  <w:r w:rsidR="001D6604">
                    <w:rPr>
                      <w:rFonts w:ascii="Bookman Old Style" w:hAnsi="Bookman Old Style" w:cs="Arial"/>
                      <w:lang w:val="es-CO" w:eastAsia="en-US"/>
                    </w:rPr>
                    <w:t>.</w:t>
                  </w:r>
                </w:p>
                <w:p w:rsidR="001D6604" w:rsidRPr="000B65DE" w:rsidRDefault="001D6604" w:rsidP="000B65DE">
                  <w:pPr>
                    <w:tabs>
                      <w:tab w:val="left" w:pos="-29"/>
                    </w:tabs>
                    <w:spacing w:after="200"/>
                    <w:ind w:left="0"/>
                    <w:jc w:val="both"/>
                    <w:rPr>
                      <w:rFonts w:ascii="Bookman Old Style" w:hAnsi="Bookman Old Style" w:cs="Arial"/>
                      <w:lang w:val="es-CO" w:eastAsia="en-US"/>
                    </w:rPr>
                  </w:pPr>
                </w:p>
              </w:tc>
            </w:tr>
          </w:tbl>
          <w:p w:rsidR="000B65DE" w:rsidRPr="000B65DE" w:rsidRDefault="000B65DE" w:rsidP="000B65DE">
            <w:pPr>
              <w:ind w:left="0"/>
              <w:jc w:val="both"/>
              <w:rPr>
                <w:rFonts w:ascii="Bookman Old Style" w:eastAsia="Calibri" w:hAnsi="Bookman Old Style" w:cs="Arial"/>
                <w:color w:val="000000"/>
                <w:lang w:val="es-CO" w:eastAsia="en-US"/>
              </w:rPr>
            </w:pPr>
          </w:p>
        </w:tc>
      </w:tr>
      <w:tr w:rsidR="000B65DE" w:rsidRPr="000B65DE" w:rsidTr="00382E27">
        <w:tc>
          <w:tcPr>
            <w:tcW w:w="869" w:type="dxa"/>
          </w:tcPr>
          <w:p w:rsidR="000B65DE" w:rsidRPr="0092172B" w:rsidRDefault="00364E59" w:rsidP="000B65DE">
            <w:pPr>
              <w:ind w:left="0"/>
              <w:jc w:val="both"/>
              <w:rPr>
                <w:rFonts w:ascii="Bookman Old Style" w:eastAsia="Calibri" w:hAnsi="Bookman Old Style" w:cs="Arial"/>
                <w:i/>
                <w:color w:val="000000"/>
                <w:lang w:val="es-CO" w:eastAsia="en-US"/>
              </w:rPr>
            </w:pPr>
            <m:oMathPara>
              <m:oMathParaPr>
                <m:jc m:val="left"/>
              </m:oMathParaPr>
              <m:oMath>
                <m:sSub>
                  <m:sSubPr>
                    <m:ctrlPr>
                      <w:rPr>
                        <w:rFonts w:ascii="Cambria Math" w:hAnsi="Cambria Math" w:cs="Arial"/>
                        <w:i/>
                        <w:color w:val="000000"/>
                        <w:lang w:val="es-CO" w:eastAsia="en-US"/>
                      </w:rPr>
                    </m:ctrlPr>
                  </m:sSubPr>
                  <m:e>
                    <m:r>
                      <w:rPr>
                        <w:rFonts w:ascii="Cambria Math" w:hAnsi="Cambria Math" w:cs="Arial"/>
                        <w:color w:val="000000"/>
                        <w:lang w:val="es-CO" w:eastAsia="en-US"/>
                      </w:rPr>
                      <m:t>IBAE</m:t>
                    </m:r>
                  </m:e>
                  <m:sub>
                    <m:r>
                      <w:rPr>
                        <w:rFonts w:ascii="Cambria Math" w:hAnsi="Cambria Math" w:cs="Arial"/>
                        <w:color w:val="000000"/>
                        <w:lang w:val="es-CO" w:eastAsia="en-US"/>
                      </w:rPr>
                      <m:t>k</m:t>
                    </m:r>
                  </m:sub>
                </m:sSub>
              </m:oMath>
            </m:oMathPara>
          </w:p>
        </w:tc>
        <w:tc>
          <w:tcPr>
            <w:tcW w:w="8203" w:type="dxa"/>
          </w:tcPr>
          <w:p w:rsidR="000B65DE" w:rsidRPr="000B65DE" w:rsidRDefault="000B65DE" w:rsidP="000B65DE">
            <w:pPr>
              <w:ind w:left="0"/>
              <w:jc w:val="both"/>
              <w:rPr>
                <w:rFonts w:ascii="Bookman Old Style" w:eastAsia="Calibri" w:hAnsi="Bookman Old Style" w:cs="Arial"/>
                <w:color w:val="000000"/>
                <w:lang w:val="es-CO" w:eastAsia="en-US"/>
              </w:rPr>
            </w:pPr>
            <w:r w:rsidRPr="000B65DE">
              <w:rPr>
                <w:rFonts w:ascii="Bookman Old Style" w:eastAsia="Calibri" w:hAnsi="Bookman Old Style" w:cs="Arial"/>
                <w:color w:val="000000"/>
                <w:lang w:val="es-CO" w:eastAsia="en-US"/>
              </w:rPr>
              <w:t>Costo anual equivalente de la Inversión Base correspondiente a la Inversión Existente (IE) reconocida por los activos que van a ser objeto de reposición a pesos de la Fecha Base.</w:t>
            </w:r>
          </w:p>
          <w:p w:rsidR="000B65DE" w:rsidRPr="000B65DE" w:rsidRDefault="000B65DE" w:rsidP="000B65DE">
            <w:pPr>
              <w:ind w:left="0"/>
              <w:jc w:val="both"/>
              <w:rPr>
                <w:rFonts w:ascii="Bookman Old Style" w:eastAsia="Calibri" w:hAnsi="Bookman Old Style" w:cs="Arial"/>
                <w:color w:val="000000"/>
                <w:lang w:val="es-CO" w:eastAsia="en-US"/>
              </w:rPr>
            </w:pPr>
          </w:p>
          <w:p w:rsidR="000B65DE" w:rsidRPr="0092172B" w:rsidRDefault="0092172B" w:rsidP="000B65DE">
            <w:pPr>
              <w:spacing w:after="200"/>
              <w:ind w:left="0"/>
              <w:contextualSpacing/>
              <w:rPr>
                <w:rFonts w:ascii="Bookman Old Style" w:hAnsi="Bookman Old Style" w:cs="Arial"/>
                <w:lang w:val="es-CO" w:eastAsia="en-US"/>
              </w:rPr>
            </w:pPr>
            <m:oMathPara>
              <m:oMath>
                <m:r>
                  <m:rPr>
                    <m:sty m:val="p"/>
                  </m:rPr>
                  <w:rPr>
                    <w:rFonts w:ascii="Cambria Math" w:hAnsi="Cambria Math" w:cs="Arial"/>
                    <w:lang w:val="es-CO" w:eastAsia="en-US"/>
                  </w:rPr>
                  <m:t>IBA</m:t>
                </m:r>
                <m:sSub>
                  <m:sSubPr>
                    <m:ctrlPr>
                      <w:rPr>
                        <w:rFonts w:ascii="Cambria Math" w:hAnsi="Cambria Math" w:cs="Arial"/>
                        <w:lang w:val="es-CO" w:eastAsia="en-US"/>
                      </w:rPr>
                    </m:ctrlPr>
                  </m:sSubPr>
                  <m:e>
                    <m:r>
                      <m:rPr>
                        <m:sty m:val="p"/>
                      </m:rPr>
                      <w:rPr>
                        <w:rFonts w:ascii="Cambria Math" w:hAnsi="Cambria Math" w:cs="Arial"/>
                        <w:lang w:val="es-CO" w:eastAsia="en-US"/>
                      </w:rPr>
                      <m:t>E</m:t>
                    </m:r>
                  </m:e>
                  <m:sub>
                    <m:r>
                      <m:rPr>
                        <m:sty m:val="p"/>
                      </m:rPr>
                      <w:rPr>
                        <w:rFonts w:ascii="Cambria Math" w:hAnsi="Cambria Math" w:cs="Arial"/>
                        <w:lang w:val="es-CO" w:eastAsia="en-US"/>
                      </w:rPr>
                      <m:t>k</m:t>
                    </m:r>
                  </m:sub>
                </m:sSub>
                <m:r>
                  <m:rPr>
                    <m:sty m:val="p"/>
                  </m:rPr>
                  <w:rPr>
                    <w:rFonts w:ascii="Cambria Math" w:hAnsi="Arial" w:cs="Arial"/>
                    <w:lang w:val="es-CO" w:eastAsia="en-US"/>
                  </w:rPr>
                  <m:t xml:space="preserve"> </m:t>
                </m:r>
                <m:d>
                  <m:dPr>
                    <m:ctrlPr>
                      <w:rPr>
                        <w:rFonts w:ascii="Cambria Math" w:hAnsi="Arial" w:cs="Arial"/>
                        <w:lang w:val="es-CO" w:eastAsia="en-US"/>
                      </w:rPr>
                    </m:ctrlPr>
                  </m:dPr>
                  <m:e>
                    <m:r>
                      <m:rPr>
                        <m:sty m:val="p"/>
                      </m:rPr>
                      <w:rPr>
                        <w:rFonts w:ascii="Cambria Math" w:hAnsi="Cambria Math" w:cs="Arial"/>
                        <w:lang w:val="es-CO" w:eastAsia="en-US"/>
                      </w:rPr>
                      <m:t>IE</m:t>
                    </m:r>
                  </m:e>
                </m:d>
                <m:r>
                  <m:rPr>
                    <m:sty m:val="p"/>
                  </m:rPr>
                  <w:rPr>
                    <w:rFonts w:ascii="Cambria Math" w:hAnsi="Arial" w:cs="Arial"/>
                    <w:lang w:val="es-CO" w:eastAsia="en-US"/>
                  </w:rPr>
                  <m:t>=</m:t>
                </m:r>
                <m:d>
                  <m:dPr>
                    <m:begChr m:val="["/>
                    <m:endChr m:val="]"/>
                    <m:ctrlPr>
                      <w:rPr>
                        <w:rFonts w:ascii="Cambria Math" w:hAnsi="Arial" w:cs="Arial"/>
                        <w:lang w:val="es-CO" w:eastAsia="en-US"/>
                      </w:rPr>
                    </m:ctrlPr>
                  </m:dPr>
                  <m:e>
                    <m:nary>
                      <m:naryPr>
                        <m:chr m:val="∑"/>
                        <m:limLoc m:val="undOvr"/>
                        <m:ctrlPr>
                          <w:rPr>
                            <w:rFonts w:ascii="Cambria Math" w:hAnsi="Arial" w:cs="Arial"/>
                            <w:lang w:val="es-CO" w:eastAsia="en-US"/>
                          </w:rPr>
                        </m:ctrlPr>
                      </m:naryPr>
                      <m:sub>
                        <m:r>
                          <m:rPr>
                            <m:sty m:val="p"/>
                          </m:rPr>
                          <w:rPr>
                            <w:rFonts w:ascii="Cambria Math" w:hAnsi="Cambria Math" w:cs="Arial"/>
                            <w:lang w:val="es-CO" w:eastAsia="en-US"/>
                          </w:rPr>
                          <m:t>i</m:t>
                        </m:r>
                        <m:r>
                          <m:rPr>
                            <m:sty m:val="p"/>
                          </m:rPr>
                          <w:rPr>
                            <w:rFonts w:ascii="Cambria Math" w:hAnsi="Arial" w:cs="Arial"/>
                            <w:lang w:val="es-CO" w:eastAsia="en-US"/>
                          </w:rPr>
                          <m:t>=1</m:t>
                        </m:r>
                      </m:sub>
                      <m:sup>
                        <m:r>
                          <m:rPr>
                            <m:sty m:val="p"/>
                          </m:rPr>
                          <w:rPr>
                            <w:rFonts w:ascii="Cambria Math" w:hAnsi="Cambria Math" w:cs="Arial"/>
                            <w:lang w:val="es-CO" w:eastAsia="en-US"/>
                          </w:rPr>
                          <m:t>NR</m:t>
                        </m:r>
                      </m:sup>
                      <m:e>
                        <m:r>
                          <m:rPr>
                            <m:sty m:val="p"/>
                          </m:rPr>
                          <w:rPr>
                            <w:rFonts w:ascii="Cambria Math" w:hAnsi="Arial" w:cs="Arial"/>
                            <w:lang w:val="es-CO" w:eastAsia="en-US"/>
                          </w:rPr>
                          <m:t>(</m:t>
                        </m:r>
                        <m:sSub>
                          <m:sSubPr>
                            <m:ctrlPr>
                              <w:rPr>
                                <w:rFonts w:ascii="Cambria Math" w:hAnsi="Arial" w:cs="Arial"/>
                                <w:lang w:val="es-CO" w:eastAsia="en-US"/>
                              </w:rPr>
                            </m:ctrlPr>
                          </m:sSubPr>
                          <m:e>
                            <m:r>
                              <m:rPr>
                                <m:sty m:val="p"/>
                              </m:rPr>
                              <w:rPr>
                                <w:rFonts w:ascii="Cambria Math" w:hAnsi="Arial" w:cs="Arial"/>
                                <w:lang w:val="es-CO" w:eastAsia="en-US"/>
                              </w:rPr>
                              <m:t>QUCIE</m:t>
                            </m:r>
                          </m:e>
                          <m:sub>
                            <m:r>
                              <m:rPr>
                                <m:sty m:val="p"/>
                              </m:rPr>
                              <w:rPr>
                                <w:rFonts w:ascii="Cambria Math" w:hAnsi="Arial" w:cs="Arial"/>
                                <w:lang w:val="es-CO" w:eastAsia="en-US"/>
                              </w:rPr>
                              <m:t>ik</m:t>
                            </m:r>
                          </m:sub>
                        </m:sSub>
                        <m:r>
                          <m:rPr>
                            <m:sty m:val="p"/>
                          </m:rPr>
                          <w:rPr>
                            <w:rFonts w:ascii="Cambria Math" w:hAnsi="Cambria Math" w:cs="Arial"/>
                            <w:lang w:val="es-CO" w:eastAsia="en-US"/>
                          </w:rPr>
                          <m:t>×</m:t>
                        </m:r>
                        <m:sSub>
                          <m:sSubPr>
                            <m:ctrlPr>
                              <w:rPr>
                                <w:rFonts w:ascii="Cambria Math" w:hAnsi="Arial" w:cs="Arial"/>
                                <w:lang w:val="es-CO" w:eastAsia="en-US"/>
                              </w:rPr>
                            </m:ctrlPr>
                          </m:sSubPr>
                          <m:e>
                            <m:r>
                              <m:rPr>
                                <m:sty m:val="p"/>
                              </m:rPr>
                              <w:rPr>
                                <w:rFonts w:ascii="Cambria Math" w:hAnsi="Cambria Math" w:cs="Arial"/>
                                <w:lang w:val="es-CO" w:eastAsia="en-US"/>
                              </w:rPr>
                              <m:t>PUCIE</m:t>
                            </m:r>
                          </m:e>
                          <m:sub>
                            <m:r>
                              <m:rPr>
                                <m:sty m:val="p"/>
                              </m:rPr>
                              <w:rPr>
                                <w:rFonts w:ascii="Cambria Math" w:hAnsi="Cambria Math" w:cs="Arial"/>
                                <w:lang w:val="es-CO" w:eastAsia="en-US"/>
                              </w:rPr>
                              <m:t>i</m:t>
                            </m:r>
                          </m:sub>
                        </m:sSub>
                        <m:r>
                          <m:rPr>
                            <m:sty m:val="p"/>
                          </m:rPr>
                          <w:rPr>
                            <w:rFonts w:ascii="Cambria Math" w:hAnsi="Arial" w:cs="Arial"/>
                            <w:lang w:val="es-CO" w:eastAsia="en-US"/>
                          </w:rPr>
                          <m:t>)</m:t>
                        </m:r>
                      </m:e>
                    </m:nary>
                  </m:e>
                </m:d>
                <m:r>
                  <m:rPr>
                    <m:sty m:val="p"/>
                  </m:rPr>
                  <w:rPr>
                    <w:rFonts w:ascii="Cambria Math" w:hAnsi="Arial" w:cs="Arial"/>
                    <w:lang w:val="es-CO" w:eastAsia="en-US"/>
                  </w:rPr>
                  <m:t>×</m:t>
                </m:r>
                <m:f>
                  <m:fPr>
                    <m:ctrlPr>
                      <w:rPr>
                        <w:rFonts w:ascii="Cambria Math" w:hAnsi="Arial" w:cs="Arial"/>
                        <w:lang w:val="es-CO" w:eastAsia="en-US"/>
                      </w:rPr>
                    </m:ctrlPr>
                  </m:fPr>
                  <m:num>
                    <m:r>
                      <m:rPr>
                        <m:sty m:val="p"/>
                      </m:rPr>
                      <w:rPr>
                        <w:rFonts w:ascii="Cambria Math" w:hAnsi="Cambria Math" w:cs="Arial"/>
                        <w:lang w:val="es-CO" w:eastAsia="en-US"/>
                      </w:rPr>
                      <m:t>r</m:t>
                    </m:r>
                  </m:num>
                  <m:den>
                    <m:r>
                      <m:rPr>
                        <m:sty m:val="p"/>
                      </m:rPr>
                      <w:rPr>
                        <w:rFonts w:ascii="Cambria Math" w:hAnsi="Arial" w:cs="Arial"/>
                        <w:lang w:val="es-CO" w:eastAsia="en-US"/>
                      </w:rPr>
                      <m:t>1</m:t>
                    </m:r>
                    <m:r>
                      <m:rPr>
                        <m:sty m:val="p"/>
                      </m:rPr>
                      <w:rPr>
                        <w:rFonts w:ascii="Cambria Math" w:hAnsi="Arial" w:cs="Arial"/>
                        <w:lang w:val="es-CO" w:eastAsia="en-US"/>
                      </w:rPr>
                      <m:t>-</m:t>
                    </m:r>
                    <m:sSup>
                      <m:sSupPr>
                        <m:ctrlPr>
                          <w:rPr>
                            <w:rFonts w:ascii="Cambria Math" w:hAnsi="Arial" w:cs="Arial"/>
                            <w:lang w:val="es-CO" w:eastAsia="en-US"/>
                          </w:rPr>
                        </m:ctrlPr>
                      </m:sSupPr>
                      <m:e>
                        <m:r>
                          <m:rPr>
                            <m:sty m:val="p"/>
                          </m:rPr>
                          <w:rPr>
                            <w:rFonts w:ascii="Cambria Math" w:hAnsi="Arial" w:cs="Arial"/>
                            <w:lang w:val="es-CO" w:eastAsia="en-US"/>
                          </w:rPr>
                          <m:t>(1+</m:t>
                        </m:r>
                        <m:r>
                          <m:rPr>
                            <m:sty m:val="p"/>
                          </m:rPr>
                          <w:rPr>
                            <w:rFonts w:ascii="Cambria Math" w:hAnsi="Cambria Math" w:cs="Arial"/>
                            <w:lang w:val="es-CO" w:eastAsia="en-US"/>
                          </w:rPr>
                          <m:t>r</m:t>
                        </m:r>
                        <m:r>
                          <m:rPr>
                            <m:sty m:val="p"/>
                          </m:rPr>
                          <w:rPr>
                            <w:rFonts w:ascii="Cambria Math" w:hAnsi="Arial" w:cs="Arial"/>
                            <w:lang w:val="es-CO" w:eastAsia="en-US"/>
                          </w:rPr>
                          <m:t>)</m:t>
                        </m:r>
                      </m:e>
                      <m:sup>
                        <m:r>
                          <m:rPr>
                            <m:sty m:val="p"/>
                          </m:rPr>
                          <w:rPr>
                            <w:rFonts w:ascii="Cambria Math" w:hAnsi="Cambria Math" w:cs="Arial"/>
                            <w:lang w:val="es-CO" w:eastAsia="en-US"/>
                          </w:rPr>
                          <m:t>-u</m:t>
                        </m:r>
                      </m:sup>
                    </m:sSup>
                  </m:den>
                </m:f>
              </m:oMath>
            </m:oMathPara>
          </w:p>
          <w:p w:rsidR="000B65DE" w:rsidRPr="000B65DE" w:rsidRDefault="000B65DE" w:rsidP="000B65DE">
            <w:pPr>
              <w:ind w:left="0"/>
              <w:jc w:val="both"/>
              <w:rPr>
                <w:rFonts w:ascii="Bookman Old Style" w:eastAsia="Calibri" w:hAnsi="Bookman Old Style" w:cs="Arial"/>
                <w:color w:val="000000"/>
                <w:lang w:val="es-CO" w:eastAsia="en-US"/>
              </w:rPr>
            </w:pPr>
          </w:p>
          <w:tbl>
            <w:tblPr>
              <w:tblW w:w="8363" w:type="dxa"/>
              <w:tblLayout w:type="fixed"/>
              <w:tblLook w:val="04A0" w:firstRow="1" w:lastRow="0" w:firstColumn="1" w:lastColumn="0" w:noHBand="0" w:noVBand="1"/>
            </w:tblPr>
            <w:tblGrid>
              <w:gridCol w:w="1779"/>
              <w:gridCol w:w="6584"/>
            </w:tblGrid>
            <w:tr w:rsidR="000B65DE" w:rsidRPr="000B65DE" w:rsidTr="00382E27">
              <w:tc>
                <w:tcPr>
                  <w:tcW w:w="1495" w:type="dxa"/>
                </w:tcPr>
                <w:p w:rsidR="000B65DE" w:rsidRPr="000B65DE" w:rsidRDefault="000B65DE" w:rsidP="000B65DE">
                  <w:pPr>
                    <w:tabs>
                      <w:tab w:val="left" w:pos="426"/>
                    </w:tabs>
                    <w:spacing w:after="200" w:line="276" w:lineRule="auto"/>
                    <w:ind w:left="0" w:right="176"/>
                    <w:jc w:val="both"/>
                    <w:rPr>
                      <w:rFonts w:ascii="Bookman Old Style" w:hAnsi="Bookman Old Style" w:cs="Arial"/>
                      <w:lang w:val="es-CO" w:eastAsia="en-US"/>
                    </w:rPr>
                  </w:pPr>
                  <w:r w:rsidRPr="000B65DE">
                    <w:rPr>
                      <w:rFonts w:ascii="Bookman Old Style" w:hAnsi="Bookman Old Style" w:cs="Arial"/>
                      <w:lang w:val="es-CO" w:eastAsia="en-US"/>
                    </w:rPr>
                    <w:t>NR</w:t>
                  </w:r>
                </w:p>
              </w:tc>
              <w:tc>
                <w:tcPr>
                  <w:tcW w:w="5533" w:type="dxa"/>
                </w:tcPr>
                <w:p w:rsidR="000B65DE" w:rsidRPr="000B65DE" w:rsidRDefault="000B65DE" w:rsidP="000B65DE">
                  <w:pPr>
                    <w:tabs>
                      <w:tab w:val="left" w:pos="426"/>
                    </w:tabs>
                    <w:spacing w:after="200"/>
                    <w:ind w:left="0" w:right="176"/>
                    <w:jc w:val="both"/>
                    <w:rPr>
                      <w:rFonts w:ascii="Bookman Old Style" w:hAnsi="Bookman Old Style" w:cs="Arial"/>
                      <w:lang w:val="es-CO" w:eastAsia="en-US"/>
                    </w:rPr>
                  </w:pPr>
                  <w:r w:rsidRPr="000B65DE">
                    <w:rPr>
                      <w:rFonts w:ascii="Bookman Old Style" w:hAnsi="Bookman Old Style" w:cs="Arial"/>
                      <w:lang w:val="es-CO" w:eastAsia="en-US"/>
                    </w:rPr>
                    <w:t>Número total de QUCIE reportadas para el Mercado Relevante k, existentes a la Fecha de Corte.</w:t>
                  </w:r>
                </w:p>
              </w:tc>
            </w:tr>
            <w:tr w:rsidR="000B65DE" w:rsidRPr="000B65DE" w:rsidTr="00382E27">
              <w:tc>
                <w:tcPr>
                  <w:tcW w:w="1495" w:type="dxa"/>
                </w:tcPr>
                <w:p w:rsidR="000B65DE" w:rsidRPr="0092172B" w:rsidRDefault="00364E59" w:rsidP="000B65DE">
                  <w:pPr>
                    <w:tabs>
                      <w:tab w:val="left" w:pos="426"/>
                    </w:tabs>
                    <w:spacing w:after="200" w:line="276" w:lineRule="auto"/>
                    <w:ind w:left="0" w:right="176"/>
                    <w:jc w:val="both"/>
                    <w:rPr>
                      <w:rFonts w:ascii="Bookman Old Style" w:hAnsi="Bookman Old Style" w:cs="Arial"/>
                      <w:lang w:val="es-CO" w:eastAsia="en-US"/>
                    </w:rPr>
                  </w:pPr>
                  <m:oMathPara>
                    <m:oMathParaPr>
                      <m:jc m:val="left"/>
                    </m:oMathParaPr>
                    <m:oMath>
                      <m:sSub>
                        <m:sSubPr>
                          <m:ctrlPr>
                            <w:rPr>
                              <w:rFonts w:ascii="Cambria Math" w:eastAsia="Calibri" w:hAnsi="Arial" w:cs="Arial"/>
                              <w:lang w:val="es-CO" w:eastAsia="en-US"/>
                            </w:rPr>
                          </m:ctrlPr>
                        </m:sSubPr>
                        <m:e>
                          <m:r>
                            <m:rPr>
                              <m:sty m:val="p"/>
                            </m:rPr>
                            <w:rPr>
                              <w:rFonts w:ascii="Cambria Math" w:eastAsia="Calibri" w:hAnsi="Cambria Math" w:cs="Arial"/>
                              <w:lang w:val="es-CO" w:eastAsia="en-US"/>
                            </w:rPr>
                            <m:t>UCIE</m:t>
                          </m:r>
                        </m:e>
                        <m:sub>
                          <m:r>
                            <m:rPr>
                              <m:sty m:val="p"/>
                            </m:rPr>
                            <w:rPr>
                              <w:rFonts w:ascii="Cambria Math" w:eastAsia="Calibri" w:hAnsi="Cambria Math" w:cs="Arial"/>
                              <w:lang w:val="es-CO" w:eastAsia="en-US"/>
                            </w:rPr>
                            <m:t>i</m:t>
                          </m:r>
                        </m:sub>
                      </m:sSub>
                    </m:oMath>
                  </m:oMathPara>
                </w:p>
              </w:tc>
              <w:tc>
                <w:tcPr>
                  <w:tcW w:w="5533" w:type="dxa"/>
                </w:tcPr>
                <w:p w:rsidR="000B65DE" w:rsidRPr="000B65DE" w:rsidRDefault="000B65DE" w:rsidP="000B65DE">
                  <w:pPr>
                    <w:tabs>
                      <w:tab w:val="left" w:pos="426"/>
                    </w:tabs>
                    <w:spacing w:after="200"/>
                    <w:ind w:left="0" w:right="176"/>
                    <w:jc w:val="both"/>
                    <w:rPr>
                      <w:rFonts w:ascii="Bookman Old Style" w:hAnsi="Bookman Old Style" w:cs="Arial"/>
                      <w:lang w:val="es-CO" w:eastAsia="en-US"/>
                    </w:rPr>
                  </w:pPr>
                  <w:r w:rsidRPr="000B65DE">
                    <w:rPr>
                      <w:rFonts w:ascii="Bookman Old Style" w:hAnsi="Bookman Old Style" w:cs="Arial"/>
                      <w:lang w:val="es-CO" w:eastAsia="en-US"/>
                    </w:rPr>
                    <w:t>Unidad Constructiva de Inversión Existente i a ser remplazada.</w:t>
                  </w:r>
                </w:p>
              </w:tc>
            </w:tr>
            <w:tr w:rsidR="000B65DE" w:rsidRPr="000B65DE" w:rsidTr="00382E27">
              <w:tc>
                <w:tcPr>
                  <w:tcW w:w="1495" w:type="dxa"/>
                </w:tcPr>
                <w:p w:rsidR="000B65DE" w:rsidRPr="0092172B" w:rsidRDefault="00364E59" w:rsidP="000B65DE">
                  <w:pPr>
                    <w:tabs>
                      <w:tab w:val="left" w:pos="426"/>
                    </w:tabs>
                    <w:spacing w:after="200" w:line="276" w:lineRule="auto"/>
                    <w:ind w:left="0" w:right="176"/>
                    <w:jc w:val="both"/>
                    <w:rPr>
                      <w:rFonts w:ascii="Bookman Old Style" w:hAnsi="Bookman Old Style" w:cs="Arial"/>
                      <w:lang w:val="es-CO" w:eastAsia="en-US"/>
                    </w:rPr>
                  </w:pPr>
                  <m:oMathPara>
                    <m:oMathParaPr>
                      <m:jc m:val="left"/>
                    </m:oMathParaPr>
                    <m:oMath>
                      <m:sSub>
                        <m:sSubPr>
                          <m:ctrlPr>
                            <w:rPr>
                              <w:rFonts w:ascii="Cambria Math" w:eastAsia="Calibri" w:hAnsi="Arial" w:cs="Arial"/>
                              <w:lang w:val="es-CO" w:eastAsia="en-US"/>
                            </w:rPr>
                          </m:ctrlPr>
                        </m:sSubPr>
                        <m:e>
                          <m:r>
                            <m:rPr>
                              <m:sty m:val="p"/>
                            </m:rPr>
                            <w:rPr>
                              <w:rFonts w:ascii="Cambria Math" w:eastAsia="Calibri" w:hAnsi="Arial" w:cs="Arial"/>
                              <w:lang w:val="es-CO" w:eastAsia="en-US"/>
                            </w:rPr>
                            <m:t>QUCIE</m:t>
                          </m:r>
                        </m:e>
                        <m:sub>
                          <m:r>
                            <m:rPr>
                              <m:sty m:val="p"/>
                            </m:rPr>
                            <w:rPr>
                              <w:rFonts w:ascii="Cambria Math" w:eastAsia="Calibri" w:hAnsi="Arial" w:cs="Arial"/>
                              <w:lang w:val="es-CO" w:eastAsia="en-US"/>
                            </w:rPr>
                            <m:t>ik</m:t>
                          </m:r>
                        </m:sub>
                      </m:sSub>
                    </m:oMath>
                  </m:oMathPara>
                </w:p>
              </w:tc>
              <w:tc>
                <w:tcPr>
                  <w:tcW w:w="5533" w:type="dxa"/>
                </w:tcPr>
                <w:p w:rsidR="000B65DE" w:rsidRPr="000B65DE" w:rsidRDefault="000B65DE" w:rsidP="000B65DE">
                  <w:pPr>
                    <w:tabs>
                      <w:tab w:val="left" w:pos="426"/>
                    </w:tabs>
                    <w:spacing w:after="200"/>
                    <w:ind w:left="0" w:right="176"/>
                    <w:jc w:val="both"/>
                    <w:rPr>
                      <w:rFonts w:ascii="Bookman Old Style" w:hAnsi="Bookman Old Style" w:cs="Arial"/>
                      <w:lang w:val="es-CO" w:eastAsia="en-US"/>
                    </w:rPr>
                  </w:pPr>
                  <w:r w:rsidRPr="000B65DE">
                    <w:rPr>
                      <w:rFonts w:ascii="Bookman Old Style" w:hAnsi="Bookman Old Style" w:cs="Arial"/>
                      <w:lang w:val="es-CO" w:eastAsia="en-US"/>
                    </w:rPr>
                    <w:t xml:space="preserve">Cantidad de la unidad constructiva de Inversión Existente a remplazar </w:t>
                  </w:r>
                  <m:oMath>
                    <m:sSub>
                      <m:sSubPr>
                        <m:ctrlPr>
                          <w:rPr>
                            <w:rFonts w:ascii="Cambria Math" w:eastAsia="Calibri" w:hAnsi="Arial" w:cs="Arial"/>
                            <w:i/>
                            <w:lang w:val="es-CO" w:eastAsia="en-US"/>
                          </w:rPr>
                        </m:ctrlPr>
                      </m:sSubPr>
                      <m:e>
                        <m:r>
                          <w:rPr>
                            <w:rFonts w:ascii="Cambria Math" w:eastAsia="Calibri" w:hAnsi="Cambria Math" w:cs="Arial"/>
                            <w:lang w:val="es-CO" w:eastAsia="en-US"/>
                          </w:rPr>
                          <m:t>UCIE</m:t>
                        </m:r>
                      </m:e>
                      <m:sub>
                        <m:r>
                          <w:rPr>
                            <w:rFonts w:ascii="Cambria Math" w:eastAsia="Calibri" w:hAnsi="Cambria Math" w:cs="Arial"/>
                            <w:lang w:val="es-CO" w:eastAsia="en-US"/>
                          </w:rPr>
                          <m:t>i</m:t>
                        </m:r>
                      </m:sub>
                    </m:sSub>
                    <m:r>
                      <w:rPr>
                        <w:rFonts w:ascii="Cambria Math" w:eastAsia="Calibri" w:hAnsi="Arial" w:cs="Arial"/>
                        <w:lang w:val="es-CO" w:eastAsia="en-US"/>
                      </w:rPr>
                      <m:t xml:space="preserve">  </m:t>
                    </m:r>
                  </m:oMath>
                  <w:r w:rsidRPr="000B65DE">
                    <w:rPr>
                      <w:rFonts w:ascii="Bookman Old Style" w:hAnsi="Bookman Old Style" w:cs="Arial"/>
                      <w:lang w:val="es-CO" w:eastAsia="en-US"/>
                    </w:rPr>
                    <w:t>para el Mercado Relevante de Distribución para el Siguiente Período Tarifario k.</w:t>
                  </w:r>
                </w:p>
              </w:tc>
            </w:tr>
            <w:tr w:rsidR="000B65DE" w:rsidRPr="000B65DE" w:rsidTr="00382E27">
              <w:tc>
                <w:tcPr>
                  <w:tcW w:w="1495" w:type="dxa"/>
                </w:tcPr>
                <w:p w:rsidR="000B65DE" w:rsidRPr="008A3B62" w:rsidRDefault="00364E59" w:rsidP="001D6604">
                  <w:pPr>
                    <w:tabs>
                      <w:tab w:val="left" w:pos="426"/>
                    </w:tabs>
                    <w:spacing w:after="200" w:line="276" w:lineRule="auto"/>
                    <w:ind w:left="0" w:right="176"/>
                    <w:jc w:val="both"/>
                    <w:rPr>
                      <w:rFonts w:ascii="Bookman Old Style" w:hAnsi="Bookman Old Style" w:cs="Arial"/>
                      <w:lang w:val="es-CO" w:eastAsia="en-US"/>
                    </w:rPr>
                  </w:pPr>
                  <m:oMathPara>
                    <m:oMathParaPr>
                      <m:jc m:val="left"/>
                    </m:oMathParaPr>
                    <m:oMath>
                      <m:sSub>
                        <m:sSubPr>
                          <m:ctrlPr>
                            <w:rPr>
                              <w:rFonts w:ascii="Cambria Math" w:eastAsia="Calibri" w:hAnsi="Arial" w:cs="Arial"/>
                              <w:lang w:val="es-CO" w:eastAsia="en-US"/>
                            </w:rPr>
                          </m:ctrlPr>
                        </m:sSubPr>
                        <m:e>
                          <m:r>
                            <m:rPr>
                              <m:sty m:val="p"/>
                            </m:rPr>
                            <w:rPr>
                              <w:rFonts w:ascii="Cambria Math" w:eastAsia="Calibri" w:hAnsi="Cambria Math" w:cs="Arial"/>
                              <w:lang w:val="es-CO" w:eastAsia="en-US"/>
                            </w:rPr>
                            <m:t>PUCIE</m:t>
                          </m:r>
                        </m:e>
                        <m:sub>
                          <m:r>
                            <m:rPr>
                              <m:sty m:val="p"/>
                            </m:rPr>
                            <w:rPr>
                              <w:rFonts w:ascii="Cambria Math" w:eastAsia="Calibri" w:hAnsi="Cambria Math" w:cs="Arial"/>
                              <w:lang w:val="es-CO" w:eastAsia="en-US"/>
                            </w:rPr>
                            <m:t>i</m:t>
                          </m:r>
                        </m:sub>
                      </m:sSub>
                    </m:oMath>
                  </m:oMathPara>
                </w:p>
              </w:tc>
              <w:tc>
                <w:tcPr>
                  <w:tcW w:w="5533" w:type="dxa"/>
                </w:tcPr>
                <w:p w:rsidR="000B65DE" w:rsidRPr="000B65DE" w:rsidRDefault="000B65DE" w:rsidP="001D6604">
                  <w:pPr>
                    <w:tabs>
                      <w:tab w:val="left" w:pos="426"/>
                    </w:tabs>
                    <w:spacing w:after="200"/>
                    <w:ind w:left="0" w:right="176"/>
                    <w:jc w:val="both"/>
                    <w:rPr>
                      <w:rFonts w:ascii="Bookman Old Style" w:hAnsi="Bookman Old Style" w:cs="Arial"/>
                      <w:lang w:val="es-CO" w:eastAsia="en-US"/>
                    </w:rPr>
                  </w:pPr>
                  <w:r w:rsidRPr="000B65DE">
                    <w:rPr>
                      <w:rFonts w:ascii="Bookman Old Style" w:hAnsi="Bookman Old Style" w:cs="Arial"/>
                      <w:lang w:val="es-CO" w:eastAsia="en-US"/>
                    </w:rPr>
                    <w:t xml:space="preserve">Costo unitario reconocido para la  </w:t>
                  </w:r>
                  <w:r w:rsidRPr="000B65DE">
                    <w:rPr>
                      <w:rFonts w:ascii="Cambria Math" w:eastAsia="Calibri" w:hAnsi="Arial" w:cs="Arial"/>
                      <w:lang w:val="es-CO" w:eastAsia="en-US"/>
                    </w:rPr>
                    <w:br/>
                  </w:r>
                  <m:oMath>
                    <m:sSub>
                      <m:sSubPr>
                        <m:ctrlPr>
                          <w:rPr>
                            <w:rFonts w:ascii="Cambria Math" w:eastAsia="Calibri" w:hAnsi="Arial" w:cs="Arial"/>
                            <w:i/>
                            <w:lang w:val="es-CO" w:eastAsia="en-US"/>
                          </w:rPr>
                        </m:ctrlPr>
                      </m:sSubPr>
                      <m:e>
                        <m:r>
                          <w:rPr>
                            <w:rFonts w:ascii="Cambria Math" w:eastAsia="Calibri" w:hAnsi="Cambria Math" w:cs="Arial"/>
                            <w:lang w:val="es-CO" w:eastAsia="en-US"/>
                          </w:rPr>
                          <m:t>UCIE</m:t>
                        </m:r>
                      </m:e>
                      <m:sub>
                        <m:r>
                          <w:rPr>
                            <w:rFonts w:ascii="Cambria Math" w:eastAsia="Calibri" w:hAnsi="Cambria Math" w:cs="Arial"/>
                            <w:lang w:val="es-CO" w:eastAsia="en-US"/>
                          </w:rPr>
                          <m:t>i</m:t>
                        </m:r>
                      </m:sub>
                    </m:sSub>
                    <m:r>
                      <w:rPr>
                        <w:rFonts w:ascii="Cambria Math" w:eastAsia="Calibri" w:hAnsi="Arial" w:cs="Arial"/>
                        <w:lang w:val="es-CO" w:eastAsia="en-US"/>
                      </w:rPr>
                      <m:t xml:space="preserve"> </m:t>
                    </m:r>
                  </m:oMath>
                  <w:r w:rsidRPr="000B65DE">
                    <w:rPr>
                      <w:rFonts w:ascii="Bookman Old Style" w:hAnsi="Bookman Old Style" w:cs="Arial"/>
                      <w:i/>
                      <w:lang w:val="es-CO" w:eastAsia="en-US"/>
                    </w:rPr>
                    <w:t xml:space="preserve"> </w:t>
                  </w:r>
                  <w:r w:rsidRPr="000B65DE">
                    <w:rPr>
                      <w:rFonts w:ascii="Bookman Old Style" w:hAnsi="Bookman Old Style" w:cs="Arial"/>
                      <w:lang w:val="es-CO" w:eastAsia="en-US"/>
                    </w:rPr>
                    <w:t xml:space="preserve">relacionado en el </w:t>
                  </w:r>
                  <w:r w:rsidR="00AF6018" w:rsidRPr="000B65DE">
                    <w:rPr>
                      <w:rFonts w:ascii="Bookman Old Style" w:hAnsi="Bookman Old Style" w:cs="Arial"/>
                      <w:lang w:val="es-CO" w:eastAsia="en-US"/>
                    </w:rPr>
                    <w:fldChar w:fldCharType="begin"/>
                  </w:r>
                  <w:r w:rsidRPr="000B65DE">
                    <w:rPr>
                      <w:rFonts w:ascii="Bookman Old Style" w:hAnsi="Bookman Old Style" w:cs="Arial"/>
                      <w:lang w:val="es-CO" w:eastAsia="en-US"/>
                    </w:rPr>
                    <w:instrText xml:space="preserve"> REF _Ref289697078 \r \h </w:instrText>
                  </w:r>
                  <w:r w:rsidR="00AF6018" w:rsidRPr="000B65DE">
                    <w:rPr>
                      <w:rFonts w:ascii="Bookman Old Style" w:hAnsi="Bookman Old Style" w:cs="Arial"/>
                      <w:lang w:val="es-CO" w:eastAsia="en-US"/>
                    </w:rPr>
                  </w:r>
                  <w:r w:rsidR="00AF6018" w:rsidRPr="000B65DE">
                    <w:rPr>
                      <w:rFonts w:ascii="Bookman Old Style" w:hAnsi="Bookman Old Style" w:cs="Arial"/>
                      <w:lang w:val="es-CO" w:eastAsia="en-US"/>
                    </w:rPr>
                    <w:fldChar w:fldCharType="separate"/>
                  </w:r>
                  <w:r w:rsidR="004D5C18">
                    <w:rPr>
                      <w:rFonts w:ascii="Bookman Old Style" w:hAnsi="Bookman Old Style" w:cs="Arial"/>
                      <w:lang w:val="es-CO" w:eastAsia="en-US"/>
                    </w:rPr>
                    <w:t>ANEXO 4</w:t>
                  </w:r>
                  <w:r w:rsidR="00AF6018" w:rsidRPr="000B65DE">
                    <w:rPr>
                      <w:rFonts w:ascii="Bookman Old Style" w:hAnsi="Bookman Old Style" w:cs="Arial"/>
                      <w:lang w:val="es-CO" w:eastAsia="en-US"/>
                    </w:rPr>
                    <w:fldChar w:fldCharType="end"/>
                  </w:r>
                </w:p>
              </w:tc>
            </w:tr>
            <w:tr w:rsidR="000B65DE" w:rsidRPr="000B65DE" w:rsidTr="00382E27">
              <w:tc>
                <w:tcPr>
                  <w:tcW w:w="1495" w:type="dxa"/>
                </w:tcPr>
                <w:p w:rsidR="000B65DE" w:rsidRPr="008A3B62" w:rsidRDefault="00CD68AD" w:rsidP="000B65DE">
                  <w:pPr>
                    <w:tabs>
                      <w:tab w:val="left" w:pos="33"/>
                    </w:tabs>
                    <w:spacing w:before="120" w:after="200" w:line="276" w:lineRule="auto"/>
                    <w:ind w:left="0" w:right="176"/>
                    <w:jc w:val="both"/>
                    <w:rPr>
                      <w:rFonts w:ascii="Bookman Old Style" w:eastAsia="Calibri" w:hAnsi="Bookman Old Style" w:cs="Arial"/>
                      <w:sz w:val="22"/>
                      <w:szCs w:val="22"/>
                      <w:lang w:val="es-CO" w:eastAsia="en-US"/>
                    </w:rPr>
                  </w:pPr>
                  <w:r w:rsidRPr="008A3B62">
                    <w:rPr>
                      <w:rFonts w:ascii="Bookman Old Style" w:eastAsia="Calibri" w:hAnsi="Bookman Old Style" w:cs="Arial"/>
                      <w:sz w:val="22"/>
                      <w:szCs w:val="22"/>
                      <w:lang w:val="es-CO" w:eastAsia="en-US"/>
                    </w:rPr>
                    <w:t>r</w:t>
                  </w:r>
                </w:p>
              </w:tc>
              <w:tc>
                <w:tcPr>
                  <w:tcW w:w="5533" w:type="dxa"/>
                </w:tcPr>
                <w:p w:rsidR="000B65DE" w:rsidRPr="000B65DE" w:rsidRDefault="000B65DE" w:rsidP="000B65DE">
                  <w:pPr>
                    <w:tabs>
                      <w:tab w:val="left" w:pos="426"/>
                    </w:tabs>
                    <w:spacing w:after="200"/>
                    <w:ind w:left="0" w:right="176"/>
                    <w:jc w:val="both"/>
                    <w:rPr>
                      <w:rFonts w:ascii="Bookman Old Style" w:hAnsi="Bookman Old Style" w:cs="Arial"/>
                      <w:lang w:val="es-CO" w:eastAsia="en-US"/>
                    </w:rPr>
                  </w:pPr>
                  <w:r w:rsidRPr="000B65DE">
                    <w:rPr>
                      <w:rFonts w:ascii="Bookman Old Style" w:hAnsi="Bookman Old Style" w:cs="Arial"/>
                      <w:lang w:val="es-CO" w:eastAsia="en-US"/>
                    </w:rPr>
                    <w:t>Tasa de</w:t>
                  </w:r>
                  <w:r w:rsidRPr="000B65DE">
                    <w:rPr>
                      <w:rFonts w:ascii="Bookman Old Style" w:hAnsi="Bookman Old Style" w:cs="Arial"/>
                      <w:lang w:val="es-CO" w:eastAsia="en-US"/>
                    </w:rPr>
                    <w:cr/>
                    <w:t>Retorno reconocida para la metodología de Precio Máximo.</w:t>
                  </w:r>
                </w:p>
              </w:tc>
            </w:tr>
            <w:tr w:rsidR="000B65DE" w:rsidRPr="000B65DE" w:rsidTr="00382E27">
              <w:tc>
                <w:tcPr>
                  <w:tcW w:w="1495" w:type="dxa"/>
                </w:tcPr>
                <w:p w:rsidR="000B65DE" w:rsidRPr="000B65DE" w:rsidRDefault="00CD68AD" w:rsidP="000B65DE">
                  <w:pPr>
                    <w:tabs>
                      <w:tab w:val="left" w:pos="33"/>
                    </w:tabs>
                    <w:spacing w:before="120" w:after="200" w:line="276" w:lineRule="auto"/>
                    <w:ind w:left="0" w:right="176"/>
                    <w:jc w:val="both"/>
                    <w:rPr>
                      <w:rFonts w:ascii="Bookman Old Style" w:eastAsia="Calibri" w:hAnsi="Bookman Old Style" w:cs="Arial"/>
                      <w:sz w:val="22"/>
                      <w:szCs w:val="22"/>
                      <w:lang w:val="es-CO" w:eastAsia="en-US"/>
                    </w:rPr>
                  </w:pPr>
                  <w:r w:rsidRPr="008A3B62">
                    <w:rPr>
                      <w:rFonts w:ascii="Bookman Old Style" w:eastAsia="Calibri" w:hAnsi="Bookman Old Style" w:cs="Arial"/>
                      <w:sz w:val="22"/>
                      <w:szCs w:val="22"/>
                      <w:lang w:val="es-CO" w:eastAsia="en-US"/>
                    </w:rPr>
                    <w:t>u</w:t>
                  </w:r>
                </w:p>
              </w:tc>
              <w:tc>
                <w:tcPr>
                  <w:tcW w:w="5533" w:type="dxa"/>
                </w:tcPr>
                <w:p w:rsidR="000B65DE" w:rsidRPr="000B65DE" w:rsidRDefault="000B65DE" w:rsidP="000B65DE">
                  <w:pPr>
                    <w:tabs>
                      <w:tab w:val="left" w:pos="426"/>
                    </w:tabs>
                    <w:spacing w:after="200"/>
                    <w:ind w:left="0" w:right="176"/>
                    <w:jc w:val="both"/>
                    <w:rPr>
                      <w:rFonts w:ascii="Bookman Old Style" w:hAnsi="Bookman Old Style" w:cs="Arial"/>
                      <w:lang w:val="es-CO" w:eastAsia="en-US"/>
                    </w:rPr>
                  </w:pPr>
                  <w:r w:rsidRPr="000B65DE">
                    <w:rPr>
                      <w:rFonts w:ascii="Bookman Old Style" w:hAnsi="Bookman Old Style" w:cs="Arial"/>
                      <w:lang w:val="es-CO" w:eastAsia="en-US"/>
                    </w:rPr>
                    <w:t>Vida útil normativa en años, reconocida para los activos igual 20 años.</w:t>
                  </w:r>
                </w:p>
              </w:tc>
            </w:tr>
            <w:tr w:rsidR="000B65DE" w:rsidRPr="000B65DE" w:rsidTr="00382E27">
              <w:tc>
                <w:tcPr>
                  <w:tcW w:w="1495" w:type="dxa"/>
                </w:tcPr>
                <w:p w:rsidR="000B65DE" w:rsidRPr="000B65DE" w:rsidRDefault="00CD68AD" w:rsidP="000B65DE">
                  <w:pPr>
                    <w:tabs>
                      <w:tab w:val="left" w:pos="33"/>
                    </w:tabs>
                    <w:spacing w:before="120" w:after="200" w:line="276" w:lineRule="auto"/>
                    <w:ind w:left="0" w:right="176"/>
                    <w:jc w:val="both"/>
                    <w:rPr>
                      <w:rFonts w:ascii="Bookman Old Style" w:eastAsia="Calibri" w:hAnsi="Bookman Old Style" w:cs="Arial"/>
                      <w:sz w:val="22"/>
                      <w:szCs w:val="22"/>
                      <w:lang w:val="es-CO" w:eastAsia="en-US"/>
                    </w:rPr>
                  </w:pPr>
                  <w:r w:rsidRPr="008A3B62">
                    <w:rPr>
                      <w:rFonts w:ascii="Bookman Old Style" w:eastAsia="Calibri" w:hAnsi="Bookman Old Style" w:cs="Arial"/>
                      <w:sz w:val="22"/>
                      <w:szCs w:val="22"/>
                      <w:lang w:val="es-CO" w:eastAsia="en-US"/>
                    </w:rPr>
                    <w:t>k</w:t>
                  </w:r>
                </w:p>
              </w:tc>
              <w:tc>
                <w:tcPr>
                  <w:tcW w:w="5533" w:type="dxa"/>
                </w:tcPr>
                <w:p w:rsidR="000B65DE" w:rsidRPr="000B65DE" w:rsidRDefault="000B65DE" w:rsidP="000B65DE">
                  <w:pPr>
                    <w:tabs>
                      <w:tab w:val="left" w:pos="426"/>
                    </w:tabs>
                    <w:spacing w:after="200"/>
                    <w:ind w:left="0" w:right="176"/>
                    <w:jc w:val="both"/>
                    <w:rPr>
                      <w:rFonts w:ascii="Bookman Old Style" w:hAnsi="Bookman Old Style" w:cs="Arial"/>
                      <w:lang w:val="es-CO" w:eastAsia="en-US"/>
                    </w:rPr>
                  </w:pPr>
                  <w:r w:rsidRPr="000B65DE">
                    <w:rPr>
                      <w:rFonts w:ascii="Bookman Old Style" w:hAnsi="Bookman Old Style" w:cs="Arial"/>
                      <w:lang w:val="es-CO" w:eastAsia="en-US"/>
                    </w:rPr>
                    <w:t>Mercado Relevante de análisis.</w:t>
                  </w:r>
                </w:p>
              </w:tc>
            </w:tr>
          </w:tbl>
          <w:p w:rsidR="000B65DE" w:rsidRPr="000B65DE" w:rsidRDefault="000B65DE" w:rsidP="000B65DE">
            <w:pPr>
              <w:ind w:left="0" w:right="176"/>
              <w:jc w:val="both"/>
              <w:rPr>
                <w:rFonts w:ascii="Bookman Old Style" w:eastAsia="Calibri" w:hAnsi="Bookman Old Style" w:cs="Arial"/>
                <w:color w:val="000000"/>
                <w:lang w:val="es-CO" w:eastAsia="en-US"/>
              </w:rPr>
            </w:pPr>
          </w:p>
        </w:tc>
      </w:tr>
      <w:tr w:rsidR="000B65DE" w:rsidRPr="000B65DE" w:rsidTr="00382E27">
        <w:tc>
          <w:tcPr>
            <w:tcW w:w="869" w:type="dxa"/>
          </w:tcPr>
          <w:p w:rsidR="000B65DE" w:rsidRPr="000B65DE" w:rsidRDefault="000B65DE" w:rsidP="000B65DE">
            <w:pPr>
              <w:ind w:left="0"/>
              <w:jc w:val="both"/>
              <w:rPr>
                <w:rFonts w:ascii="Bookman Old Style" w:eastAsia="Calibri" w:hAnsi="Bookman Old Style" w:cs="Arial"/>
                <w:color w:val="000000"/>
                <w:lang w:val="es-CO" w:eastAsia="en-US"/>
              </w:rPr>
            </w:pPr>
            <w:r w:rsidRPr="000B65DE">
              <w:rPr>
                <w:rFonts w:ascii="Bookman Old Style" w:eastAsia="Calibri" w:hAnsi="Bookman Old Style" w:cs="Arial"/>
                <w:color w:val="000000"/>
                <w:lang w:val="es-CO" w:eastAsia="en-US"/>
              </w:rPr>
              <w:t>Q</w:t>
            </w:r>
            <w:r w:rsidRPr="000B65DE">
              <w:rPr>
                <w:rFonts w:ascii="Bookman Old Style" w:eastAsia="Calibri" w:hAnsi="Bookman Old Style" w:cs="Arial"/>
                <w:color w:val="000000"/>
                <w:vertAlign w:val="subscript"/>
                <w:lang w:val="es-CO" w:eastAsia="en-US"/>
              </w:rPr>
              <w:t>CT</w:t>
            </w:r>
          </w:p>
        </w:tc>
        <w:tc>
          <w:tcPr>
            <w:tcW w:w="8203" w:type="dxa"/>
          </w:tcPr>
          <w:p w:rsidR="000B65DE" w:rsidRPr="000B65DE" w:rsidRDefault="000B65DE" w:rsidP="000B65DE">
            <w:pPr>
              <w:ind w:left="0"/>
              <w:jc w:val="both"/>
              <w:rPr>
                <w:rFonts w:ascii="Bookman Old Style" w:eastAsia="Calibri" w:hAnsi="Bookman Old Style" w:cs="Arial"/>
                <w:color w:val="000000"/>
                <w:lang w:val="es-CO" w:eastAsia="en-US"/>
              </w:rPr>
            </w:pPr>
            <w:r w:rsidRPr="000B65DE">
              <w:rPr>
                <w:rFonts w:ascii="Bookman Old Style" w:eastAsia="Calibri" w:hAnsi="Bookman Old Style" w:cs="Arial"/>
                <w:color w:val="000000"/>
                <w:lang w:val="es-CO" w:eastAsia="en-US"/>
              </w:rPr>
              <w:t xml:space="preserve">Demanda que se consideró para la aprobación de los Cargos de Distribución del </w:t>
            </w:r>
            <w:r w:rsidRPr="000B65DE">
              <w:rPr>
                <w:rFonts w:ascii="Bookman Old Style" w:hAnsi="Bookman Old Style" w:cs="Arial"/>
                <w:lang w:val="es-CO" w:eastAsia="en-US"/>
              </w:rPr>
              <w:t>Mercado Relevante de Distribución para el Siguiente Período Tarifario</w:t>
            </w:r>
            <w:r w:rsidRPr="000B65DE" w:rsidDel="00AA329C">
              <w:rPr>
                <w:rFonts w:ascii="Bookman Old Style" w:eastAsia="Calibri" w:hAnsi="Bookman Old Style" w:cs="Arial"/>
                <w:color w:val="000000"/>
                <w:lang w:val="es-CO" w:eastAsia="en-US"/>
              </w:rPr>
              <w:t xml:space="preserve"> </w:t>
            </w:r>
            <w:r w:rsidRPr="000B65DE">
              <w:rPr>
                <w:rFonts w:ascii="Bookman Old Style" w:eastAsia="Calibri" w:hAnsi="Bookman Old Style" w:cs="Arial"/>
                <w:color w:val="000000"/>
                <w:lang w:val="es-CO" w:eastAsia="en-US"/>
              </w:rPr>
              <w:t>k.</w:t>
            </w:r>
          </w:p>
          <w:p w:rsidR="000B65DE" w:rsidRPr="000B65DE" w:rsidRDefault="000B65DE" w:rsidP="000B65DE">
            <w:pPr>
              <w:ind w:left="0"/>
              <w:jc w:val="both"/>
              <w:rPr>
                <w:rFonts w:ascii="Bookman Old Style" w:eastAsia="Calibri" w:hAnsi="Bookman Old Style" w:cs="Arial"/>
                <w:color w:val="000000"/>
                <w:lang w:val="es-CO" w:eastAsia="en-US"/>
              </w:rPr>
            </w:pPr>
          </w:p>
          <w:p w:rsidR="000B65DE" w:rsidRPr="000B65DE" w:rsidRDefault="000B65DE" w:rsidP="000B65DE">
            <w:pPr>
              <w:ind w:left="0"/>
              <w:jc w:val="both"/>
              <w:rPr>
                <w:rFonts w:ascii="Bookman Old Style" w:eastAsia="Calibri" w:hAnsi="Bookman Old Style" w:cs="Arial"/>
                <w:color w:val="000000"/>
                <w:lang w:val="es-CO" w:eastAsia="en-US"/>
              </w:rPr>
            </w:pPr>
          </w:p>
        </w:tc>
      </w:tr>
    </w:tbl>
    <w:p w:rsidR="000B65DE" w:rsidRPr="000B65DE" w:rsidRDefault="000B65DE" w:rsidP="008F4D9F">
      <w:pPr>
        <w:numPr>
          <w:ilvl w:val="1"/>
          <w:numId w:val="31"/>
        </w:numPr>
        <w:overflowPunct w:val="0"/>
        <w:autoSpaceDE w:val="0"/>
        <w:autoSpaceDN w:val="0"/>
        <w:adjustRightInd w:val="0"/>
        <w:jc w:val="both"/>
        <w:textAlignment w:val="baseline"/>
        <w:outlineLvl w:val="1"/>
        <w:rPr>
          <w:rFonts w:ascii="Bookman Old Style" w:hAnsi="Bookman Old Style"/>
          <w:b/>
          <w:bCs/>
          <w:szCs w:val="20"/>
          <w:lang w:val="es-CO"/>
        </w:rPr>
      </w:pPr>
      <w:r w:rsidRPr="000B65DE">
        <w:rPr>
          <w:rFonts w:ascii="Bookman Old Style" w:hAnsi="Bookman Old Style"/>
          <w:b/>
          <w:bCs/>
          <w:szCs w:val="20"/>
          <w:lang w:val="es-CO"/>
        </w:rPr>
        <w:t>REPORTE DE INFORMACIÓN DE ACTIVOS</w:t>
      </w:r>
    </w:p>
    <w:p w:rsidR="000B65DE" w:rsidRPr="000B65DE" w:rsidRDefault="000B65DE" w:rsidP="000B65DE">
      <w:pPr>
        <w:tabs>
          <w:tab w:val="left" w:pos="858"/>
        </w:tabs>
        <w:ind w:left="1327" w:hanging="1327"/>
        <w:jc w:val="both"/>
        <w:rPr>
          <w:rFonts w:ascii="Bookman Old Style" w:hAnsi="Bookman Old Style"/>
          <w:color w:val="000000"/>
          <w:lang w:val="es-ES_tradnl"/>
        </w:rPr>
      </w:pPr>
    </w:p>
    <w:p w:rsidR="000B65DE" w:rsidRPr="000B65DE" w:rsidRDefault="000B65DE" w:rsidP="000B65DE">
      <w:pPr>
        <w:spacing w:after="200"/>
        <w:ind w:left="0"/>
        <w:jc w:val="both"/>
        <w:rPr>
          <w:rFonts w:ascii="Bookman Old Style" w:eastAsia="Calibri" w:hAnsi="Bookman Old Style" w:cs="Arial"/>
          <w:color w:val="000000"/>
          <w:lang w:val="es-CO" w:eastAsia="en-US"/>
        </w:rPr>
      </w:pPr>
      <w:r w:rsidRPr="000B65DE">
        <w:rPr>
          <w:rFonts w:ascii="Bookman Old Style" w:eastAsia="Calibri" w:hAnsi="Bookman Old Style" w:cs="Arial"/>
          <w:color w:val="000000"/>
          <w:lang w:val="es-ES_tradnl" w:eastAsia="en-US"/>
        </w:rPr>
        <w:t>L</w:t>
      </w:r>
      <w:r w:rsidRPr="000B65DE">
        <w:rPr>
          <w:rFonts w:ascii="Bookman Old Style" w:eastAsia="Calibri" w:hAnsi="Bookman Old Style" w:cs="Arial"/>
          <w:color w:val="000000"/>
          <w:lang w:val="es-CO" w:eastAsia="en-US"/>
        </w:rPr>
        <w:t xml:space="preserve">os agentes deberán reportar a la CREG el último día hábil del mes de enero de cada año, la información de la totalidad de activos existentes a través de la matriz del </w:t>
      </w:r>
      <w:r w:rsidR="00AF6018" w:rsidRPr="000B65DE">
        <w:rPr>
          <w:rFonts w:ascii="Bookman Old Style" w:eastAsia="Calibri" w:hAnsi="Bookman Old Style" w:cs="Arial"/>
          <w:color w:val="000000"/>
          <w:lang w:val="es-CO" w:eastAsia="en-US"/>
        </w:rPr>
        <w:fldChar w:fldCharType="begin"/>
      </w:r>
      <w:r w:rsidRPr="000B65DE">
        <w:rPr>
          <w:rFonts w:ascii="Bookman Old Style" w:eastAsia="Calibri" w:hAnsi="Bookman Old Style" w:cs="Arial"/>
          <w:color w:val="000000"/>
          <w:lang w:val="es-CO" w:eastAsia="en-US"/>
        </w:rPr>
        <w:instrText xml:space="preserve"> REF _Ref332876115 \r \h </w:instrText>
      </w:r>
      <w:r w:rsidR="00AF6018" w:rsidRPr="000B65DE">
        <w:rPr>
          <w:rFonts w:ascii="Bookman Old Style" w:eastAsia="Calibri" w:hAnsi="Bookman Old Style" w:cs="Arial"/>
          <w:color w:val="000000"/>
          <w:lang w:val="es-CO" w:eastAsia="en-US"/>
        </w:rPr>
      </w:r>
      <w:r w:rsidR="00AF6018" w:rsidRPr="000B65DE">
        <w:rPr>
          <w:rFonts w:ascii="Bookman Old Style" w:eastAsia="Calibri" w:hAnsi="Bookman Old Style" w:cs="Arial"/>
          <w:color w:val="000000"/>
          <w:lang w:val="es-CO" w:eastAsia="en-US"/>
        </w:rPr>
        <w:fldChar w:fldCharType="separate"/>
      </w:r>
      <w:r w:rsidR="004D5C18">
        <w:rPr>
          <w:rFonts w:ascii="Bookman Old Style" w:eastAsia="Calibri" w:hAnsi="Bookman Old Style" w:cs="Arial"/>
          <w:color w:val="000000"/>
          <w:lang w:val="es-CO" w:eastAsia="en-US"/>
        </w:rPr>
        <w:t>ANEXO 18</w:t>
      </w:r>
      <w:r w:rsidR="00AF6018" w:rsidRPr="000B65DE">
        <w:rPr>
          <w:rFonts w:ascii="Bookman Old Style" w:eastAsia="Calibri" w:hAnsi="Bookman Old Style" w:cs="Arial"/>
          <w:color w:val="000000"/>
          <w:lang w:val="es-CO" w:eastAsia="en-US"/>
        </w:rPr>
        <w:fldChar w:fldCharType="end"/>
      </w:r>
      <w:r w:rsidRPr="000B65DE">
        <w:rPr>
          <w:rFonts w:ascii="Bookman Old Style" w:eastAsia="Calibri" w:hAnsi="Bookman Old Style" w:cs="Arial"/>
          <w:color w:val="000000"/>
          <w:lang w:val="es-CO" w:eastAsia="en-US"/>
        </w:rPr>
        <w:t xml:space="preserve"> con corte a diciembre 31 del año anterior. Esta deberá actualizarse anualmente con los activos que vayan entrando en operación durante el Siguiente Período Tarifario.</w:t>
      </w:r>
    </w:p>
    <w:p w:rsidR="000B65DE" w:rsidRPr="000B65DE" w:rsidRDefault="000B65DE" w:rsidP="000B65DE">
      <w:pPr>
        <w:spacing w:after="200"/>
        <w:ind w:left="0"/>
        <w:jc w:val="both"/>
        <w:rPr>
          <w:rFonts w:ascii="Bookman Old Style" w:eastAsia="Calibri" w:hAnsi="Bookman Old Style" w:cs="Arial"/>
          <w:lang w:val="es-CO" w:eastAsia="en-US"/>
        </w:rPr>
      </w:pPr>
      <w:r w:rsidRPr="000B65DE">
        <w:rPr>
          <w:rFonts w:ascii="Bookman Old Style" w:eastAsia="Calibri" w:hAnsi="Bookman Old Style" w:cs="Arial"/>
          <w:lang w:val="es-CO" w:eastAsia="en-US"/>
        </w:rPr>
        <w:lastRenderedPageBreak/>
        <w:t>Recibida la información, la CREG podrá auditarla. Esta información será la información base para la Inversión Existente del Siguiente Período Tarifario al nuevo Período Tarifario.</w:t>
      </w:r>
    </w:p>
    <w:p w:rsidR="000B65DE" w:rsidRPr="000B65DE" w:rsidRDefault="000B65DE" w:rsidP="000B65DE">
      <w:pPr>
        <w:spacing w:after="200"/>
        <w:ind w:left="0"/>
        <w:jc w:val="both"/>
        <w:rPr>
          <w:rFonts w:ascii="Bookman Old Style" w:eastAsia="Calibri" w:hAnsi="Bookman Old Style" w:cs="Arial"/>
          <w:color w:val="000000"/>
          <w:lang w:val="es-CO" w:eastAsia="en-US"/>
        </w:rPr>
      </w:pPr>
      <w:r w:rsidRPr="000B65DE">
        <w:rPr>
          <w:rFonts w:ascii="Bookman Old Style" w:eastAsia="Calibri" w:hAnsi="Bookman Old Style" w:cs="Arial"/>
          <w:color w:val="000000"/>
          <w:lang w:val="es-CO" w:eastAsia="en-US"/>
        </w:rPr>
        <w:t>La CREG remitirá cada año la información remitida por las empresas a la Superintendencia de Servicios Públicos Domiciliarios para lo de su competencia en cuanto al cumplimiento del programa de reposición y de la aplicación de la metodología.</w:t>
      </w:r>
    </w:p>
    <w:p w:rsidR="000B65DE" w:rsidRPr="000B65DE" w:rsidRDefault="000B65DE" w:rsidP="000B65DE">
      <w:pPr>
        <w:spacing w:after="200"/>
        <w:ind w:left="0"/>
        <w:jc w:val="both"/>
        <w:rPr>
          <w:rFonts w:ascii="Bookman Old Style" w:eastAsia="Calibri" w:hAnsi="Bookman Old Style" w:cs="Arial"/>
          <w:color w:val="000000"/>
          <w:lang w:val="es-CO" w:eastAsia="en-US"/>
        </w:rPr>
      </w:pPr>
      <w:r w:rsidRPr="000B65DE">
        <w:rPr>
          <w:rFonts w:ascii="Bookman Old Style" w:eastAsia="Calibri" w:hAnsi="Bookman Old Style" w:cs="Arial"/>
          <w:b/>
          <w:color w:val="000000"/>
          <w:lang w:val="es-CO" w:eastAsia="en-US"/>
        </w:rPr>
        <w:t xml:space="preserve">Parágrafo. </w:t>
      </w:r>
      <w:r w:rsidRPr="000B65DE">
        <w:rPr>
          <w:rFonts w:ascii="Bookman Old Style" w:eastAsia="Calibri" w:hAnsi="Bookman Old Style" w:cs="Arial"/>
          <w:color w:val="000000"/>
          <w:lang w:val="es-CO" w:eastAsia="en-US"/>
        </w:rPr>
        <w:t xml:space="preserve">El reporte de esta información deberá hacerse estrictamente en los plazos establecidos en esta Resolución. En todo caso, todo incumplimiento u omisión en la remisión de la misma, dará lugar a la aplicación de las sanciones establecidas en el Artículo 73 de la Ley 142 de 1994, conforme a lo establecido en la Resolución CREG 64 de 1998 o aquellas que la aclaren, modifiquen o adicionen.  </w:t>
      </w:r>
    </w:p>
    <w:p w:rsidR="000B65DE" w:rsidRPr="000B65DE" w:rsidRDefault="000B65DE" w:rsidP="00382E27">
      <w:pPr>
        <w:keepNext/>
        <w:numPr>
          <w:ilvl w:val="0"/>
          <w:numId w:val="2"/>
        </w:numPr>
        <w:spacing w:before="240" w:after="60"/>
        <w:jc w:val="both"/>
        <w:outlineLvl w:val="0"/>
        <w:rPr>
          <w:rFonts w:ascii="Bookman Old Style" w:hAnsi="Bookman Old Style"/>
          <w:bCs/>
        </w:rPr>
      </w:pPr>
      <w:r w:rsidRPr="000B65DE">
        <w:rPr>
          <w:rFonts w:ascii="Bookman Old Style" w:hAnsi="Bookman Old Style"/>
          <w:b/>
          <w:bCs/>
        </w:rPr>
        <w:t>CONFIABILIDAD Y</w:t>
      </w:r>
      <w:r w:rsidR="000D0A10">
        <w:rPr>
          <w:rFonts w:ascii="Bookman Old Style" w:hAnsi="Bookman Old Style"/>
          <w:b/>
          <w:bCs/>
        </w:rPr>
        <w:t>/O</w:t>
      </w:r>
      <w:r w:rsidRPr="000B65DE">
        <w:rPr>
          <w:rFonts w:ascii="Bookman Old Style" w:hAnsi="Bookman Old Style"/>
          <w:b/>
          <w:bCs/>
        </w:rPr>
        <w:t xml:space="preserve"> SEGURIDAD. </w:t>
      </w:r>
      <w:r w:rsidRPr="000B65DE">
        <w:rPr>
          <w:rFonts w:ascii="Bookman Old Style" w:hAnsi="Bookman Old Style"/>
          <w:bCs/>
        </w:rPr>
        <w:t>A los Cargos de Distribución se les podrá agregar un Cargo Delta de Confiabilidad y</w:t>
      </w:r>
      <w:r w:rsidR="000D0A10">
        <w:rPr>
          <w:rFonts w:ascii="Bookman Old Style" w:hAnsi="Bookman Old Style"/>
          <w:bCs/>
        </w:rPr>
        <w:t>/o</w:t>
      </w:r>
      <w:r w:rsidRPr="000B65DE">
        <w:rPr>
          <w:rFonts w:ascii="Bookman Old Style" w:hAnsi="Bookman Old Style"/>
          <w:bCs/>
        </w:rPr>
        <w:t xml:space="preserve"> Seguridad en Distribución a la fecha en que se ejecuten y entren en operación los activos de confiabilidad y</w:t>
      </w:r>
      <w:r w:rsidR="000D0A10">
        <w:rPr>
          <w:rFonts w:ascii="Bookman Old Style" w:hAnsi="Bookman Old Style"/>
          <w:bCs/>
        </w:rPr>
        <w:t>/o</w:t>
      </w:r>
      <w:r w:rsidRPr="000B65DE">
        <w:rPr>
          <w:rFonts w:ascii="Bookman Old Style" w:hAnsi="Bookman Old Style"/>
          <w:bCs/>
        </w:rPr>
        <w:t xml:space="preserve"> </w:t>
      </w:r>
      <w:r w:rsidR="000D0A10">
        <w:rPr>
          <w:rFonts w:ascii="Bookman Old Style" w:hAnsi="Bookman Old Style"/>
          <w:bCs/>
        </w:rPr>
        <w:t>s</w:t>
      </w:r>
      <w:r w:rsidRPr="000B65DE">
        <w:rPr>
          <w:rFonts w:ascii="Bookman Old Style" w:hAnsi="Bookman Old Style"/>
          <w:bCs/>
        </w:rPr>
        <w:t>eguridad. Este cargo delta corresponderá a la remuneración de las inversiones correspondientes a los activos de confiabilidad</w:t>
      </w:r>
      <w:r w:rsidR="000D0A10">
        <w:rPr>
          <w:rFonts w:ascii="Bookman Old Style" w:hAnsi="Bookman Old Style"/>
          <w:bCs/>
        </w:rPr>
        <w:t xml:space="preserve"> y/o seguridad</w:t>
      </w:r>
      <w:r w:rsidRPr="000B65DE">
        <w:rPr>
          <w:rFonts w:ascii="Bookman Old Style" w:hAnsi="Bookman Old Style"/>
          <w:bCs/>
        </w:rPr>
        <w:t xml:space="preserve"> que se determinen como necesarios a desarrollar para soportar los Sistemas de Distribución, de conformidad con la metodología establecida por la CREG en resolución aparte. Así mismo, se reconocerán los gastos de AOM anuales eficientes para la infraestructura de confiabilidad</w:t>
      </w:r>
      <w:r w:rsidR="000D0A10">
        <w:rPr>
          <w:rFonts w:ascii="Bookman Old Style" w:hAnsi="Bookman Old Style"/>
          <w:bCs/>
        </w:rPr>
        <w:t xml:space="preserve"> y/o seguridad</w:t>
      </w:r>
      <w:r w:rsidRPr="000B65DE">
        <w:rPr>
          <w:rFonts w:ascii="Bookman Old Style" w:hAnsi="Bookman Old Style"/>
          <w:bCs/>
        </w:rPr>
        <w:t xml:space="preserve"> determinada. El cargo Delta de Confiabilidad en Distribución se determinará así:</w:t>
      </w:r>
    </w:p>
    <w:p w:rsidR="000B65DE" w:rsidRPr="00666658" w:rsidRDefault="000B65DE" w:rsidP="000B65DE">
      <w:pPr>
        <w:spacing w:after="200"/>
        <w:ind w:left="1361"/>
        <w:jc w:val="both"/>
        <w:rPr>
          <w:rFonts w:ascii="Bookman Old Style" w:hAnsi="Bookman Old Style"/>
          <w:color w:val="000000"/>
          <w:sz w:val="8"/>
          <w:szCs w:val="20"/>
          <w:lang w:val="es-ES_tradnl" w:eastAsia="en-US"/>
        </w:rPr>
      </w:pPr>
    </w:p>
    <w:p w:rsidR="000B65DE" w:rsidRPr="0092172B" w:rsidRDefault="00364E59" w:rsidP="000B65DE">
      <w:pPr>
        <w:spacing w:after="200"/>
        <w:ind w:left="0"/>
        <w:jc w:val="center"/>
        <w:rPr>
          <w:rFonts w:ascii="Bookman Old Style" w:hAnsi="Bookman Old Style" w:cs="Arial"/>
          <w:color w:val="000000"/>
          <w:szCs w:val="20"/>
          <w:lang w:val="es-CO" w:eastAsia="en-US"/>
        </w:rPr>
      </w:pPr>
      <m:oMathPara>
        <m:oMath>
          <m:sSub>
            <m:sSubPr>
              <m:ctrlPr>
                <w:rPr>
                  <w:rFonts w:ascii="Cambria Math" w:hAnsi="Cambria Math" w:cs="Arial"/>
                  <w:color w:val="000000"/>
                  <w:szCs w:val="20"/>
                  <w:lang w:val="es-CO" w:eastAsia="en-US"/>
                </w:rPr>
              </m:ctrlPr>
            </m:sSubPr>
            <m:e>
              <m:sSub>
                <m:sSubPr>
                  <m:ctrlPr>
                    <w:rPr>
                      <w:rFonts w:ascii="Cambria Math" w:hAnsi="Cambria Math" w:cs="Arial"/>
                      <w:color w:val="000000"/>
                      <w:szCs w:val="20"/>
                      <w:lang w:val="es-CO" w:eastAsia="en-US"/>
                    </w:rPr>
                  </m:ctrlPr>
                </m:sSubPr>
                <m:e>
                  <m:r>
                    <m:rPr>
                      <m:sty m:val="p"/>
                    </m:rPr>
                    <w:rPr>
                      <w:rFonts w:ascii="Cambria Math" w:hAnsi="Cambria Math" w:cs="Arial"/>
                      <w:color w:val="000000"/>
                      <w:szCs w:val="20"/>
                      <w:lang w:val="es-CO" w:eastAsia="en-US"/>
                    </w:rPr>
                    <m:t>∆</m:t>
                  </m:r>
                </m:e>
                <m:sub>
                  <m:r>
                    <m:rPr>
                      <m:sty m:val="p"/>
                    </m:rPr>
                    <w:rPr>
                      <w:rFonts w:ascii="Cambria Math" w:hAnsi="Cambria Math" w:cs="Arial"/>
                      <w:color w:val="000000"/>
                      <w:szCs w:val="20"/>
                      <w:lang w:val="es-CO" w:eastAsia="en-US"/>
                    </w:rPr>
                    <m:t>Con</m:t>
                  </m:r>
                </m:sub>
              </m:sSub>
            </m:e>
            <m:sub>
              <m:r>
                <m:rPr>
                  <m:sty m:val="p"/>
                </m:rPr>
                <w:rPr>
                  <w:rFonts w:ascii="Cambria Math" w:hAnsi="Cambria Math" w:cs="Arial"/>
                  <w:color w:val="000000"/>
                  <w:szCs w:val="20"/>
                  <w:lang w:val="es-CO" w:eastAsia="en-US"/>
                </w:rPr>
                <m:t>k</m:t>
              </m:r>
            </m:sub>
          </m:sSub>
          <m:r>
            <m:rPr>
              <m:sty m:val="p"/>
            </m:rPr>
            <w:rPr>
              <w:rFonts w:ascii="Cambria Math" w:hAnsi="Cambria Math" w:cs="Arial"/>
              <w:color w:val="000000"/>
              <w:szCs w:val="20"/>
              <w:lang w:val="es-CO" w:eastAsia="en-US"/>
            </w:rPr>
            <m:t>=</m:t>
          </m:r>
          <m:f>
            <m:fPr>
              <m:ctrlPr>
                <w:rPr>
                  <w:rFonts w:ascii="Cambria Math" w:hAnsi="Cambria Math" w:cs="Arial"/>
                  <w:color w:val="000000"/>
                  <w:szCs w:val="20"/>
                  <w:lang w:val="es-CO" w:eastAsia="en-US"/>
                </w:rPr>
              </m:ctrlPr>
            </m:fPr>
            <m:num>
              <m:sSub>
                <m:sSubPr>
                  <m:ctrlPr>
                    <w:rPr>
                      <w:rFonts w:ascii="Cambria Math" w:hAnsi="Cambria Math" w:cs="Arial"/>
                      <w:color w:val="000000"/>
                      <w:szCs w:val="20"/>
                      <w:lang w:val="es-CO" w:eastAsia="en-US"/>
                    </w:rPr>
                  </m:ctrlPr>
                </m:sSubPr>
                <m:e>
                  <m:r>
                    <m:rPr>
                      <m:sty m:val="p"/>
                    </m:rPr>
                    <w:rPr>
                      <w:rFonts w:ascii="Cambria Math" w:hAnsi="Cambria Math" w:cs="Arial"/>
                      <w:color w:val="000000"/>
                      <w:szCs w:val="20"/>
                      <w:lang w:val="es-CO" w:eastAsia="en-US"/>
                    </w:rPr>
                    <m:t>IC</m:t>
                  </m:r>
                </m:e>
                <m:sub>
                  <m:r>
                    <m:rPr>
                      <m:sty m:val="p"/>
                    </m:rPr>
                    <w:rPr>
                      <w:rFonts w:ascii="Cambria Math" w:hAnsi="Cambria Math" w:cs="Arial"/>
                      <w:color w:val="000000"/>
                      <w:szCs w:val="20"/>
                      <w:lang w:val="es-CO" w:eastAsia="en-US"/>
                    </w:rPr>
                    <m:t>k</m:t>
                  </m:r>
                </m:sub>
              </m:sSub>
              <m:r>
                <m:rPr>
                  <m:sty m:val="p"/>
                </m:rPr>
                <w:rPr>
                  <w:rFonts w:ascii="Cambria Math" w:hAnsi="Cambria Math" w:cs="Arial"/>
                  <w:color w:val="000000"/>
                  <w:szCs w:val="20"/>
                  <w:lang w:val="es-CO" w:eastAsia="en-US"/>
                </w:rPr>
                <m:t>+</m:t>
              </m:r>
              <m:sSub>
                <m:sSubPr>
                  <m:ctrlPr>
                    <w:rPr>
                      <w:rFonts w:ascii="Cambria Math" w:hAnsi="Cambria Math" w:cs="Arial"/>
                      <w:color w:val="000000"/>
                      <w:szCs w:val="20"/>
                      <w:lang w:val="es-CO" w:eastAsia="en-US"/>
                    </w:rPr>
                  </m:ctrlPr>
                </m:sSubPr>
                <m:e>
                  <m:r>
                    <m:rPr>
                      <m:sty m:val="p"/>
                    </m:rPr>
                    <w:rPr>
                      <w:rFonts w:ascii="Cambria Math" w:hAnsi="Cambria Math" w:cs="Arial"/>
                      <w:color w:val="000000"/>
                      <w:szCs w:val="20"/>
                      <w:lang w:val="es-CO" w:eastAsia="en-US"/>
                    </w:rPr>
                    <m:t>AOMC</m:t>
                  </m:r>
                </m:e>
                <m:sub>
                  <m:r>
                    <m:rPr>
                      <m:sty m:val="p"/>
                    </m:rPr>
                    <w:rPr>
                      <w:rFonts w:ascii="Cambria Math" w:hAnsi="Cambria Math" w:cs="Arial"/>
                      <w:color w:val="000000"/>
                      <w:szCs w:val="20"/>
                      <w:lang w:val="es-CO" w:eastAsia="en-US"/>
                    </w:rPr>
                    <m:t>k</m:t>
                  </m:r>
                </m:sub>
              </m:sSub>
            </m:num>
            <m:den>
              <m:sSub>
                <m:sSubPr>
                  <m:ctrlPr>
                    <w:rPr>
                      <w:rFonts w:ascii="Cambria Math" w:hAnsi="Cambria Math" w:cs="Arial"/>
                      <w:color w:val="000000"/>
                      <w:szCs w:val="20"/>
                      <w:lang w:val="es-CO" w:eastAsia="en-US"/>
                    </w:rPr>
                  </m:ctrlPr>
                </m:sSubPr>
                <m:e>
                  <m:r>
                    <m:rPr>
                      <m:sty m:val="p"/>
                    </m:rPr>
                    <w:rPr>
                      <w:rFonts w:ascii="Cambria Math" w:hAnsi="Cambria Math" w:cs="Arial"/>
                      <w:color w:val="000000"/>
                      <w:szCs w:val="20"/>
                      <w:lang w:val="es-CO" w:eastAsia="en-US"/>
                    </w:rPr>
                    <m:t>Q</m:t>
                  </m:r>
                </m:e>
                <m:sub>
                  <m:r>
                    <m:rPr>
                      <m:sty m:val="p"/>
                    </m:rPr>
                    <w:rPr>
                      <w:rFonts w:ascii="Cambria Math" w:hAnsi="Cambria Math" w:cs="Arial"/>
                      <w:color w:val="000000"/>
                      <w:szCs w:val="20"/>
                      <w:lang w:val="es-CO" w:eastAsia="en-US"/>
                    </w:rPr>
                    <m:t>CT</m:t>
                  </m:r>
                </m:sub>
              </m:sSub>
            </m:den>
          </m:f>
        </m:oMath>
      </m:oMathPara>
    </w:p>
    <w:p w:rsidR="000B65DE" w:rsidRPr="00666658" w:rsidRDefault="000B65DE" w:rsidP="000B65DE">
      <w:pPr>
        <w:spacing w:after="200"/>
        <w:ind w:left="0"/>
        <w:jc w:val="both"/>
        <w:rPr>
          <w:rFonts w:ascii="Bookman Old Style" w:hAnsi="Bookman Old Style" w:cs="Arial"/>
          <w:color w:val="000000"/>
          <w:sz w:val="4"/>
          <w:szCs w:val="20"/>
          <w:lang w:val="es-CO" w:eastAsia="en-US"/>
        </w:rPr>
      </w:pPr>
    </w:p>
    <w:tbl>
      <w:tblPr>
        <w:tblW w:w="9072" w:type="dxa"/>
        <w:tblInd w:w="534" w:type="dxa"/>
        <w:tblLayout w:type="fixed"/>
        <w:tblLook w:val="04A0" w:firstRow="1" w:lastRow="0" w:firstColumn="1" w:lastColumn="0" w:noHBand="0" w:noVBand="1"/>
      </w:tblPr>
      <w:tblGrid>
        <w:gridCol w:w="869"/>
        <w:gridCol w:w="8203"/>
      </w:tblGrid>
      <w:tr w:rsidR="000B65DE" w:rsidRPr="000B65DE" w:rsidTr="00382E27">
        <w:tc>
          <w:tcPr>
            <w:tcW w:w="869" w:type="dxa"/>
          </w:tcPr>
          <w:p w:rsidR="000B65DE" w:rsidRPr="0092172B" w:rsidRDefault="00364E59" w:rsidP="000B65DE">
            <w:pPr>
              <w:ind w:left="0"/>
              <w:jc w:val="both"/>
              <w:rPr>
                <w:rFonts w:ascii="Bookman Old Style" w:eastAsia="Calibri" w:hAnsi="Bookman Old Style" w:cs="Arial"/>
                <w:color w:val="000000"/>
                <w:lang w:val="es-CO" w:eastAsia="en-US"/>
              </w:rPr>
            </w:pPr>
            <m:oMathPara>
              <m:oMathParaPr>
                <m:jc m:val="left"/>
              </m:oMathParaPr>
              <m:oMath>
                <m:sSub>
                  <m:sSubPr>
                    <m:ctrlPr>
                      <w:rPr>
                        <w:rFonts w:ascii="Cambria Math" w:hAnsi="Cambria Math" w:cs="Arial"/>
                        <w:color w:val="000000"/>
                        <w:lang w:eastAsia="en-US"/>
                      </w:rPr>
                    </m:ctrlPr>
                  </m:sSubPr>
                  <m:e>
                    <m:sSub>
                      <m:sSubPr>
                        <m:ctrlPr>
                          <w:rPr>
                            <w:rFonts w:ascii="Cambria Math" w:hAnsi="Cambria Math" w:cs="Arial"/>
                            <w:color w:val="000000"/>
                            <w:lang w:eastAsia="en-US"/>
                          </w:rPr>
                        </m:ctrlPr>
                      </m:sSubPr>
                      <m:e>
                        <m:r>
                          <m:rPr>
                            <m:sty m:val="p"/>
                          </m:rPr>
                          <w:rPr>
                            <w:rFonts w:ascii="Cambria Math" w:hAnsi="Cambria Math" w:cs="Arial"/>
                            <w:color w:val="000000"/>
                            <w:lang w:eastAsia="en-US"/>
                          </w:rPr>
                          <m:t>∆</m:t>
                        </m:r>
                      </m:e>
                      <m:sub>
                        <m:r>
                          <m:rPr>
                            <m:sty m:val="p"/>
                          </m:rPr>
                          <w:rPr>
                            <w:rFonts w:ascii="Cambria Math" w:hAnsi="Cambria Math" w:cs="Arial"/>
                            <w:color w:val="000000"/>
                            <w:lang w:eastAsia="en-US"/>
                          </w:rPr>
                          <m:t>Con</m:t>
                        </m:r>
                      </m:sub>
                    </m:sSub>
                  </m:e>
                  <m:sub>
                    <m:r>
                      <m:rPr>
                        <m:sty m:val="p"/>
                      </m:rPr>
                      <w:rPr>
                        <w:rFonts w:ascii="Cambria Math" w:hAnsi="Cambria Math" w:cs="Arial"/>
                        <w:color w:val="000000"/>
                        <w:lang w:eastAsia="en-US"/>
                      </w:rPr>
                      <m:t>k</m:t>
                    </m:r>
                  </m:sub>
                </m:sSub>
              </m:oMath>
            </m:oMathPara>
          </w:p>
        </w:tc>
        <w:tc>
          <w:tcPr>
            <w:tcW w:w="8203" w:type="dxa"/>
          </w:tcPr>
          <w:p w:rsidR="000B65DE" w:rsidRPr="000B65DE" w:rsidRDefault="000B65DE" w:rsidP="000B65DE">
            <w:pPr>
              <w:ind w:left="0"/>
              <w:jc w:val="both"/>
              <w:rPr>
                <w:rFonts w:ascii="Bookman Old Style" w:eastAsia="Calibri" w:hAnsi="Bookman Old Style" w:cs="Arial"/>
                <w:color w:val="000000"/>
                <w:lang w:val="es-CO" w:eastAsia="en-US"/>
              </w:rPr>
            </w:pPr>
            <w:r w:rsidRPr="000B65DE">
              <w:rPr>
                <w:rFonts w:ascii="Bookman Old Style" w:eastAsia="Calibri" w:hAnsi="Bookman Old Style" w:cs="Arial"/>
                <w:color w:val="000000"/>
                <w:lang w:val="es-CO" w:eastAsia="en-US"/>
              </w:rPr>
              <w:t>Delta de los cargos de distribución por efecto de Confiabilidad y</w:t>
            </w:r>
            <w:r w:rsidR="000D0A10">
              <w:rPr>
                <w:rFonts w:ascii="Bookman Old Style" w:eastAsia="Calibri" w:hAnsi="Bookman Old Style" w:cs="Arial"/>
                <w:color w:val="000000"/>
                <w:lang w:val="es-CO" w:eastAsia="en-US"/>
              </w:rPr>
              <w:t>/o</w:t>
            </w:r>
            <w:r w:rsidRPr="000B65DE">
              <w:rPr>
                <w:rFonts w:ascii="Bookman Old Style" w:eastAsia="Calibri" w:hAnsi="Bookman Old Style" w:cs="Arial"/>
                <w:color w:val="000000"/>
                <w:lang w:val="es-CO" w:eastAsia="en-US"/>
              </w:rPr>
              <w:t xml:space="preserve"> Seguridad. Expresado en pesos de la Fecha Base por metro cúbico.</w:t>
            </w:r>
          </w:p>
          <w:p w:rsidR="000B65DE" w:rsidRPr="000D0A10" w:rsidRDefault="000B65DE" w:rsidP="000B65DE">
            <w:pPr>
              <w:ind w:left="0"/>
              <w:jc w:val="both"/>
              <w:rPr>
                <w:rFonts w:ascii="Bookman Old Style" w:eastAsia="Calibri" w:hAnsi="Bookman Old Style" w:cs="Arial"/>
                <w:color w:val="000000"/>
                <w:sz w:val="16"/>
                <w:lang w:val="es-CO" w:eastAsia="en-US"/>
              </w:rPr>
            </w:pPr>
          </w:p>
        </w:tc>
      </w:tr>
      <w:tr w:rsidR="000B65DE" w:rsidRPr="000B65DE" w:rsidTr="00382E27">
        <w:tc>
          <w:tcPr>
            <w:tcW w:w="869" w:type="dxa"/>
          </w:tcPr>
          <w:p w:rsidR="000B65DE" w:rsidRPr="0092172B" w:rsidRDefault="00364E59" w:rsidP="000B65DE">
            <w:pPr>
              <w:ind w:left="0"/>
              <w:jc w:val="both"/>
              <w:rPr>
                <w:rFonts w:ascii="Bookman Old Style" w:eastAsia="Calibri" w:hAnsi="Bookman Old Style" w:cs="Arial"/>
                <w:color w:val="000000"/>
                <w:lang w:val="es-CO" w:eastAsia="en-US"/>
              </w:rPr>
            </w:pPr>
            <m:oMathPara>
              <m:oMath>
                <m:sSub>
                  <m:sSubPr>
                    <m:ctrlPr>
                      <w:rPr>
                        <w:rFonts w:ascii="Cambria Math" w:hAnsi="Cambria Math" w:cs="Arial"/>
                        <w:color w:val="000000"/>
                        <w:lang w:val="es-CO" w:eastAsia="en-US"/>
                      </w:rPr>
                    </m:ctrlPr>
                  </m:sSubPr>
                  <m:e>
                    <m:r>
                      <m:rPr>
                        <m:sty m:val="p"/>
                      </m:rPr>
                      <w:rPr>
                        <w:rFonts w:ascii="Cambria Math" w:hAnsi="Cambria Math" w:cs="Arial"/>
                        <w:color w:val="000000"/>
                        <w:lang w:val="es-CO" w:eastAsia="en-US"/>
                      </w:rPr>
                      <m:t>IC</m:t>
                    </m:r>
                  </m:e>
                  <m:sub>
                    <m:r>
                      <m:rPr>
                        <m:sty m:val="p"/>
                      </m:rPr>
                      <w:rPr>
                        <w:rFonts w:ascii="Cambria Math" w:hAnsi="Cambria Math" w:cs="Arial"/>
                        <w:color w:val="000000"/>
                        <w:lang w:val="es-CO" w:eastAsia="en-US"/>
                      </w:rPr>
                      <m:t>k</m:t>
                    </m:r>
                  </m:sub>
                </m:sSub>
              </m:oMath>
            </m:oMathPara>
          </w:p>
        </w:tc>
        <w:tc>
          <w:tcPr>
            <w:tcW w:w="8203" w:type="dxa"/>
          </w:tcPr>
          <w:p w:rsidR="000B65DE" w:rsidRPr="000B65DE" w:rsidRDefault="000B65DE" w:rsidP="000B65DE">
            <w:pPr>
              <w:ind w:left="0"/>
              <w:jc w:val="both"/>
              <w:rPr>
                <w:rFonts w:ascii="Bookman Old Style" w:hAnsi="Bookman Old Style" w:cs="Arial"/>
                <w:lang w:val="es-ES_tradnl"/>
              </w:rPr>
            </w:pPr>
            <w:r w:rsidRPr="000B65DE">
              <w:rPr>
                <w:rFonts w:ascii="Bookman Old Style" w:eastAsia="Calibri" w:hAnsi="Bookman Old Style" w:cs="Arial"/>
                <w:color w:val="000000"/>
                <w:lang w:val="es-CO" w:eastAsia="en-US"/>
              </w:rPr>
              <w:t>Costo anual equivalente de la Inversión Base a reconocer por concepto de Confiabilidad y</w:t>
            </w:r>
            <w:r w:rsidR="000D0A10">
              <w:rPr>
                <w:rFonts w:ascii="Bookman Old Style" w:eastAsia="Calibri" w:hAnsi="Bookman Old Style" w:cs="Arial"/>
                <w:color w:val="000000"/>
                <w:lang w:val="es-CO" w:eastAsia="en-US"/>
              </w:rPr>
              <w:t>/o</w:t>
            </w:r>
            <w:r w:rsidRPr="000B65DE">
              <w:rPr>
                <w:rFonts w:ascii="Bookman Old Style" w:eastAsia="Calibri" w:hAnsi="Bookman Old Style" w:cs="Arial"/>
                <w:color w:val="000000"/>
                <w:lang w:val="es-CO" w:eastAsia="en-US"/>
              </w:rPr>
              <w:t xml:space="preserve"> Seguridad en Distribución para el </w:t>
            </w:r>
            <w:r w:rsidRPr="000B65DE">
              <w:rPr>
                <w:rFonts w:ascii="Bookman Old Style" w:hAnsi="Bookman Old Style" w:cs="Arial"/>
                <w:lang w:val="es-CO" w:eastAsia="en-US"/>
              </w:rPr>
              <w:t>Mercado Relevante de Distribución para el Siguiente Periodo Tarifario</w:t>
            </w:r>
            <w:r w:rsidRPr="000B65DE" w:rsidDel="00AA329C">
              <w:rPr>
                <w:rFonts w:ascii="Bookman Old Style" w:eastAsia="Calibri" w:hAnsi="Bookman Old Style" w:cs="Arial"/>
                <w:color w:val="000000"/>
                <w:lang w:val="es-CO" w:eastAsia="en-US"/>
              </w:rPr>
              <w:t xml:space="preserve"> </w:t>
            </w:r>
            <w:r w:rsidRPr="000B65DE">
              <w:rPr>
                <w:rFonts w:ascii="Bookman Old Style" w:eastAsia="Calibri" w:hAnsi="Bookman Old Style" w:cs="Arial"/>
                <w:color w:val="000000"/>
                <w:lang w:val="es-CO" w:eastAsia="en-US"/>
              </w:rPr>
              <w:t>k, conforme a la metodología establecida por la CREG en resolución aparte,</w:t>
            </w:r>
            <w:r w:rsidRPr="000B65DE">
              <w:rPr>
                <w:rFonts w:ascii="Bookman Old Style" w:hAnsi="Bookman Old Style" w:cs="Arial"/>
                <w:lang w:val="es-ES_tradnl"/>
              </w:rPr>
              <w:t xml:space="preserve"> expresado en pesos de la Fecha Base.</w:t>
            </w:r>
          </w:p>
          <w:p w:rsidR="000B65DE" w:rsidRPr="000D0A10" w:rsidRDefault="000B65DE" w:rsidP="000B65DE">
            <w:pPr>
              <w:ind w:left="0"/>
              <w:jc w:val="both"/>
              <w:rPr>
                <w:rFonts w:ascii="Bookman Old Style" w:eastAsia="Calibri" w:hAnsi="Bookman Old Style" w:cs="Arial"/>
                <w:color w:val="000000"/>
                <w:sz w:val="14"/>
                <w:lang w:val="es-ES_tradnl" w:eastAsia="en-US"/>
              </w:rPr>
            </w:pPr>
          </w:p>
        </w:tc>
      </w:tr>
      <w:tr w:rsidR="000B65DE" w:rsidRPr="000B65DE" w:rsidTr="00382E27">
        <w:tc>
          <w:tcPr>
            <w:tcW w:w="869" w:type="dxa"/>
          </w:tcPr>
          <w:p w:rsidR="000B65DE" w:rsidRPr="0092172B" w:rsidRDefault="00364E59" w:rsidP="000B65DE">
            <w:pPr>
              <w:ind w:left="0"/>
              <w:jc w:val="both"/>
              <w:rPr>
                <w:rFonts w:ascii="Bookman Old Style" w:eastAsia="Calibri" w:hAnsi="Bookman Old Style" w:cs="Arial"/>
                <w:color w:val="000000"/>
                <w:lang w:val="es-CO" w:eastAsia="en-US"/>
              </w:rPr>
            </w:pPr>
            <m:oMathPara>
              <m:oMathParaPr>
                <m:jc m:val="left"/>
              </m:oMathParaPr>
              <m:oMath>
                <m:sSub>
                  <m:sSubPr>
                    <m:ctrlPr>
                      <w:rPr>
                        <w:rFonts w:ascii="Cambria Math" w:hAnsi="Cambria Math" w:cs="Arial"/>
                        <w:color w:val="000000"/>
                        <w:lang w:eastAsia="en-US"/>
                      </w:rPr>
                    </m:ctrlPr>
                  </m:sSubPr>
                  <m:e>
                    <m:r>
                      <m:rPr>
                        <m:sty m:val="p"/>
                      </m:rPr>
                      <w:rPr>
                        <w:rFonts w:ascii="Cambria Math" w:hAnsi="Cambria Math" w:cs="Arial"/>
                        <w:color w:val="000000"/>
                        <w:lang w:eastAsia="en-US"/>
                      </w:rPr>
                      <m:t>AOMC</m:t>
                    </m:r>
                  </m:e>
                  <m:sub>
                    <m:r>
                      <m:rPr>
                        <m:sty m:val="p"/>
                      </m:rPr>
                      <w:rPr>
                        <w:rFonts w:ascii="Cambria Math" w:hAnsi="Cambria Math" w:cs="Arial"/>
                        <w:color w:val="000000"/>
                        <w:lang w:eastAsia="en-US"/>
                      </w:rPr>
                      <m:t>k</m:t>
                    </m:r>
                  </m:sub>
                </m:sSub>
              </m:oMath>
            </m:oMathPara>
          </w:p>
        </w:tc>
        <w:tc>
          <w:tcPr>
            <w:tcW w:w="8203" w:type="dxa"/>
          </w:tcPr>
          <w:p w:rsidR="000B65DE" w:rsidRPr="000B65DE" w:rsidRDefault="000B65DE" w:rsidP="000B65DE">
            <w:pPr>
              <w:ind w:left="0"/>
              <w:jc w:val="both"/>
              <w:rPr>
                <w:rFonts w:ascii="Bookman Old Style" w:hAnsi="Bookman Old Style" w:cs="Arial"/>
                <w:lang w:val="es-ES_tradnl"/>
              </w:rPr>
            </w:pPr>
            <w:r w:rsidRPr="000B65DE">
              <w:rPr>
                <w:rFonts w:ascii="Bookman Old Style" w:hAnsi="Bookman Old Style" w:cs="Arial"/>
                <w:lang w:val="es-ES_tradnl"/>
              </w:rPr>
              <w:t>Gastos anuales eficientes de Administración, Operación y Mantenimiento, para la confiabilidad y</w:t>
            </w:r>
            <w:r w:rsidR="000D0A10">
              <w:rPr>
                <w:rFonts w:ascii="Bookman Old Style" w:hAnsi="Bookman Old Style" w:cs="Arial"/>
                <w:lang w:val="es-ES_tradnl"/>
              </w:rPr>
              <w:t>/o</w:t>
            </w:r>
            <w:r w:rsidRPr="000B65DE">
              <w:rPr>
                <w:rFonts w:ascii="Bookman Old Style" w:hAnsi="Bookman Old Style" w:cs="Arial"/>
                <w:lang w:val="es-ES_tradnl"/>
              </w:rPr>
              <w:t xml:space="preserve"> Seguridad en Distribución del Mercado Relevante de Distribución para el Siguiente Período Tarifario k, expresado en pesos de la Fecha Base.</w:t>
            </w:r>
          </w:p>
          <w:p w:rsidR="000B65DE" w:rsidRPr="000D0A10" w:rsidRDefault="000B65DE" w:rsidP="000B65DE">
            <w:pPr>
              <w:ind w:left="0"/>
              <w:jc w:val="both"/>
              <w:rPr>
                <w:rFonts w:ascii="Bookman Old Style" w:eastAsia="Calibri" w:hAnsi="Bookman Old Style" w:cs="Arial"/>
                <w:color w:val="000000"/>
                <w:sz w:val="16"/>
                <w:lang w:val="es-ES_tradnl" w:eastAsia="en-US"/>
              </w:rPr>
            </w:pPr>
          </w:p>
        </w:tc>
      </w:tr>
      <w:tr w:rsidR="000B65DE" w:rsidRPr="000B65DE" w:rsidTr="00382E27">
        <w:tc>
          <w:tcPr>
            <w:tcW w:w="869" w:type="dxa"/>
          </w:tcPr>
          <w:p w:rsidR="000B65DE" w:rsidRPr="000B65DE" w:rsidRDefault="000B65DE" w:rsidP="000B65DE">
            <w:pPr>
              <w:ind w:left="0"/>
              <w:jc w:val="both"/>
              <w:rPr>
                <w:rFonts w:ascii="Bookman Old Style" w:eastAsia="Calibri" w:hAnsi="Bookman Old Style" w:cs="Arial"/>
                <w:color w:val="000000"/>
                <w:lang w:val="es-CO" w:eastAsia="en-US"/>
              </w:rPr>
            </w:pPr>
            <w:r w:rsidRPr="000B65DE">
              <w:rPr>
                <w:rFonts w:ascii="Bookman Old Style" w:eastAsia="Calibri" w:hAnsi="Bookman Old Style" w:cs="Arial"/>
                <w:color w:val="000000"/>
                <w:lang w:val="es-CO" w:eastAsia="en-US"/>
              </w:rPr>
              <w:t>Q</w:t>
            </w:r>
            <w:r w:rsidRPr="000B65DE">
              <w:rPr>
                <w:rFonts w:ascii="Bookman Old Style" w:eastAsia="Calibri" w:hAnsi="Bookman Old Style" w:cs="Arial"/>
                <w:color w:val="000000"/>
                <w:vertAlign w:val="subscript"/>
                <w:lang w:val="es-CO" w:eastAsia="en-US"/>
              </w:rPr>
              <w:t>CT</w:t>
            </w:r>
          </w:p>
        </w:tc>
        <w:tc>
          <w:tcPr>
            <w:tcW w:w="8203" w:type="dxa"/>
          </w:tcPr>
          <w:p w:rsidR="000B65DE" w:rsidRPr="000B65DE" w:rsidRDefault="000B65DE" w:rsidP="000B65DE">
            <w:pPr>
              <w:ind w:left="0"/>
              <w:jc w:val="both"/>
              <w:rPr>
                <w:rFonts w:ascii="Bookman Old Style" w:eastAsia="Calibri" w:hAnsi="Bookman Old Style" w:cs="Arial"/>
                <w:color w:val="000000"/>
                <w:lang w:val="es-CO" w:eastAsia="en-US"/>
              </w:rPr>
            </w:pPr>
            <w:r w:rsidRPr="000B65DE">
              <w:rPr>
                <w:rFonts w:ascii="Bookman Old Style" w:eastAsia="Calibri" w:hAnsi="Bookman Old Style" w:cs="Arial"/>
                <w:color w:val="000000"/>
                <w:lang w:val="es-CO" w:eastAsia="en-US"/>
              </w:rPr>
              <w:t xml:space="preserve">Demanda que se considera para la aprobación de los Cargos de Distribución del </w:t>
            </w:r>
            <w:r w:rsidRPr="000B65DE">
              <w:rPr>
                <w:rFonts w:ascii="Bookman Old Style" w:hAnsi="Bookman Old Style" w:cs="Arial"/>
                <w:lang w:val="es-CO" w:eastAsia="en-US"/>
              </w:rPr>
              <w:t>Mercado Relevante de Distribución para el Siguiente Periodo Tarifario</w:t>
            </w:r>
            <w:r w:rsidRPr="000B65DE" w:rsidDel="00AA329C">
              <w:rPr>
                <w:rFonts w:ascii="Bookman Old Style" w:eastAsia="Calibri" w:hAnsi="Bookman Old Style" w:cs="Arial"/>
                <w:color w:val="000000"/>
                <w:lang w:val="es-CO" w:eastAsia="en-US"/>
              </w:rPr>
              <w:t xml:space="preserve"> </w:t>
            </w:r>
            <w:r w:rsidRPr="000B65DE">
              <w:rPr>
                <w:rFonts w:ascii="Bookman Old Style" w:eastAsia="Calibri" w:hAnsi="Bookman Old Style" w:cs="Arial"/>
                <w:color w:val="000000"/>
                <w:lang w:val="es-CO" w:eastAsia="en-US"/>
              </w:rPr>
              <w:t>k.</w:t>
            </w:r>
          </w:p>
          <w:p w:rsidR="000B65DE" w:rsidRPr="000B65DE" w:rsidRDefault="000B65DE" w:rsidP="000B65DE">
            <w:pPr>
              <w:ind w:left="0"/>
              <w:jc w:val="both"/>
              <w:rPr>
                <w:rFonts w:ascii="Bookman Old Style" w:eastAsia="Calibri" w:hAnsi="Bookman Old Style" w:cs="Arial"/>
                <w:color w:val="000000"/>
                <w:lang w:val="es-CO" w:eastAsia="en-US"/>
              </w:rPr>
            </w:pPr>
          </w:p>
        </w:tc>
      </w:tr>
    </w:tbl>
    <w:p w:rsidR="000B65DE" w:rsidRPr="000B65DE" w:rsidRDefault="000B65DE" w:rsidP="00382E27">
      <w:pPr>
        <w:keepNext/>
        <w:numPr>
          <w:ilvl w:val="0"/>
          <w:numId w:val="2"/>
        </w:numPr>
        <w:spacing w:before="240" w:after="60"/>
        <w:ind w:left="142" w:firstLine="1418"/>
        <w:jc w:val="both"/>
        <w:outlineLvl w:val="0"/>
        <w:rPr>
          <w:rFonts w:ascii="Bookman Old Style" w:hAnsi="Bookman Old Style"/>
          <w:bCs/>
        </w:rPr>
      </w:pPr>
      <w:r w:rsidRPr="000B65DE">
        <w:rPr>
          <w:rFonts w:ascii="Bookman Old Style" w:hAnsi="Bookman Old Style"/>
          <w:b/>
          <w:bCs/>
        </w:rPr>
        <w:t xml:space="preserve">MERCADOS RELEVANTES DE DISTRIBUCIÓN PARA EL SIGUIENTE PERÍODO TARIFARIO EN DONDE HAY MÁS DE UN </w:t>
      </w:r>
      <w:r w:rsidRPr="000B65DE">
        <w:rPr>
          <w:rFonts w:ascii="Bookman Old Style" w:hAnsi="Bookman Old Style"/>
          <w:b/>
          <w:bCs/>
        </w:rPr>
        <w:lastRenderedPageBreak/>
        <w:t xml:space="preserve">DISTRIBUIDOR. </w:t>
      </w:r>
      <w:r w:rsidRPr="000B65DE">
        <w:rPr>
          <w:rFonts w:ascii="Bookman Old Style" w:hAnsi="Bookman Old Style"/>
          <w:bCs/>
        </w:rPr>
        <w:t>Si en un Mercado de Distribución existen dos o más Distribuidores, la determinación de los Cargos de Distribución que se aplicarán para la asignación de la remuneración de la Inversión y la remuneración de los Gastos de Administración, Operación y Mantenimiento (AOM) del respectivo Sistema, tendrá en cuenta las siguientes reglas generales:</w:t>
      </w:r>
    </w:p>
    <w:p w:rsidR="000B65DE" w:rsidRPr="00666658" w:rsidRDefault="000B65DE" w:rsidP="000B65DE">
      <w:pPr>
        <w:rPr>
          <w:sz w:val="18"/>
          <w:lang w:val="es-ES_tradnl"/>
        </w:rPr>
      </w:pPr>
    </w:p>
    <w:p w:rsidR="000B65DE" w:rsidRPr="000B65DE" w:rsidRDefault="000B65DE" w:rsidP="00382E27">
      <w:pPr>
        <w:numPr>
          <w:ilvl w:val="0"/>
          <w:numId w:val="12"/>
        </w:numPr>
        <w:jc w:val="both"/>
        <w:rPr>
          <w:rFonts w:ascii="Bookman Old Style" w:hAnsi="Bookman Old Style"/>
          <w:color w:val="000000"/>
        </w:rPr>
      </w:pPr>
      <w:r w:rsidRPr="000B65DE">
        <w:rPr>
          <w:rFonts w:ascii="Bookman Old Style" w:hAnsi="Bookman Old Style"/>
        </w:rPr>
        <w:t>En el caso en que en el mismo mercado existan dos o más redes independientes que atienden diferente demanda, para la remuneración de la Inversión Base se</w:t>
      </w:r>
      <w:r w:rsidRPr="000B65DE">
        <w:rPr>
          <w:rFonts w:ascii="Bookman Old Style" w:eastAsia="Calibri" w:hAnsi="Bookman Old Style" w:cs="Arial"/>
          <w:kern w:val="24"/>
          <w:lang w:val="es-MX" w:eastAsia="es-CO"/>
        </w:rPr>
        <w:t xml:space="preserve"> considerará la suma de los activos correspondientes a cada red. Se tomará la demanda total del mercado y los gastos AOM eficientes para todo el mercado. </w:t>
      </w:r>
      <w:r w:rsidRPr="000B65DE">
        <w:rPr>
          <w:rFonts w:ascii="Bookman Old Style" w:hAnsi="Bookman Old Style"/>
          <w:color w:val="000000"/>
        </w:rPr>
        <w:t xml:space="preserve">Cada comercializador recaudará lo correspondiente al Cargo de Distribución según la demanda atendida. </w:t>
      </w:r>
    </w:p>
    <w:p w:rsidR="000B65DE" w:rsidRPr="00666658" w:rsidRDefault="000B65DE" w:rsidP="000B65DE">
      <w:pPr>
        <w:ind w:left="720"/>
        <w:jc w:val="both"/>
        <w:rPr>
          <w:rFonts w:ascii="Bookman Old Style" w:hAnsi="Bookman Old Style"/>
          <w:color w:val="000000"/>
          <w:sz w:val="18"/>
        </w:rPr>
      </w:pPr>
    </w:p>
    <w:p w:rsidR="000B65DE" w:rsidRPr="000B65DE" w:rsidRDefault="000B65DE" w:rsidP="00382E27">
      <w:pPr>
        <w:numPr>
          <w:ilvl w:val="0"/>
          <w:numId w:val="12"/>
        </w:numPr>
        <w:jc w:val="both"/>
        <w:rPr>
          <w:rFonts w:ascii="Bookman Old Style" w:hAnsi="Bookman Old Style"/>
          <w:color w:val="000000"/>
        </w:rPr>
      </w:pPr>
      <w:r w:rsidRPr="000B65DE">
        <w:rPr>
          <w:rFonts w:ascii="Bookman Old Style" w:hAnsi="Bookman Old Style"/>
          <w:color w:val="000000"/>
        </w:rPr>
        <w:t>Para el caso de que existan redes de distribución paralelas que potencialmente puedan atender la misma demanda, se tomará para el cálculo de la Inversión Base una sola red, correspondiente a la red de activos más eficiente, el valor total de la demanda del mercado y los gastos AOM eficientes.</w:t>
      </w:r>
      <w:r w:rsidRPr="000B65DE">
        <w:rPr>
          <w:rFonts w:ascii="Bookman Old Style" w:hAnsi="Bookman Old Style"/>
          <w:color w:val="000000"/>
          <w:lang w:val="es-CO"/>
        </w:rPr>
        <w:t xml:space="preserve"> </w:t>
      </w:r>
      <w:r w:rsidRPr="000B65DE">
        <w:rPr>
          <w:rFonts w:ascii="Bookman Old Style" w:hAnsi="Bookman Old Style"/>
          <w:color w:val="000000"/>
        </w:rPr>
        <w:t>Cada comercializador recaudará lo correspondiente al Cargo de Distribución según la demanda atendida.</w:t>
      </w:r>
    </w:p>
    <w:p w:rsidR="000B65DE" w:rsidRPr="00666658" w:rsidRDefault="000B65DE" w:rsidP="000B65DE">
      <w:pPr>
        <w:ind w:left="720"/>
        <w:jc w:val="both"/>
        <w:rPr>
          <w:rFonts w:ascii="Bookman Old Style" w:hAnsi="Bookman Old Style"/>
          <w:color w:val="000000"/>
          <w:sz w:val="20"/>
        </w:rPr>
      </w:pPr>
    </w:p>
    <w:p w:rsidR="000B65DE" w:rsidRDefault="000B65DE" w:rsidP="00382E27">
      <w:pPr>
        <w:numPr>
          <w:ilvl w:val="0"/>
          <w:numId w:val="12"/>
        </w:numPr>
        <w:jc w:val="both"/>
        <w:rPr>
          <w:rFonts w:ascii="Bookman Old Style" w:hAnsi="Bookman Old Style"/>
          <w:color w:val="000000"/>
        </w:rPr>
      </w:pPr>
      <w:r w:rsidRPr="000B65DE">
        <w:rPr>
          <w:rFonts w:ascii="Bookman Old Style" w:hAnsi="Bookman Old Style"/>
          <w:color w:val="000000"/>
        </w:rPr>
        <w:t>Si la red de distribución se conecta a la red de otro distribuidor en el mismo mercado, se considerará para la remuneración de la Inversión Base, los activos de la totalidad de las redes y se tomará la demanda total del mercado. Se reconocerá la suma de los gastos eficientes de AOM de cada uno de los distribuidores que atienden el Mercado Relevante.</w:t>
      </w:r>
      <w:r w:rsidRPr="000B65DE">
        <w:rPr>
          <w:rFonts w:ascii="Bookman Old Style" w:hAnsi="Bookman Old Style"/>
          <w:color w:val="000000"/>
          <w:lang w:val="es-CO"/>
        </w:rPr>
        <w:t xml:space="preserve"> </w:t>
      </w:r>
      <w:r w:rsidRPr="000B65DE">
        <w:rPr>
          <w:rFonts w:ascii="Bookman Old Style" w:hAnsi="Bookman Old Style"/>
          <w:color w:val="000000"/>
        </w:rPr>
        <w:t xml:space="preserve">Los comercializadores pagarán a los distribuidores respectivos lo correspondiente al componente de inversión </w:t>
      </w:r>
      <w:r w:rsidR="007B4771">
        <w:rPr>
          <w:rFonts w:ascii="Bookman Old Style" w:hAnsi="Bookman Old Style"/>
          <w:color w:val="000000"/>
        </w:rPr>
        <w:t xml:space="preserve">y AOM </w:t>
      </w:r>
      <w:r w:rsidRPr="000B65DE">
        <w:rPr>
          <w:rFonts w:ascii="Bookman Old Style" w:hAnsi="Bookman Old Style"/>
          <w:color w:val="000000"/>
        </w:rPr>
        <w:t xml:space="preserve">en proporción a la participación </w:t>
      </w:r>
      <w:r w:rsidR="00351B46">
        <w:rPr>
          <w:rFonts w:ascii="Bookman Old Style" w:hAnsi="Bookman Old Style"/>
          <w:color w:val="000000"/>
        </w:rPr>
        <w:t>de los kilómetros de red.</w:t>
      </w:r>
    </w:p>
    <w:p w:rsidR="00D76AF3" w:rsidRPr="00D76AF3" w:rsidRDefault="00D76AF3" w:rsidP="00D76AF3">
      <w:pPr>
        <w:ind w:left="851"/>
        <w:jc w:val="both"/>
        <w:rPr>
          <w:rFonts w:ascii="Arial" w:eastAsia="Calibri" w:hAnsi="Arial" w:cs="Arial"/>
          <w:i/>
          <w:sz w:val="22"/>
          <w:szCs w:val="22"/>
          <w:lang w:val="es-CO" w:eastAsia="en-US"/>
        </w:rPr>
      </w:pPr>
    </w:p>
    <w:p w:rsidR="00D76AF3" w:rsidRPr="00D76AF3" w:rsidRDefault="00D76AF3" w:rsidP="00D76AF3">
      <w:pPr>
        <w:ind w:left="0"/>
        <w:jc w:val="both"/>
        <w:rPr>
          <w:rFonts w:ascii="Bookman Old Style" w:eastAsia="Calibri" w:hAnsi="Bookman Old Style" w:cs="Arial"/>
          <w:szCs w:val="22"/>
          <w:lang w:val="es-CO" w:eastAsia="en-US"/>
        </w:rPr>
      </w:pPr>
      <w:r w:rsidRPr="002D6650">
        <w:rPr>
          <w:rFonts w:ascii="Bookman Old Style" w:eastAsia="Calibri" w:hAnsi="Bookman Old Style" w:cs="Arial"/>
          <w:b/>
          <w:szCs w:val="22"/>
          <w:lang w:val="es-CO" w:eastAsia="en-US"/>
        </w:rPr>
        <w:t>Parágrafo 1.</w:t>
      </w:r>
      <w:r w:rsidRPr="002D6650">
        <w:rPr>
          <w:rFonts w:ascii="Bookman Old Style" w:eastAsia="Calibri" w:hAnsi="Bookman Old Style" w:cs="Arial"/>
          <w:szCs w:val="22"/>
          <w:lang w:val="es-CO" w:eastAsia="en-US"/>
        </w:rPr>
        <w:t xml:space="preserve"> Cuando sea necesario realizar la reposición de redes de terceros que sean de uso general, la obligación de reposición corresponde en primer lugar al propietario del activo. Si éste no hace la reposición oportunamente, el Distribuidor que está utilizando dicho activo podrá realizarla.</w:t>
      </w:r>
    </w:p>
    <w:p w:rsidR="000B65DE" w:rsidRPr="00D76AF3" w:rsidRDefault="000B65DE" w:rsidP="000B65DE">
      <w:pPr>
        <w:ind w:left="1440"/>
        <w:jc w:val="both"/>
        <w:rPr>
          <w:rFonts w:ascii="Bookman Old Style" w:hAnsi="Bookman Old Style"/>
          <w:color w:val="000000"/>
          <w:sz w:val="8"/>
          <w:szCs w:val="20"/>
          <w:lang w:val="es-CO"/>
        </w:rPr>
      </w:pPr>
    </w:p>
    <w:p w:rsidR="000B65DE" w:rsidRPr="000B65DE" w:rsidRDefault="000B65DE" w:rsidP="00382E27">
      <w:pPr>
        <w:keepNext/>
        <w:numPr>
          <w:ilvl w:val="0"/>
          <w:numId w:val="2"/>
        </w:numPr>
        <w:tabs>
          <w:tab w:val="num" w:pos="1560"/>
        </w:tabs>
        <w:spacing w:before="240" w:after="60"/>
        <w:ind w:left="-142" w:firstLine="1503"/>
        <w:jc w:val="both"/>
        <w:outlineLvl w:val="0"/>
        <w:rPr>
          <w:rFonts w:ascii="Bookman Old Style" w:hAnsi="Bookman Old Style"/>
          <w:bCs/>
        </w:rPr>
      </w:pPr>
      <w:r w:rsidRPr="000B65DE">
        <w:rPr>
          <w:rFonts w:ascii="Bookman Old Style" w:hAnsi="Bookman Old Style"/>
          <w:b/>
          <w:bCs/>
        </w:rPr>
        <w:t xml:space="preserve">ACTIVOS DE TERCEROS: </w:t>
      </w:r>
      <w:r w:rsidRPr="000B65DE">
        <w:rPr>
          <w:rFonts w:ascii="Bookman Old Style" w:hAnsi="Bookman Old Style"/>
          <w:bCs/>
        </w:rPr>
        <w:t>Cuando sea necesario realizar la reposición de redes de terceros que sean de uso general, la obligación de reposición corresponde en primer lugar al propietario del activo. Si éste no hace la reposición en la oportunidad requerida por el distribuidor para garantizar la continuidad del servicio, el distribuidor que está utilizando dicho activo podrá realizarla. En este caso, el distribuidor ajustará la remuneración al tercero de conformidad con el esquema regulatorio que esté vigente y con la reposición efectuada.</w:t>
      </w:r>
    </w:p>
    <w:p w:rsidR="000B65DE" w:rsidRPr="00666658" w:rsidRDefault="000B65DE" w:rsidP="000B65DE">
      <w:pPr>
        <w:ind w:left="0"/>
        <w:jc w:val="both"/>
        <w:rPr>
          <w:rFonts w:ascii="Bookman Old Style" w:hAnsi="Bookman Old Style"/>
          <w:sz w:val="10"/>
          <w:lang w:val="es-ES_tradnl"/>
        </w:rPr>
      </w:pPr>
    </w:p>
    <w:p w:rsidR="000B65DE" w:rsidRPr="000B65DE" w:rsidRDefault="000B65DE" w:rsidP="00666658">
      <w:pPr>
        <w:ind w:left="-142"/>
        <w:jc w:val="both"/>
        <w:rPr>
          <w:rFonts w:ascii="Bookman Old Style" w:hAnsi="Bookman Old Style"/>
        </w:rPr>
      </w:pPr>
      <w:r w:rsidRPr="000B65DE">
        <w:rPr>
          <w:rFonts w:ascii="Bookman Old Style" w:hAnsi="Bookman Old Style"/>
          <w:b/>
          <w:lang w:val="es-ES_tradnl"/>
        </w:rPr>
        <w:t>Parágrafo.</w:t>
      </w:r>
      <w:r w:rsidRPr="000B65DE">
        <w:rPr>
          <w:rFonts w:ascii="Bookman Old Style" w:hAnsi="Bookman Old Style"/>
          <w:lang w:val="es-ES_tradnl"/>
        </w:rPr>
        <w:t xml:space="preserve"> La enajenación a un distribuidor, de las obras de infraestructura construidas por un suscriptor o usuario dentro de un Sistema de Distribución de gas combustible en ningún caso podrá ser a título gratuito. </w:t>
      </w:r>
    </w:p>
    <w:p w:rsidR="000B65DE" w:rsidRPr="000B65DE" w:rsidRDefault="000B65DE" w:rsidP="00382E27">
      <w:pPr>
        <w:keepNext/>
        <w:numPr>
          <w:ilvl w:val="0"/>
          <w:numId w:val="2"/>
        </w:numPr>
        <w:spacing w:before="240" w:after="60"/>
        <w:ind w:left="-142" w:firstLine="1503"/>
        <w:jc w:val="both"/>
        <w:outlineLvl w:val="0"/>
        <w:rPr>
          <w:rFonts w:ascii="Bookman Old Style" w:hAnsi="Bookman Old Style"/>
          <w:bCs/>
        </w:rPr>
      </w:pPr>
      <w:r w:rsidRPr="000B65DE">
        <w:rPr>
          <w:rFonts w:ascii="Bookman Old Style" w:hAnsi="Bookman Old Style"/>
          <w:b/>
          <w:bCs/>
        </w:rPr>
        <w:t xml:space="preserve">REMUNERACIÓN POR EL SERVICIO DE DISTRIBUCIÓN POR PARTE DE LOS USUARIOS NO REGULADOS. </w:t>
      </w:r>
      <w:r w:rsidRPr="000B65DE">
        <w:rPr>
          <w:rFonts w:ascii="Bookman Old Style" w:hAnsi="Bookman Old Style"/>
          <w:bCs/>
        </w:rPr>
        <w:t xml:space="preserve">Las empresas distribuidoras </w:t>
      </w:r>
      <w:r w:rsidRPr="000B65DE">
        <w:rPr>
          <w:rFonts w:ascii="Bookman Old Style" w:hAnsi="Bookman Old Style"/>
          <w:bCs/>
        </w:rPr>
        <w:lastRenderedPageBreak/>
        <w:t>serán remuneradas por el uso del Sistema de Distribución por parte de los Usuarios No Regulados. Esta remuneración debe corresponder al Cargo de Distribución establecido por el distribuidor por tipo de Red al que se conecte, tipo de usuario y para cada rango de consumo.</w:t>
      </w:r>
    </w:p>
    <w:p w:rsidR="000B65DE" w:rsidRPr="000B65DE" w:rsidRDefault="000B65DE" w:rsidP="00382E27">
      <w:pPr>
        <w:keepNext/>
        <w:numPr>
          <w:ilvl w:val="0"/>
          <w:numId w:val="2"/>
        </w:numPr>
        <w:spacing w:before="240" w:after="60"/>
        <w:ind w:left="-142" w:firstLine="1503"/>
        <w:jc w:val="both"/>
        <w:outlineLvl w:val="0"/>
        <w:rPr>
          <w:rFonts w:ascii="Bookman Old Style" w:hAnsi="Bookman Old Style"/>
          <w:bCs/>
        </w:rPr>
      </w:pPr>
      <w:r w:rsidRPr="000B65DE">
        <w:rPr>
          <w:rFonts w:ascii="Bookman Old Style" w:hAnsi="Bookman Old Style"/>
          <w:b/>
          <w:bCs/>
        </w:rPr>
        <w:t xml:space="preserve">NEUTRALIDAD. </w:t>
      </w:r>
      <w:r w:rsidRPr="000B65DE">
        <w:rPr>
          <w:rFonts w:ascii="Bookman Old Style" w:hAnsi="Bookman Old Style"/>
          <w:bCs/>
        </w:rPr>
        <w:t>Los cargos ofrecidos por el distribuidor serán de conocimiento público y en su aplicación se observará el principio de neutralidad previsto en el numeral 2 del Artículo 87 de la Ley 142 de 1994 y demás disposiciones aplicables y conforme a lo dispuesto en el Artículo 10 de esta Resolución.</w:t>
      </w:r>
    </w:p>
    <w:p w:rsidR="000B65DE" w:rsidRPr="000B65DE" w:rsidRDefault="000B65DE" w:rsidP="00382E27">
      <w:pPr>
        <w:keepNext/>
        <w:numPr>
          <w:ilvl w:val="0"/>
          <w:numId w:val="2"/>
        </w:numPr>
        <w:spacing w:before="240" w:after="60"/>
        <w:ind w:left="-142" w:firstLine="1503"/>
        <w:jc w:val="both"/>
        <w:outlineLvl w:val="0"/>
        <w:rPr>
          <w:rFonts w:ascii="Bookman Old Style" w:hAnsi="Bookman Old Style"/>
          <w:bCs/>
        </w:rPr>
      </w:pPr>
      <w:r w:rsidRPr="000B65DE">
        <w:rPr>
          <w:rFonts w:ascii="Bookman Old Style" w:hAnsi="Bookman Old Style"/>
          <w:b/>
          <w:bCs/>
        </w:rPr>
        <w:t xml:space="preserve">SEPARACIÓN DE ACTIVIDADES. </w:t>
      </w:r>
      <w:r w:rsidRPr="000B65DE">
        <w:rPr>
          <w:rFonts w:ascii="Bookman Old Style" w:hAnsi="Bookman Old Style"/>
          <w:bCs/>
        </w:rPr>
        <w:t>Los distribuidores que realicen la actividad de comercialización en su Mercado Relevante, deberán separar contablemente su actividad de distribución de la actividad de comercialización de acuerdo con lo previsto en el Artículo 18 de la Ley 142 de 1994 y aplicando las normas expedidas por la Comisión o por la Superintendencia de Servicios Públicos Domiciliarios, según corresponda.</w:t>
      </w:r>
    </w:p>
    <w:p w:rsidR="000B65DE" w:rsidRPr="000B65DE" w:rsidRDefault="000B65DE" w:rsidP="00382E27">
      <w:pPr>
        <w:keepNext/>
        <w:numPr>
          <w:ilvl w:val="0"/>
          <w:numId w:val="2"/>
        </w:numPr>
        <w:spacing w:before="240" w:after="60"/>
        <w:ind w:left="-142" w:firstLine="1503"/>
        <w:jc w:val="both"/>
        <w:outlineLvl w:val="0"/>
        <w:rPr>
          <w:rFonts w:ascii="Bookman Old Style" w:hAnsi="Bookman Old Style"/>
          <w:bCs/>
        </w:rPr>
      </w:pPr>
      <w:r w:rsidRPr="000B65DE">
        <w:rPr>
          <w:rFonts w:ascii="Bookman Old Style" w:hAnsi="Bookman Old Style"/>
          <w:b/>
          <w:bCs/>
        </w:rPr>
        <w:t xml:space="preserve">FÓRMULAS DE CONVERSIÓN DE CARGOS DE DISTRIBUCIÓN DE GAS NATURAL Y CARGOS DE DISTRIBUCIÓN DE GLP. </w:t>
      </w:r>
      <w:r w:rsidRPr="000B65DE">
        <w:rPr>
          <w:rFonts w:ascii="Bookman Old Style" w:hAnsi="Bookman Old Style"/>
          <w:bCs/>
        </w:rPr>
        <w:t xml:space="preserve">La metodología para establecer los factores de equivalencia energética, </w:t>
      </w:r>
      <w:r w:rsidRPr="000B65DE">
        <w:rPr>
          <w:rFonts w:ascii="Bookman Old Style" w:hAnsi="Bookman Old Style"/>
          <w:bCs/>
          <w:i/>
        </w:rPr>
        <w:t>fe</w:t>
      </w:r>
      <w:r w:rsidRPr="000B65DE">
        <w:rPr>
          <w:rFonts w:ascii="Bookman Old Style" w:hAnsi="Bookman Old Style"/>
          <w:bCs/>
        </w:rPr>
        <w:t>, para hacer correspondientes los Cargos de Distribución de gas natural con los Cargos de Distribución de GLP por redes de tubería, expresados en $/m</w:t>
      </w:r>
      <w:r w:rsidRPr="002D6650">
        <w:rPr>
          <w:rFonts w:ascii="Bookman Old Style" w:hAnsi="Bookman Old Style"/>
          <w:bCs/>
          <w:vertAlign w:val="superscript"/>
        </w:rPr>
        <w:t>3</w:t>
      </w:r>
      <w:r w:rsidRPr="000B65DE">
        <w:rPr>
          <w:rFonts w:ascii="Bookman Old Style" w:hAnsi="Bookman Old Style"/>
          <w:bCs/>
        </w:rPr>
        <w:t xml:space="preserve"> seguirá lo consignado en el </w:t>
      </w:r>
      <w:r w:rsidR="00AF6018" w:rsidRPr="000B65DE">
        <w:rPr>
          <w:rFonts w:ascii="Bookman Old Style" w:hAnsi="Bookman Old Style"/>
          <w:bCs/>
        </w:rPr>
        <w:fldChar w:fldCharType="begin"/>
      </w:r>
      <w:r w:rsidRPr="000B65DE">
        <w:rPr>
          <w:rFonts w:ascii="Bookman Old Style" w:hAnsi="Bookman Old Style"/>
          <w:bCs/>
        </w:rPr>
        <w:instrText xml:space="preserve"> REF _Ref332874333 \r \h </w:instrText>
      </w:r>
      <w:r w:rsidR="00AF6018" w:rsidRPr="000B65DE">
        <w:rPr>
          <w:rFonts w:ascii="Bookman Old Style" w:hAnsi="Bookman Old Style"/>
          <w:bCs/>
        </w:rPr>
      </w:r>
      <w:r w:rsidR="00AF6018" w:rsidRPr="000B65DE">
        <w:rPr>
          <w:rFonts w:ascii="Bookman Old Style" w:hAnsi="Bookman Old Style"/>
          <w:bCs/>
        </w:rPr>
        <w:fldChar w:fldCharType="separate"/>
      </w:r>
      <w:r w:rsidR="004D5C18">
        <w:rPr>
          <w:rFonts w:ascii="Bookman Old Style" w:hAnsi="Bookman Old Style"/>
          <w:bCs/>
        </w:rPr>
        <w:t>ANEXO 16</w:t>
      </w:r>
      <w:r w:rsidR="00AF6018" w:rsidRPr="000B65DE">
        <w:rPr>
          <w:rFonts w:ascii="Bookman Old Style" w:hAnsi="Bookman Old Style"/>
          <w:bCs/>
        </w:rPr>
        <w:fldChar w:fldCharType="end"/>
      </w:r>
      <w:r w:rsidRPr="000B65DE">
        <w:rPr>
          <w:rFonts w:ascii="Bookman Old Style" w:hAnsi="Bookman Old Style"/>
          <w:bCs/>
        </w:rPr>
        <w:t xml:space="preserve"> de esta Resolución.</w:t>
      </w:r>
    </w:p>
    <w:p w:rsidR="000B65DE" w:rsidRDefault="000B65DE" w:rsidP="003540B4">
      <w:pPr>
        <w:ind w:left="-142"/>
        <w:jc w:val="both"/>
        <w:rPr>
          <w:rFonts w:ascii="Bookman Old Style" w:hAnsi="Bookman Old Style"/>
          <w:lang w:val="es-ES_tradnl"/>
        </w:rPr>
      </w:pPr>
      <w:r w:rsidRPr="000B65DE">
        <w:rPr>
          <w:rFonts w:ascii="Bookman Old Style" w:hAnsi="Bookman Old Style"/>
          <w:b/>
          <w:lang w:val="es-ES_tradnl"/>
        </w:rPr>
        <w:t>Parágrafo.</w:t>
      </w:r>
      <w:r w:rsidRPr="000B65DE">
        <w:rPr>
          <w:rFonts w:ascii="Bookman Old Style" w:hAnsi="Bookman Old Style"/>
          <w:b/>
          <w:lang w:val="es-ES_tradnl"/>
        </w:rPr>
        <w:tab/>
      </w:r>
      <w:r w:rsidRPr="000B65DE">
        <w:rPr>
          <w:rFonts w:ascii="Bookman Old Style" w:hAnsi="Bookman Old Style"/>
          <w:lang w:val="es-ES_tradnl"/>
        </w:rPr>
        <w:t>La empresa que solicite la conversión del Cargo de Distribución deberá, si es el caso, reportar a la Comisión: a) las inversiones adicionales requeridas para la distribución del nuevo combustible de acuerdo con las Unidades Constructivas establecidas para tal fin y b) las Unidades Constructivas que se retiren del servicio, las cuales serán excluidas de la Inversión Base.</w:t>
      </w:r>
    </w:p>
    <w:p w:rsidR="000B65DE" w:rsidRDefault="000B65DE" w:rsidP="00382E27">
      <w:pPr>
        <w:keepNext/>
        <w:numPr>
          <w:ilvl w:val="0"/>
          <w:numId w:val="2"/>
        </w:numPr>
        <w:spacing w:before="240" w:after="60"/>
        <w:ind w:left="-142" w:firstLine="1503"/>
        <w:jc w:val="both"/>
        <w:outlineLvl w:val="0"/>
        <w:rPr>
          <w:rFonts w:ascii="Bookman Old Style" w:hAnsi="Bookman Old Style"/>
          <w:bCs/>
        </w:rPr>
      </w:pPr>
      <w:r w:rsidRPr="000B65DE">
        <w:rPr>
          <w:rFonts w:ascii="Bookman Old Style" w:hAnsi="Bookman Old Style"/>
          <w:b/>
          <w:bCs/>
        </w:rPr>
        <w:t xml:space="preserve">AUTORIZACIÓN PARA FIJAR TARIFAS. </w:t>
      </w:r>
      <w:r w:rsidRPr="000B65DE">
        <w:rPr>
          <w:rFonts w:ascii="Bookman Old Style" w:hAnsi="Bookman Old Style"/>
          <w:bCs/>
        </w:rPr>
        <w:t>Dentro del régimen de libertad regulada, previsto en la Ley 142 de 1994, las empresas distribuidoras de gas combustible a las que se refiere la presente resolución podrán aplicar los Cargos de Distribución Específicos del Mercado Relevante correspondiente, a partir del mes siguiente a la entrada en vigencia del acto administrativo que apruebe los cargos por uso de los Sistemas de Distribución correspondientes al Mercado Relevante de Distribución respectivo.</w:t>
      </w:r>
    </w:p>
    <w:p w:rsidR="00807104" w:rsidRPr="00807104" w:rsidRDefault="00807104" w:rsidP="00807104">
      <w:pPr>
        <w:keepNext/>
        <w:tabs>
          <w:tab w:val="num" w:pos="1843"/>
        </w:tabs>
        <w:spacing w:before="240" w:after="60"/>
        <w:ind w:left="0"/>
        <w:jc w:val="center"/>
        <w:outlineLvl w:val="0"/>
        <w:rPr>
          <w:rFonts w:ascii="Bookman Old Style" w:hAnsi="Bookman Old Style"/>
          <w:b/>
          <w:bCs/>
          <w:lang w:val="es-CO"/>
        </w:rPr>
      </w:pPr>
      <w:r w:rsidRPr="00807104">
        <w:rPr>
          <w:rFonts w:ascii="Bookman Old Style" w:hAnsi="Bookman Old Style"/>
          <w:b/>
          <w:bCs/>
          <w:lang w:val="es-CO"/>
        </w:rPr>
        <w:t xml:space="preserve">CAPÍTULO IV. </w:t>
      </w:r>
      <w:r w:rsidR="00E84E94">
        <w:rPr>
          <w:rFonts w:ascii="Bookman Old Style" w:hAnsi="Bookman Old Style"/>
          <w:b/>
          <w:bCs/>
          <w:lang w:val="es-CO"/>
        </w:rPr>
        <w:t xml:space="preserve">ZONAS GEOGRÁFICAS QUE DEJAN DE SER </w:t>
      </w:r>
      <w:r w:rsidR="0009302D">
        <w:rPr>
          <w:rFonts w:ascii="Bookman Old Style" w:hAnsi="Bookman Old Style"/>
          <w:b/>
          <w:bCs/>
          <w:lang w:val="es-CO"/>
        </w:rPr>
        <w:t>Á</w:t>
      </w:r>
      <w:r>
        <w:rPr>
          <w:rFonts w:ascii="Bookman Old Style" w:hAnsi="Bookman Old Style"/>
          <w:b/>
          <w:bCs/>
          <w:lang w:val="es-CO"/>
        </w:rPr>
        <w:t xml:space="preserve">REAS DE SERVICIO EXCLUSIVO </w:t>
      </w:r>
      <w:r w:rsidR="00E84E94">
        <w:rPr>
          <w:rFonts w:ascii="Bookman Old Style" w:hAnsi="Bookman Old Style"/>
          <w:b/>
          <w:bCs/>
          <w:lang w:val="es-CO"/>
        </w:rPr>
        <w:t>POR CULMINACIÓN DE LOS CONTRATOS DE CONCESIÓN</w:t>
      </w:r>
    </w:p>
    <w:p w:rsidR="00B61B19" w:rsidRDefault="00807104" w:rsidP="00807104">
      <w:pPr>
        <w:keepNext/>
        <w:numPr>
          <w:ilvl w:val="0"/>
          <w:numId w:val="2"/>
        </w:numPr>
        <w:spacing w:before="240" w:after="60"/>
        <w:ind w:left="-142" w:firstLine="1503"/>
        <w:jc w:val="both"/>
        <w:outlineLvl w:val="0"/>
        <w:rPr>
          <w:rFonts w:ascii="Bookman Old Style" w:hAnsi="Bookman Old Style"/>
          <w:bCs/>
        </w:rPr>
      </w:pPr>
      <w:r>
        <w:rPr>
          <w:rFonts w:ascii="Bookman Old Style" w:hAnsi="Bookman Old Style"/>
          <w:b/>
          <w:bCs/>
        </w:rPr>
        <w:t xml:space="preserve">APLICACIÓN PARA LAS ZONAS GEOGRAFICAS QUE DEJAN DE SER </w:t>
      </w:r>
      <w:r w:rsidR="00B61B19">
        <w:rPr>
          <w:rFonts w:ascii="Bookman Old Style" w:hAnsi="Bookman Old Style"/>
          <w:b/>
          <w:bCs/>
        </w:rPr>
        <w:t xml:space="preserve">ÁREAS </w:t>
      </w:r>
      <w:r>
        <w:rPr>
          <w:rFonts w:ascii="Bookman Old Style" w:hAnsi="Bookman Old Style"/>
          <w:b/>
          <w:bCs/>
        </w:rPr>
        <w:t xml:space="preserve">DE SERVICIO EXCLUSIVO. </w:t>
      </w:r>
      <w:r w:rsidR="001E594C" w:rsidRPr="001E594C">
        <w:rPr>
          <w:rFonts w:ascii="Bookman Old Style" w:hAnsi="Bookman Old Style"/>
          <w:bCs/>
        </w:rPr>
        <w:t>Una vez</w:t>
      </w:r>
      <w:r w:rsidR="001E594C">
        <w:rPr>
          <w:rFonts w:ascii="Bookman Old Style" w:hAnsi="Bookman Old Style"/>
          <w:b/>
          <w:bCs/>
        </w:rPr>
        <w:t xml:space="preserve"> </w:t>
      </w:r>
      <w:r w:rsidRPr="00246FEC">
        <w:rPr>
          <w:rFonts w:ascii="Bookman Old Style" w:hAnsi="Bookman Old Style"/>
          <w:bCs/>
        </w:rPr>
        <w:t xml:space="preserve"> los contratos de concesión suscritos </w:t>
      </w:r>
      <w:r w:rsidR="00B051A9">
        <w:rPr>
          <w:rFonts w:ascii="Bookman Old Style" w:hAnsi="Bookman Old Style"/>
          <w:bCs/>
        </w:rPr>
        <w:t xml:space="preserve">en virtud del artículo 40 de la Ley 142 de 1994 </w:t>
      </w:r>
      <w:r w:rsidRPr="00246FEC">
        <w:rPr>
          <w:rFonts w:ascii="Bookman Old Style" w:hAnsi="Bookman Old Style"/>
          <w:bCs/>
        </w:rPr>
        <w:t xml:space="preserve">entre el Ministerio de Minas y Energía y las </w:t>
      </w:r>
      <w:r w:rsidR="00246FEC" w:rsidRPr="00246FEC">
        <w:rPr>
          <w:rFonts w:ascii="Bookman Old Style" w:hAnsi="Bookman Old Style"/>
          <w:bCs/>
        </w:rPr>
        <w:t>empresas</w:t>
      </w:r>
      <w:r w:rsidRPr="00246FEC">
        <w:rPr>
          <w:rFonts w:ascii="Bookman Old Style" w:hAnsi="Bookman Old Style"/>
          <w:bCs/>
        </w:rPr>
        <w:t xml:space="preserve"> distribuidoras culminen</w:t>
      </w:r>
      <w:r w:rsidR="001E594C">
        <w:rPr>
          <w:rFonts w:ascii="Bookman Old Style" w:hAnsi="Bookman Old Style"/>
          <w:bCs/>
        </w:rPr>
        <w:t>,</w:t>
      </w:r>
      <w:r w:rsidRPr="00246FEC">
        <w:rPr>
          <w:rFonts w:ascii="Bookman Old Style" w:hAnsi="Bookman Old Style"/>
          <w:bCs/>
        </w:rPr>
        <w:t xml:space="preserve"> las </w:t>
      </w:r>
      <w:r w:rsidR="001E594C">
        <w:rPr>
          <w:rFonts w:ascii="Bookman Old Style" w:hAnsi="Bookman Old Style"/>
          <w:bCs/>
        </w:rPr>
        <w:t>zonas geográficas denominadas Á</w:t>
      </w:r>
      <w:r w:rsidRPr="00246FEC">
        <w:rPr>
          <w:rFonts w:ascii="Bookman Old Style" w:hAnsi="Bookman Old Style"/>
          <w:bCs/>
        </w:rPr>
        <w:t xml:space="preserve">reas de </w:t>
      </w:r>
      <w:r w:rsidR="001E594C">
        <w:rPr>
          <w:rFonts w:ascii="Bookman Old Style" w:hAnsi="Bookman Old Style"/>
          <w:bCs/>
        </w:rPr>
        <w:t>S</w:t>
      </w:r>
      <w:r w:rsidR="001E594C" w:rsidRPr="00246FEC">
        <w:rPr>
          <w:rFonts w:ascii="Bookman Old Style" w:hAnsi="Bookman Old Style"/>
          <w:bCs/>
        </w:rPr>
        <w:t xml:space="preserve">ervicio </w:t>
      </w:r>
      <w:r w:rsidR="001E594C">
        <w:rPr>
          <w:rFonts w:ascii="Bookman Old Style" w:hAnsi="Bookman Old Style"/>
          <w:bCs/>
        </w:rPr>
        <w:t>E</w:t>
      </w:r>
      <w:r w:rsidR="001E594C" w:rsidRPr="00246FEC">
        <w:rPr>
          <w:rFonts w:ascii="Bookman Old Style" w:hAnsi="Bookman Old Style"/>
          <w:bCs/>
        </w:rPr>
        <w:t xml:space="preserve">xclusivo </w:t>
      </w:r>
      <w:r w:rsidRPr="00246FEC">
        <w:rPr>
          <w:rFonts w:ascii="Bookman Old Style" w:hAnsi="Bookman Old Style"/>
          <w:bCs/>
        </w:rPr>
        <w:t xml:space="preserve">dejen de serlo, deberán aplicar la metodología </w:t>
      </w:r>
      <w:r w:rsidR="001E594C">
        <w:rPr>
          <w:rFonts w:ascii="Bookman Old Style" w:hAnsi="Bookman Old Style"/>
          <w:bCs/>
        </w:rPr>
        <w:t xml:space="preserve">establecida </w:t>
      </w:r>
      <w:r w:rsidR="00B051A9">
        <w:rPr>
          <w:rFonts w:ascii="Bookman Old Style" w:hAnsi="Bookman Old Style"/>
          <w:bCs/>
        </w:rPr>
        <w:t>en la presente</w:t>
      </w:r>
      <w:r w:rsidR="001E594C">
        <w:rPr>
          <w:rFonts w:ascii="Bookman Old Style" w:hAnsi="Bookman Old Style"/>
          <w:bCs/>
        </w:rPr>
        <w:t xml:space="preserve"> resolución</w:t>
      </w:r>
      <w:r w:rsidRPr="00246FEC">
        <w:rPr>
          <w:rFonts w:ascii="Bookman Old Style" w:hAnsi="Bookman Old Style"/>
          <w:bCs/>
        </w:rPr>
        <w:t xml:space="preserve">. </w:t>
      </w:r>
    </w:p>
    <w:p w:rsidR="001848A3" w:rsidRDefault="001848A3" w:rsidP="001848A3">
      <w:pPr>
        <w:ind w:left="-142"/>
        <w:jc w:val="both"/>
        <w:rPr>
          <w:rFonts w:ascii="Bookman Old Style" w:hAnsi="Bookman Old Style"/>
          <w:b/>
        </w:rPr>
      </w:pPr>
    </w:p>
    <w:p w:rsidR="00B61B19" w:rsidRPr="00816131" w:rsidRDefault="00B61B19" w:rsidP="00181BAD">
      <w:pPr>
        <w:ind w:left="-142"/>
        <w:jc w:val="both"/>
        <w:rPr>
          <w:rFonts w:ascii="Bookman Old Style" w:hAnsi="Bookman Old Style"/>
          <w:sz w:val="23"/>
          <w:szCs w:val="23"/>
        </w:rPr>
      </w:pPr>
      <w:r w:rsidRPr="00816131">
        <w:rPr>
          <w:rFonts w:ascii="Bookman Old Style" w:hAnsi="Bookman Old Style"/>
          <w:b/>
          <w:sz w:val="23"/>
          <w:szCs w:val="23"/>
        </w:rPr>
        <w:lastRenderedPageBreak/>
        <w:t>Parágrafo.</w:t>
      </w:r>
      <w:r w:rsidRPr="00816131">
        <w:rPr>
          <w:rFonts w:ascii="Bookman Old Style" w:hAnsi="Bookman Old Style"/>
          <w:sz w:val="23"/>
          <w:szCs w:val="23"/>
        </w:rPr>
        <w:t xml:space="preserve"> </w:t>
      </w:r>
      <w:r w:rsidR="00807104" w:rsidRPr="00816131">
        <w:rPr>
          <w:rFonts w:ascii="Bookman Old Style" w:hAnsi="Bookman Old Style"/>
          <w:sz w:val="23"/>
          <w:szCs w:val="23"/>
        </w:rPr>
        <w:t>La CREG en resolución aparte</w:t>
      </w:r>
      <w:r w:rsidR="001E594C" w:rsidRPr="00816131">
        <w:rPr>
          <w:rFonts w:ascii="Bookman Old Style" w:hAnsi="Bookman Old Style"/>
          <w:sz w:val="23"/>
          <w:szCs w:val="23"/>
        </w:rPr>
        <w:t>,</w:t>
      </w:r>
      <w:r w:rsidR="00807104" w:rsidRPr="00816131">
        <w:rPr>
          <w:rFonts w:ascii="Bookman Old Style" w:hAnsi="Bookman Old Style"/>
          <w:sz w:val="23"/>
          <w:szCs w:val="23"/>
        </w:rPr>
        <w:t xml:space="preserve"> establecerá </w:t>
      </w:r>
      <w:r w:rsidR="00CC585B" w:rsidRPr="00816131">
        <w:rPr>
          <w:rFonts w:ascii="Bookman Old Style" w:hAnsi="Bookman Old Style"/>
          <w:sz w:val="23"/>
          <w:szCs w:val="23"/>
        </w:rPr>
        <w:t>los procedimientos que contendrán los parámetros y las</w:t>
      </w:r>
      <w:r w:rsidR="001E594C" w:rsidRPr="00816131">
        <w:rPr>
          <w:rFonts w:ascii="Bookman Old Style" w:hAnsi="Bookman Old Style"/>
          <w:sz w:val="23"/>
          <w:szCs w:val="23"/>
        </w:rPr>
        <w:t xml:space="preserve"> condiciones bajo </w:t>
      </w:r>
      <w:r w:rsidR="00807104" w:rsidRPr="00816131">
        <w:rPr>
          <w:rFonts w:ascii="Bookman Old Style" w:hAnsi="Bookman Old Style"/>
          <w:sz w:val="23"/>
          <w:szCs w:val="23"/>
        </w:rPr>
        <w:t>l</w:t>
      </w:r>
      <w:r w:rsidR="00CC585B" w:rsidRPr="00816131">
        <w:rPr>
          <w:rFonts w:ascii="Bookman Old Style" w:hAnsi="Bookman Old Style"/>
          <w:sz w:val="23"/>
          <w:szCs w:val="23"/>
        </w:rPr>
        <w:t>a</w:t>
      </w:r>
      <w:r w:rsidR="00807104" w:rsidRPr="00816131">
        <w:rPr>
          <w:rFonts w:ascii="Bookman Old Style" w:hAnsi="Bookman Old Style"/>
          <w:sz w:val="23"/>
          <w:szCs w:val="23"/>
        </w:rPr>
        <w:t xml:space="preserve">s cuales </w:t>
      </w:r>
      <w:r w:rsidR="00CC585B" w:rsidRPr="00816131">
        <w:rPr>
          <w:rFonts w:ascii="Bookman Old Style" w:hAnsi="Bookman Old Style"/>
          <w:sz w:val="23"/>
          <w:szCs w:val="23"/>
        </w:rPr>
        <w:t xml:space="preserve">los distribuidores que atienden </w:t>
      </w:r>
      <w:r w:rsidR="00807104" w:rsidRPr="00816131">
        <w:rPr>
          <w:rFonts w:ascii="Bookman Old Style" w:hAnsi="Bookman Old Style"/>
          <w:sz w:val="23"/>
          <w:szCs w:val="23"/>
        </w:rPr>
        <w:t>estas zonas</w:t>
      </w:r>
      <w:r w:rsidR="001E594C" w:rsidRPr="00816131">
        <w:rPr>
          <w:rFonts w:ascii="Bookman Old Style" w:hAnsi="Bookman Old Style"/>
          <w:sz w:val="23"/>
          <w:szCs w:val="23"/>
        </w:rPr>
        <w:t xml:space="preserve"> geográficas</w:t>
      </w:r>
      <w:r w:rsidR="00807104" w:rsidRPr="00816131">
        <w:rPr>
          <w:rFonts w:ascii="Bookman Old Style" w:hAnsi="Bookman Old Style"/>
          <w:sz w:val="23"/>
          <w:szCs w:val="23"/>
        </w:rPr>
        <w:t xml:space="preserve"> deberán</w:t>
      </w:r>
      <w:r w:rsidRPr="00816131">
        <w:rPr>
          <w:rFonts w:ascii="Bookman Old Style" w:hAnsi="Bookman Old Style"/>
          <w:sz w:val="23"/>
          <w:szCs w:val="23"/>
        </w:rPr>
        <w:t xml:space="preserve"> </w:t>
      </w:r>
      <w:r w:rsidR="00CC585B" w:rsidRPr="00816131">
        <w:rPr>
          <w:rFonts w:ascii="Bookman Old Style" w:hAnsi="Bookman Old Style"/>
          <w:sz w:val="23"/>
          <w:szCs w:val="23"/>
        </w:rPr>
        <w:t xml:space="preserve">presentar la solicitud de cargos de distribución, con el fin de </w:t>
      </w:r>
      <w:r w:rsidRPr="00816131">
        <w:rPr>
          <w:rFonts w:ascii="Bookman Old Style" w:hAnsi="Bookman Old Style"/>
          <w:sz w:val="23"/>
          <w:szCs w:val="23"/>
        </w:rPr>
        <w:t xml:space="preserve">ajustarse </w:t>
      </w:r>
      <w:r w:rsidR="001E594C" w:rsidRPr="00816131">
        <w:rPr>
          <w:rFonts w:ascii="Bookman Old Style" w:hAnsi="Bookman Old Style"/>
          <w:sz w:val="23"/>
          <w:szCs w:val="23"/>
        </w:rPr>
        <w:t>para poder aplicar</w:t>
      </w:r>
      <w:r w:rsidRPr="00816131">
        <w:rPr>
          <w:rFonts w:ascii="Bookman Old Style" w:hAnsi="Bookman Old Style"/>
          <w:sz w:val="23"/>
          <w:szCs w:val="23"/>
        </w:rPr>
        <w:t xml:space="preserve"> la metodología </w:t>
      </w:r>
      <w:r w:rsidR="001E594C" w:rsidRPr="00816131">
        <w:rPr>
          <w:rFonts w:ascii="Bookman Old Style" w:hAnsi="Bookman Old Style"/>
          <w:sz w:val="23"/>
          <w:szCs w:val="23"/>
        </w:rPr>
        <w:t>aquí definida.</w:t>
      </w:r>
      <w:r w:rsidR="00784550" w:rsidRPr="00816131">
        <w:rPr>
          <w:rFonts w:ascii="Bookman Old Style" w:hAnsi="Bookman Old Style"/>
          <w:sz w:val="23"/>
          <w:szCs w:val="23"/>
        </w:rPr>
        <w:t xml:space="preserve"> Estos aspectos serán divulgados mediante audiencias públicas.</w:t>
      </w:r>
    </w:p>
    <w:p w:rsidR="00181BAD" w:rsidRPr="00FC79BF" w:rsidRDefault="00181BAD" w:rsidP="00181BAD">
      <w:pPr>
        <w:ind w:left="-142"/>
        <w:jc w:val="both"/>
        <w:rPr>
          <w:rFonts w:ascii="Bookman Old Style" w:hAnsi="Bookman Old Style"/>
          <w:sz w:val="23"/>
          <w:szCs w:val="23"/>
        </w:rPr>
      </w:pPr>
    </w:p>
    <w:p w:rsidR="00B61B19" w:rsidRPr="00FC79BF" w:rsidRDefault="00B61B19" w:rsidP="00181BAD">
      <w:pPr>
        <w:keepNext/>
        <w:numPr>
          <w:ilvl w:val="0"/>
          <w:numId w:val="2"/>
        </w:numPr>
        <w:ind w:left="-142" w:firstLine="1503"/>
        <w:jc w:val="both"/>
        <w:outlineLvl w:val="0"/>
        <w:rPr>
          <w:rFonts w:ascii="Bookman Old Style" w:hAnsi="Bookman Old Style"/>
          <w:bCs/>
          <w:sz w:val="23"/>
          <w:szCs w:val="23"/>
        </w:rPr>
      </w:pPr>
      <w:r w:rsidRPr="00FC79BF">
        <w:rPr>
          <w:rFonts w:ascii="Bookman Old Style" w:hAnsi="Bookman Old Style"/>
          <w:b/>
          <w:bCs/>
          <w:sz w:val="23"/>
          <w:szCs w:val="23"/>
        </w:rPr>
        <w:t xml:space="preserve">TRANSICIÓN EN LAS </w:t>
      </w:r>
      <w:r w:rsidR="003467C2" w:rsidRPr="00FC79BF">
        <w:rPr>
          <w:rFonts w:ascii="Bookman Old Style" w:hAnsi="Bookman Old Style"/>
          <w:b/>
          <w:bCs/>
          <w:sz w:val="23"/>
          <w:szCs w:val="23"/>
        </w:rPr>
        <w:t>ZONAS GEOGRAFICAS QUE DEJAN DE SER ÁREAS DE SERVICIO EXCLUSIVO</w:t>
      </w:r>
      <w:r w:rsidRPr="00FC79BF">
        <w:rPr>
          <w:rFonts w:ascii="Bookman Old Style" w:hAnsi="Bookman Old Style"/>
          <w:b/>
          <w:bCs/>
          <w:sz w:val="23"/>
          <w:szCs w:val="23"/>
        </w:rPr>
        <w:t xml:space="preserve">. </w:t>
      </w:r>
      <w:r w:rsidR="001E594C" w:rsidRPr="00FC79BF">
        <w:rPr>
          <w:rFonts w:ascii="Bookman Old Style" w:hAnsi="Bookman Old Style"/>
          <w:bCs/>
          <w:sz w:val="23"/>
          <w:szCs w:val="23"/>
        </w:rPr>
        <w:t xml:space="preserve">Hasta tanto no se defina el nuevo cargo de distribución con la metodología establecida en esta resolución, en los municipios que conformaban las Áreas de Servicio Exclusivo, se mantendrá vigente </w:t>
      </w:r>
      <w:r w:rsidRPr="00FC79BF">
        <w:rPr>
          <w:rFonts w:ascii="Bookman Old Style" w:hAnsi="Bookman Old Style"/>
          <w:bCs/>
          <w:sz w:val="23"/>
          <w:szCs w:val="23"/>
        </w:rPr>
        <w:t xml:space="preserve">el cargo de distribución de gas combustible por redes de tubería que se </w:t>
      </w:r>
      <w:r w:rsidR="001E594C" w:rsidRPr="00FC79BF">
        <w:rPr>
          <w:rFonts w:ascii="Bookman Old Style" w:hAnsi="Bookman Old Style"/>
          <w:bCs/>
          <w:sz w:val="23"/>
          <w:szCs w:val="23"/>
        </w:rPr>
        <w:t xml:space="preserve">venía </w:t>
      </w:r>
      <w:r w:rsidRPr="00FC79BF">
        <w:rPr>
          <w:rFonts w:ascii="Bookman Old Style" w:hAnsi="Bookman Old Style"/>
          <w:bCs/>
          <w:sz w:val="23"/>
          <w:szCs w:val="23"/>
        </w:rPr>
        <w:t>aplica</w:t>
      </w:r>
      <w:r w:rsidR="001E594C" w:rsidRPr="00FC79BF">
        <w:rPr>
          <w:rFonts w:ascii="Bookman Old Style" w:hAnsi="Bookman Old Style"/>
          <w:bCs/>
          <w:sz w:val="23"/>
          <w:szCs w:val="23"/>
        </w:rPr>
        <w:t>ndo</w:t>
      </w:r>
      <w:r w:rsidR="00784550" w:rsidRPr="00FC79BF">
        <w:rPr>
          <w:rFonts w:ascii="Bookman Old Style" w:hAnsi="Bookman Old Style"/>
          <w:bCs/>
          <w:sz w:val="23"/>
          <w:szCs w:val="23"/>
        </w:rPr>
        <w:t xml:space="preserve"> en dichas áreas.</w:t>
      </w:r>
    </w:p>
    <w:p w:rsidR="00181BAD" w:rsidRPr="00FC79BF" w:rsidRDefault="00181BAD" w:rsidP="00181BAD">
      <w:pPr>
        <w:keepNext/>
        <w:ind w:left="1361"/>
        <w:jc w:val="both"/>
        <w:outlineLvl w:val="0"/>
        <w:rPr>
          <w:rFonts w:ascii="Bookman Old Style" w:hAnsi="Bookman Old Style"/>
          <w:bCs/>
          <w:sz w:val="23"/>
          <w:szCs w:val="23"/>
        </w:rPr>
      </w:pPr>
    </w:p>
    <w:p w:rsidR="001848A3" w:rsidRPr="00FC79BF" w:rsidRDefault="001E594C" w:rsidP="00181BAD">
      <w:pPr>
        <w:keepNext/>
        <w:numPr>
          <w:ilvl w:val="0"/>
          <w:numId w:val="2"/>
        </w:numPr>
        <w:ind w:left="-142" w:firstLine="1503"/>
        <w:jc w:val="both"/>
        <w:outlineLvl w:val="0"/>
        <w:rPr>
          <w:rFonts w:ascii="Bookman Old Style" w:hAnsi="Bookman Old Style"/>
          <w:bCs/>
          <w:sz w:val="23"/>
          <w:szCs w:val="23"/>
        </w:rPr>
      </w:pPr>
      <w:r w:rsidRPr="00FC79BF">
        <w:rPr>
          <w:rFonts w:ascii="Bookman Old Style" w:hAnsi="Bookman Old Style"/>
          <w:b/>
          <w:bCs/>
          <w:sz w:val="23"/>
          <w:szCs w:val="23"/>
        </w:rPr>
        <w:t xml:space="preserve">CONFORMACIÓN DE MERCADOS RELEVANTES A PARTIR DE MUNICIPIOS QUE PERTENECEN A </w:t>
      </w:r>
      <w:r w:rsidR="003467C2" w:rsidRPr="00FC79BF">
        <w:rPr>
          <w:rFonts w:ascii="Bookman Old Style" w:hAnsi="Bookman Old Style"/>
          <w:b/>
          <w:bCs/>
          <w:sz w:val="23"/>
          <w:szCs w:val="23"/>
        </w:rPr>
        <w:t>ZONAS GEOGRAFICAS QUE DEJA</w:t>
      </w:r>
      <w:r w:rsidR="00CC585B" w:rsidRPr="00FC79BF">
        <w:rPr>
          <w:rFonts w:ascii="Bookman Old Style" w:hAnsi="Bookman Old Style"/>
          <w:b/>
          <w:bCs/>
          <w:sz w:val="23"/>
          <w:szCs w:val="23"/>
        </w:rPr>
        <w:t>RAN</w:t>
      </w:r>
      <w:r w:rsidR="003467C2" w:rsidRPr="00FC79BF">
        <w:rPr>
          <w:rFonts w:ascii="Bookman Old Style" w:hAnsi="Bookman Old Style"/>
          <w:b/>
          <w:bCs/>
          <w:sz w:val="23"/>
          <w:szCs w:val="23"/>
        </w:rPr>
        <w:t xml:space="preserve"> DE SER ÁREAS DE SERVICIO EXCLUSIVO</w:t>
      </w:r>
      <w:r w:rsidRPr="00FC79BF">
        <w:rPr>
          <w:rFonts w:ascii="Bookman Old Style" w:hAnsi="Bookman Old Style"/>
          <w:b/>
          <w:bCs/>
          <w:sz w:val="23"/>
          <w:szCs w:val="23"/>
        </w:rPr>
        <w:t xml:space="preserve">. </w:t>
      </w:r>
      <w:r w:rsidRPr="00FC79BF">
        <w:rPr>
          <w:rFonts w:ascii="Bookman Old Style" w:hAnsi="Bookman Old Style"/>
          <w:bCs/>
          <w:sz w:val="23"/>
          <w:szCs w:val="23"/>
        </w:rPr>
        <w:t>Los municipios que forman parte de las denominadas Áreas de Servicio Exclusivo podrán conformar mercados relevantes</w:t>
      </w:r>
      <w:r w:rsidR="001848A3" w:rsidRPr="00FC79BF">
        <w:rPr>
          <w:rFonts w:ascii="Bookman Old Style" w:hAnsi="Bookman Old Style"/>
          <w:bCs/>
          <w:sz w:val="23"/>
          <w:szCs w:val="23"/>
        </w:rPr>
        <w:t xml:space="preserve"> en complement</w:t>
      </w:r>
      <w:r w:rsidR="00730715" w:rsidRPr="00FC79BF">
        <w:rPr>
          <w:rFonts w:ascii="Bookman Old Style" w:hAnsi="Bookman Old Style"/>
          <w:bCs/>
          <w:sz w:val="23"/>
          <w:szCs w:val="23"/>
        </w:rPr>
        <w:t>o</w:t>
      </w:r>
      <w:r w:rsidR="001848A3" w:rsidRPr="00FC79BF">
        <w:rPr>
          <w:rFonts w:ascii="Bookman Old Style" w:hAnsi="Bookman Old Style"/>
          <w:bCs/>
          <w:sz w:val="23"/>
          <w:szCs w:val="23"/>
        </w:rPr>
        <w:t xml:space="preserve">  a lo establecido en el </w:t>
      </w:r>
      <w:r w:rsidR="0009302D" w:rsidRPr="00FC79BF">
        <w:rPr>
          <w:rFonts w:ascii="Bookman Old Style" w:hAnsi="Bookman Old Style"/>
          <w:bCs/>
          <w:sz w:val="23"/>
          <w:szCs w:val="23"/>
        </w:rPr>
        <w:fldChar w:fldCharType="begin"/>
      </w:r>
      <w:r w:rsidR="0009302D" w:rsidRPr="00FC79BF">
        <w:rPr>
          <w:rFonts w:ascii="Bookman Old Style" w:hAnsi="Bookman Old Style"/>
          <w:bCs/>
          <w:sz w:val="23"/>
          <w:szCs w:val="23"/>
        </w:rPr>
        <w:instrText xml:space="preserve"> REF _Ref330192244 \r \h </w:instrText>
      </w:r>
      <w:r w:rsidR="00181BAD" w:rsidRPr="00FC79BF">
        <w:rPr>
          <w:rFonts w:ascii="Bookman Old Style" w:hAnsi="Bookman Old Style"/>
          <w:bCs/>
          <w:sz w:val="23"/>
          <w:szCs w:val="23"/>
        </w:rPr>
        <w:instrText xml:space="preserve"> \* MERGEFORMAT </w:instrText>
      </w:r>
      <w:r w:rsidR="0009302D" w:rsidRPr="00FC79BF">
        <w:rPr>
          <w:rFonts w:ascii="Bookman Old Style" w:hAnsi="Bookman Old Style"/>
          <w:bCs/>
          <w:sz w:val="23"/>
          <w:szCs w:val="23"/>
        </w:rPr>
      </w:r>
      <w:r w:rsidR="0009302D" w:rsidRPr="00FC79BF">
        <w:rPr>
          <w:rFonts w:ascii="Bookman Old Style" w:hAnsi="Bookman Old Style"/>
          <w:bCs/>
          <w:sz w:val="23"/>
          <w:szCs w:val="23"/>
        </w:rPr>
        <w:fldChar w:fldCharType="separate"/>
      </w:r>
      <w:r w:rsidR="004D5C18">
        <w:rPr>
          <w:rFonts w:ascii="Bookman Old Style" w:hAnsi="Bookman Old Style"/>
          <w:bCs/>
          <w:sz w:val="23"/>
          <w:szCs w:val="23"/>
        </w:rPr>
        <w:t>Artículo 5</w:t>
      </w:r>
      <w:r w:rsidR="0009302D" w:rsidRPr="00FC79BF">
        <w:rPr>
          <w:rFonts w:ascii="Bookman Old Style" w:hAnsi="Bookman Old Style"/>
          <w:bCs/>
          <w:sz w:val="23"/>
          <w:szCs w:val="23"/>
        </w:rPr>
        <w:fldChar w:fldCharType="end"/>
      </w:r>
      <w:r w:rsidRPr="00FC79BF">
        <w:rPr>
          <w:rFonts w:ascii="Bookman Old Style" w:hAnsi="Bookman Old Style"/>
          <w:bCs/>
          <w:sz w:val="23"/>
          <w:szCs w:val="23"/>
        </w:rPr>
        <w:t xml:space="preserve"> </w:t>
      </w:r>
      <w:r w:rsidR="001848A3" w:rsidRPr="00FC79BF">
        <w:rPr>
          <w:rFonts w:ascii="Bookman Old Style" w:hAnsi="Bookman Old Style"/>
          <w:bCs/>
          <w:sz w:val="23"/>
          <w:szCs w:val="23"/>
        </w:rPr>
        <w:t xml:space="preserve"> de esta resolución </w:t>
      </w:r>
      <w:r w:rsidRPr="00FC79BF">
        <w:rPr>
          <w:rFonts w:ascii="Bookman Old Style" w:hAnsi="Bookman Old Style"/>
          <w:bCs/>
          <w:sz w:val="23"/>
          <w:szCs w:val="23"/>
        </w:rPr>
        <w:t>así:</w:t>
      </w:r>
    </w:p>
    <w:p w:rsidR="008D558B" w:rsidRPr="00FC79BF" w:rsidRDefault="008D558B" w:rsidP="008D558B">
      <w:pPr>
        <w:pStyle w:val="Prrafodelista"/>
        <w:ind w:left="426"/>
        <w:jc w:val="both"/>
        <w:rPr>
          <w:rFonts w:ascii="Bookman Old Style" w:hAnsi="Bookman Old Style"/>
          <w:sz w:val="23"/>
          <w:szCs w:val="23"/>
          <w:lang w:val="es-ES_tradnl"/>
        </w:rPr>
      </w:pPr>
    </w:p>
    <w:p w:rsidR="001848A3" w:rsidRPr="00FC79BF" w:rsidRDefault="001848A3" w:rsidP="00181BAD">
      <w:pPr>
        <w:pStyle w:val="Prrafodelista"/>
        <w:numPr>
          <w:ilvl w:val="0"/>
          <w:numId w:val="35"/>
        </w:numPr>
        <w:ind w:left="426" w:hanging="284"/>
        <w:jc w:val="both"/>
        <w:rPr>
          <w:rFonts w:ascii="Bookman Old Style" w:hAnsi="Bookman Old Style"/>
          <w:sz w:val="23"/>
          <w:szCs w:val="23"/>
          <w:lang w:val="es-ES_tradnl"/>
        </w:rPr>
      </w:pPr>
      <w:r w:rsidRPr="00FC79BF">
        <w:rPr>
          <w:rFonts w:ascii="Bookman Old Style" w:hAnsi="Bookman Old Style"/>
          <w:b/>
          <w:sz w:val="23"/>
          <w:szCs w:val="23"/>
          <w:lang w:val="es-ES_tradnl"/>
        </w:rPr>
        <w:t xml:space="preserve">Mercados Existentes de Distribución: </w:t>
      </w:r>
      <w:r w:rsidRPr="00FC79BF">
        <w:rPr>
          <w:rFonts w:ascii="Bookman Old Style" w:hAnsi="Bookman Old Style"/>
          <w:sz w:val="23"/>
          <w:szCs w:val="23"/>
          <w:lang w:val="es-ES_tradnl"/>
        </w:rPr>
        <w:t>También corresponderán a este tipo de Mercados Existentes de Distribución las zonas geográficas que hayan pertenecido a las Áreas de Servicio Exclusivo y donde se hayan culminado los contratos de concesión.</w:t>
      </w:r>
    </w:p>
    <w:p w:rsidR="001848A3" w:rsidRPr="00FC79BF" w:rsidRDefault="001848A3" w:rsidP="00181BAD">
      <w:pPr>
        <w:pStyle w:val="Prrafodelista"/>
        <w:numPr>
          <w:ilvl w:val="0"/>
          <w:numId w:val="35"/>
        </w:numPr>
        <w:ind w:left="426" w:hanging="284"/>
        <w:jc w:val="both"/>
        <w:rPr>
          <w:rFonts w:ascii="Bookman Old Style" w:hAnsi="Bookman Old Style"/>
          <w:sz w:val="23"/>
          <w:szCs w:val="23"/>
          <w:lang w:val="es-ES_tradnl"/>
        </w:rPr>
      </w:pPr>
      <w:r w:rsidRPr="00FC79BF">
        <w:rPr>
          <w:rFonts w:ascii="Bookman Old Style" w:hAnsi="Bookman Old Style"/>
          <w:b/>
          <w:sz w:val="23"/>
          <w:szCs w:val="23"/>
          <w:lang w:val="es-ES_tradnl"/>
        </w:rPr>
        <w:t xml:space="preserve">Agregación de Mercados Existentes de Distribución: </w:t>
      </w:r>
      <w:r w:rsidRPr="00FC79BF">
        <w:rPr>
          <w:rFonts w:ascii="Bookman Old Style" w:hAnsi="Bookman Old Style"/>
          <w:sz w:val="23"/>
          <w:szCs w:val="23"/>
          <w:lang w:val="es-ES_tradnl"/>
        </w:rPr>
        <w:t>Cuando un distribuidor que atiende en zonas geográficas correspondiente a Áreas de Servicio Exclusivo y desea una vez se culminen los contratos de concesión agregar estas zonas a Mercados Existentes de Distribución conformados según la metodología tarifaria establecida en la Resolución CREG 011 de 2003, deberá:</w:t>
      </w:r>
    </w:p>
    <w:p w:rsidR="00816131" w:rsidRPr="00FC79BF" w:rsidRDefault="00816131" w:rsidP="00816131">
      <w:pPr>
        <w:pStyle w:val="Prrafodelista"/>
        <w:ind w:left="426"/>
        <w:jc w:val="both"/>
        <w:rPr>
          <w:rFonts w:ascii="Bookman Old Style" w:hAnsi="Bookman Old Style"/>
          <w:sz w:val="23"/>
          <w:szCs w:val="23"/>
          <w:lang w:val="es-ES_tradnl"/>
        </w:rPr>
      </w:pPr>
    </w:p>
    <w:p w:rsidR="001848A3" w:rsidRPr="00FC79BF" w:rsidRDefault="001848A3" w:rsidP="00181BAD">
      <w:pPr>
        <w:pStyle w:val="Prrafodelista"/>
        <w:numPr>
          <w:ilvl w:val="0"/>
          <w:numId w:val="36"/>
        </w:numPr>
        <w:ind w:left="851"/>
        <w:jc w:val="both"/>
        <w:rPr>
          <w:rFonts w:ascii="Bookman Old Style" w:hAnsi="Bookman Old Style"/>
          <w:sz w:val="23"/>
          <w:szCs w:val="23"/>
          <w:lang w:val="es-ES_tradnl"/>
        </w:rPr>
      </w:pPr>
      <w:r w:rsidRPr="00FC79BF">
        <w:rPr>
          <w:rFonts w:ascii="Bookman Old Style" w:hAnsi="Bookman Old Style"/>
          <w:sz w:val="23"/>
          <w:szCs w:val="23"/>
          <w:lang w:val="es-ES_tradnl"/>
        </w:rPr>
        <w:t>Hacer la solicitud tarifaria a la CREG del Mercado Existente de Distribución en los plazos establecidos.</w:t>
      </w:r>
    </w:p>
    <w:p w:rsidR="001848A3" w:rsidRPr="00FC79BF" w:rsidRDefault="001848A3" w:rsidP="00181BAD">
      <w:pPr>
        <w:pStyle w:val="Prrafodelista"/>
        <w:numPr>
          <w:ilvl w:val="0"/>
          <w:numId w:val="36"/>
        </w:numPr>
        <w:ind w:left="851"/>
        <w:jc w:val="both"/>
        <w:rPr>
          <w:rFonts w:ascii="Bookman Old Style" w:hAnsi="Bookman Old Style"/>
          <w:sz w:val="23"/>
          <w:szCs w:val="23"/>
          <w:lang w:val="es-ES_tradnl"/>
        </w:rPr>
      </w:pPr>
      <w:r w:rsidRPr="00FC79BF">
        <w:rPr>
          <w:rFonts w:ascii="Bookman Old Style" w:hAnsi="Bookman Old Style"/>
          <w:sz w:val="23"/>
          <w:szCs w:val="23"/>
          <w:lang w:val="es-ES_tradnl"/>
        </w:rPr>
        <w:t>El Distribuidor deberá indicar en esta solicitud tarifaria el interés de una futura agregación con  la zona geográfica que conforma el Área de Servicio Exclusivo.</w:t>
      </w:r>
    </w:p>
    <w:p w:rsidR="00181BAD" w:rsidRPr="00FC79BF" w:rsidRDefault="001848A3" w:rsidP="00181BAD">
      <w:pPr>
        <w:pStyle w:val="Prrafodelista"/>
        <w:numPr>
          <w:ilvl w:val="0"/>
          <w:numId w:val="36"/>
        </w:numPr>
        <w:ind w:left="851"/>
        <w:jc w:val="both"/>
        <w:rPr>
          <w:rFonts w:ascii="Bookman Old Style" w:hAnsi="Bookman Old Style"/>
          <w:sz w:val="23"/>
          <w:szCs w:val="23"/>
          <w:lang w:val="es-ES_tradnl"/>
        </w:rPr>
      </w:pPr>
      <w:r w:rsidRPr="00FC79BF">
        <w:rPr>
          <w:rFonts w:ascii="Bookman Old Style" w:hAnsi="Bookman Old Style"/>
          <w:sz w:val="23"/>
          <w:szCs w:val="23"/>
          <w:lang w:val="es-ES_tradnl"/>
        </w:rPr>
        <w:t>Conforme a esto la CREG establecerá unos cargos de distribución transitorios correspondientes al mercado inicial</w:t>
      </w:r>
      <w:r w:rsidR="00810819" w:rsidRPr="00FC79BF">
        <w:rPr>
          <w:rFonts w:ascii="Bookman Old Style" w:hAnsi="Bookman Old Style"/>
          <w:sz w:val="23"/>
          <w:szCs w:val="23"/>
          <w:lang w:val="es-ES_tradnl"/>
        </w:rPr>
        <w:t xml:space="preserve"> y que corresponde a los municipios que no son parte del  Área de Servicio Exclusivo. Estos cargos </w:t>
      </w:r>
      <w:r w:rsidRPr="00FC79BF">
        <w:rPr>
          <w:rFonts w:ascii="Bookman Old Style" w:hAnsi="Bookman Old Style"/>
          <w:sz w:val="23"/>
          <w:szCs w:val="23"/>
          <w:lang w:val="es-ES_tradnl"/>
        </w:rPr>
        <w:t>podrán ser revisados una vez se finalicen los contratos de concesión y los municipios que conforman el Área de Servicio Exclusivo dejen de corresponder a esta condición</w:t>
      </w:r>
      <w:r w:rsidR="00810819" w:rsidRPr="00FC79BF">
        <w:rPr>
          <w:rFonts w:ascii="Bookman Old Style" w:hAnsi="Bookman Old Style"/>
          <w:sz w:val="23"/>
          <w:szCs w:val="23"/>
          <w:lang w:val="es-ES_tradnl"/>
        </w:rPr>
        <w:t xml:space="preserve"> y puedan unirse al mercado inicial. Esto siempre y cuando cumplan los criterios para la  conformación de los mercados relevantes de distribución para el siguiente periodo tarifario establecidos en el numeral 5.2 de  </w:t>
      </w:r>
      <w:r w:rsidR="00784550" w:rsidRPr="00FC79BF">
        <w:rPr>
          <w:rFonts w:ascii="Bookman Old Style" w:hAnsi="Bookman Old Style"/>
          <w:sz w:val="23"/>
          <w:szCs w:val="23"/>
          <w:lang w:val="es-ES_tradnl"/>
        </w:rPr>
        <w:t>la presente</w:t>
      </w:r>
      <w:r w:rsidR="00810819" w:rsidRPr="00FC79BF">
        <w:rPr>
          <w:rFonts w:ascii="Bookman Old Style" w:hAnsi="Bookman Old Style"/>
          <w:sz w:val="23"/>
          <w:szCs w:val="23"/>
          <w:lang w:val="es-ES_tradnl"/>
        </w:rPr>
        <w:t xml:space="preserve"> resolución.</w:t>
      </w:r>
      <w:r w:rsidRPr="00FC79BF">
        <w:rPr>
          <w:rFonts w:ascii="Bookman Old Style" w:hAnsi="Bookman Old Style"/>
          <w:sz w:val="23"/>
          <w:szCs w:val="23"/>
          <w:lang w:val="es-ES_tradnl"/>
        </w:rPr>
        <w:t xml:space="preserve"> </w:t>
      </w:r>
    </w:p>
    <w:p w:rsidR="00FC79BF" w:rsidRDefault="00FC79BF" w:rsidP="00181BAD">
      <w:pPr>
        <w:pStyle w:val="Prrafodelista"/>
        <w:ind w:left="851"/>
        <w:jc w:val="center"/>
        <w:rPr>
          <w:rFonts w:ascii="Bookman Old Style" w:hAnsi="Bookman Old Style"/>
          <w:b/>
          <w:bCs/>
          <w:sz w:val="24"/>
          <w:szCs w:val="24"/>
          <w:highlight w:val="yellow"/>
        </w:rPr>
      </w:pPr>
    </w:p>
    <w:p w:rsidR="000B65DE" w:rsidRPr="004D5C18" w:rsidRDefault="000B65DE" w:rsidP="00181BAD">
      <w:pPr>
        <w:pStyle w:val="Prrafodelista"/>
        <w:ind w:left="851"/>
        <w:jc w:val="center"/>
        <w:rPr>
          <w:rFonts w:ascii="Bookman Old Style" w:hAnsi="Bookman Old Style"/>
          <w:sz w:val="23"/>
          <w:szCs w:val="23"/>
          <w:lang w:val="es-ES_tradnl"/>
        </w:rPr>
      </w:pPr>
      <w:r w:rsidRPr="004D5C18">
        <w:rPr>
          <w:rFonts w:ascii="Bookman Old Style" w:hAnsi="Bookman Old Style"/>
          <w:b/>
          <w:bCs/>
          <w:sz w:val="23"/>
          <w:szCs w:val="23"/>
        </w:rPr>
        <w:t>CAPÍTULO V. OTRAS DISPOSICIONES</w:t>
      </w:r>
    </w:p>
    <w:p w:rsidR="00181BAD" w:rsidRPr="004D5C18" w:rsidRDefault="00181BAD" w:rsidP="00181BAD">
      <w:pPr>
        <w:keepNext/>
        <w:tabs>
          <w:tab w:val="num" w:pos="1843"/>
        </w:tabs>
        <w:ind w:left="0"/>
        <w:jc w:val="center"/>
        <w:outlineLvl w:val="0"/>
        <w:rPr>
          <w:rFonts w:ascii="Bookman Old Style" w:hAnsi="Bookman Old Style"/>
          <w:b/>
          <w:bCs/>
          <w:sz w:val="23"/>
          <w:szCs w:val="23"/>
          <w:lang w:val="es-CO"/>
        </w:rPr>
      </w:pPr>
    </w:p>
    <w:p w:rsidR="000B65DE" w:rsidRPr="004D5C18" w:rsidRDefault="000B65DE" w:rsidP="00181BAD">
      <w:pPr>
        <w:keepNext/>
        <w:numPr>
          <w:ilvl w:val="0"/>
          <w:numId w:val="2"/>
        </w:numPr>
        <w:ind w:left="-142" w:firstLine="1503"/>
        <w:jc w:val="both"/>
        <w:outlineLvl w:val="0"/>
        <w:rPr>
          <w:rFonts w:ascii="Bookman Old Style" w:hAnsi="Bookman Old Style"/>
          <w:bCs/>
          <w:sz w:val="23"/>
          <w:szCs w:val="23"/>
        </w:rPr>
      </w:pPr>
      <w:r w:rsidRPr="004D5C18">
        <w:rPr>
          <w:rFonts w:ascii="Bookman Old Style" w:hAnsi="Bookman Old Style"/>
          <w:b/>
          <w:bCs/>
          <w:sz w:val="23"/>
          <w:szCs w:val="23"/>
        </w:rPr>
        <w:t xml:space="preserve">DISTRIBUCIÓN DE GAS MEDIANTE GASODUCTOS VIRTUALES. </w:t>
      </w:r>
      <w:r w:rsidRPr="004D5C18">
        <w:rPr>
          <w:rFonts w:ascii="Bookman Old Style" w:hAnsi="Bookman Old Style"/>
          <w:bCs/>
          <w:sz w:val="23"/>
          <w:szCs w:val="23"/>
        </w:rPr>
        <w:t>Quienes presten la actividad de distribución de gas natural a través de gasoductos virtuales deberán cumplir como mínimo las siguientes condiciones hasta tanto la CREG fije la metodología y demás condiciones para la prestación del servicio a través de este medio.</w:t>
      </w:r>
    </w:p>
    <w:p w:rsidR="000B65DE" w:rsidRPr="000B65DE" w:rsidRDefault="000B65DE" w:rsidP="000B65DE"/>
    <w:p w:rsidR="000B65DE" w:rsidRPr="000B65DE" w:rsidRDefault="000B65DE" w:rsidP="008F4D9F">
      <w:pPr>
        <w:numPr>
          <w:ilvl w:val="0"/>
          <w:numId w:val="22"/>
        </w:numPr>
        <w:jc w:val="both"/>
        <w:rPr>
          <w:rFonts w:ascii="Bookman Old Style" w:hAnsi="Bookman Old Style"/>
          <w:szCs w:val="20"/>
          <w:lang w:val="es-CO"/>
        </w:rPr>
      </w:pPr>
      <w:r w:rsidRPr="000B65DE">
        <w:rPr>
          <w:rFonts w:ascii="Bookman Old Style" w:hAnsi="Bookman Old Style"/>
          <w:szCs w:val="20"/>
          <w:lang w:val="es-CO"/>
        </w:rPr>
        <w:lastRenderedPageBreak/>
        <w:t>Conforme a la Ley 142 de 1994, deberán estar constituidos como Empresa de Servicios Públicos “ESP”.</w:t>
      </w:r>
    </w:p>
    <w:p w:rsidR="000B65DE" w:rsidRPr="000B65DE" w:rsidRDefault="000B65DE" w:rsidP="000B65DE">
      <w:pPr>
        <w:ind w:firstLine="75"/>
        <w:jc w:val="both"/>
        <w:rPr>
          <w:rFonts w:ascii="Bookman Old Style" w:hAnsi="Bookman Old Style"/>
          <w:sz w:val="32"/>
        </w:rPr>
      </w:pPr>
    </w:p>
    <w:p w:rsidR="000B65DE" w:rsidRPr="000B65DE" w:rsidRDefault="000B65DE" w:rsidP="008F4D9F">
      <w:pPr>
        <w:numPr>
          <w:ilvl w:val="0"/>
          <w:numId w:val="22"/>
        </w:numPr>
        <w:jc w:val="both"/>
        <w:rPr>
          <w:rFonts w:ascii="Bookman Old Style" w:hAnsi="Bookman Old Style"/>
          <w:szCs w:val="20"/>
          <w:lang w:val="es-CO"/>
        </w:rPr>
      </w:pPr>
      <w:r w:rsidRPr="000B65DE">
        <w:rPr>
          <w:rFonts w:ascii="Bookman Old Style" w:hAnsi="Bookman Old Style"/>
          <w:szCs w:val="20"/>
          <w:lang w:val="es-CO"/>
        </w:rPr>
        <w:t>El gas objeto de la distribución mediante esta tecnología podrá ser adquirido por el prestador directamente al Productor Comercializador o a otro Comercializador, desde el punto de salida de un campo de producción o desde el punto de salida del Sistema Nacional de Transporte SNT.</w:t>
      </w:r>
    </w:p>
    <w:p w:rsidR="000B65DE" w:rsidRPr="000B65DE" w:rsidRDefault="000B65DE" w:rsidP="000B65DE">
      <w:pPr>
        <w:ind w:hanging="283"/>
        <w:jc w:val="both"/>
        <w:rPr>
          <w:rFonts w:ascii="Bookman Old Style" w:hAnsi="Bookman Old Style"/>
          <w:sz w:val="32"/>
        </w:rPr>
      </w:pPr>
    </w:p>
    <w:p w:rsidR="000B65DE" w:rsidRPr="000B65DE" w:rsidRDefault="000B65DE" w:rsidP="008F4D9F">
      <w:pPr>
        <w:numPr>
          <w:ilvl w:val="0"/>
          <w:numId w:val="22"/>
        </w:numPr>
        <w:jc w:val="both"/>
        <w:rPr>
          <w:rFonts w:ascii="Bookman Old Style" w:hAnsi="Bookman Old Style"/>
          <w:szCs w:val="20"/>
          <w:lang w:val="es-CO"/>
        </w:rPr>
      </w:pPr>
      <w:r w:rsidRPr="000B65DE">
        <w:rPr>
          <w:rFonts w:ascii="Bookman Old Style" w:hAnsi="Bookman Old Style"/>
          <w:szCs w:val="20"/>
          <w:lang w:val="es-CO"/>
        </w:rPr>
        <w:t>Acoger el cargo de distribución establecido por la CREG para el mercado relevante en el que presten el servicio para los usuarios regulados que atiendan. En el caso de que no haya cargos aprobados, deberán hacer la solicitud de cargo de distribución a la CREG.</w:t>
      </w:r>
    </w:p>
    <w:p w:rsidR="000B65DE" w:rsidRPr="000B65DE" w:rsidRDefault="000B65DE" w:rsidP="000B65DE">
      <w:pPr>
        <w:ind w:hanging="283"/>
        <w:jc w:val="both"/>
        <w:rPr>
          <w:rFonts w:ascii="Bookman Old Style" w:hAnsi="Bookman Old Style"/>
          <w:sz w:val="32"/>
        </w:rPr>
      </w:pPr>
    </w:p>
    <w:p w:rsidR="000B65DE" w:rsidRPr="000B65DE" w:rsidRDefault="000B65DE" w:rsidP="008F4D9F">
      <w:pPr>
        <w:numPr>
          <w:ilvl w:val="0"/>
          <w:numId w:val="22"/>
        </w:numPr>
        <w:jc w:val="both"/>
        <w:rPr>
          <w:rFonts w:ascii="Bookman Old Style" w:hAnsi="Bookman Old Style"/>
          <w:szCs w:val="20"/>
          <w:lang w:val="es-CO"/>
        </w:rPr>
      </w:pPr>
      <w:r w:rsidRPr="000B65DE">
        <w:rPr>
          <w:rFonts w:ascii="Bookman Old Style" w:hAnsi="Bookman Old Style"/>
          <w:szCs w:val="20"/>
          <w:lang w:val="es-CO"/>
        </w:rPr>
        <w:t>No podrán exigir a quienes soliciten el servicio, ningún activo de conexión adicional a la acometida y el medidor establecido en la regulación.</w:t>
      </w:r>
    </w:p>
    <w:p w:rsidR="000B65DE" w:rsidRPr="000B65DE" w:rsidRDefault="000B65DE" w:rsidP="000B65DE">
      <w:pPr>
        <w:ind w:left="720"/>
        <w:jc w:val="both"/>
        <w:rPr>
          <w:rFonts w:ascii="Bookman Old Style" w:hAnsi="Bookman Old Style"/>
          <w:szCs w:val="20"/>
          <w:lang w:val="es-CO"/>
        </w:rPr>
      </w:pPr>
    </w:p>
    <w:p w:rsidR="000B65DE" w:rsidRPr="000B65DE" w:rsidRDefault="000B65DE" w:rsidP="008F4D9F">
      <w:pPr>
        <w:numPr>
          <w:ilvl w:val="0"/>
          <w:numId w:val="22"/>
        </w:numPr>
        <w:jc w:val="both"/>
        <w:rPr>
          <w:rFonts w:ascii="Bookman Old Style" w:hAnsi="Bookman Old Style"/>
          <w:szCs w:val="20"/>
          <w:lang w:val="es-CO"/>
        </w:rPr>
      </w:pPr>
      <w:r w:rsidRPr="000B65DE">
        <w:rPr>
          <w:rFonts w:ascii="Bookman Old Style" w:hAnsi="Bookman Old Style"/>
          <w:szCs w:val="20"/>
          <w:lang w:val="es-CO"/>
        </w:rPr>
        <w:t xml:space="preserve">Los prestadores de gas natural mediante gasoductos virtuales deberán cumplir con todas las obligaciones establecidas para los prestadores del servicio público domiciliario de gas por redes de tubería, que conforme a la tecnología empleada les sea aplicable. </w:t>
      </w:r>
    </w:p>
    <w:p w:rsidR="000B65DE" w:rsidRPr="000B65DE" w:rsidRDefault="000B65DE" w:rsidP="00382E27">
      <w:pPr>
        <w:keepNext/>
        <w:numPr>
          <w:ilvl w:val="0"/>
          <w:numId w:val="2"/>
        </w:numPr>
        <w:spacing w:before="240" w:after="60"/>
        <w:jc w:val="both"/>
        <w:outlineLvl w:val="0"/>
        <w:rPr>
          <w:rFonts w:ascii="Bookman Old Style" w:hAnsi="Bookman Old Style"/>
          <w:bCs/>
        </w:rPr>
      </w:pPr>
      <w:r w:rsidRPr="000B65DE">
        <w:rPr>
          <w:rFonts w:ascii="Bookman Old Style" w:hAnsi="Bookman Old Style"/>
          <w:b/>
          <w:bCs/>
        </w:rPr>
        <w:t xml:space="preserve">VIGENCIA DE LA PRESENTE RESOLUCIÓN. </w:t>
      </w:r>
      <w:r w:rsidRPr="000B65DE">
        <w:rPr>
          <w:rFonts w:ascii="Bookman Old Style" w:hAnsi="Bookman Old Style"/>
          <w:bCs/>
        </w:rPr>
        <w:t>La presente resolución rige a partir de la fecha de su publicación en el Diario Oficial, y deroga todas las disposiciones que le sean contrarias.</w:t>
      </w:r>
    </w:p>
    <w:p w:rsidR="000B65DE" w:rsidRPr="000B65DE" w:rsidRDefault="000B65DE" w:rsidP="000B65DE">
      <w:pPr>
        <w:ind w:left="0"/>
        <w:jc w:val="both"/>
        <w:rPr>
          <w:rFonts w:ascii="Bookman Old Style" w:hAnsi="Bookman Old Style"/>
          <w:lang w:val="es-CO"/>
        </w:rPr>
      </w:pPr>
    </w:p>
    <w:p w:rsidR="000B65DE" w:rsidRPr="000B65DE" w:rsidRDefault="000B65DE" w:rsidP="000B65DE">
      <w:pPr>
        <w:ind w:left="0"/>
        <w:jc w:val="both"/>
        <w:rPr>
          <w:rFonts w:ascii="Bookman Old Style" w:hAnsi="Bookman Old Style" w:cs="Arial"/>
          <w:lang w:val="es-ES_tradnl"/>
        </w:rPr>
      </w:pPr>
    </w:p>
    <w:p w:rsidR="000B65DE" w:rsidRPr="000B65DE" w:rsidRDefault="000B65DE" w:rsidP="000B65DE">
      <w:pPr>
        <w:ind w:left="0"/>
        <w:jc w:val="center"/>
        <w:rPr>
          <w:rFonts w:ascii="Bookman Old Style" w:hAnsi="Bookman Old Style"/>
          <w:b/>
          <w:lang w:val="es-ES_tradnl"/>
        </w:rPr>
      </w:pPr>
      <w:r w:rsidRPr="000B65DE">
        <w:rPr>
          <w:rFonts w:ascii="Bookman Old Style" w:hAnsi="Bookman Old Style"/>
          <w:b/>
          <w:lang w:val="es-ES_tradnl"/>
        </w:rPr>
        <w:t>PUBLÍQUESE Y CÚMPLASE</w:t>
      </w:r>
    </w:p>
    <w:p w:rsidR="000B65DE" w:rsidRPr="000B65DE" w:rsidRDefault="000B65DE" w:rsidP="000B65DE">
      <w:pPr>
        <w:ind w:left="0"/>
        <w:jc w:val="both"/>
        <w:rPr>
          <w:rFonts w:ascii="Bookman Old Style" w:hAnsi="Bookman Old Style" w:cs="Arial"/>
          <w:lang w:val="es-ES_tradnl"/>
        </w:rPr>
      </w:pPr>
    </w:p>
    <w:p w:rsidR="000B65DE" w:rsidRDefault="000B65DE" w:rsidP="000B65DE">
      <w:pPr>
        <w:ind w:left="0"/>
        <w:jc w:val="both"/>
        <w:rPr>
          <w:rFonts w:ascii="Bookman Old Style" w:hAnsi="Bookman Old Style" w:cs="Arial"/>
          <w:lang w:val="es-ES_tradnl"/>
        </w:rPr>
      </w:pPr>
    </w:p>
    <w:p w:rsidR="00E10310" w:rsidRPr="000B65DE" w:rsidRDefault="00364E59" w:rsidP="000B65DE">
      <w:pPr>
        <w:ind w:left="0"/>
        <w:jc w:val="both"/>
        <w:rPr>
          <w:rFonts w:ascii="Bookman Old Style" w:hAnsi="Bookman Old Style" w:cs="Arial"/>
          <w:lang w:val="es-ES_tradnl"/>
        </w:rPr>
      </w:pPr>
      <w:r>
        <w:rPr>
          <w:rFonts w:ascii="Bookman Old Style" w:hAnsi="Bookman Old Style" w:cs="Arial"/>
          <w:lang w:val="es-ES_tradnl"/>
        </w:rPr>
        <w:t>Firmas del proyecto,</w:t>
      </w:r>
    </w:p>
    <w:p w:rsidR="000B65DE" w:rsidRDefault="000B65DE" w:rsidP="000B65DE">
      <w:pPr>
        <w:ind w:left="0"/>
        <w:jc w:val="both"/>
        <w:rPr>
          <w:rFonts w:ascii="Bookman Old Style" w:hAnsi="Bookman Old Style" w:cs="Arial"/>
          <w:lang w:val="es-ES_tradnl"/>
        </w:rPr>
      </w:pPr>
    </w:p>
    <w:p w:rsidR="001A215C" w:rsidRDefault="001A215C" w:rsidP="000B65DE">
      <w:pPr>
        <w:ind w:left="0"/>
        <w:jc w:val="both"/>
        <w:rPr>
          <w:rFonts w:ascii="Bookman Old Style" w:hAnsi="Bookman Old Style" w:cs="Arial"/>
          <w:lang w:val="es-ES_tradnl"/>
        </w:rPr>
      </w:pPr>
    </w:p>
    <w:p w:rsidR="00666658" w:rsidRPr="000B65DE" w:rsidRDefault="00666658" w:rsidP="000B65DE">
      <w:pPr>
        <w:ind w:left="0"/>
        <w:jc w:val="both"/>
        <w:rPr>
          <w:rFonts w:ascii="Bookman Old Style" w:hAnsi="Bookman Old Style" w:cs="Arial"/>
          <w:lang w:val="es-ES_tradnl"/>
        </w:rPr>
      </w:pPr>
    </w:p>
    <w:p w:rsidR="000B65DE" w:rsidRPr="000B65DE" w:rsidRDefault="000B65DE" w:rsidP="000B65DE">
      <w:pPr>
        <w:ind w:left="0"/>
        <w:jc w:val="both"/>
        <w:rPr>
          <w:rFonts w:ascii="Bookman Old Style" w:hAnsi="Bookman Old Style" w:cs="Arial"/>
          <w:lang w:val="es-ES_tradnl"/>
        </w:rPr>
      </w:pPr>
    </w:p>
    <w:tbl>
      <w:tblPr>
        <w:tblW w:w="9570" w:type="dxa"/>
        <w:jc w:val="right"/>
        <w:tblLayout w:type="fixed"/>
        <w:tblCellMar>
          <w:left w:w="70" w:type="dxa"/>
          <w:right w:w="70" w:type="dxa"/>
        </w:tblCellMar>
        <w:tblLook w:val="04A0" w:firstRow="1" w:lastRow="0" w:firstColumn="1" w:lastColumn="0" w:noHBand="0" w:noVBand="1"/>
      </w:tblPr>
      <w:tblGrid>
        <w:gridCol w:w="4875"/>
        <w:gridCol w:w="4695"/>
      </w:tblGrid>
      <w:tr w:rsidR="001D6277" w:rsidRPr="000B65DE" w:rsidTr="001D6277">
        <w:trPr>
          <w:jc w:val="right"/>
        </w:trPr>
        <w:tc>
          <w:tcPr>
            <w:tcW w:w="4875" w:type="dxa"/>
            <w:hideMark/>
          </w:tcPr>
          <w:p w:rsidR="001D6277" w:rsidRPr="000B65DE" w:rsidRDefault="001D6277" w:rsidP="001D6277">
            <w:pPr>
              <w:ind w:left="0"/>
              <w:jc w:val="center"/>
              <w:rPr>
                <w:rFonts w:ascii="Bookman Old Style" w:hAnsi="Bookman Old Style" w:cs="Arial"/>
                <w:b/>
                <w:spacing w:val="-3"/>
                <w:lang w:val="es-ES_tradnl"/>
              </w:rPr>
            </w:pPr>
            <w:r>
              <w:rPr>
                <w:rFonts w:ascii="Bookman Old Style" w:hAnsi="Bookman Old Style" w:cs="Arial"/>
                <w:b/>
                <w:color w:val="000000"/>
              </w:rPr>
              <w:t>ORLANDO CABRALES SEGOVIA</w:t>
            </w:r>
          </w:p>
        </w:tc>
        <w:tc>
          <w:tcPr>
            <w:tcW w:w="4695" w:type="dxa"/>
            <w:hideMark/>
          </w:tcPr>
          <w:p w:rsidR="001D6277" w:rsidRPr="000B65DE" w:rsidRDefault="001D6277" w:rsidP="000B65DE">
            <w:pPr>
              <w:ind w:left="161" w:right="567"/>
              <w:jc w:val="right"/>
              <w:rPr>
                <w:rFonts w:ascii="Bookman Old Style" w:hAnsi="Bookman Old Style" w:cs="Arial"/>
                <w:b/>
                <w:spacing w:val="-3"/>
                <w:lang w:val="es-ES_tradnl"/>
              </w:rPr>
            </w:pPr>
            <w:r w:rsidRPr="000B65DE">
              <w:rPr>
                <w:rFonts w:ascii="Bookman Old Style" w:hAnsi="Bookman Old Style" w:cs="Arial"/>
                <w:b/>
                <w:spacing w:val="-3"/>
                <w:lang w:val="es-ES_tradnl"/>
              </w:rPr>
              <w:t>GERMÁN CASTRO FERREIRA</w:t>
            </w:r>
          </w:p>
        </w:tc>
      </w:tr>
      <w:tr w:rsidR="001D6277" w:rsidRPr="000B65DE" w:rsidTr="001D6277">
        <w:trPr>
          <w:jc w:val="right"/>
        </w:trPr>
        <w:tc>
          <w:tcPr>
            <w:tcW w:w="4875" w:type="dxa"/>
            <w:hideMark/>
          </w:tcPr>
          <w:tbl>
            <w:tblPr>
              <w:tblW w:w="5036" w:type="dxa"/>
              <w:tblLayout w:type="fixed"/>
              <w:tblCellMar>
                <w:left w:w="0" w:type="dxa"/>
                <w:right w:w="0" w:type="dxa"/>
              </w:tblCellMar>
              <w:tblLook w:val="04A0" w:firstRow="1" w:lastRow="0" w:firstColumn="1" w:lastColumn="0" w:noHBand="0" w:noVBand="1"/>
            </w:tblPr>
            <w:tblGrid>
              <w:gridCol w:w="5036"/>
            </w:tblGrid>
            <w:tr w:rsidR="001D6277" w:rsidTr="00F90813">
              <w:tc>
                <w:tcPr>
                  <w:tcW w:w="5036" w:type="dxa"/>
                  <w:hideMark/>
                </w:tcPr>
                <w:p w:rsidR="001D6277" w:rsidRDefault="001D6277">
                  <w:pPr>
                    <w:snapToGrid w:val="0"/>
                    <w:ind w:left="0"/>
                    <w:rPr>
                      <w:rFonts w:ascii="Bookman Old Style" w:hAnsi="Bookman Old Style" w:cs="Arial"/>
                      <w:color w:val="000000"/>
                    </w:rPr>
                  </w:pPr>
                  <w:r>
                    <w:rPr>
                      <w:rFonts w:ascii="Bookman Old Style" w:hAnsi="Bookman Old Style" w:cs="Arial"/>
                      <w:color w:val="000000"/>
                    </w:rPr>
                    <w:t xml:space="preserve">             Viceministro de Energía</w:t>
                  </w:r>
                </w:p>
                <w:p w:rsidR="00E10310" w:rsidRPr="00F90813" w:rsidRDefault="001D6277" w:rsidP="00364E59">
                  <w:pPr>
                    <w:snapToGrid w:val="0"/>
                    <w:ind w:left="0"/>
                    <w:rPr>
                      <w:rFonts w:ascii="Bookman Old Style" w:hAnsi="Bookman Old Style" w:cs="Arial"/>
                      <w:color w:val="000000"/>
                      <w:sz w:val="22"/>
                      <w:szCs w:val="22"/>
                    </w:rPr>
                  </w:pPr>
                  <w:r w:rsidRPr="00F90813">
                    <w:rPr>
                      <w:rFonts w:ascii="Bookman Old Style" w:hAnsi="Bookman Old Style" w:cs="Arial"/>
                      <w:color w:val="000000"/>
                      <w:sz w:val="22"/>
                      <w:szCs w:val="22"/>
                    </w:rPr>
                    <w:t>Delegado del Ministro de Minas y Energía</w:t>
                  </w:r>
                </w:p>
              </w:tc>
            </w:tr>
            <w:tr w:rsidR="001D6277" w:rsidTr="00F90813">
              <w:tc>
                <w:tcPr>
                  <w:tcW w:w="5036" w:type="dxa"/>
                  <w:hideMark/>
                </w:tcPr>
                <w:p w:rsidR="001D6277" w:rsidRDefault="001D6277">
                  <w:pPr>
                    <w:snapToGrid w:val="0"/>
                    <w:ind w:left="0"/>
                    <w:jc w:val="center"/>
                    <w:rPr>
                      <w:rFonts w:ascii="Bookman Old Style" w:hAnsi="Bookman Old Style" w:cs="Arial"/>
                      <w:color w:val="000000"/>
                    </w:rPr>
                  </w:pPr>
                  <w:r>
                    <w:rPr>
                      <w:rFonts w:ascii="Bookman Old Style" w:hAnsi="Bookman Old Style" w:cs="Arial"/>
                      <w:color w:val="000000"/>
                    </w:rPr>
                    <w:t>Presidente</w:t>
                  </w:r>
                </w:p>
              </w:tc>
            </w:tr>
          </w:tbl>
          <w:p w:rsidR="001D6277" w:rsidRPr="000B65DE" w:rsidRDefault="001D6277" w:rsidP="001D6277">
            <w:pPr>
              <w:ind w:left="0"/>
              <w:jc w:val="center"/>
              <w:rPr>
                <w:rFonts w:ascii="Bookman Old Style" w:hAnsi="Bookman Old Style" w:cs="Arial"/>
                <w:spacing w:val="-3"/>
                <w:lang w:val="es-ES_tradnl"/>
              </w:rPr>
            </w:pPr>
          </w:p>
        </w:tc>
        <w:tc>
          <w:tcPr>
            <w:tcW w:w="4695" w:type="dxa"/>
            <w:hideMark/>
          </w:tcPr>
          <w:p w:rsidR="001D6277" w:rsidRPr="000B65DE" w:rsidRDefault="001D6277" w:rsidP="000B65DE">
            <w:pPr>
              <w:rPr>
                <w:rFonts w:ascii="Bookman Old Style" w:hAnsi="Bookman Old Style" w:cs="Arial"/>
                <w:spacing w:val="-3"/>
                <w:lang w:val="es-ES_tradnl"/>
              </w:rPr>
            </w:pPr>
            <w:r w:rsidRPr="000B65DE">
              <w:rPr>
                <w:rFonts w:ascii="Bookman Old Style" w:hAnsi="Bookman Old Style" w:cs="Arial"/>
                <w:spacing w:val="-3"/>
                <w:lang w:val="es-ES_tradnl"/>
              </w:rPr>
              <w:t xml:space="preserve">           Director Ejecutivo</w:t>
            </w:r>
          </w:p>
        </w:tc>
      </w:tr>
      <w:tr w:rsidR="001D6277" w:rsidRPr="000B65DE" w:rsidTr="001D6277">
        <w:trPr>
          <w:jc w:val="right"/>
        </w:trPr>
        <w:tc>
          <w:tcPr>
            <w:tcW w:w="4875" w:type="dxa"/>
            <w:hideMark/>
          </w:tcPr>
          <w:p w:rsidR="001D6277" w:rsidRPr="000B65DE" w:rsidRDefault="001D6277" w:rsidP="000B65DE">
            <w:pPr>
              <w:rPr>
                <w:rFonts w:ascii="Bookman Old Style" w:hAnsi="Bookman Old Style" w:cs="Arial"/>
                <w:spacing w:val="-3"/>
              </w:rPr>
            </w:pPr>
          </w:p>
        </w:tc>
        <w:tc>
          <w:tcPr>
            <w:tcW w:w="4695" w:type="dxa"/>
          </w:tcPr>
          <w:p w:rsidR="001D6277" w:rsidRPr="000B65DE" w:rsidRDefault="001D6277" w:rsidP="000B65DE">
            <w:pPr>
              <w:rPr>
                <w:rFonts w:ascii="Bookman Old Style" w:hAnsi="Bookman Old Style" w:cs="Arial"/>
                <w:spacing w:val="-3"/>
              </w:rPr>
            </w:pPr>
          </w:p>
        </w:tc>
      </w:tr>
    </w:tbl>
    <w:p w:rsidR="000B65DE" w:rsidRPr="000B65DE" w:rsidRDefault="000B65DE" w:rsidP="000B65DE">
      <w:pPr>
        <w:ind w:left="0"/>
        <w:jc w:val="both"/>
        <w:rPr>
          <w:rFonts w:ascii="Bookman Old Style" w:hAnsi="Bookman Old Style" w:cs="Arial"/>
          <w:lang w:val="es-ES_tradnl"/>
        </w:rPr>
      </w:pPr>
    </w:p>
    <w:p w:rsidR="000B65DE" w:rsidRDefault="000B65DE" w:rsidP="00765E20">
      <w:pPr>
        <w:ind w:left="0"/>
        <w:rPr>
          <w:lang w:val="es-ES_tradnl"/>
        </w:rPr>
      </w:pPr>
    </w:p>
    <w:p w:rsidR="001A215C" w:rsidRDefault="001A215C" w:rsidP="00765E20">
      <w:pPr>
        <w:ind w:left="0"/>
        <w:rPr>
          <w:lang w:val="es-ES_tradnl"/>
        </w:rPr>
      </w:pPr>
    </w:p>
    <w:p w:rsidR="001A215C" w:rsidRDefault="001A215C" w:rsidP="00765E20">
      <w:pPr>
        <w:ind w:left="0"/>
        <w:rPr>
          <w:lang w:val="es-ES_tradnl"/>
        </w:rPr>
      </w:pPr>
    </w:p>
    <w:p w:rsidR="001A215C" w:rsidRDefault="001A215C" w:rsidP="00765E20">
      <w:pPr>
        <w:ind w:left="0"/>
        <w:rPr>
          <w:lang w:val="es-ES_tradnl"/>
        </w:rPr>
      </w:pPr>
    </w:p>
    <w:p w:rsidR="001A215C" w:rsidRDefault="001A215C" w:rsidP="00765E20">
      <w:pPr>
        <w:ind w:left="0"/>
        <w:rPr>
          <w:lang w:val="es-ES_tradnl"/>
        </w:rPr>
      </w:pPr>
    </w:p>
    <w:p w:rsidR="001A215C" w:rsidRDefault="001A215C" w:rsidP="00765E20">
      <w:pPr>
        <w:ind w:left="0"/>
        <w:rPr>
          <w:lang w:val="es-ES_tradnl"/>
        </w:rPr>
      </w:pPr>
    </w:p>
    <w:p w:rsidR="001A215C" w:rsidRDefault="001A215C" w:rsidP="00765E20">
      <w:pPr>
        <w:ind w:left="0"/>
        <w:rPr>
          <w:lang w:val="es-ES_tradnl"/>
        </w:rPr>
      </w:pPr>
    </w:p>
    <w:p w:rsidR="001A215C" w:rsidRPr="00765E20" w:rsidRDefault="001A215C" w:rsidP="00765E20">
      <w:pPr>
        <w:ind w:left="0"/>
        <w:rPr>
          <w:lang w:val="es-ES_tradnl"/>
        </w:rPr>
      </w:pPr>
    </w:p>
    <w:p w:rsidR="000B65DE" w:rsidRPr="000B65DE" w:rsidRDefault="000B65DE" w:rsidP="008F4D9F">
      <w:pPr>
        <w:numPr>
          <w:ilvl w:val="0"/>
          <w:numId w:val="14"/>
        </w:numPr>
        <w:jc w:val="center"/>
        <w:outlineLvl w:val="0"/>
        <w:rPr>
          <w:rFonts w:ascii="Bookman Old Style" w:hAnsi="Bookman Old Style"/>
          <w:b/>
          <w:lang w:val="es-ES_tradnl"/>
        </w:rPr>
      </w:pPr>
      <w:bookmarkStart w:id="34" w:name="_Ref289696914"/>
    </w:p>
    <w:bookmarkEnd w:id="34"/>
    <w:p w:rsidR="000B65DE" w:rsidRPr="000B65DE" w:rsidRDefault="00D83BBE" w:rsidP="000B65DE">
      <w:pPr>
        <w:ind w:left="0"/>
        <w:jc w:val="center"/>
        <w:outlineLvl w:val="0"/>
        <w:rPr>
          <w:rFonts w:ascii="Bookman Old Style" w:hAnsi="Bookman Old Style"/>
          <w:b/>
          <w:lang w:val="es-ES_tradnl"/>
        </w:rPr>
      </w:pPr>
      <w:r w:rsidRPr="000B65DE">
        <w:rPr>
          <w:rFonts w:ascii="Bookman Old Style" w:hAnsi="Bookman Old Style"/>
          <w:b/>
          <w:lang w:val="es-ES_tradnl"/>
        </w:rPr>
        <w:t>CONSIDERACI</w:t>
      </w:r>
      <w:r>
        <w:rPr>
          <w:rFonts w:ascii="Bookman Old Style" w:hAnsi="Bookman Old Style"/>
          <w:b/>
          <w:lang w:val="es-ES_tradnl"/>
        </w:rPr>
        <w:t xml:space="preserve">ONES PARA LA CONEXIÓN </w:t>
      </w:r>
      <w:r w:rsidRPr="000B65DE">
        <w:rPr>
          <w:rFonts w:ascii="Bookman Old Style" w:hAnsi="Bookman Old Style"/>
          <w:b/>
          <w:lang w:val="es-ES_tradnl"/>
        </w:rPr>
        <w:t xml:space="preserve"> </w:t>
      </w:r>
      <w:r w:rsidR="000B65DE" w:rsidRPr="000B65DE">
        <w:rPr>
          <w:rFonts w:ascii="Bookman Old Style" w:hAnsi="Bookman Old Style"/>
          <w:b/>
          <w:lang w:val="es-ES_tradnl"/>
        </w:rPr>
        <w:t>DE UN SISTEMA DE DISTRIBUCIÓN A OTROS SISTEMA DE DISTRIBUCIÓN</w:t>
      </w:r>
      <w:r w:rsidR="00550A62">
        <w:rPr>
          <w:rFonts w:ascii="Bookman Old Style" w:hAnsi="Bookman Old Style"/>
          <w:b/>
          <w:lang w:val="es-ES_tradnl"/>
        </w:rPr>
        <w:t xml:space="preserve"> </w:t>
      </w:r>
    </w:p>
    <w:p w:rsidR="000B65DE" w:rsidRPr="000B65DE" w:rsidRDefault="000B65DE" w:rsidP="000B65DE">
      <w:pPr>
        <w:jc w:val="center"/>
        <w:rPr>
          <w:rFonts w:ascii="Bookman Old Style" w:hAnsi="Bookman Old Style"/>
          <w:b/>
          <w:lang w:val="es-ES_tradnl"/>
        </w:rPr>
      </w:pPr>
    </w:p>
    <w:p w:rsidR="00853C56" w:rsidRDefault="00853C56" w:rsidP="00853C56">
      <w:pPr>
        <w:pStyle w:val="Prrafodelista"/>
        <w:ind w:left="720"/>
        <w:jc w:val="both"/>
        <w:rPr>
          <w:rFonts w:ascii="Bookman Old Style" w:hAnsi="Bookman Old Style"/>
          <w:b/>
          <w:sz w:val="24"/>
          <w:lang w:val="es-ES_tradnl"/>
        </w:rPr>
      </w:pPr>
    </w:p>
    <w:p w:rsidR="00D83BBE" w:rsidRDefault="00D83BBE" w:rsidP="008F4D9F">
      <w:pPr>
        <w:pStyle w:val="Prrafodelista"/>
        <w:numPr>
          <w:ilvl w:val="0"/>
          <w:numId w:val="37"/>
        </w:numPr>
        <w:ind w:left="142" w:hanging="142"/>
        <w:jc w:val="both"/>
        <w:rPr>
          <w:rFonts w:ascii="Bookman Old Style" w:hAnsi="Bookman Old Style"/>
          <w:b/>
          <w:sz w:val="24"/>
          <w:lang w:val="es-ES_tradnl"/>
        </w:rPr>
      </w:pPr>
      <w:r>
        <w:rPr>
          <w:rFonts w:ascii="Bookman Old Style" w:hAnsi="Bookman Old Style"/>
          <w:b/>
          <w:sz w:val="24"/>
          <w:lang w:val="es-ES_tradnl"/>
        </w:rPr>
        <w:t>PROCEDIMIENTO PARA LA EXPEDICIÓN DE CARGOS DE DISTRIBUCIÓN DE MERCADOS RELEVANTES DE DISTRIBUCIÓN QUE SE CONECTAN A LOS SISTEMAS DE DISTRIBUCIÓN DE OTROS MERCADOS RELEVANTES.</w:t>
      </w:r>
    </w:p>
    <w:p w:rsidR="00D83BBE" w:rsidRDefault="00D83BBE" w:rsidP="00853C56">
      <w:pPr>
        <w:pStyle w:val="Prrafodelista"/>
        <w:ind w:left="720"/>
        <w:jc w:val="both"/>
        <w:rPr>
          <w:rFonts w:ascii="Bookman Old Style" w:hAnsi="Bookman Old Style"/>
          <w:b/>
          <w:sz w:val="24"/>
          <w:lang w:val="es-ES_tradnl"/>
        </w:rPr>
      </w:pPr>
    </w:p>
    <w:p w:rsidR="003A083D" w:rsidRPr="003A083D" w:rsidRDefault="003A083D" w:rsidP="003A083D">
      <w:pPr>
        <w:pStyle w:val="Prrafodelista"/>
        <w:ind w:left="0"/>
        <w:jc w:val="both"/>
        <w:rPr>
          <w:rFonts w:ascii="Bookman Old Style" w:hAnsi="Bookman Old Style"/>
          <w:sz w:val="24"/>
          <w:lang w:val="es-ES_tradnl"/>
        </w:rPr>
      </w:pPr>
      <w:r w:rsidRPr="003A083D">
        <w:rPr>
          <w:rFonts w:ascii="Bookman Old Style" w:hAnsi="Bookman Old Style"/>
          <w:sz w:val="24"/>
          <w:lang w:val="es-ES_tradnl"/>
        </w:rPr>
        <w:t xml:space="preserve">Para que un Sistema de Distribución pueda conectarse a otro </w:t>
      </w:r>
      <w:r w:rsidR="00986586">
        <w:rPr>
          <w:rFonts w:ascii="Bookman Old Style" w:hAnsi="Bookman Old Style"/>
          <w:sz w:val="24"/>
          <w:lang w:val="es-ES_tradnl"/>
        </w:rPr>
        <w:t xml:space="preserve">de acuerdo </w:t>
      </w:r>
      <w:r>
        <w:rPr>
          <w:rFonts w:ascii="Bookman Old Style" w:hAnsi="Bookman Old Style"/>
          <w:sz w:val="24"/>
          <w:lang w:val="es-ES_tradnl"/>
        </w:rPr>
        <w:t>c</w:t>
      </w:r>
      <w:r w:rsidR="00986586">
        <w:rPr>
          <w:rFonts w:ascii="Bookman Old Style" w:hAnsi="Bookman Old Style"/>
          <w:sz w:val="24"/>
          <w:lang w:val="es-ES_tradnl"/>
        </w:rPr>
        <w:t>o</w:t>
      </w:r>
      <w:r>
        <w:rPr>
          <w:rFonts w:ascii="Bookman Old Style" w:hAnsi="Bookman Old Style"/>
          <w:sz w:val="24"/>
          <w:lang w:val="es-ES_tradnl"/>
        </w:rPr>
        <w:t xml:space="preserve">n lo </w:t>
      </w:r>
      <w:r w:rsidR="00986586">
        <w:rPr>
          <w:rFonts w:ascii="Bookman Old Style" w:hAnsi="Bookman Old Style"/>
          <w:sz w:val="24"/>
          <w:lang w:val="es-ES_tradnl"/>
        </w:rPr>
        <w:t>establecido</w:t>
      </w:r>
      <w:r>
        <w:rPr>
          <w:rFonts w:ascii="Bookman Old Style" w:hAnsi="Bookman Old Style"/>
          <w:sz w:val="24"/>
          <w:lang w:val="es-ES_tradnl"/>
        </w:rPr>
        <w:t xml:space="preserve"> en el numeral </w:t>
      </w:r>
      <w:r w:rsidR="00986586">
        <w:rPr>
          <w:rFonts w:ascii="Bookman Old Style" w:hAnsi="Bookman Old Style"/>
          <w:sz w:val="24"/>
          <w:lang w:val="es-ES_tradnl"/>
        </w:rPr>
        <w:t>ii</w:t>
      </w:r>
      <w:r w:rsidR="00CE4DCE">
        <w:rPr>
          <w:rFonts w:ascii="Bookman Old Style" w:hAnsi="Bookman Old Style"/>
          <w:sz w:val="24"/>
          <w:lang w:val="es-ES_tradnl"/>
        </w:rPr>
        <w:t>)</w:t>
      </w:r>
      <w:r>
        <w:rPr>
          <w:rFonts w:ascii="Bookman Old Style" w:hAnsi="Bookman Old Style"/>
          <w:sz w:val="24"/>
          <w:lang w:val="es-ES_tradnl"/>
        </w:rPr>
        <w:t xml:space="preserve"> del </w:t>
      </w:r>
      <w:r w:rsidR="00CE4DCE">
        <w:rPr>
          <w:rFonts w:ascii="Bookman Old Style" w:hAnsi="Bookman Old Style"/>
          <w:sz w:val="24"/>
          <w:lang w:val="es-ES_tradnl"/>
        </w:rPr>
        <w:t>Artículo</w:t>
      </w:r>
      <w:r>
        <w:rPr>
          <w:rFonts w:ascii="Bookman Old Style" w:hAnsi="Bookman Old Style"/>
          <w:sz w:val="24"/>
          <w:lang w:val="es-ES_tradnl"/>
        </w:rPr>
        <w:t xml:space="preserve"> 4 de esta resolución, </w:t>
      </w:r>
      <w:r w:rsidRPr="003A083D">
        <w:rPr>
          <w:rFonts w:ascii="Bookman Old Style" w:hAnsi="Bookman Old Style"/>
          <w:sz w:val="24"/>
          <w:lang w:val="es-ES_tradnl"/>
        </w:rPr>
        <w:t xml:space="preserve">deberá </w:t>
      </w:r>
      <w:r w:rsidR="00CE4DCE">
        <w:rPr>
          <w:rFonts w:ascii="Bookman Old Style" w:hAnsi="Bookman Old Style"/>
          <w:sz w:val="24"/>
          <w:lang w:val="es-ES_tradnl"/>
        </w:rPr>
        <w:t>realizar el siguiente procedimiento:</w:t>
      </w:r>
    </w:p>
    <w:p w:rsidR="003A083D" w:rsidRDefault="003A083D" w:rsidP="00853C56">
      <w:pPr>
        <w:pStyle w:val="Prrafodelista"/>
        <w:ind w:left="720"/>
        <w:jc w:val="both"/>
        <w:rPr>
          <w:rFonts w:ascii="Bookman Old Style" w:hAnsi="Bookman Old Style"/>
          <w:b/>
          <w:sz w:val="24"/>
          <w:lang w:val="es-ES_tradnl"/>
        </w:rPr>
      </w:pPr>
    </w:p>
    <w:p w:rsidR="006202E2" w:rsidRPr="006202E2" w:rsidRDefault="006202E2" w:rsidP="008F4D9F">
      <w:pPr>
        <w:pStyle w:val="Prrafodelista"/>
        <w:numPr>
          <w:ilvl w:val="0"/>
          <w:numId w:val="34"/>
        </w:numPr>
        <w:ind w:left="284" w:hanging="284"/>
        <w:jc w:val="both"/>
        <w:rPr>
          <w:rFonts w:ascii="Bookman Old Style" w:hAnsi="Bookman Old Style"/>
          <w:sz w:val="24"/>
          <w:lang w:val="es-ES_tradnl"/>
        </w:rPr>
      </w:pPr>
      <w:r w:rsidRPr="006202E2">
        <w:rPr>
          <w:rFonts w:ascii="Bookman Old Style" w:hAnsi="Bookman Old Style"/>
          <w:sz w:val="24"/>
          <w:lang w:val="es-ES_tradnl"/>
        </w:rPr>
        <w:t xml:space="preserve">Cuando un </w:t>
      </w:r>
      <w:r w:rsidR="00853C56">
        <w:rPr>
          <w:rFonts w:ascii="Bookman Old Style" w:hAnsi="Bookman Old Style"/>
          <w:sz w:val="24"/>
          <w:lang w:val="es-ES_tradnl"/>
        </w:rPr>
        <w:t>D</w:t>
      </w:r>
      <w:r w:rsidRPr="006202E2">
        <w:rPr>
          <w:rFonts w:ascii="Bookman Old Style" w:hAnsi="Bookman Old Style"/>
          <w:sz w:val="24"/>
          <w:lang w:val="es-ES_tradnl"/>
        </w:rPr>
        <w:t>istribuidor esté interesado en conectar un</w:t>
      </w:r>
      <w:r>
        <w:rPr>
          <w:rFonts w:ascii="Bookman Old Style" w:hAnsi="Bookman Old Style"/>
          <w:sz w:val="24"/>
          <w:lang w:val="es-ES_tradnl"/>
        </w:rPr>
        <w:t xml:space="preserve"> Nuevo</w:t>
      </w:r>
      <w:r w:rsidRPr="006202E2">
        <w:rPr>
          <w:rFonts w:ascii="Bookman Old Style" w:hAnsi="Bookman Old Style"/>
          <w:sz w:val="24"/>
          <w:lang w:val="es-ES_tradnl"/>
        </w:rPr>
        <w:t xml:space="preserve"> </w:t>
      </w:r>
      <w:r>
        <w:rPr>
          <w:rFonts w:ascii="Bookman Old Style" w:hAnsi="Bookman Old Style"/>
          <w:sz w:val="24"/>
          <w:lang w:val="es-ES_tradnl"/>
        </w:rPr>
        <w:t>M</w:t>
      </w:r>
      <w:r w:rsidRPr="006202E2">
        <w:rPr>
          <w:rFonts w:ascii="Bookman Old Style" w:hAnsi="Bookman Old Style"/>
          <w:sz w:val="24"/>
          <w:lang w:val="es-ES_tradnl"/>
        </w:rPr>
        <w:t xml:space="preserve">ercado </w:t>
      </w:r>
      <w:r>
        <w:rPr>
          <w:rFonts w:ascii="Bookman Old Style" w:hAnsi="Bookman Old Style"/>
          <w:sz w:val="24"/>
          <w:lang w:val="es-ES_tradnl"/>
        </w:rPr>
        <w:t>R</w:t>
      </w:r>
      <w:r w:rsidRPr="006202E2">
        <w:rPr>
          <w:rFonts w:ascii="Bookman Old Style" w:hAnsi="Bookman Old Style"/>
          <w:sz w:val="24"/>
          <w:lang w:val="es-ES_tradnl"/>
        </w:rPr>
        <w:t>elevante</w:t>
      </w:r>
      <w:r>
        <w:rPr>
          <w:rFonts w:ascii="Bookman Old Style" w:hAnsi="Bookman Old Style"/>
          <w:sz w:val="24"/>
          <w:lang w:val="es-ES_tradnl"/>
        </w:rPr>
        <w:t xml:space="preserve"> de  Distribución</w:t>
      </w:r>
      <w:r w:rsidR="00986586">
        <w:rPr>
          <w:rFonts w:ascii="Bookman Old Style" w:hAnsi="Bookman Old Style"/>
          <w:sz w:val="24"/>
          <w:lang w:val="es-ES_tradnl"/>
        </w:rPr>
        <w:t xml:space="preserve"> o un mercado que está siendo atendido con GNC</w:t>
      </w:r>
      <w:r w:rsidR="00364E59">
        <w:rPr>
          <w:rFonts w:ascii="Bookman Old Style" w:hAnsi="Bookman Old Style"/>
          <w:sz w:val="24"/>
          <w:lang w:val="es-ES_tradnl"/>
        </w:rPr>
        <w:t xml:space="preserve"> que ha sido a,</w:t>
      </w:r>
      <w:r w:rsidRPr="006202E2">
        <w:rPr>
          <w:rFonts w:ascii="Bookman Old Style" w:hAnsi="Bookman Old Style"/>
          <w:sz w:val="24"/>
          <w:lang w:val="es-ES_tradnl"/>
        </w:rPr>
        <w:t xml:space="preserve"> a otro </w:t>
      </w:r>
      <w:r>
        <w:rPr>
          <w:rFonts w:ascii="Bookman Old Style" w:hAnsi="Bookman Old Style"/>
          <w:sz w:val="24"/>
          <w:lang w:val="es-ES_tradnl"/>
        </w:rPr>
        <w:t>M</w:t>
      </w:r>
      <w:r w:rsidRPr="006202E2">
        <w:rPr>
          <w:rFonts w:ascii="Bookman Old Style" w:hAnsi="Bookman Old Style"/>
          <w:sz w:val="24"/>
          <w:lang w:val="es-ES_tradnl"/>
        </w:rPr>
        <w:t>ercado</w:t>
      </w:r>
      <w:r>
        <w:rPr>
          <w:rFonts w:ascii="Bookman Old Style" w:hAnsi="Bookman Old Style"/>
          <w:sz w:val="24"/>
          <w:lang w:val="es-ES_tradnl"/>
        </w:rPr>
        <w:t xml:space="preserve"> E</w:t>
      </w:r>
      <w:r w:rsidRPr="006202E2">
        <w:rPr>
          <w:rFonts w:ascii="Bookman Old Style" w:hAnsi="Bookman Old Style"/>
          <w:sz w:val="24"/>
          <w:lang w:val="es-ES_tradnl"/>
        </w:rPr>
        <w:t>xistente</w:t>
      </w:r>
      <w:r>
        <w:rPr>
          <w:rFonts w:ascii="Bookman Old Style" w:hAnsi="Bookman Old Style"/>
          <w:sz w:val="24"/>
          <w:lang w:val="es-ES_tradnl"/>
        </w:rPr>
        <w:t>,</w:t>
      </w:r>
      <w:r w:rsidRPr="006202E2">
        <w:rPr>
          <w:rFonts w:ascii="Bookman Old Style" w:hAnsi="Bookman Old Style"/>
          <w:sz w:val="24"/>
          <w:lang w:val="es-ES_tradnl"/>
        </w:rPr>
        <w:t xml:space="preserve"> deberá </w:t>
      </w:r>
      <w:r>
        <w:rPr>
          <w:rFonts w:ascii="Bookman Old Style" w:hAnsi="Bookman Old Style"/>
          <w:sz w:val="24"/>
          <w:lang w:val="es-ES_tradnl"/>
        </w:rPr>
        <w:t>hacerlo explícito en</w:t>
      </w:r>
      <w:r w:rsidRPr="006202E2">
        <w:rPr>
          <w:rFonts w:ascii="Bookman Old Style" w:hAnsi="Bookman Old Style"/>
          <w:sz w:val="24"/>
          <w:lang w:val="es-ES_tradnl"/>
        </w:rPr>
        <w:t xml:space="preserve"> su solicitud tarifaria</w:t>
      </w:r>
      <w:r>
        <w:rPr>
          <w:rFonts w:ascii="Bookman Old Style" w:hAnsi="Bookman Old Style"/>
          <w:sz w:val="24"/>
          <w:lang w:val="es-ES_tradnl"/>
        </w:rPr>
        <w:t xml:space="preserve"> indicando</w:t>
      </w:r>
      <w:r w:rsidR="002F650D">
        <w:rPr>
          <w:rFonts w:ascii="Bookman Old Style" w:hAnsi="Bookman Old Style"/>
          <w:sz w:val="24"/>
          <w:lang w:val="es-ES_tradnl"/>
        </w:rPr>
        <w:t xml:space="preserve"> todos los aspectos </w:t>
      </w:r>
      <w:r w:rsidR="00853C56">
        <w:rPr>
          <w:rFonts w:ascii="Bookman Old Style" w:hAnsi="Bookman Old Style"/>
          <w:sz w:val="24"/>
          <w:lang w:val="es-ES_tradnl"/>
        </w:rPr>
        <w:t>técnicos</w:t>
      </w:r>
      <w:r w:rsidR="002F650D">
        <w:rPr>
          <w:rFonts w:ascii="Bookman Old Style" w:hAnsi="Bookman Old Style"/>
          <w:sz w:val="24"/>
          <w:lang w:val="es-ES_tradnl"/>
        </w:rPr>
        <w:t xml:space="preserve"> e incluyendo</w:t>
      </w:r>
      <w:r>
        <w:rPr>
          <w:rFonts w:ascii="Bookman Old Style" w:hAnsi="Bookman Old Style"/>
          <w:sz w:val="24"/>
          <w:lang w:val="es-ES_tradnl"/>
        </w:rPr>
        <w:t xml:space="preserve"> longitud, unidades constructivas y </w:t>
      </w:r>
      <w:r w:rsidR="002F650D">
        <w:rPr>
          <w:rFonts w:ascii="Bookman Old Style" w:hAnsi="Bookman Old Style"/>
          <w:sz w:val="24"/>
          <w:lang w:val="es-ES_tradnl"/>
        </w:rPr>
        <w:t>trazado</w:t>
      </w:r>
      <w:r>
        <w:rPr>
          <w:rFonts w:ascii="Bookman Old Style" w:hAnsi="Bookman Old Style"/>
          <w:sz w:val="24"/>
          <w:lang w:val="es-ES_tradnl"/>
        </w:rPr>
        <w:t xml:space="preserve"> entre otros aspectos.</w:t>
      </w:r>
      <w:r w:rsidRPr="006202E2">
        <w:rPr>
          <w:rFonts w:ascii="Bookman Old Style" w:hAnsi="Bookman Old Style"/>
          <w:sz w:val="24"/>
          <w:lang w:val="es-ES_tradnl"/>
        </w:rPr>
        <w:t xml:space="preserve"> </w:t>
      </w:r>
    </w:p>
    <w:p w:rsidR="006202E2" w:rsidRDefault="006202E2" w:rsidP="003A083D">
      <w:pPr>
        <w:ind w:left="284" w:hanging="284"/>
        <w:jc w:val="both"/>
        <w:rPr>
          <w:rFonts w:ascii="Bookman Old Style" w:hAnsi="Bookman Old Style"/>
          <w:lang w:val="es-ES_tradnl"/>
        </w:rPr>
      </w:pPr>
    </w:p>
    <w:p w:rsidR="006202E2" w:rsidRPr="006202E2" w:rsidRDefault="006202E2" w:rsidP="008F4D9F">
      <w:pPr>
        <w:pStyle w:val="Prrafodelista"/>
        <w:numPr>
          <w:ilvl w:val="0"/>
          <w:numId w:val="34"/>
        </w:numPr>
        <w:ind w:left="284" w:hanging="284"/>
        <w:jc w:val="both"/>
        <w:rPr>
          <w:rFonts w:ascii="Bookman Old Style" w:hAnsi="Bookman Old Style"/>
          <w:sz w:val="24"/>
          <w:lang w:val="es-ES_tradnl"/>
        </w:rPr>
      </w:pPr>
      <w:r w:rsidRPr="006202E2">
        <w:rPr>
          <w:rFonts w:ascii="Bookman Old Style" w:hAnsi="Bookman Old Style"/>
          <w:sz w:val="24"/>
          <w:lang w:val="es-ES_tradnl"/>
        </w:rPr>
        <w:t xml:space="preserve">Conforme a esta solicitud la CREG divulgará </w:t>
      </w:r>
      <w:r>
        <w:rPr>
          <w:rFonts w:ascii="Bookman Old Style" w:hAnsi="Bookman Old Style"/>
          <w:sz w:val="24"/>
          <w:lang w:val="es-ES_tradnl"/>
        </w:rPr>
        <w:t xml:space="preserve">mediante circular </w:t>
      </w:r>
      <w:r w:rsidRPr="006202E2">
        <w:rPr>
          <w:rFonts w:ascii="Bookman Old Style" w:hAnsi="Bookman Old Style"/>
          <w:sz w:val="24"/>
          <w:lang w:val="es-ES_tradnl"/>
        </w:rPr>
        <w:t>el proyecto</w:t>
      </w:r>
      <w:r>
        <w:rPr>
          <w:rFonts w:ascii="Bookman Old Style" w:hAnsi="Bookman Old Style"/>
          <w:sz w:val="24"/>
          <w:lang w:val="es-ES_tradnl"/>
        </w:rPr>
        <w:t xml:space="preserve"> presentado por el Distribuidor,</w:t>
      </w:r>
      <w:r w:rsidRPr="006202E2">
        <w:rPr>
          <w:rFonts w:ascii="Bookman Old Style" w:hAnsi="Bookman Old Style"/>
          <w:sz w:val="24"/>
          <w:lang w:val="es-ES_tradnl"/>
        </w:rPr>
        <w:t xml:space="preserve"> para que empresas transportadoras, u otros agentes puedan dentro de los treinta (30) días siguientes </w:t>
      </w:r>
      <w:r w:rsidR="002F650D">
        <w:rPr>
          <w:rFonts w:ascii="Bookman Old Style" w:hAnsi="Bookman Old Style"/>
          <w:sz w:val="24"/>
          <w:lang w:val="es-ES_tradnl"/>
        </w:rPr>
        <w:t xml:space="preserve">a la publicación, </w:t>
      </w:r>
      <w:r w:rsidRPr="006202E2">
        <w:rPr>
          <w:rFonts w:ascii="Bookman Old Style" w:hAnsi="Bookman Old Style"/>
          <w:sz w:val="24"/>
          <w:lang w:val="es-ES_tradnl"/>
        </w:rPr>
        <w:t xml:space="preserve">manifestar si tienen el interés de desarrollar un proyecto de transporte que cubra </w:t>
      </w:r>
      <w:r>
        <w:rPr>
          <w:rFonts w:ascii="Bookman Old Style" w:hAnsi="Bookman Old Style"/>
          <w:sz w:val="24"/>
          <w:lang w:val="es-ES_tradnl"/>
        </w:rPr>
        <w:t>el</w:t>
      </w:r>
      <w:r w:rsidRPr="006202E2">
        <w:rPr>
          <w:rFonts w:ascii="Bookman Old Style" w:hAnsi="Bookman Old Style"/>
          <w:sz w:val="24"/>
          <w:lang w:val="es-ES_tradnl"/>
        </w:rPr>
        <w:t xml:space="preserve"> mercado</w:t>
      </w:r>
      <w:r>
        <w:rPr>
          <w:rFonts w:ascii="Bookman Old Style" w:hAnsi="Bookman Old Style"/>
          <w:sz w:val="24"/>
          <w:lang w:val="es-ES_tradnl"/>
        </w:rPr>
        <w:t xml:space="preserve"> a conectarse incluidos</w:t>
      </w:r>
      <w:r w:rsidRPr="006202E2">
        <w:rPr>
          <w:rFonts w:ascii="Bookman Old Style" w:hAnsi="Bookman Old Style"/>
          <w:sz w:val="24"/>
          <w:lang w:val="es-ES_tradnl"/>
        </w:rPr>
        <w:t xml:space="preserve"> otros</w:t>
      </w:r>
      <w:r>
        <w:rPr>
          <w:rFonts w:ascii="Bookman Old Style" w:hAnsi="Bookman Old Style"/>
          <w:sz w:val="24"/>
          <w:lang w:val="es-ES_tradnl"/>
        </w:rPr>
        <w:t xml:space="preserve"> mercados o municipios</w:t>
      </w:r>
      <w:r w:rsidRPr="006202E2">
        <w:rPr>
          <w:rFonts w:ascii="Bookman Old Style" w:hAnsi="Bookman Old Style"/>
          <w:sz w:val="24"/>
          <w:lang w:val="es-ES_tradnl"/>
        </w:rPr>
        <w:t xml:space="preserve"> adicionales</w:t>
      </w:r>
      <w:r>
        <w:rPr>
          <w:rFonts w:ascii="Bookman Old Style" w:hAnsi="Bookman Old Style"/>
          <w:sz w:val="24"/>
          <w:lang w:val="es-ES_tradnl"/>
        </w:rPr>
        <w:t xml:space="preserve">, </w:t>
      </w:r>
      <w:r w:rsidRPr="006202E2">
        <w:rPr>
          <w:rFonts w:ascii="Bookman Old Style" w:hAnsi="Bookman Old Style"/>
          <w:sz w:val="24"/>
          <w:lang w:val="es-ES_tradnl"/>
        </w:rPr>
        <w:t xml:space="preserve"> para lo</w:t>
      </w:r>
      <w:r>
        <w:rPr>
          <w:rFonts w:ascii="Bookman Old Style" w:hAnsi="Bookman Old Style"/>
          <w:sz w:val="24"/>
          <w:lang w:val="es-ES_tradnl"/>
        </w:rPr>
        <w:t xml:space="preserve"> cual el agente  interesado</w:t>
      </w:r>
      <w:r w:rsidRPr="006202E2">
        <w:rPr>
          <w:rFonts w:ascii="Bookman Old Style" w:hAnsi="Bookman Old Style"/>
          <w:sz w:val="24"/>
          <w:lang w:val="es-ES_tradnl"/>
        </w:rPr>
        <w:t xml:space="preserve"> deberá presentar solicitud </w:t>
      </w:r>
      <w:r>
        <w:rPr>
          <w:rFonts w:ascii="Bookman Old Style" w:hAnsi="Bookman Old Style"/>
          <w:sz w:val="24"/>
          <w:lang w:val="es-ES_tradnl"/>
        </w:rPr>
        <w:t xml:space="preserve">tarifaria </w:t>
      </w:r>
      <w:r w:rsidRPr="006202E2">
        <w:rPr>
          <w:rFonts w:ascii="Bookman Old Style" w:hAnsi="Bookman Old Style"/>
          <w:sz w:val="24"/>
          <w:lang w:val="es-ES_tradnl"/>
        </w:rPr>
        <w:t>a la CREG en los términos establecidos en la Resolución CREG 126 de 2010</w:t>
      </w:r>
      <w:r>
        <w:rPr>
          <w:rFonts w:ascii="Bookman Old Style" w:hAnsi="Bookman Old Style"/>
          <w:sz w:val="24"/>
          <w:lang w:val="es-ES_tradnl"/>
        </w:rPr>
        <w:t xml:space="preserve"> o aquellas que la complementen, modifiquen o sustituyan.</w:t>
      </w:r>
    </w:p>
    <w:p w:rsidR="006202E2" w:rsidRDefault="006202E2" w:rsidP="003A083D">
      <w:pPr>
        <w:ind w:left="284" w:hanging="284"/>
        <w:jc w:val="both"/>
        <w:rPr>
          <w:rFonts w:ascii="Bookman Old Style" w:hAnsi="Bookman Old Style"/>
          <w:lang w:val="es-ES_tradnl"/>
        </w:rPr>
      </w:pPr>
    </w:p>
    <w:p w:rsidR="006202E2" w:rsidRDefault="006202E2" w:rsidP="008F4D9F">
      <w:pPr>
        <w:pStyle w:val="Prrafodelista"/>
        <w:numPr>
          <w:ilvl w:val="0"/>
          <w:numId w:val="34"/>
        </w:numPr>
        <w:ind w:left="284" w:hanging="284"/>
        <w:jc w:val="both"/>
        <w:rPr>
          <w:rFonts w:ascii="Bookman Old Style" w:hAnsi="Bookman Old Style"/>
          <w:sz w:val="24"/>
          <w:lang w:val="es-ES_tradnl"/>
        </w:rPr>
      </w:pPr>
      <w:r w:rsidRPr="00853C56">
        <w:rPr>
          <w:rFonts w:ascii="Bookman Old Style" w:hAnsi="Bookman Old Style"/>
          <w:sz w:val="24"/>
          <w:lang w:val="es-ES_tradnl"/>
        </w:rPr>
        <w:t xml:space="preserve">Si </w:t>
      </w:r>
      <w:r>
        <w:rPr>
          <w:rFonts w:ascii="Bookman Old Style" w:hAnsi="Bookman Old Style"/>
          <w:sz w:val="24"/>
          <w:lang w:val="es-ES_tradnl"/>
        </w:rPr>
        <w:t xml:space="preserve">una vez </w:t>
      </w:r>
      <w:r w:rsidRPr="00853C56">
        <w:rPr>
          <w:rFonts w:ascii="Bookman Old Style" w:hAnsi="Bookman Old Style"/>
          <w:sz w:val="24"/>
          <w:lang w:val="es-ES_tradnl"/>
        </w:rPr>
        <w:t>culminado el plazo de treinta (30) días</w:t>
      </w:r>
      <w:r>
        <w:rPr>
          <w:rFonts w:ascii="Bookman Old Style" w:hAnsi="Bookman Old Style"/>
          <w:sz w:val="24"/>
          <w:lang w:val="es-ES_tradnl"/>
        </w:rPr>
        <w:t>, en la instalaciones de la CREG</w:t>
      </w:r>
      <w:r w:rsidRPr="00853C56">
        <w:rPr>
          <w:rFonts w:ascii="Bookman Old Style" w:hAnsi="Bookman Old Style"/>
          <w:sz w:val="24"/>
          <w:lang w:val="es-ES_tradnl"/>
        </w:rPr>
        <w:t xml:space="preserve"> no se ha recibido intención</w:t>
      </w:r>
      <w:r>
        <w:rPr>
          <w:rFonts w:ascii="Bookman Old Style" w:hAnsi="Bookman Old Style"/>
          <w:sz w:val="24"/>
          <w:lang w:val="es-ES_tradnl"/>
        </w:rPr>
        <w:t xml:space="preserve"> y solicitud</w:t>
      </w:r>
      <w:r w:rsidRPr="00853C56">
        <w:rPr>
          <w:rFonts w:ascii="Bookman Old Style" w:hAnsi="Bookman Old Style"/>
          <w:sz w:val="24"/>
          <w:lang w:val="es-ES_tradnl"/>
        </w:rPr>
        <w:t xml:space="preserve"> por parte de </w:t>
      </w:r>
      <w:r w:rsidR="002F650D">
        <w:rPr>
          <w:rFonts w:ascii="Bookman Old Style" w:hAnsi="Bookman Old Style"/>
          <w:sz w:val="24"/>
          <w:lang w:val="es-ES_tradnl"/>
        </w:rPr>
        <w:t>otro</w:t>
      </w:r>
      <w:r>
        <w:rPr>
          <w:rFonts w:ascii="Bookman Old Style" w:hAnsi="Bookman Old Style"/>
          <w:sz w:val="24"/>
          <w:lang w:val="es-ES_tradnl"/>
        </w:rPr>
        <w:t xml:space="preserve"> </w:t>
      </w:r>
      <w:r w:rsidRPr="00853C56">
        <w:rPr>
          <w:rFonts w:ascii="Bookman Old Style" w:hAnsi="Bookman Old Style"/>
          <w:sz w:val="24"/>
          <w:lang w:val="es-ES_tradnl"/>
        </w:rPr>
        <w:t xml:space="preserve">agente </w:t>
      </w:r>
      <w:r>
        <w:rPr>
          <w:rFonts w:ascii="Bookman Old Style" w:hAnsi="Bookman Old Style"/>
          <w:sz w:val="24"/>
          <w:lang w:val="es-ES_tradnl"/>
        </w:rPr>
        <w:t xml:space="preserve">para </w:t>
      </w:r>
      <w:r w:rsidRPr="00853C56">
        <w:rPr>
          <w:rFonts w:ascii="Bookman Old Style" w:hAnsi="Bookman Old Style"/>
          <w:sz w:val="24"/>
          <w:lang w:val="es-ES_tradnl"/>
        </w:rPr>
        <w:t xml:space="preserve">la ejecución de proyectos </w:t>
      </w:r>
      <w:r>
        <w:rPr>
          <w:rFonts w:ascii="Bookman Old Style" w:hAnsi="Bookman Old Style"/>
          <w:sz w:val="24"/>
          <w:lang w:val="es-ES_tradnl"/>
        </w:rPr>
        <w:t xml:space="preserve">de transporte </w:t>
      </w:r>
      <w:r w:rsidRPr="00853C56">
        <w:rPr>
          <w:rFonts w:ascii="Bookman Old Style" w:hAnsi="Bookman Old Style"/>
          <w:sz w:val="24"/>
          <w:lang w:val="es-ES_tradnl"/>
        </w:rPr>
        <w:t>que cubra la conexión de los Sistemas de Distribución en análisis</w:t>
      </w:r>
      <w:r>
        <w:rPr>
          <w:rFonts w:ascii="Bookman Old Style" w:hAnsi="Bookman Old Style"/>
          <w:sz w:val="24"/>
          <w:lang w:val="es-ES_tradnl"/>
        </w:rPr>
        <w:t xml:space="preserve">, la </w:t>
      </w:r>
      <w:r w:rsidR="002F650D">
        <w:rPr>
          <w:rFonts w:ascii="Bookman Old Style" w:hAnsi="Bookman Old Style"/>
          <w:sz w:val="24"/>
          <w:lang w:val="es-ES_tradnl"/>
        </w:rPr>
        <w:t>Comisión</w:t>
      </w:r>
      <w:r>
        <w:rPr>
          <w:rFonts w:ascii="Bookman Old Style" w:hAnsi="Bookman Old Style"/>
          <w:sz w:val="24"/>
          <w:lang w:val="es-ES_tradnl"/>
        </w:rPr>
        <w:t xml:space="preserve"> continuará con el análisis de la </w:t>
      </w:r>
      <w:r w:rsidRPr="00853C56">
        <w:rPr>
          <w:rFonts w:ascii="Bookman Old Style" w:hAnsi="Bookman Old Style"/>
          <w:sz w:val="24"/>
          <w:lang w:val="es-ES_tradnl"/>
        </w:rPr>
        <w:t xml:space="preserve"> solicitud tarifaria </w:t>
      </w:r>
      <w:r>
        <w:rPr>
          <w:rFonts w:ascii="Bookman Old Style" w:hAnsi="Bookman Old Style"/>
          <w:sz w:val="24"/>
          <w:lang w:val="es-ES_tradnl"/>
        </w:rPr>
        <w:t xml:space="preserve">inicial presentada por </w:t>
      </w:r>
      <w:r w:rsidRPr="00853C56">
        <w:rPr>
          <w:rFonts w:ascii="Bookman Old Style" w:hAnsi="Bookman Old Style"/>
          <w:sz w:val="24"/>
          <w:lang w:val="es-ES_tradnl"/>
        </w:rPr>
        <w:t xml:space="preserve">el </w:t>
      </w:r>
      <w:r>
        <w:rPr>
          <w:rFonts w:ascii="Bookman Old Style" w:hAnsi="Bookman Old Style"/>
          <w:sz w:val="24"/>
          <w:lang w:val="es-ES_tradnl"/>
        </w:rPr>
        <w:t>D</w:t>
      </w:r>
      <w:r w:rsidRPr="00853C56">
        <w:rPr>
          <w:rFonts w:ascii="Bookman Old Style" w:hAnsi="Bookman Old Style"/>
          <w:sz w:val="24"/>
          <w:lang w:val="es-ES_tradnl"/>
        </w:rPr>
        <w:t>istribuidor</w:t>
      </w:r>
      <w:r>
        <w:rPr>
          <w:rFonts w:ascii="Bookman Old Style" w:hAnsi="Bookman Old Style"/>
          <w:sz w:val="24"/>
          <w:lang w:val="es-ES_tradnl"/>
        </w:rPr>
        <w:t xml:space="preserve"> y tomará la decisión sobre la remuneración de los activos de conexión </w:t>
      </w:r>
      <w:r w:rsidR="00986586">
        <w:rPr>
          <w:rFonts w:ascii="Bookman Old Style" w:hAnsi="Bookman Old Style"/>
          <w:sz w:val="24"/>
          <w:lang w:val="es-ES_tradnl"/>
        </w:rPr>
        <w:t xml:space="preserve">a otro sistema de distribución </w:t>
      </w:r>
      <w:r>
        <w:rPr>
          <w:rFonts w:ascii="Bookman Old Style" w:hAnsi="Bookman Old Style"/>
          <w:sz w:val="24"/>
          <w:lang w:val="es-ES_tradnl"/>
        </w:rPr>
        <w:t>dentro de los cargos de distribución que se aprueben para el Nuevo Mercado de Distribución</w:t>
      </w:r>
      <w:r w:rsidR="002F650D">
        <w:rPr>
          <w:rFonts w:ascii="Bookman Old Style" w:hAnsi="Bookman Old Style"/>
          <w:sz w:val="24"/>
          <w:lang w:val="es-ES_tradnl"/>
        </w:rPr>
        <w:t xml:space="preserve"> en análisis</w:t>
      </w:r>
      <w:r>
        <w:rPr>
          <w:rFonts w:ascii="Bookman Old Style" w:hAnsi="Bookman Old Style"/>
          <w:sz w:val="24"/>
          <w:lang w:val="es-ES_tradnl"/>
        </w:rPr>
        <w:t>.</w:t>
      </w:r>
    </w:p>
    <w:p w:rsidR="002F650D" w:rsidRDefault="002F650D" w:rsidP="003A083D">
      <w:pPr>
        <w:pStyle w:val="Prrafodelista"/>
        <w:ind w:left="284" w:hanging="284"/>
        <w:jc w:val="both"/>
        <w:rPr>
          <w:rFonts w:ascii="Bookman Old Style" w:hAnsi="Bookman Old Style"/>
          <w:sz w:val="24"/>
          <w:lang w:val="es-ES_tradnl"/>
        </w:rPr>
      </w:pPr>
    </w:p>
    <w:p w:rsidR="002F650D" w:rsidRPr="00853C56" w:rsidRDefault="002F650D" w:rsidP="008F4D9F">
      <w:pPr>
        <w:pStyle w:val="Prrafodelista"/>
        <w:numPr>
          <w:ilvl w:val="0"/>
          <w:numId w:val="34"/>
        </w:numPr>
        <w:ind w:left="284" w:hanging="284"/>
        <w:jc w:val="both"/>
        <w:rPr>
          <w:rFonts w:ascii="Bookman Old Style" w:hAnsi="Bookman Old Style"/>
          <w:sz w:val="24"/>
          <w:lang w:val="es-ES_tradnl"/>
        </w:rPr>
      </w:pPr>
      <w:r>
        <w:rPr>
          <w:rFonts w:ascii="Bookman Old Style" w:hAnsi="Bookman Old Style"/>
          <w:sz w:val="24"/>
          <w:lang w:val="es-ES_tradnl"/>
        </w:rPr>
        <w:t xml:space="preserve">En el caso que se radique en la CREG el interés  y solicitud por parte de un agente transportador </w:t>
      </w:r>
      <w:r w:rsidR="00EB7D1B">
        <w:rPr>
          <w:rFonts w:ascii="Bookman Old Style" w:hAnsi="Bookman Old Style"/>
          <w:sz w:val="24"/>
          <w:lang w:val="es-ES_tradnl"/>
        </w:rPr>
        <w:t xml:space="preserve">u otro agente en </w:t>
      </w:r>
      <w:r>
        <w:rPr>
          <w:rFonts w:ascii="Bookman Old Style" w:hAnsi="Bookman Old Style"/>
          <w:sz w:val="24"/>
          <w:lang w:val="es-ES_tradnl"/>
        </w:rPr>
        <w:t xml:space="preserve"> desarrollar un proyecto de transporte que incluya el suministro de gas al Nuevo Mercado de Distribución en análisis</w:t>
      </w:r>
      <w:r w:rsidR="00986586">
        <w:rPr>
          <w:rFonts w:ascii="Bookman Old Style" w:hAnsi="Bookman Old Style"/>
          <w:sz w:val="24"/>
          <w:lang w:val="es-ES_tradnl"/>
        </w:rPr>
        <w:t xml:space="preserve"> u otros</w:t>
      </w:r>
      <w:r w:rsidR="00EB7D1B">
        <w:rPr>
          <w:rFonts w:ascii="Bookman Old Style" w:hAnsi="Bookman Old Style"/>
          <w:sz w:val="24"/>
          <w:lang w:val="es-ES_tradnl"/>
        </w:rPr>
        <w:t xml:space="preserve"> y su cargo de transporte sea menor al cargo </w:t>
      </w:r>
      <w:r w:rsidR="000958D9">
        <w:rPr>
          <w:rFonts w:ascii="Bookman Old Style" w:hAnsi="Bookman Old Style"/>
          <w:sz w:val="24"/>
          <w:lang w:val="es-ES_tradnl"/>
        </w:rPr>
        <w:t xml:space="preserve">a pagar al otro distribuidor más el cargo asociado a la inversión de conexión </w:t>
      </w:r>
      <w:r>
        <w:rPr>
          <w:rFonts w:ascii="Bookman Old Style" w:hAnsi="Bookman Old Style"/>
          <w:sz w:val="24"/>
          <w:lang w:val="es-ES_tradnl"/>
        </w:rPr>
        <w:t xml:space="preserve">se procederá a informar al </w:t>
      </w:r>
      <w:r w:rsidR="00853C56">
        <w:rPr>
          <w:rFonts w:ascii="Bookman Old Style" w:hAnsi="Bookman Old Style"/>
          <w:sz w:val="24"/>
          <w:lang w:val="es-ES_tradnl"/>
        </w:rPr>
        <w:t>D</w:t>
      </w:r>
      <w:r>
        <w:rPr>
          <w:rFonts w:ascii="Bookman Old Style" w:hAnsi="Bookman Old Style"/>
          <w:sz w:val="24"/>
          <w:lang w:val="es-ES_tradnl"/>
        </w:rPr>
        <w:t xml:space="preserve">istribuidor para que este modifique su solicitud excluyendo </w:t>
      </w:r>
      <w:r w:rsidR="00853C56">
        <w:rPr>
          <w:rFonts w:ascii="Bookman Old Style" w:hAnsi="Bookman Old Style"/>
          <w:sz w:val="24"/>
          <w:lang w:val="es-ES_tradnl"/>
        </w:rPr>
        <w:t xml:space="preserve">la base de activos correspondiente al </w:t>
      </w:r>
      <w:r>
        <w:rPr>
          <w:rFonts w:ascii="Bookman Old Style" w:hAnsi="Bookman Old Style"/>
          <w:sz w:val="24"/>
          <w:lang w:val="es-ES_tradnl"/>
        </w:rPr>
        <w:t>tramo de conexión al Mercado Existente de Distribución.</w:t>
      </w:r>
      <w:r w:rsidR="000958D9">
        <w:rPr>
          <w:rFonts w:ascii="Bookman Old Style" w:hAnsi="Bookman Old Style"/>
          <w:sz w:val="24"/>
          <w:lang w:val="es-ES_tradnl"/>
        </w:rPr>
        <w:t xml:space="preserve"> En caso contrario no se aprueba el cargo para la red de transporte y se </w:t>
      </w:r>
      <w:r w:rsidR="0090460E">
        <w:rPr>
          <w:rFonts w:ascii="Bookman Old Style" w:hAnsi="Bookman Old Style"/>
          <w:sz w:val="24"/>
          <w:lang w:val="es-ES_tradnl"/>
        </w:rPr>
        <w:t>continúa</w:t>
      </w:r>
      <w:r w:rsidR="000958D9">
        <w:rPr>
          <w:rFonts w:ascii="Bookman Old Style" w:hAnsi="Bookman Old Style"/>
          <w:sz w:val="24"/>
          <w:lang w:val="es-ES_tradnl"/>
        </w:rPr>
        <w:t xml:space="preserve"> con el procedimiento del numeral II.</w:t>
      </w:r>
    </w:p>
    <w:p w:rsidR="006202E2" w:rsidRDefault="006202E2" w:rsidP="006202E2">
      <w:pPr>
        <w:pStyle w:val="Prrafodelista"/>
        <w:ind w:left="720"/>
        <w:jc w:val="both"/>
        <w:rPr>
          <w:rFonts w:ascii="Bookman Old Style" w:hAnsi="Bookman Old Style"/>
          <w:b/>
          <w:sz w:val="24"/>
          <w:lang w:val="es-ES_tradnl"/>
        </w:rPr>
      </w:pPr>
    </w:p>
    <w:p w:rsidR="006202E2" w:rsidRDefault="006202E2" w:rsidP="008F4D9F">
      <w:pPr>
        <w:pStyle w:val="Prrafodelista"/>
        <w:numPr>
          <w:ilvl w:val="0"/>
          <w:numId w:val="37"/>
        </w:numPr>
        <w:ind w:left="426" w:hanging="284"/>
        <w:jc w:val="both"/>
        <w:rPr>
          <w:rFonts w:ascii="Bookman Old Style" w:hAnsi="Bookman Old Style"/>
          <w:b/>
          <w:sz w:val="24"/>
          <w:lang w:val="es-ES_tradnl"/>
        </w:rPr>
      </w:pPr>
      <w:r>
        <w:rPr>
          <w:rFonts w:ascii="Bookman Old Style" w:hAnsi="Bookman Old Style"/>
          <w:b/>
          <w:sz w:val="24"/>
          <w:lang w:val="es-ES_tradnl"/>
        </w:rPr>
        <w:t>DEFINICIÓN DE</w:t>
      </w:r>
      <w:r w:rsidR="00D83BBE">
        <w:rPr>
          <w:rFonts w:ascii="Bookman Old Style" w:hAnsi="Bookman Old Style"/>
          <w:b/>
          <w:sz w:val="24"/>
          <w:lang w:val="es-ES_tradnl"/>
        </w:rPr>
        <w:t xml:space="preserve"> </w:t>
      </w:r>
      <w:r>
        <w:rPr>
          <w:rFonts w:ascii="Bookman Old Style" w:hAnsi="Bookman Old Style"/>
          <w:b/>
          <w:sz w:val="24"/>
          <w:lang w:val="es-ES_tradnl"/>
        </w:rPr>
        <w:t>L</w:t>
      </w:r>
      <w:r w:rsidR="00D83BBE">
        <w:rPr>
          <w:rFonts w:ascii="Bookman Old Style" w:hAnsi="Bookman Old Style"/>
          <w:b/>
          <w:sz w:val="24"/>
          <w:lang w:val="es-ES_tradnl"/>
        </w:rPr>
        <w:t>OS</w:t>
      </w:r>
      <w:r>
        <w:rPr>
          <w:rFonts w:ascii="Bookman Old Style" w:hAnsi="Bookman Old Style"/>
          <w:b/>
          <w:sz w:val="24"/>
          <w:lang w:val="es-ES_tradnl"/>
        </w:rPr>
        <w:t xml:space="preserve"> </w:t>
      </w:r>
      <w:r w:rsidR="00D83BBE">
        <w:rPr>
          <w:rFonts w:ascii="Bookman Old Style" w:hAnsi="Bookman Old Style"/>
          <w:b/>
          <w:sz w:val="24"/>
          <w:lang w:val="es-ES_tradnl"/>
        </w:rPr>
        <w:t>CARGOS</w:t>
      </w:r>
      <w:r>
        <w:rPr>
          <w:rFonts w:ascii="Bookman Old Style" w:hAnsi="Bookman Old Style"/>
          <w:b/>
          <w:sz w:val="24"/>
          <w:lang w:val="es-ES_tradnl"/>
        </w:rPr>
        <w:t xml:space="preserve"> QUE DEBE PAGAR </w:t>
      </w:r>
      <w:r w:rsidR="00D83BBE">
        <w:rPr>
          <w:rFonts w:ascii="Bookman Old Style" w:hAnsi="Bookman Old Style"/>
          <w:b/>
          <w:sz w:val="24"/>
          <w:lang w:val="es-ES_tradnl"/>
        </w:rPr>
        <w:t>UN</w:t>
      </w:r>
      <w:r>
        <w:rPr>
          <w:rFonts w:ascii="Bookman Old Style" w:hAnsi="Bookman Old Style"/>
          <w:b/>
          <w:sz w:val="24"/>
          <w:lang w:val="es-ES_tradnl"/>
        </w:rPr>
        <w:t xml:space="preserve"> MERCADO DE DISTRIBUCION </w:t>
      </w:r>
      <w:r w:rsidR="002F650D">
        <w:rPr>
          <w:rFonts w:ascii="Bookman Old Style" w:hAnsi="Bookman Old Style"/>
          <w:b/>
          <w:sz w:val="24"/>
          <w:lang w:val="es-ES_tradnl"/>
        </w:rPr>
        <w:t>QUE SE CONECTA</w:t>
      </w:r>
      <w:r w:rsidR="00D83BBE">
        <w:rPr>
          <w:rFonts w:ascii="Bookman Old Style" w:hAnsi="Bookman Old Style"/>
          <w:b/>
          <w:sz w:val="24"/>
          <w:lang w:val="es-ES_tradnl"/>
        </w:rPr>
        <w:t xml:space="preserve"> AL </w:t>
      </w:r>
      <w:r>
        <w:rPr>
          <w:rFonts w:ascii="Bookman Old Style" w:hAnsi="Bookman Old Style"/>
          <w:b/>
          <w:sz w:val="24"/>
          <w:lang w:val="es-ES_tradnl"/>
        </w:rPr>
        <w:t xml:space="preserve">SISTEMA DE DISTRIBUCIÓN </w:t>
      </w:r>
      <w:r w:rsidR="00D83BBE">
        <w:rPr>
          <w:rFonts w:ascii="Bookman Old Style" w:hAnsi="Bookman Old Style"/>
          <w:b/>
          <w:sz w:val="24"/>
          <w:lang w:val="es-ES_tradnl"/>
        </w:rPr>
        <w:t>DE OTRO MERCADO RELEVANTE DE DISTRIBUCIÓN</w:t>
      </w:r>
    </w:p>
    <w:p w:rsidR="00D83BBE" w:rsidRDefault="00D83BBE" w:rsidP="003A083D">
      <w:pPr>
        <w:tabs>
          <w:tab w:val="num" w:pos="1721"/>
        </w:tabs>
        <w:ind w:left="284"/>
        <w:jc w:val="both"/>
        <w:rPr>
          <w:rFonts w:ascii="Bookman Old Style" w:hAnsi="Bookman Old Style"/>
          <w:lang w:val="es-ES_tradnl"/>
        </w:rPr>
      </w:pPr>
    </w:p>
    <w:p w:rsidR="00D83BBE" w:rsidRDefault="00D83BBE" w:rsidP="003A083D">
      <w:pPr>
        <w:ind w:left="0"/>
        <w:jc w:val="both"/>
        <w:rPr>
          <w:rFonts w:ascii="Bookman Old Style" w:hAnsi="Bookman Old Style"/>
          <w:lang w:val="es-ES_tradnl"/>
        </w:rPr>
      </w:pPr>
      <w:r>
        <w:rPr>
          <w:rFonts w:ascii="Bookman Old Style" w:hAnsi="Bookman Old Style"/>
          <w:lang w:val="es-ES_tradnl"/>
        </w:rPr>
        <w:lastRenderedPageBreak/>
        <w:t xml:space="preserve">Conforme a lo establecido en el </w:t>
      </w:r>
      <w:r w:rsidR="003A083D" w:rsidRPr="00264F37">
        <w:rPr>
          <w:rFonts w:ascii="Bookman Old Style" w:hAnsi="Bookman Old Style"/>
          <w:lang w:val="es-ES_tradnl"/>
        </w:rPr>
        <w:t>numeral</w:t>
      </w:r>
      <w:r w:rsidRPr="00264F37">
        <w:rPr>
          <w:rFonts w:ascii="Bookman Old Style" w:hAnsi="Bookman Old Style"/>
          <w:lang w:val="es-ES_tradnl"/>
        </w:rPr>
        <w:t xml:space="preserve"> </w:t>
      </w:r>
      <w:r w:rsidR="00986586" w:rsidRPr="00264F37">
        <w:rPr>
          <w:rFonts w:ascii="Bookman Old Style" w:hAnsi="Bookman Old Style"/>
          <w:lang w:val="es-ES_tradnl"/>
        </w:rPr>
        <w:t>ii</w:t>
      </w:r>
      <w:r w:rsidRPr="00264F37">
        <w:rPr>
          <w:rFonts w:ascii="Bookman Old Style" w:hAnsi="Bookman Old Style"/>
          <w:lang w:val="es-ES_tradnl"/>
        </w:rPr>
        <w:t>)</w:t>
      </w:r>
      <w:r>
        <w:rPr>
          <w:rFonts w:ascii="Bookman Old Style" w:hAnsi="Bookman Old Style"/>
          <w:lang w:val="es-ES_tradnl"/>
        </w:rPr>
        <w:t xml:space="preserve"> del artículo 4 de la presente </w:t>
      </w:r>
      <w:r w:rsidR="003A083D">
        <w:rPr>
          <w:rFonts w:ascii="Bookman Old Style" w:hAnsi="Bookman Old Style"/>
          <w:lang w:val="es-ES_tradnl"/>
        </w:rPr>
        <w:t>resolución</w:t>
      </w:r>
      <w:r>
        <w:rPr>
          <w:rFonts w:ascii="Bookman Old Style" w:hAnsi="Bookman Old Style"/>
          <w:lang w:val="es-ES_tradnl"/>
        </w:rPr>
        <w:t>, e</w:t>
      </w:r>
      <w:r w:rsidRPr="000B65DE">
        <w:rPr>
          <w:rFonts w:ascii="Bookman Old Style" w:hAnsi="Bookman Old Style"/>
          <w:lang w:val="es-ES_tradnl"/>
        </w:rPr>
        <w:t>l Sistema de Distribución que se conecte a otro Sistema de Dist</w:t>
      </w:r>
      <w:r w:rsidR="003A083D">
        <w:rPr>
          <w:rFonts w:ascii="Bookman Old Style" w:hAnsi="Bookman Old Style"/>
          <w:lang w:val="es-ES_tradnl"/>
        </w:rPr>
        <w:t>ribución, debe pagar por su uso.</w:t>
      </w:r>
    </w:p>
    <w:p w:rsidR="00550A62" w:rsidRPr="00705E60" w:rsidRDefault="00550A62" w:rsidP="00550A62">
      <w:pPr>
        <w:pStyle w:val="Prrafodelista"/>
        <w:ind w:left="720"/>
        <w:jc w:val="both"/>
        <w:rPr>
          <w:rFonts w:ascii="Bookman Old Style" w:hAnsi="Bookman Old Style"/>
          <w:b/>
          <w:sz w:val="24"/>
          <w:lang w:val="es-ES_tradnl"/>
        </w:rPr>
      </w:pPr>
    </w:p>
    <w:p w:rsidR="00705E60" w:rsidRDefault="003713D8" w:rsidP="000B65DE">
      <w:pPr>
        <w:ind w:left="0"/>
        <w:jc w:val="both"/>
        <w:rPr>
          <w:rFonts w:ascii="Bookman Old Style" w:hAnsi="Bookman Old Style"/>
          <w:lang w:val="es-ES_tradnl"/>
        </w:rPr>
      </w:pPr>
      <w:r>
        <w:rPr>
          <w:rFonts w:ascii="Bookman Old Style" w:hAnsi="Bookman Old Style"/>
          <w:lang w:val="es-ES_tradnl"/>
        </w:rPr>
        <w:t xml:space="preserve">La CREG en las resoluciones particulares de cargos de </w:t>
      </w:r>
      <w:r w:rsidR="00550A62">
        <w:rPr>
          <w:rFonts w:ascii="Bookman Old Style" w:hAnsi="Bookman Old Style"/>
          <w:lang w:val="es-ES_tradnl"/>
        </w:rPr>
        <w:t>distribución</w:t>
      </w:r>
      <w:r>
        <w:rPr>
          <w:rFonts w:ascii="Bookman Old Style" w:hAnsi="Bookman Old Style"/>
          <w:lang w:val="es-ES_tradnl"/>
        </w:rPr>
        <w:t xml:space="preserve"> establecerá los cargos </w:t>
      </w:r>
      <w:r w:rsidR="00D83BBE">
        <w:rPr>
          <w:rFonts w:ascii="Bookman Old Style" w:hAnsi="Bookman Old Style"/>
          <w:lang w:val="es-ES_tradnl"/>
        </w:rPr>
        <w:t xml:space="preserve">que como </w:t>
      </w:r>
      <w:r>
        <w:rPr>
          <w:rFonts w:ascii="Bookman Old Style" w:hAnsi="Bookman Old Style"/>
          <w:lang w:val="es-ES_tradnl"/>
        </w:rPr>
        <w:t>máximo deberá</w:t>
      </w:r>
      <w:r w:rsidR="00D83BBE">
        <w:rPr>
          <w:rFonts w:ascii="Bookman Old Style" w:hAnsi="Bookman Old Style"/>
          <w:lang w:val="es-ES_tradnl"/>
        </w:rPr>
        <w:t>n</w:t>
      </w:r>
      <w:r>
        <w:rPr>
          <w:rFonts w:ascii="Bookman Old Style" w:hAnsi="Bookman Old Style"/>
          <w:lang w:val="es-ES_tradnl"/>
        </w:rPr>
        <w:t xml:space="preserve"> pagar</w:t>
      </w:r>
      <w:r w:rsidR="00D83BBE">
        <w:rPr>
          <w:rFonts w:ascii="Bookman Old Style" w:hAnsi="Bookman Old Style"/>
          <w:lang w:val="es-ES_tradnl"/>
        </w:rPr>
        <w:t xml:space="preserve"> los usuarios d</w:t>
      </w:r>
      <w:r>
        <w:rPr>
          <w:rFonts w:ascii="Bookman Old Style" w:hAnsi="Bookman Old Style"/>
          <w:lang w:val="es-ES_tradnl"/>
        </w:rPr>
        <w:t xml:space="preserve">el mercado relevante de </w:t>
      </w:r>
      <w:r w:rsidR="0058522A">
        <w:rPr>
          <w:rFonts w:ascii="Bookman Old Style" w:hAnsi="Bookman Old Style"/>
          <w:lang w:val="es-ES_tradnl"/>
        </w:rPr>
        <w:t>distribución</w:t>
      </w:r>
      <w:r>
        <w:rPr>
          <w:rFonts w:ascii="Bookman Old Style" w:hAnsi="Bookman Old Style"/>
          <w:lang w:val="es-ES_tradnl"/>
        </w:rPr>
        <w:t xml:space="preserve"> que se conecta a otro mercado relevante</w:t>
      </w:r>
      <w:r w:rsidR="00D83BBE">
        <w:rPr>
          <w:rFonts w:ascii="Bookman Old Style" w:hAnsi="Bookman Old Style"/>
          <w:lang w:val="es-ES_tradnl"/>
        </w:rPr>
        <w:t>, de acuerdo con el tipo de red</w:t>
      </w:r>
      <w:r w:rsidR="003A083D">
        <w:rPr>
          <w:rFonts w:ascii="Bookman Old Style" w:hAnsi="Bookman Old Style"/>
          <w:lang w:val="es-ES_tradnl"/>
        </w:rPr>
        <w:t xml:space="preserve"> al que se conecta. </w:t>
      </w:r>
    </w:p>
    <w:p w:rsidR="003713D8" w:rsidRDefault="003713D8" w:rsidP="000B65DE">
      <w:pPr>
        <w:ind w:left="0"/>
        <w:jc w:val="both"/>
        <w:rPr>
          <w:rFonts w:ascii="Bookman Old Style" w:hAnsi="Bookman Old Style"/>
          <w:lang w:val="es-ES_tradnl"/>
        </w:rPr>
      </w:pPr>
    </w:p>
    <w:p w:rsidR="003713D8" w:rsidRDefault="003713D8" w:rsidP="000B65DE">
      <w:pPr>
        <w:ind w:left="0"/>
        <w:jc w:val="both"/>
        <w:rPr>
          <w:rFonts w:ascii="Bookman Old Style" w:hAnsi="Bookman Old Style"/>
          <w:lang w:val="es-ES_tradnl"/>
        </w:rPr>
      </w:pPr>
      <w:r>
        <w:rPr>
          <w:rFonts w:ascii="Bookman Old Style" w:hAnsi="Bookman Old Style"/>
          <w:lang w:val="es-ES_tradnl"/>
        </w:rPr>
        <w:t>Para ello dentro de la solicitud tarifaria se deberá indicar</w:t>
      </w:r>
      <w:r w:rsidR="0090460E">
        <w:rPr>
          <w:rFonts w:ascii="Bookman Old Style" w:hAnsi="Bookman Old Style"/>
          <w:lang w:val="es-ES_tradnl"/>
        </w:rPr>
        <w:t xml:space="preserve"> a que red se conectará </w:t>
      </w:r>
      <w:r w:rsidR="0041355E">
        <w:rPr>
          <w:rFonts w:ascii="Bookman Old Style" w:hAnsi="Bookman Old Style"/>
          <w:lang w:val="es-ES_tradnl"/>
        </w:rPr>
        <w:t xml:space="preserve">ya sea </w:t>
      </w:r>
      <w:r w:rsidR="0090460E">
        <w:rPr>
          <w:rFonts w:ascii="Bookman Old Style" w:hAnsi="Bookman Old Style"/>
          <w:lang w:val="es-ES_tradnl"/>
        </w:rPr>
        <w:t xml:space="preserve">primaria o secundaria </w:t>
      </w:r>
      <w:r>
        <w:rPr>
          <w:rFonts w:ascii="Bookman Old Style" w:hAnsi="Bookman Old Style"/>
          <w:lang w:val="es-ES_tradnl"/>
        </w:rPr>
        <w:t>del otro sistema de distribución</w:t>
      </w:r>
      <w:r w:rsidR="00364E59">
        <w:rPr>
          <w:rFonts w:ascii="Bookman Old Style" w:hAnsi="Bookman Old Style"/>
          <w:lang w:val="es-ES_tradnl"/>
        </w:rPr>
        <w:t>,</w:t>
      </w:r>
      <w:r>
        <w:rPr>
          <w:rFonts w:ascii="Bookman Old Style" w:hAnsi="Bookman Old Style"/>
          <w:lang w:val="es-ES_tradnl"/>
        </w:rPr>
        <w:t xml:space="preserve"> </w:t>
      </w:r>
      <w:r w:rsidR="00364E59">
        <w:rPr>
          <w:rFonts w:ascii="Bookman Old Style" w:hAnsi="Bookman Old Style"/>
          <w:lang w:val="es-ES_tradnl"/>
        </w:rPr>
        <w:t>l</w:t>
      </w:r>
      <w:r>
        <w:rPr>
          <w:rFonts w:ascii="Bookman Old Style" w:hAnsi="Bookman Old Style"/>
          <w:lang w:val="es-ES_tradnl"/>
        </w:rPr>
        <w:t>a demanda de</w:t>
      </w:r>
      <w:r w:rsidR="003A083D">
        <w:rPr>
          <w:rFonts w:ascii="Bookman Old Style" w:hAnsi="Bookman Old Style"/>
          <w:lang w:val="es-ES_tradnl"/>
        </w:rPr>
        <w:t xml:space="preserve">l </w:t>
      </w:r>
      <w:r w:rsidR="00CE4DCE">
        <w:rPr>
          <w:rFonts w:ascii="Bookman Old Style" w:hAnsi="Bookman Old Style"/>
          <w:lang w:val="es-ES_tradnl"/>
        </w:rPr>
        <w:t>Sistema</w:t>
      </w:r>
      <w:r w:rsidR="003A083D">
        <w:rPr>
          <w:rFonts w:ascii="Bookman Old Style" w:hAnsi="Bookman Old Style"/>
          <w:lang w:val="es-ES_tradnl"/>
        </w:rPr>
        <w:t xml:space="preserve"> de Distribución que se conecta y demás información necesaria </w:t>
      </w:r>
      <w:r w:rsidR="0090460E">
        <w:rPr>
          <w:rFonts w:ascii="Bookman Old Style" w:hAnsi="Bookman Old Style"/>
          <w:lang w:val="es-ES_tradnl"/>
        </w:rPr>
        <w:t>como la inversión en la Estación de Transferencia de Custodia y gasoducto de conexión que se adicionará a  la inversión base del Mercado Existente de Distribución  o del Nuevo Mercado de Distribución, con el fin de establecer el cargo equivalente de la conexión</w:t>
      </w:r>
    </w:p>
    <w:p w:rsidR="003A083D" w:rsidRDefault="003A083D" w:rsidP="003A083D">
      <w:pPr>
        <w:tabs>
          <w:tab w:val="num" w:pos="1721"/>
        </w:tabs>
        <w:ind w:left="0"/>
        <w:jc w:val="both"/>
        <w:rPr>
          <w:rFonts w:ascii="Bookman Old Style" w:hAnsi="Bookman Old Style"/>
          <w:lang w:val="es-ES_tradnl"/>
        </w:rPr>
      </w:pPr>
    </w:p>
    <w:p w:rsidR="003A083D" w:rsidRPr="000B65DE" w:rsidRDefault="003A083D" w:rsidP="003A083D">
      <w:pPr>
        <w:tabs>
          <w:tab w:val="num" w:pos="1721"/>
        </w:tabs>
        <w:ind w:left="0"/>
        <w:jc w:val="both"/>
        <w:rPr>
          <w:rFonts w:ascii="Bookman Old Style" w:hAnsi="Bookman Old Style"/>
          <w:lang w:val="es-ES_tradnl"/>
        </w:rPr>
      </w:pPr>
      <w:r>
        <w:rPr>
          <w:rFonts w:ascii="Bookman Old Style" w:hAnsi="Bookman Old Style"/>
          <w:lang w:val="es-ES_tradnl"/>
        </w:rPr>
        <w:t xml:space="preserve">El cálculo del </w:t>
      </w:r>
      <w:r w:rsidRPr="000B65DE">
        <w:rPr>
          <w:rFonts w:ascii="Bookman Old Style" w:hAnsi="Bookman Old Style"/>
          <w:lang w:val="es-ES_tradnl"/>
        </w:rPr>
        <w:t xml:space="preserve">Cargo de Distribución </w:t>
      </w:r>
      <w:r>
        <w:rPr>
          <w:rFonts w:ascii="Bookman Old Style" w:hAnsi="Bookman Old Style"/>
          <w:lang w:val="es-ES_tradnl"/>
        </w:rPr>
        <w:t xml:space="preserve">corresponderá al Cargo de Distribución aprobado en el mercado al que se conecta </w:t>
      </w:r>
      <w:r w:rsidRPr="000B65DE">
        <w:rPr>
          <w:rFonts w:ascii="Bookman Old Style" w:hAnsi="Bookman Old Style"/>
          <w:lang w:val="es-ES_tradnl"/>
        </w:rPr>
        <w:t>ajustado con la demanda asociada al Sistema de Distribución que se conectan</w:t>
      </w:r>
      <w:r w:rsidR="00CE4DCE">
        <w:rPr>
          <w:rFonts w:ascii="Bookman Old Style" w:hAnsi="Bookman Old Style"/>
          <w:lang w:val="es-ES_tradnl"/>
        </w:rPr>
        <w:t xml:space="preserve"> y de acuerdo a lo citado en el </w:t>
      </w:r>
      <w:r w:rsidR="001572F2">
        <w:rPr>
          <w:rFonts w:ascii="Bookman Old Style" w:hAnsi="Bookman Old Style"/>
          <w:lang w:val="es-ES_tradnl"/>
        </w:rPr>
        <w:t>numeral</w:t>
      </w:r>
      <w:r w:rsidR="00CE4DCE">
        <w:rPr>
          <w:rFonts w:ascii="Bookman Old Style" w:hAnsi="Bookman Old Style"/>
          <w:lang w:val="es-ES_tradnl"/>
        </w:rPr>
        <w:t xml:space="preserve"> v) del Artículo 4 de esta resolución. </w:t>
      </w:r>
    </w:p>
    <w:p w:rsidR="003713D8" w:rsidRDefault="003713D8" w:rsidP="000B65DE">
      <w:pPr>
        <w:ind w:left="0"/>
        <w:jc w:val="both"/>
        <w:rPr>
          <w:rFonts w:ascii="Bookman Old Style" w:hAnsi="Bookman Old Style"/>
          <w:lang w:val="es-ES_tradnl"/>
        </w:rPr>
      </w:pPr>
    </w:p>
    <w:p w:rsidR="003713D8" w:rsidRDefault="003713D8" w:rsidP="003713D8">
      <w:pPr>
        <w:ind w:left="0"/>
        <w:jc w:val="both"/>
        <w:rPr>
          <w:rFonts w:ascii="Bookman Old Style" w:hAnsi="Bookman Old Style"/>
          <w:lang w:val="es-ES_tradnl"/>
        </w:rPr>
      </w:pPr>
    </w:p>
    <w:p w:rsidR="00155D55" w:rsidRPr="000B65DE" w:rsidRDefault="00155D55" w:rsidP="000B65DE">
      <w:pPr>
        <w:ind w:left="0"/>
        <w:jc w:val="both"/>
        <w:rPr>
          <w:rFonts w:ascii="Bookman Old Style" w:hAnsi="Bookman Old Style"/>
          <w:lang w:val="es-ES_tradnl"/>
        </w:rPr>
      </w:pPr>
    </w:p>
    <w:p w:rsidR="001D143C" w:rsidRDefault="001D143C" w:rsidP="000B65DE">
      <w:pPr>
        <w:ind w:left="720"/>
        <w:jc w:val="both"/>
        <w:rPr>
          <w:rFonts w:ascii="Bookman Old Style" w:hAnsi="Bookman Old Style"/>
          <w:b/>
          <w:lang w:val="es-ES_tradnl"/>
        </w:rPr>
      </w:pPr>
    </w:p>
    <w:p w:rsidR="001D143C" w:rsidRPr="000B65DE" w:rsidRDefault="001D143C" w:rsidP="000B65DE">
      <w:pPr>
        <w:ind w:left="720"/>
        <w:jc w:val="both"/>
        <w:rPr>
          <w:rFonts w:ascii="Bookman Old Style" w:hAnsi="Bookman Old Style"/>
          <w:b/>
          <w:lang w:val="es-ES_tradnl"/>
        </w:rPr>
      </w:pPr>
    </w:p>
    <w:p w:rsidR="000B65DE" w:rsidRPr="000B65DE" w:rsidRDefault="000B65DE" w:rsidP="000B65DE">
      <w:pPr>
        <w:ind w:left="0"/>
        <w:jc w:val="both"/>
        <w:rPr>
          <w:rFonts w:ascii="Bookman Old Style" w:hAnsi="Bookman Old Style"/>
          <w:lang w:val="es-ES_tradnl"/>
        </w:rPr>
      </w:pPr>
    </w:p>
    <w:tbl>
      <w:tblPr>
        <w:tblW w:w="9570" w:type="dxa"/>
        <w:jc w:val="right"/>
        <w:tblLayout w:type="fixed"/>
        <w:tblCellMar>
          <w:left w:w="70" w:type="dxa"/>
          <w:right w:w="70" w:type="dxa"/>
        </w:tblCellMar>
        <w:tblLook w:val="04A0" w:firstRow="1" w:lastRow="0" w:firstColumn="1" w:lastColumn="0" w:noHBand="0" w:noVBand="1"/>
      </w:tblPr>
      <w:tblGrid>
        <w:gridCol w:w="4964"/>
        <w:gridCol w:w="4606"/>
      </w:tblGrid>
      <w:tr w:rsidR="001D6277" w:rsidRPr="000B65DE" w:rsidTr="007F02D4">
        <w:trPr>
          <w:jc w:val="right"/>
        </w:trPr>
        <w:tc>
          <w:tcPr>
            <w:tcW w:w="4964" w:type="dxa"/>
            <w:hideMark/>
          </w:tcPr>
          <w:p w:rsidR="001D6277" w:rsidRPr="000B65DE" w:rsidRDefault="001D6277" w:rsidP="001D6277">
            <w:pPr>
              <w:ind w:left="0"/>
              <w:jc w:val="center"/>
              <w:rPr>
                <w:rFonts w:ascii="Bookman Old Style" w:hAnsi="Bookman Old Style" w:cs="Arial"/>
                <w:b/>
                <w:spacing w:val="-3"/>
                <w:lang w:val="es-ES_tradnl"/>
              </w:rPr>
            </w:pPr>
            <w:r>
              <w:rPr>
                <w:rFonts w:ascii="Bookman Old Style" w:hAnsi="Bookman Old Style" w:cs="Arial"/>
                <w:b/>
                <w:color w:val="000000"/>
              </w:rPr>
              <w:t>ORLANDO CABRALES SEGOVIA</w:t>
            </w:r>
          </w:p>
        </w:tc>
        <w:tc>
          <w:tcPr>
            <w:tcW w:w="4606" w:type="dxa"/>
            <w:hideMark/>
          </w:tcPr>
          <w:p w:rsidR="001D6277" w:rsidRPr="000B65DE" w:rsidRDefault="001D6277" w:rsidP="000B65DE">
            <w:pPr>
              <w:ind w:left="161" w:right="567"/>
              <w:jc w:val="right"/>
              <w:rPr>
                <w:rFonts w:ascii="Bookman Old Style" w:hAnsi="Bookman Old Style" w:cs="Arial"/>
                <w:b/>
                <w:spacing w:val="-3"/>
                <w:lang w:val="es-ES_tradnl"/>
              </w:rPr>
            </w:pPr>
            <w:r w:rsidRPr="000B65DE">
              <w:rPr>
                <w:rFonts w:ascii="Bookman Old Style" w:hAnsi="Bookman Old Style" w:cs="Arial"/>
                <w:b/>
                <w:spacing w:val="-3"/>
                <w:lang w:val="es-ES_tradnl"/>
              </w:rPr>
              <w:t>GERMÁN CASTRO FERREIRA</w:t>
            </w:r>
          </w:p>
        </w:tc>
      </w:tr>
      <w:tr w:rsidR="001D6277" w:rsidRPr="000B65DE" w:rsidTr="007F02D4">
        <w:trPr>
          <w:jc w:val="right"/>
        </w:trPr>
        <w:tc>
          <w:tcPr>
            <w:tcW w:w="4964" w:type="dxa"/>
            <w:hideMark/>
          </w:tcPr>
          <w:tbl>
            <w:tblPr>
              <w:tblW w:w="4891" w:type="dxa"/>
              <w:tblLayout w:type="fixed"/>
              <w:tblCellMar>
                <w:left w:w="0" w:type="dxa"/>
                <w:right w:w="0" w:type="dxa"/>
              </w:tblCellMar>
              <w:tblLook w:val="04A0" w:firstRow="1" w:lastRow="0" w:firstColumn="1" w:lastColumn="0" w:noHBand="0" w:noVBand="1"/>
            </w:tblPr>
            <w:tblGrid>
              <w:gridCol w:w="4891"/>
            </w:tblGrid>
            <w:tr w:rsidR="001D6277" w:rsidTr="00491D67">
              <w:tc>
                <w:tcPr>
                  <w:tcW w:w="4891" w:type="dxa"/>
                  <w:hideMark/>
                </w:tcPr>
                <w:p w:rsidR="001D6277" w:rsidRDefault="001D6277" w:rsidP="00491D67">
                  <w:pPr>
                    <w:snapToGrid w:val="0"/>
                    <w:ind w:left="0"/>
                    <w:rPr>
                      <w:rFonts w:ascii="Bookman Old Style" w:hAnsi="Bookman Old Style" w:cs="Arial"/>
                      <w:color w:val="000000"/>
                    </w:rPr>
                  </w:pPr>
                  <w:r>
                    <w:rPr>
                      <w:rFonts w:ascii="Bookman Old Style" w:hAnsi="Bookman Old Style" w:cs="Arial"/>
                      <w:color w:val="000000"/>
                    </w:rPr>
                    <w:t xml:space="preserve">             Viceministro de Energía</w:t>
                  </w:r>
                </w:p>
                <w:p w:rsidR="001D6277" w:rsidRDefault="001D6277" w:rsidP="00491D67">
                  <w:pPr>
                    <w:snapToGrid w:val="0"/>
                    <w:ind w:left="0"/>
                    <w:rPr>
                      <w:rFonts w:ascii="Bookman Old Style" w:hAnsi="Bookman Old Style" w:cs="Arial"/>
                      <w:color w:val="000000"/>
                    </w:rPr>
                  </w:pPr>
                  <w:r>
                    <w:rPr>
                      <w:rFonts w:ascii="Bookman Old Style" w:hAnsi="Bookman Old Style" w:cs="Arial"/>
                      <w:color w:val="000000"/>
                    </w:rPr>
                    <w:t>Delegado del Ministro de Minas y Energía</w:t>
                  </w:r>
                </w:p>
              </w:tc>
            </w:tr>
            <w:tr w:rsidR="001D6277" w:rsidTr="00491D67">
              <w:tc>
                <w:tcPr>
                  <w:tcW w:w="4891" w:type="dxa"/>
                  <w:hideMark/>
                </w:tcPr>
                <w:p w:rsidR="001D6277" w:rsidRDefault="001D6277" w:rsidP="00491D67">
                  <w:pPr>
                    <w:snapToGrid w:val="0"/>
                    <w:ind w:left="0"/>
                    <w:jc w:val="center"/>
                    <w:rPr>
                      <w:rFonts w:ascii="Bookman Old Style" w:hAnsi="Bookman Old Style" w:cs="Arial"/>
                      <w:color w:val="000000"/>
                    </w:rPr>
                  </w:pPr>
                  <w:r>
                    <w:rPr>
                      <w:rFonts w:ascii="Bookman Old Style" w:hAnsi="Bookman Old Style" w:cs="Arial"/>
                      <w:color w:val="000000"/>
                    </w:rPr>
                    <w:t>Presidente</w:t>
                  </w:r>
                </w:p>
              </w:tc>
            </w:tr>
          </w:tbl>
          <w:p w:rsidR="001D6277" w:rsidRPr="000B65DE" w:rsidRDefault="001D6277" w:rsidP="000B65DE">
            <w:pPr>
              <w:ind w:left="0"/>
              <w:jc w:val="center"/>
              <w:rPr>
                <w:rFonts w:ascii="Bookman Old Style" w:hAnsi="Bookman Old Style" w:cs="Arial"/>
                <w:spacing w:val="-3"/>
                <w:lang w:val="es-ES_tradnl"/>
              </w:rPr>
            </w:pPr>
          </w:p>
        </w:tc>
        <w:tc>
          <w:tcPr>
            <w:tcW w:w="4606" w:type="dxa"/>
            <w:hideMark/>
          </w:tcPr>
          <w:p w:rsidR="001D6277" w:rsidRPr="000B65DE" w:rsidRDefault="001D6277" w:rsidP="000B65DE">
            <w:pPr>
              <w:rPr>
                <w:rFonts w:ascii="Bookman Old Style" w:hAnsi="Bookman Old Style" w:cs="Arial"/>
                <w:spacing w:val="-3"/>
                <w:lang w:val="es-ES_tradnl"/>
              </w:rPr>
            </w:pPr>
            <w:r w:rsidRPr="000B65DE">
              <w:rPr>
                <w:rFonts w:ascii="Bookman Old Style" w:hAnsi="Bookman Old Style" w:cs="Arial"/>
                <w:spacing w:val="-3"/>
                <w:lang w:val="es-ES_tradnl"/>
              </w:rPr>
              <w:t xml:space="preserve">           Director Ejecutivo</w:t>
            </w:r>
          </w:p>
        </w:tc>
      </w:tr>
      <w:tr w:rsidR="001D6277" w:rsidRPr="000B65DE" w:rsidTr="007F02D4">
        <w:trPr>
          <w:jc w:val="right"/>
        </w:trPr>
        <w:tc>
          <w:tcPr>
            <w:tcW w:w="4964" w:type="dxa"/>
            <w:hideMark/>
          </w:tcPr>
          <w:p w:rsidR="001D6277" w:rsidRPr="000B65DE" w:rsidRDefault="001D6277" w:rsidP="000B65DE">
            <w:pPr>
              <w:rPr>
                <w:rFonts w:ascii="Bookman Old Style" w:hAnsi="Bookman Old Style" w:cs="Arial"/>
                <w:spacing w:val="-3"/>
              </w:rPr>
            </w:pPr>
          </w:p>
        </w:tc>
        <w:tc>
          <w:tcPr>
            <w:tcW w:w="4606" w:type="dxa"/>
          </w:tcPr>
          <w:p w:rsidR="001D6277" w:rsidRPr="000B65DE" w:rsidRDefault="001D6277" w:rsidP="000B65DE">
            <w:pPr>
              <w:rPr>
                <w:rFonts w:ascii="Bookman Old Style" w:hAnsi="Bookman Old Style" w:cs="Arial"/>
                <w:spacing w:val="-3"/>
              </w:rPr>
            </w:pPr>
          </w:p>
        </w:tc>
      </w:tr>
    </w:tbl>
    <w:p w:rsidR="000B65DE" w:rsidRPr="000B65DE" w:rsidRDefault="000B65DE" w:rsidP="000B65DE">
      <w:pPr>
        <w:ind w:left="0"/>
        <w:rPr>
          <w:rFonts w:ascii="Bookman Old Style" w:hAnsi="Bookman Old Style"/>
          <w:b/>
          <w:lang w:val="es-ES_tradnl"/>
        </w:rPr>
      </w:pPr>
    </w:p>
    <w:p w:rsidR="000B65DE" w:rsidRPr="000B65DE" w:rsidRDefault="000B65DE" w:rsidP="000B65DE">
      <w:pPr>
        <w:ind w:left="0"/>
        <w:rPr>
          <w:rFonts w:ascii="Bookman Old Style" w:hAnsi="Bookman Old Style"/>
          <w:b/>
          <w:lang w:val="es-ES_tradnl"/>
        </w:rPr>
      </w:pPr>
      <w:r w:rsidRPr="000B65DE">
        <w:rPr>
          <w:rFonts w:ascii="Bookman Old Style" w:hAnsi="Bookman Old Style"/>
          <w:b/>
          <w:lang w:val="es-ES_tradnl"/>
        </w:rPr>
        <w:br w:type="page"/>
      </w:r>
    </w:p>
    <w:p w:rsidR="000B65DE" w:rsidRPr="000B65DE" w:rsidRDefault="000B65DE" w:rsidP="008F4D9F">
      <w:pPr>
        <w:numPr>
          <w:ilvl w:val="0"/>
          <w:numId w:val="14"/>
        </w:numPr>
        <w:jc w:val="center"/>
        <w:outlineLvl w:val="0"/>
        <w:rPr>
          <w:rFonts w:ascii="Bookman Old Style" w:hAnsi="Bookman Old Style"/>
          <w:b/>
          <w:lang w:val="es-ES_tradnl"/>
        </w:rPr>
      </w:pPr>
      <w:bookmarkStart w:id="35" w:name="_Ref289696998"/>
    </w:p>
    <w:bookmarkEnd w:id="35"/>
    <w:p w:rsidR="000B65DE" w:rsidRPr="000B65DE" w:rsidRDefault="000B65DE" w:rsidP="000B65DE">
      <w:pPr>
        <w:ind w:left="0"/>
        <w:jc w:val="center"/>
        <w:outlineLvl w:val="0"/>
        <w:rPr>
          <w:rFonts w:ascii="Bookman Old Style" w:hAnsi="Bookman Old Style"/>
          <w:b/>
          <w:lang w:val="es-ES_tradnl"/>
        </w:rPr>
      </w:pPr>
      <w:r w:rsidRPr="000B65DE">
        <w:rPr>
          <w:rFonts w:ascii="Bookman Old Style" w:hAnsi="Bookman Old Style"/>
          <w:b/>
          <w:lang w:val="es-ES_tradnl"/>
        </w:rPr>
        <w:t>RESUMEN DE LA SOLICITUD TARIFARIA</w:t>
      </w:r>
    </w:p>
    <w:p w:rsidR="000B65DE" w:rsidRPr="000B65DE" w:rsidRDefault="000B65DE" w:rsidP="000B65DE">
      <w:pPr>
        <w:rPr>
          <w:lang w:val="es-ES_tradnl"/>
        </w:rPr>
      </w:pPr>
    </w:p>
    <w:p w:rsidR="000B65DE" w:rsidRPr="000B65DE" w:rsidRDefault="000B65DE" w:rsidP="000B65DE">
      <w:pPr>
        <w:ind w:left="0"/>
        <w:jc w:val="both"/>
        <w:rPr>
          <w:rFonts w:ascii="Bookman Old Style" w:hAnsi="Bookman Old Style" w:cs="Arial"/>
          <w:lang w:val="es-CO" w:eastAsia="es-CO"/>
        </w:rPr>
      </w:pPr>
      <w:r w:rsidRPr="000B65DE">
        <w:rPr>
          <w:rFonts w:ascii="Bookman Old Style" w:hAnsi="Bookman Old Style" w:cs="Arial"/>
          <w:color w:val="666666"/>
          <w:lang w:val="es-CO" w:eastAsia="es-CO"/>
        </w:rPr>
        <w:br/>
      </w:r>
      <w:r w:rsidRPr="000B65DE">
        <w:rPr>
          <w:rFonts w:ascii="Bookman Old Style" w:hAnsi="Bookman Old Style" w:cs="Arial"/>
          <w:lang w:val="es-CO" w:eastAsia="es-CO"/>
        </w:rPr>
        <w:t>Para efectos de la aplicación de las disposiciones contenidas en esta Resolución y de lo dispuesto en las Leyes 1437 de 2011 y 142 de 1994 o aquellas que las modifiquen, aclaren o sustituyan y con el fin de las comunicaciones correspondientes a terceros, las empresas que presenten estudio tarifario para la fijación de cargos de distribución deberán remitir un resumen de la solicitud tarifaria presentada a la Comisión, que contenga la siguiente información:</w:t>
      </w:r>
    </w:p>
    <w:p w:rsidR="000B65DE" w:rsidRPr="000B65DE" w:rsidRDefault="000B65DE" w:rsidP="000B65DE">
      <w:pPr>
        <w:ind w:left="0"/>
        <w:jc w:val="both"/>
        <w:rPr>
          <w:rFonts w:ascii="Bookman Old Style" w:hAnsi="Bookman Old Style" w:cs="Arial"/>
          <w:lang w:val="es-CO" w:eastAsia="es-CO"/>
        </w:rPr>
      </w:pPr>
    </w:p>
    <w:p w:rsidR="000B65DE" w:rsidRPr="008E426C" w:rsidRDefault="000B65DE" w:rsidP="008F4D9F">
      <w:pPr>
        <w:numPr>
          <w:ilvl w:val="2"/>
          <w:numId w:val="39"/>
        </w:numPr>
        <w:ind w:left="284" w:hanging="284"/>
        <w:jc w:val="both"/>
        <w:rPr>
          <w:rFonts w:ascii="Bookman Old Style" w:hAnsi="Bookman Old Style" w:cs="Arial"/>
          <w:lang w:val="es-CO" w:eastAsia="es-CO"/>
        </w:rPr>
      </w:pPr>
      <w:r w:rsidRPr="000B65DE">
        <w:rPr>
          <w:rFonts w:ascii="Bookman Old Style" w:hAnsi="Bookman Old Style" w:cs="Arial"/>
          <w:lang w:val="es-CO" w:eastAsia="es-CO"/>
        </w:rPr>
        <w:t xml:space="preserve">Identificar cada uno de los Municipios que conformarán el Mercado Relevante de Distribución </w:t>
      </w:r>
      <w:r w:rsidR="00264F37">
        <w:rPr>
          <w:rFonts w:ascii="Bookman Old Style" w:hAnsi="Bookman Old Style" w:cs="Arial"/>
          <w:lang w:val="es-CO" w:eastAsia="es-CO"/>
        </w:rPr>
        <w:t>Para el Siguiente Periodo Tarifario p</w:t>
      </w:r>
      <w:r w:rsidRPr="000B65DE">
        <w:rPr>
          <w:rFonts w:ascii="Bookman Old Style" w:hAnsi="Bookman Old Style" w:cs="Arial"/>
          <w:lang w:val="es-CO" w:eastAsia="es-CO"/>
        </w:rPr>
        <w:t xml:space="preserve">ropuesto y para el cual la empresa está interesada en obtener un Cargo de Distribución. </w:t>
      </w:r>
    </w:p>
    <w:p w:rsidR="000B65DE" w:rsidRPr="000B65DE" w:rsidRDefault="000B65DE" w:rsidP="000B65DE">
      <w:pPr>
        <w:ind w:left="284" w:hanging="142"/>
        <w:jc w:val="both"/>
        <w:rPr>
          <w:rFonts w:ascii="Bookman Old Style" w:hAnsi="Bookman Old Style" w:cs="Arial"/>
          <w:sz w:val="20"/>
          <w:szCs w:val="20"/>
          <w:lang w:val="es-CO" w:eastAsia="es-CO"/>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83"/>
        <w:gridCol w:w="2748"/>
        <w:gridCol w:w="2926"/>
        <w:gridCol w:w="2089"/>
      </w:tblGrid>
      <w:tr w:rsidR="000B65DE" w:rsidRPr="000B65DE" w:rsidTr="00382E27">
        <w:tc>
          <w:tcPr>
            <w:tcW w:w="9146" w:type="dxa"/>
            <w:gridSpan w:val="4"/>
            <w:shd w:val="clear" w:color="auto" w:fill="D9D9D9"/>
          </w:tcPr>
          <w:p w:rsidR="000B65DE" w:rsidRPr="0031459E" w:rsidRDefault="00AB038D" w:rsidP="00AB038D">
            <w:pPr>
              <w:ind w:left="284" w:hanging="142"/>
              <w:jc w:val="center"/>
              <w:rPr>
                <w:rFonts w:ascii="Bookman Old Style" w:hAnsi="Bookman Old Style" w:cs="Arial"/>
                <w:b/>
                <w:lang w:val="es-CO" w:eastAsia="es-CO"/>
              </w:rPr>
            </w:pPr>
            <w:r>
              <w:rPr>
                <w:rFonts w:ascii="Bookman Old Style" w:hAnsi="Bookman Old Style" w:cs="Arial"/>
                <w:b/>
                <w:lang w:val="es-CO" w:eastAsia="es-CO"/>
              </w:rPr>
              <w:t xml:space="preserve">SOLICITUD DE </w:t>
            </w:r>
            <w:r w:rsidR="000B65DE" w:rsidRPr="0031459E">
              <w:rPr>
                <w:rFonts w:ascii="Bookman Old Style" w:hAnsi="Bookman Old Style" w:cs="Arial"/>
                <w:b/>
                <w:lang w:val="es-CO" w:eastAsia="es-CO"/>
              </w:rPr>
              <w:t xml:space="preserve">MERCADO RELEVANTE </w:t>
            </w:r>
            <w:r w:rsidR="00264F37" w:rsidRPr="0031459E">
              <w:rPr>
                <w:rFonts w:ascii="Bookman Old Style" w:hAnsi="Bookman Old Style" w:cs="Arial"/>
                <w:b/>
                <w:lang w:val="es-CO" w:eastAsia="es-CO"/>
              </w:rPr>
              <w:t xml:space="preserve">DE DISTRIBUCIÓN </w:t>
            </w:r>
            <w:r w:rsidR="00264F37">
              <w:rPr>
                <w:rFonts w:ascii="Bookman Old Style" w:hAnsi="Bookman Old Style" w:cs="Arial"/>
                <w:b/>
                <w:lang w:val="es-CO" w:eastAsia="es-CO"/>
              </w:rPr>
              <w:t xml:space="preserve">PARA EL SIGUIENTE PERIODO TARIFARIO </w:t>
            </w:r>
          </w:p>
        </w:tc>
      </w:tr>
      <w:tr w:rsidR="000B65DE" w:rsidRPr="000B65DE" w:rsidTr="00382E27">
        <w:tc>
          <w:tcPr>
            <w:tcW w:w="1383" w:type="dxa"/>
            <w:shd w:val="clear" w:color="auto" w:fill="D9D9D9"/>
          </w:tcPr>
          <w:p w:rsidR="000B65DE" w:rsidRPr="000B65DE" w:rsidRDefault="00264F37" w:rsidP="00382E27">
            <w:pPr>
              <w:ind w:left="-142"/>
              <w:jc w:val="center"/>
              <w:rPr>
                <w:rFonts w:ascii="Bookman Old Style" w:hAnsi="Bookman Old Style" w:cs="Arial"/>
                <w:b/>
                <w:lang w:eastAsia="es-CO"/>
              </w:rPr>
            </w:pPr>
            <w:r w:rsidRPr="000B65DE">
              <w:rPr>
                <w:rFonts w:ascii="Bookman Old Style" w:hAnsi="Bookman Old Style" w:cs="Arial"/>
                <w:b/>
                <w:lang w:eastAsia="es-CO"/>
              </w:rPr>
              <w:t>Codigo Dane</w:t>
            </w:r>
            <w:r w:rsidR="00AB038D">
              <w:rPr>
                <w:rFonts w:ascii="Bookman Old Style" w:hAnsi="Bookman Old Style" w:cs="Arial"/>
                <w:b/>
                <w:lang w:eastAsia="es-CO"/>
              </w:rPr>
              <w:t xml:space="preserve"> del Municipio</w:t>
            </w:r>
          </w:p>
        </w:tc>
        <w:tc>
          <w:tcPr>
            <w:tcW w:w="2748" w:type="dxa"/>
            <w:shd w:val="clear" w:color="auto" w:fill="D9D9D9"/>
          </w:tcPr>
          <w:p w:rsidR="000B65DE" w:rsidRDefault="00264F37" w:rsidP="00382E27">
            <w:pPr>
              <w:ind w:left="-142"/>
              <w:jc w:val="center"/>
              <w:rPr>
                <w:rFonts w:ascii="Bookman Old Style" w:hAnsi="Bookman Old Style" w:cs="Arial"/>
                <w:b/>
                <w:lang w:eastAsia="es-CO"/>
              </w:rPr>
            </w:pPr>
            <w:r w:rsidRPr="000B65DE">
              <w:rPr>
                <w:rFonts w:ascii="Bookman Old Style" w:hAnsi="Bookman Old Style" w:cs="Arial"/>
                <w:b/>
                <w:lang w:eastAsia="es-CO"/>
              </w:rPr>
              <w:t>Municipios Existentes</w:t>
            </w:r>
          </w:p>
          <w:p w:rsidR="00264F37" w:rsidRPr="000B65DE" w:rsidRDefault="00264F37" w:rsidP="00382E27">
            <w:pPr>
              <w:ind w:left="-142"/>
              <w:jc w:val="center"/>
              <w:rPr>
                <w:rFonts w:ascii="Bookman Old Style" w:hAnsi="Bookman Old Style" w:cs="Arial"/>
                <w:b/>
                <w:lang w:eastAsia="es-CO"/>
              </w:rPr>
            </w:pPr>
            <w:r>
              <w:rPr>
                <w:rFonts w:ascii="Bookman Old Style" w:hAnsi="Bookman Old Style" w:cs="Arial"/>
                <w:b/>
                <w:lang w:eastAsia="es-CO"/>
              </w:rPr>
              <w:t>Del Mercado De Distribución  Existente</w:t>
            </w:r>
          </w:p>
        </w:tc>
        <w:tc>
          <w:tcPr>
            <w:tcW w:w="2926" w:type="dxa"/>
            <w:shd w:val="clear" w:color="auto" w:fill="D9D9D9"/>
          </w:tcPr>
          <w:p w:rsidR="000B65DE" w:rsidRPr="0031459E" w:rsidRDefault="00264F37" w:rsidP="00264F37">
            <w:pPr>
              <w:ind w:left="-142"/>
              <w:jc w:val="center"/>
              <w:rPr>
                <w:rFonts w:ascii="Bookman Old Style" w:hAnsi="Bookman Old Style" w:cs="Arial"/>
                <w:b/>
                <w:lang w:val="es-CO" w:eastAsia="es-CO"/>
              </w:rPr>
            </w:pPr>
            <w:r w:rsidRPr="0031459E">
              <w:rPr>
                <w:rFonts w:ascii="Bookman Old Style" w:hAnsi="Bookman Old Style" w:cs="Arial"/>
                <w:b/>
                <w:lang w:eastAsia="es-CO"/>
              </w:rPr>
              <w:t xml:space="preserve">Municipios Que Conformaban </w:t>
            </w:r>
            <w:r>
              <w:rPr>
                <w:rFonts w:ascii="Bookman Old Style" w:hAnsi="Bookman Old Style" w:cs="Arial"/>
                <w:b/>
                <w:lang w:eastAsia="es-CO"/>
              </w:rPr>
              <w:t xml:space="preserve">El </w:t>
            </w:r>
            <w:r w:rsidRPr="0031459E">
              <w:rPr>
                <w:rFonts w:ascii="Bookman Old Style" w:hAnsi="Bookman Old Style" w:cs="Arial"/>
                <w:b/>
                <w:lang w:eastAsia="es-CO"/>
              </w:rPr>
              <w:t>Otro Mercado Existente</w:t>
            </w:r>
            <w:r>
              <w:rPr>
                <w:rFonts w:ascii="Bookman Old Style" w:hAnsi="Bookman Old Style" w:cs="Arial"/>
                <w:b/>
                <w:lang w:eastAsia="es-CO"/>
              </w:rPr>
              <w:t xml:space="preserve"> De Distribución Que Se Va A Agregar</w:t>
            </w:r>
          </w:p>
        </w:tc>
        <w:tc>
          <w:tcPr>
            <w:tcW w:w="2089" w:type="dxa"/>
            <w:shd w:val="clear" w:color="auto" w:fill="D9D9D9"/>
          </w:tcPr>
          <w:p w:rsidR="000B65DE" w:rsidRPr="0031459E" w:rsidRDefault="00264F37" w:rsidP="00382E27">
            <w:pPr>
              <w:ind w:left="-142"/>
              <w:jc w:val="center"/>
              <w:rPr>
                <w:rFonts w:ascii="Bookman Old Style" w:hAnsi="Bookman Old Style" w:cs="Arial"/>
                <w:b/>
                <w:lang w:val="es-CO" w:eastAsia="es-CO"/>
              </w:rPr>
            </w:pPr>
            <w:r w:rsidRPr="0031459E">
              <w:rPr>
                <w:rFonts w:ascii="Bookman Old Style" w:hAnsi="Bookman Old Style" w:cs="Arial"/>
                <w:b/>
                <w:lang w:eastAsia="es-CO"/>
              </w:rPr>
              <w:t>Municipios Nuevos</w:t>
            </w:r>
            <w:r>
              <w:rPr>
                <w:rFonts w:ascii="Bookman Old Style" w:hAnsi="Bookman Old Style" w:cs="Arial"/>
                <w:b/>
                <w:lang w:eastAsia="es-CO"/>
              </w:rPr>
              <w:t xml:space="preserve"> Que Se Anexan A Mercados Existentes De Distribución</w:t>
            </w:r>
          </w:p>
        </w:tc>
      </w:tr>
      <w:tr w:rsidR="000B65DE" w:rsidRPr="000B65DE" w:rsidTr="00382E27">
        <w:tc>
          <w:tcPr>
            <w:tcW w:w="1383" w:type="dxa"/>
            <w:shd w:val="clear" w:color="auto" w:fill="auto"/>
          </w:tcPr>
          <w:p w:rsidR="000B65DE" w:rsidRPr="000B65DE" w:rsidRDefault="000B65DE" w:rsidP="00382E27">
            <w:pPr>
              <w:ind w:left="284" w:hanging="142"/>
              <w:jc w:val="both"/>
              <w:rPr>
                <w:rFonts w:ascii="Bookman Old Style" w:hAnsi="Bookman Old Style" w:cs="Arial"/>
                <w:lang w:val="es-CO" w:eastAsia="es-CO"/>
              </w:rPr>
            </w:pPr>
          </w:p>
        </w:tc>
        <w:tc>
          <w:tcPr>
            <w:tcW w:w="2748" w:type="dxa"/>
            <w:shd w:val="clear" w:color="auto" w:fill="auto"/>
          </w:tcPr>
          <w:p w:rsidR="000B65DE" w:rsidRPr="000B65DE" w:rsidRDefault="000B65DE" w:rsidP="00382E27">
            <w:pPr>
              <w:ind w:left="284" w:hanging="142"/>
              <w:jc w:val="both"/>
              <w:rPr>
                <w:rFonts w:ascii="Bookman Old Style" w:hAnsi="Bookman Old Style" w:cs="Arial"/>
                <w:lang w:val="es-CO" w:eastAsia="es-CO"/>
              </w:rPr>
            </w:pPr>
          </w:p>
        </w:tc>
        <w:tc>
          <w:tcPr>
            <w:tcW w:w="2926" w:type="dxa"/>
            <w:shd w:val="clear" w:color="auto" w:fill="auto"/>
          </w:tcPr>
          <w:p w:rsidR="000B65DE" w:rsidRPr="000B65DE" w:rsidRDefault="000B65DE" w:rsidP="00382E27">
            <w:pPr>
              <w:ind w:left="284" w:hanging="142"/>
              <w:jc w:val="both"/>
              <w:rPr>
                <w:rFonts w:ascii="Bookman Old Style" w:hAnsi="Bookman Old Style" w:cs="Arial"/>
                <w:lang w:val="es-CO" w:eastAsia="es-CO"/>
              </w:rPr>
            </w:pPr>
          </w:p>
        </w:tc>
        <w:tc>
          <w:tcPr>
            <w:tcW w:w="2089" w:type="dxa"/>
            <w:shd w:val="clear" w:color="auto" w:fill="auto"/>
          </w:tcPr>
          <w:p w:rsidR="000B65DE" w:rsidRPr="000B65DE" w:rsidRDefault="000B65DE" w:rsidP="00382E27">
            <w:pPr>
              <w:ind w:left="284" w:hanging="142"/>
              <w:jc w:val="both"/>
              <w:rPr>
                <w:rFonts w:ascii="Bookman Old Style" w:hAnsi="Bookman Old Style" w:cs="Arial"/>
                <w:lang w:val="es-CO" w:eastAsia="es-CO"/>
              </w:rPr>
            </w:pPr>
          </w:p>
        </w:tc>
      </w:tr>
      <w:tr w:rsidR="000B65DE" w:rsidRPr="000B65DE" w:rsidTr="00382E27">
        <w:tc>
          <w:tcPr>
            <w:tcW w:w="1383" w:type="dxa"/>
            <w:shd w:val="clear" w:color="auto" w:fill="auto"/>
          </w:tcPr>
          <w:p w:rsidR="000B65DE" w:rsidRPr="000B65DE" w:rsidRDefault="000B65DE" w:rsidP="00382E27">
            <w:pPr>
              <w:ind w:left="284" w:hanging="142"/>
              <w:jc w:val="both"/>
              <w:rPr>
                <w:rFonts w:ascii="Bookman Old Style" w:hAnsi="Bookman Old Style" w:cs="Arial"/>
                <w:lang w:val="es-CO" w:eastAsia="es-CO"/>
              </w:rPr>
            </w:pPr>
          </w:p>
        </w:tc>
        <w:tc>
          <w:tcPr>
            <w:tcW w:w="2748" w:type="dxa"/>
            <w:shd w:val="clear" w:color="auto" w:fill="auto"/>
          </w:tcPr>
          <w:p w:rsidR="000B65DE" w:rsidRPr="000B65DE" w:rsidRDefault="000B65DE" w:rsidP="00382E27">
            <w:pPr>
              <w:ind w:left="284" w:hanging="142"/>
              <w:jc w:val="both"/>
              <w:rPr>
                <w:rFonts w:ascii="Bookman Old Style" w:hAnsi="Bookman Old Style" w:cs="Arial"/>
                <w:lang w:val="es-CO" w:eastAsia="es-CO"/>
              </w:rPr>
            </w:pPr>
          </w:p>
        </w:tc>
        <w:tc>
          <w:tcPr>
            <w:tcW w:w="2926" w:type="dxa"/>
            <w:shd w:val="clear" w:color="auto" w:fill="auto"/>
          </w:tcPr>
          <w:p w:rsidR="000B65DE" w:rsidRPr="000B65DE" w:rsidRDefault="000B65DE" w:rsidP="00382E27">
            <w:pPr>
              <w:ind w:left="284" w:hanging="142"/>
              <w:jc w:val="both"/>
              <w:rPr>
                <w:rFonts w:ascii="Bookman Old Style" w:hAnsi="Bookman Old Style" w:cs="Arial"/>
                <w:lang w:val="es-CO" w:eastAsia="es-CO"/>
              </w:rPr>
            </w:pPr>
          </w:p>
        </w:tc>
        <w:tc>
          <w:tcPr>
            <w:tcW w:w="2089" w:type="dxa"/>
            <w:shd w:val="clear" w:color="auto" w:fill="auto"/>
          </w:tcPr>
          <w:p w:rsidR="000B65DE" w:rsidRPr="000B65DE" w:rsidRDefault="000B65DE" w:rsidP="00382E27">
            <w:pPr>
              <w:ind w:left="284" w:hanging="142"/>
              <w:jc w:val="both"/>
              <w:rPr>
                <w:rFonts w:ascii="Bookman Old Style" w:hAnsi="Bookman Old Style" w:cs="Arial"/>
                <w:lang w:val="es-CO" w:eastAsia="es-CO"/>
              </w:rPr>
            </w:pPr>
          </w:p>
        </w:tc>
      </w:tr>
      <w:tr w:rsidR="000B65DE" w:rsidRPr="000B65DE" w:rsidTr="00382E27">
        <w:tc>
          <w:tcPr>
            <w:tcW w:w="1383" w:type="dxa"/>
            <w:shd w:val="clear" w:color="auto" w:fill="auto"/>
          </w:tcPr>
          <w:p w:rsidR="000B65DE" w:rsidRPr="000B65DE" w:rsidRDefault="000B65DE" w:rsidP="00382E27">
            <w:pPr>
              <w:ind w:left="284" w:hanging="142"/>
              <w:jc w:val="both"/>
              <w:rPr>
                <w:rFonts w:ascii="Bookman Old Style" w:hAnsi="Bookman Old Style" w:cs="Arial"/>
                <w:lang w:val="es-CO" w:eastAsia="es-CO"/>
              </w:rPr>
            </w:pPr>
          </w:p>
        </w:tc>
        <w:tc>
          <w:tcPr>
            <w:tcW w:w="2748" w:type="dxa"/>
            <w:shd w:val="clear" w:color="auto" w:fill="auto"/>
          </w:tcPr>
          <w:p w:rsidR="000B65DE" w:rsidRPr="000B65DE" w:rsidRDefault="000B65DE" w:rsidP="00382E27">
            <w:pPr>
              <w:ind w:left="284" w:hanging="142"/>
              <w:jc w:val="both"/>
              <w:rPr>
                <w:rFonts w:ascii="Bookman Old Style" w:hAnsi="Bookman Old Style" w:cs="Arial"/>
                <w:lang w:val="es-CO" w:eastAsia="es-CO"/>
              </w:rPr>
            </w:pPr>
          </w:p>
        </w:tc>
        <w:tc>
          <w:tcPr>
            <w:tcW w:w="2926" w:type="dxa"/>
            <w:shd w:val="clear" w:color="auto" w:fill="auto"/>
          </w:tcPr>
          <w:p w:rsidR="000B65DE" w:rsidRPr="000B65DE" w:rsidRDefault="000B65DE" w:rsidP="00382E27">
            <w:pPr>
              <w:ind w:left="284" w:hanging="142"/>
              <w:jc w:val="both"/>
              <w:rPr>
                <w:rFonts w:ascii="Bookman Old Style" w:hAnsi="Bookman Old Style" w:cs="Arial"/>
                <w:lang w:val="es-CO" w:eastAsia="es-CO"/>
              </w:rPr>
            </w:pPr>
          </w:p>
        </w:tc>
        <w:tc>
          <w:tcPr>
            <w:tcW w:w="2089" w:type="dxa"/>
            <w:shd w:val="clear" w:color="auto" w:fill="auto"/>
          </w:tcPr>
          <w:p w:rsidR="000B65DE" w:rsidRPr="000B65DE" w:rsidRDefault="000B65DE" w:rsidP="00382E27">
            <w:pPr>
              <w:ind w:left="284" w:hanging="142"/>
              <w:jc w:val="both"/>
              <w:rPr>
                <w:rFonts w:ascii="Bookman Old Style" w:hAnsi="Bookman Old Style" w:cs="Arial"/>
                <w:lang w:val="es-CO" w:eastAsia="es-CO"/>
              </w:rPr>
            </w:pPr>
          </w:p>
        </w:tc>
      </w:tr>
    </w:tbl>
    <w:p w:rsidR="000B65DE" w:rsidRPr="000B65DE" w:rsidRDefault="000B65DE" w:rsidP="000B65DE">
      <w:pPr>
        <w:ind w:left="284" w:hanging="142"/>
        <w:jc w:val="both"/>
        <w:rPr>
          <w:rFonts w:ascii="Bookman Old Style" w:hAnsi="Bookman Old Style" w:cs="Arial"/>
          <w:sz w:val="20"/>
          <w:szCs w:val="20"/>
          <w:lang w:val="es-CO" w:eastAsia="es-CO"/>
        </w:rPr>
      </w:pPr>
    </w:p>
    <w:p w:rsidR="000B65DE" w:rsidRPr="000B65DE" w:rsidRDefault="000B65DE" w:rsidP="008F4D9F">
      <w:pPr>
        <w:numPr>
          <w:ilvl w:val="2"/>
          <w:numId w:val="39"/>
        </w:numPr>
        <w:ind w:left="284" w:hanging="284"/>
        <w:jc w:val="both"/>
        <w:rPr>
          <w:rFonts w:ascii="Bookman Old Style" w:hAnsi="Bookman Old Style" w:cs="Arial"/>
          <w:lang w:val="es-CO" w:eastAsia="es-CO"/>
        </w:rPr>
      </w:pPr>
      <w:r w:rsidRPr="000B65DE">
        <w:rPr>
          <w:rFonts w:ascii="Bookman Old Style" w:hAnsi="Bookman Old Style" w:cs="Arial"/>
          <w:lang w:val="es-CO" w:eastAsia="es-CO"/>
        </w:rPr>
        <w:t>Inversión Existente expresada en millones de pesos de la Fecha Base y para el año de corte de los municipios existentes que van a conformar el Mercado Relevante de Distribución para el Siguiente Período Tarifario.</w:t>
      </w:r>
      <w:r w:rsidRPr="000B65DE" w:rsidDel="00453062">
        <w:rPr>
          <w:rFonts w:ascii="Bookman Old Style" w:hAnsi="Bookman Old Style" w:cs="Arial"/>
          <w:lang w:val="es-CO" w:eastAsia="es-CO"/>
        </w:rPr>
        <w:t xml:space="preserve"> </w:t>
      </w:r>
    </w:p>
    <w:p w:rsidR="000B65DE" w:rsidRPr="000B65DE" w:rsidRDefault="000B65DE" w:rsidP="000B65DE">
      <w:pPr>
        <w:ind w:left="142"/>
        <w:jc w:val="both"/>
        <w:rPr>
          <w:rFonts w:ascii="Bookman Old Style" w:hAnsi="Bookman Old Style" w:cs="Arial"/>
          <w:lang w:val="es-CO" w:eastAsia="es-CO"/>
        </w:rPr>
      </w:pPr>
    </w:p>
    <w:p w:rsidR="000B65DE" w:rsidRPr="000B65DE" w:rsidRDefault="000B65DE" w:rsidP="008F4D9F">
      <w:pPr>
        <w:numPr>
          <w:ilvl w:val="2"/>
          <w:numId w:val="39"/>
        </w:numPr>
        <w:ind w:left="284" w:hanging="284"/>
        <w:jc w:val="both"/>
        <w:rPr>
          <w:rFonts w:ascii="Bookman Old Style" w:hAnsi="Bookman Old Style" w:cs="Arial"/>
          <w:lang w:val="es-CO" w:eastAsia="es-CO"/>
        </w:rPr>
      </w:pPr>
      <w:r w:rsidRPr="000B65DE">
        <w:rPr>
          <w:rFonts w:ascii="Bookman Old Style" w:hAnsi="Bookman Old Style" w:cs="Arial"/>
          <w:lang w:val="es-CO" w:eastAsia="es-CO"/>
        </w:rPr>
        <w:t>Programa de inversiones para los municipios nuevos que van a conformar el Mercado Relevante de Distribución para el Siguiente Período Tarifario.</w:t>
      </w:r>
    </w:p>
    <w:p w:rsidR="000B65DE" w:rsidRPr="000B65DE" w:rsidRDefault="000B65DE" w:rsidP="000B65DE">
      <w:pPr>
        <w:ind w:left="142"/>
        <w:jc w:val="both"/>
        <w:rPr>
          <w:rFonts w:ascii="Bookman Old Style" w:hAnsi="Bookman Old Style" w:cs="Arial"/>
          <w:lang w:val="es-CO" w:eastAsia="es-CO"/>
        </w:rPr>
      </w:pPr>
    </w:p>
    <w:p w:rsidR="000B65DE" w:rsidRPr="000B65DE" w:rsidRDefault="000B65DE" w:rsidP="008F4D9F">
      <w:pPr>
        <w:numPr>
          <w:ilvl w:val="2"/>
          <w:numId w:val="39"/>
        </w:numPr>
        <w:ind w:left="284" w:hanging="284"/>
        <w:jc w:val="both"/>
        <w:rPr>
          <w:rFonts w:ascii="Bookman Old Style" w:hAnsi="Bookman Old Style" w:cs="Arial"/>
          <w:lang w:val="es-CO" w:eastAsia="es-CO"/>
        </w:rPr>
      </w:pPr>
      <w:r w:rsidRPr="000B65DE">
        <w:rPr>
          <w:rFonts w:ascii="Bookman Old Style" w:hAnsi="Bookman Old Style" w:cs="Arial"/>
          <w:lang w:val="es-CO" w:eastAsia="es-CO"/>
        </w:rPr>
        <w:t>Demanda total expresada en metros cúbicos (m</w:t>
      </w:r>
      <w:r w:rsidRPr="00264F37">
        <w:rPr>
          <w:rFonts w:ascii="Bookman Old Style" w:hAnsi="Bookman Old Style" w:cs="Arial"/>
          <w:lang w:val="es-CO" w:eastAsia="es-CO"/>
        </w:rPr>
        <w:t>3</w:t>
      </w:r>
      <w:r w:rsidRPr="000B65DE">
        <w:rPr>
          <w:rFonts w:ascii="Bookman Old Style" w:hAnsi="Bookman Old Style" w:cs="Arial"/>
          <w:lang w:val="es-CO" w:eastAsia="es-CO"/>
        </w:rPr>
        <w:t>) obtenida en el año de corte para cada uno de los municipios existentes y que van a conformar el Mercado Relevante de Distribución para el Siguiente Período Tarifario.</w:t>
      </w:r>
    </w:p>
    <w:p w:rsidR="000B65DE" w:rsidRPr="000B65DE" w:rsidRDefault="000B65DE" w:rsidP="00264F37">
      <w:pPr>
        <w:ind w:left="284"/>
        <w:jc w:val="both"/>
        <w:rPr>
          <w:rFonts w:ascii="Bookman Old Style" w:hAnsi="Bookman Old Style" w:cs="Arial"/>
          <w:lang w:val="es-CO" w:eastAsia="es-CO"/>
        </w:rPr>
      </w:pPr>
    </w:p>
    <w:p w:rsidR="000B65DE" w:rsidRPr="000B65DE" w:rsidRDefault="000B65DE" w:rsidP="008F4D9F">
      <w:pPr>
        <w:numPr>
          <w:ilvl w:val="2"/>
          <w:numId w:val="39"/>
        </w:numPr>
        <w:ind w:left="284" w:hanging="284"/>
        <w:jc w:val="both"/>
        <w:rPr>
          <w:rFonts w:ascii="Bookman Old Style" w:hAnsi="Bookman Old Style" w:cs="Arial"/>
          <w:lang w:val="es-CO" w:eastAsia="es-CO"/>
        </w:rPr>
      </w:pPr>
      <w:r w:rsidRPr="000B65DE">
        <w:rPr>
          <w:rFonts w:ascii="Bookman Old Style" w:hAnsi="Bookman Old Style" w:cs="Arial"/>
          <w:lang w:val="es-CO" w:eastAsia="es-CO"/>
        </w:rPr>
        <w:t>Volúmenes anuales proyectados de consumo expresados en metros cúbicos para los Municipios Nuevos que van a conformar el Mercado Relevante de Distribución para el Siguiente Período Tarifario.</w:t>
      </w:r>
    </w:p>
    <w:p w:rsidR="000B65DE" w:rsidRPr="000B65DE" w:rsidRDefault="000B65DE" w:rsidP="00264F37">
      <w:pPr>
        <w:ind w:left="284"/>
        <w:jc w:val="both"/>
        <w:rPr>
          <w:rFonts w:ascii="Bookman Old Style" w:hAnsi="Bookman Old Style" w:cs="Arial"/>
          <w:lang w:val="es-CO" w:eastAsia="es-CO"/>
        </w:rPr>
      </w:pPr>
    </w:p>
    <w:p w:rsidR="000B65DE" w:rsidRDefault="000B65DE" w:rsidP="008F4D9F">
      <w:pPr>
        <w:numPr>
          <w:ilvl w:val="2"/>
          <w:numId w:val="39"/>
        </w:numPr>
        <w:ind w:left="284" w:hanging="284"/>
        <w:jc w:val="both"/>
        <w:rPr>
          <w:rFonts w:ascii="Bookman Old Style" w:hAnsi="Bookman Old Style" w:cs="Arial"/>
          <w:lang w:val="es-CO" w:eastAsia="es-CO"/>
        </w:rPr>
      </w:pPr>
      <w:r w:rsidRPr="00264F37">
        <w:rPr>
          <w:rFonts w:ascii="Bookman Old Style" w:hAnsi="Bookman Old Style" w:cs="Arial"/>
          <w:lang w:val="es-CO" w:eastAsia="es-CO"/>
        </w:rPr>
        <w:t>Gastos de AOM</w:t>
      </w:r>
      <w:r w:rsidR="00547822" w:rsidRPr="00264F37">
        <w:rPr>
          <w:rFonts w:ascii="Bookman Old Style" w:hAnsi="Bookman Old Style" w:cs="Arial"/>
          <w:lang w:val="es-CO" w:eastAsia="es-CO"/>
        </w:rPr>
        <w:t xml:space="preserve"> </w:t>
      </w:r>
      <w:r w:rsidRPr="00264F37">
        <w:rPr>
          <w:rFonts w:ascii="Bookman Old Style" w:hAnsi="Bookman Old Style" w:cs="Arial"/>
          <w:lang w:val="es-CO" w:eastAsia="es-CO"/>
        </w:rPr>
        <w:t>en pesos de la Fecha Base</w:t>
      </w:r>
      <w:r w:rsidR="00547822" w:rsidRPr="00264F37">
        <w:rPr>
          <w:rFonts w:ascii="Bookman Old Style" w:hAnsi="Bookman Old Style" w:cs="Arial"/>
          <w:lang w:val="es-CO" w:eastAsia="es-CO"/>
        </w:rPr>
        <w:t>,</w:t>
      </w:r>
      <w:r w:rsidRPr="00264F37">
        <w:rPr>
          <w:rFonts w:ascii="Bookman Old Style" w:hAnsi="Bookman Old Style" w:cs="Arial"/>
          <w:lang w:val="es-CO" w:eastAsia="es-CO"/>
        </w:rPr>
        <w:t xml:space="preserve"> </w:t>
      </w:r>
      <w:r w:rsidR="00547822" w:rsidRPr="00264F37">
        <w:rPr>
          <w:rFonts w:ascii="Bookman Old Style" w:hAnsi="Bookman Old Style" w:cs="Arial"/>
          <w:lang w:val="es-CO" w:eastAsia="es-CO"/>
        </w:rPr>
        <w:t xml:space="preserve">conforme a lo dispuesto en el ANEXO 10, </w:t>
      </w:r>
      <w:r w:rsidRPr="00264F37">
        <w:rPr>
          <w:rFonts w:ascii="Bookman Old Style" w:hAnsi="Bookman Old Style" w:cs="Arial"/>
          <w:lang w:val="es-CO" w:eastAsia="es-CO"/>
        </w:rPr>
        <w:t xml:space="preserve">reportados para </w:t>
      </w:r>
      <w:r w:rsidR="00264F37" w:rsidRPr="00264F37">
        <w:rPr>
          <w:rFonts w:ascii="Bookman Old Style" w:hAnsi="Bookman Old Style" w:cs="Arial"/>
          <w:lang w:val="es-CO" w:eastAsia="es-CO"/>
        </w:rPr>
        <w:t>los años solicitados</w:t>
      </w:r>
      <w:r w:rsidR="00264F37">
        <w:rPr>
          <w:rFonts w:ascii="Bookman Old Style" w:hAnsi="Bookman Old Style" w:cs="Arial"/>
          <w:lang w:val="es-CO" w:eastAsia="es-CO"/>
        </w:rPr>
        <w:t>.</w:t>
      </w:r>
    </w:p>
    <w:p w:rsidR="000B65DE" w:rsidRPr="000B65DE" w:rsidRDefault="000B65DE" w:rsidP="000B65DE">
      <w:pPr>
        <w:ind w:left="284"/>
        <w:jc w:val="both"/>
        <w:rPr>
          <w:rFonts w:ascii="Bookman Old Style" w:hAnsi="Bookman Old Style" w:cs="Arial"/>
          <w:lang w:val="es-CO" w:eastAsia="es-CO"/>
        </w:rPr>
      </w:pPr>
    </w:p>
    <w:p w:rsidR="000B65DE" w:rsidRPr="000B65DE" w:rsidRDefault="000B65DE" w:rsidP="008F4D9F">
      <w:pPr>
        <w:numPr>
          <w:ilvl w:val="2"/>
          <w:numId w:val="39"/>
        </w:numPr>
        <w:ind w:left="284" w:hanging="284"/>
        <w:jc w:val="both"/>
        <w:rPr>
          <w:rFonts w:ascii="Bookman Old Style" w:hAnsi="Bookman Old Style" w:cs="Arial"/>
          <w:lang w:val="es-CO" w:eastAsia="es-CO"/>
        </w:rPr>
      </w:pPr>
      <w:r w:rsidRPr="000B65DE">
        <w:rPr>
          <w:rFonts w:ascii="Bookman Old Style" w:hAnsi="Bookman Old Style" w:cs="Arial"/>
          <w:lang w:val="es-CO" w:eastAsia="es-CO"/>
        </w:rPr>
        <w:t>Cargos de Distribución que se propone a la Comisión dentro del trámite administrativo de aprobación y de acuerdo con lo dispuesto en esta resolución.</w:t>
      </w:r>
    </w:p>
    <w:p w:rsidR="000B65DE" w:rsidRPr="000B65DE" w:rsidRDefault="000B65DE" w:rsidP="000B65DE">
      <w:pPr>
        <w:ind w:left="284"/>
        <w:jc w:val="both"/>
        <w:rPr>
          <w:rFonts w:ascii="Bookman Old Style" w:hAnsi="Bookman Old Style" w:cs="Arial"/>
          <w:lang w:val="es-CO" w:eastAsia="es-CO"/>
        </w:rPr>
      </w:pPr>
    </w:p>
    <w:p w:rsidR="000B65DE" w:rsidRPr="000B65DE" w:rsidRDefault="000B65DE" w:rsidP="008F4D9F">
      <w:pPr>
        <w:numPr>
          <w:ilvl w:val="2"/>
          <w:numId w:val="39"/>
        </w:numPr>
        <w:ind w:left="284" w:hanging="284"/>
        <w:jc w:val="both"/>
        <w:rPr>
          <w:rFonts w:ascii="Bookman Old Style" w:hAnsi="Bookman Old Style" w:cs="Arial"/>
          <w:lang w:val="es-CO" w:eastAsia="es-CO"/>
        </w:rPr>
      </w:pPr>
      <w:r w:rsidRPr="000B65DE">
        <w:rPr>
          <w:rFonts w:ascii="Bookman Old Style" w:hAnsi="Bookman Old Style" w:cs="Arial"/>
          <w:lang w:val="es-CO" w:eastAsia="es-CO"/>
        </w:rPr>
        <w:t xml:space="preserve">En caso de que el Sistema de Distribución del Mercado Relevante de Distribución para el Siguiente Período Tarifario se desprenda de otro </w:t>
      </w:r>
      <w:r w:rsidRPr="000B65DE">
        <w:rPr>
          <w:rFonts w:ascii="Bookman Old Style" w:hAnsi="Bookman Old Style" w:cs="Arial"/>
          <w:lang w:val="es-CO" w:eastAsia="es-CO"/>
        </w:rPr>
        <w:lastRenderedPageBreak/>
        <w:t>Mercado Relevante de Distribución indicar dicho mercado y el Cargo de Distribución que deberán pagar los usuarios por el uso de ese Sistema de Distribución.</w:t>
      </w:r>
    </w:p>
    <w:p w:rsidR="000B65DE" w:rsidRPr="000B65DE" w:rsidRDefault="000B65DE" w:rsidP="000B65DE">
      <w:pPr>
        <w:ind w:left="708"/>
        <w:rPr>
          <w:rFonts w:ascii="Bookman Old Style" w:hAnsi="Bookman Old Style" w:cs="Arial"/>
          <w:lang w:val="es-CO" w:eastAsia="es-CO"/>
        </w:rPr>
      </w:pPr>
    </w:p>
    <w:p w:rsidR="000B65DE" w:rsidRPr="000B65DE" w:rsidRDefault="000B65DE" w:rsidP="008F4D9F">
      <w:pPr>
        <w:numPr>
          <w:ilvl w:val="2"/>
          <w:numId w:val="39"/>
        </w:numPr>
        <w:ind w:left="284" w:hanging="426"/>
        <w:jc w:val="both"/>
        <w:rPr>
          <w:rFonts w:ascii="Bookman Old Style" w:hAnsi="Bookman Old Style" w:cs="Arial"/>
          <w:lang w:val="es-CO" w:eastAsia="es-CO"/>
        </w:rPr>
      </w:pPr>
      <w:r w:rsidRPr="000B65DE">
        <w:rPr>
          <w:rFonts w:ascii="Bookman Old Style" w:hAnsi="Bookman Old Style" w:cs="Arial"/>
          <w:lang w:val="es-CO" w:eastAsia="es-CO"/>
        </w:rPr>
        <w:t xml:space="preserve">El solicitante deberá indicar si el proyecto </w:t>
      </w:r>
      <w:r w:rsidRPr="00264F37">
        <w:rPr>
          <w:rFonts w:ascii="Bookman Old Style" w:hAnsi="Bookman Old Style" w:cs="Arial"/>
          <w:lang w:val="es-CO" w:eastAsia="es-CO"/>
        </w:rPr>
        <w:t xml:space="preserve">cuenta o no con recursos públicos y en caso afirmativo deberá indicar su procedencia, monto, destinación y deberá discriminar las inversiones que ejecutará con recursos propios y aquella que ejecutará con recursos públicos. </w:t>
      </w:r>
    </w:p>
    <w:p w:rsidR="000B65DE" w:rsidRPr="000B65DE" w:rsidRDefault="000B65DE" w:rsidP="000B65DE">
      <w:pPr>
        <w:ind w:left="284"/>
        <w:jc w:val="both"/>
        <w:rPr>
          <w:rFonts w:ascii="Bookman Old Style" w:hAnsi="Bookman Old Style" w:cs="Arial"/>
          <w:lang w:val="es-CO" w:eastAsia="es-CO"/>
        </w:rPr>
      </w:pPr>
    </w:p>
    <w:p w:rsidR="000B65DE" w:rsidRDefault="000B65DE" w:rsidP="000B65DE">
      <w:pPr>
        <w:ind w:left="284"/>
        <w:jc w:val="both"/>
        <w:rPr>
          <w:rFonts w:ascii="Bookman Old Style" w:hAnsi="Bookman Old Style" w:cs="Arial"/>
          <w:lang w:val="es-CO" w:eastAsia="es-CO"/>
        </w:rPr>
      </w:pPr>
    </w:p>
    <w:p w:rsidR="001D143C" w:rsidRDefault="001D143C" w:rsidP="000B65DE">
      <w:pPr>
        <w:ind w:left="284"/>
        <w:jc w:val="both"/>
        <w:rPr>
          <w:rFonts w:ascii="Bookman Old Style" w:hAnsi="Bookman Old Style" w:cs="Arial"/>
          <w:lang w:val="es-CO" w:eastAsia="es-CO"/>
        </w:rPr>
      </w:pPr>
    </w:p>
    <w:p w:rsidR="001D143C" w:rsidRPr="000B65DE" w:rsidRDefault="001D143C" w:rsidP="000B65DE">
      <w:pPr>
        <w:ind w:left="284"/>
        <w:jc w:val="both"/>
        <w:rPr>
          <w:rFonts w:ascii="Bookman Old Style" w:hAnsi="Bookman Old Style" w:cs="Arial"/>
          <w:lang w:val="es-CO" w:eastAsia="es-CO"/>
        </w:rPr>
      </w:pPr>
    </w:p>
    <w:p w:rsidR="000B65DE" w:rsidRPr="000B65DE" w:rsidRDefault="000B65DE" w:rsidP="000B65DE">
      <w:pPr>
        <w:ind w:left="284"/>
        <w:jc w:val="both"/>
        <w:rPr>
          <w:rFonts w:ascii="Bookman Old Style" w:hAnsi="Bookman Old Style" w:cs="Arial"/>
          <w:lang w:val="es-CO" w:eastAsia="es-CO"/>
        </w:rPr>
      </w:pPr>
    </w:p>
    <w:p w:rsidR="000B65DE" w:rsidRPr="000B65DE" w:rsidRDefault="000B65DE" w:rsidP="000B65DE">
      <w:pPr>
        <w:ind w:left="284"/>
        <w:jc w:val="both"/>
        <w:rPr>
          <w:rFonts w:ascii="Bookman Old Style" w:hAnsi="Bookman Old Style" w:cs="Arial"/>
          <w:lang w:val="es-CO" w:eastAsia="es-CO"/>
        </w:rPr>
      </w:pPr>
    </w:p>
    <w:tbl>
      <w:tblPr>
        <w:tblW w:w="9570" w:type="dxa"/>
        <w:jc w:val="right"/>
        <w:tblLayout w:type="fixed"/>
        <w:tblCellMar>
          <w:left w:w="70" w:type="dxa"/>
          <w:right w:w="70" w:type="dxa"/>
        </w:tblCellMar>
        <w:tblLook w:val="04A0" w:firstRow="1" w:lastRow="0" w:firstColumn="1" w:lastColumn="0" w:noHBand="0" w:noVBand="1"/>
      </w:tblPr>
      <w:tblGrid>
        <w:gridCol w:w="4875"/>
        <w:gridCol w:w="89"/>
        <w:gridCol w:w="4606"/>
      </w:tblGrid>
      <w:tr w:rsidR="001D6277" w:rsidRPr="000B65DE" w:rsidTr="001D6277">
        <w:trPr>
          <w:jc w:val="right"/>
        </w:trPr>
        <w:tc>
          <w:tcPr>
            <w:tcW w:w="4964" w:type="dxa"/>
            <w:gridSpan w:val="2"/>
            <w:hideMark/>
          </w:tcPr>
          <w:p w:rsidR="001D6277" w:rsidRPr="000B65DE" w:rsidRDefault="001D6277" w:rsidP="001D6277">
            <w:pPr>
              <w:ind w:left="0"/>
              <w:jc w:val="center"/>
              <w:rPr>
                <w:rFonts w:ascii="Bookman Old Style" w:hAnsi="Bookman Old Style" w:cs="Arial"/>
                <w:b/>
                <w:spacing w:val="-3"/>
                <w:lang w:val="es-ES_tradnl"/>
              </w:rPr>
            </w:pPr>
            <w:r>
              <w:rPr>
                <w:rFonts w:ascii="Bookman Old Style" w:hAnsi="Bookman Old Style" w:cs="Arial"/>
                <w:b/>
                <w:color w:val="000000"/>
              </w:rPr>
              <w:t>ORLANDO CABRALES SEGOVIA</w:t>
            </w:r>
          </w:p>
        </w:tc>
        <w:tc>
          <w:tcPr>
            <w:tcW w:w="4606" w:type="dxa"/>
            <w:hideMark/>
          </w:tcPr>
          <w:p w:rsidR="001D6277" w:rsidRPr="000B65DE" w:rsidRDefault="001D6277" w:rsidP="000B65DE">
            <w:pPr>
              <w:ind w:left="161" w:right="567"/>
              <w:jc w:val="right"/>
              <w:rPr>
                <w:rFonts w:ascii="Bookman Old Style" w:hAnsi="Bookman Old Style" w:cs="Arial"/>
                <w:b/>
                <w:spacing w:val="-3"/>
                <w:lang w:val="es-ES_tradnl"/>
              </w:rPr>
            </w:pPr>
            <w:r w:rsidRPr="000B65DE">
              <w:rPr>
                <w:rFonts w:ascii="Bookman Old Style" w:hAnsi="Bookman Old Style" w:cs="Arial"/>
                <w:b/>
                <w:spacing w:val="-3"/>
                <w:lang w:val="es-ES_tradnl"/>
              </w:rPr>
              <w:t>GERMÁN CASTRO FERREIRA</w:t>
            </w:r>
          </w:p>
        </w:tc>
      </w:tr>
      <w:tr w:rsidR="001D6277" w:rsidRPr="000B65DE" w:rsidTr="001D6277">
        <w:trPr>
          <w:jc w:val="right"/>
        </w:trPr>
        <w:tc>
          <w:tcPr>
            <w:tcW w:w="4964" w:type="dxa"/>
            <w:gridSpan w:val="2"/>
            <w:hideMark/>
          </w:tcPr>
          <w:tbl>
            <w:tblPr>
              <w:tblW w:w="4891" w:type="dxa"/>
              <w:tblLayout w:type="fixed"/>
              <w:tblCellMar>
                <w:left w:w="0" w:type="dxa"/>
                <w:right w:w="0" w:type="dxa"/>
              </w:tblCellMar>
              <w:tblLook w:val="04A0" w:firstRow="1" w:lastRow="0" w:firstColumn="1" w:lastColumn="0" w:noHBand="0" w:noVBand="1"/>
            </w:tblPr>
            <w:tblGrid>
              <w:gridCol w:w="4891"/>
            </w:tblGrid>
            <w:tr w:rsidR="001D6277" w:rsidTr="00491D67">
              <w:tc>
                <w:tcPr>
                  <w:tcW w:w="4891" w:type="dxa"/>
                  <w:hideMark/>
                </w:tcPr>
                <w:p w:rsidR="001D6277" w:rsidRDefault="001D6277" w:rsidP="00491D67">
                  <w:pPr>
                    <w:snapToGrid w:val="0"/>
                    <w:ind w:left="0"/>
                    <w:rPr>
                      <w:rFonts w:ascii="Bookman Old Style" w:hAnsi="Bookman Old Style" w:cs="Arial"/>
                      <w:color w:val="000000"/>
                    </w:rPr>
                  </w:pPr>
                  <w:r>
                    <w:rPr>
                      <w:rFonts w:ascii="Bookman Old Style" w:hAnsi="Bookman Old Style" w:cs="Arial"/>
                      <w:color w:val="000000"/>
                    </w:rPr>
                    <w:t xml:space="preserve">             Viceministro de Energía</w:t>
                  </w:r>
                </w:p>
                <w:p w:rsidR="001D6277" w:rsidRDefault="001D6277" w:rsidP="00491D67">
                  <w:pPr>
                    <w:snapToGrid w:val="0"/>
                    <w:ind w:left="0"/>
                    <w:rPr>
                      <w:rFonts w:ascii="Bookman Old Style" w:hAnsi="Bookman Old Style" w:cs="Arial"/>
                      <w:color w:val="000000"/>
                    </w:rPr>
                  </w:pPr>
                  <w:r>
                    <w:rPr>
                      <w:rFonts w:ascii="Bookman Old Style" w:hAnsi="Bookman Old Style" w:cs="Arial"/>
                      <w:color w:val="000000"/>
                    </w:rPr>
                    <w:t>Delegado del Ministro de Minas y Energía</w:t>
                  </w:r>
                </w:p>
              </w:tc>
            </w:tr>
            <w:tr w:rsidR="001D6277" w:rsidTr="00491D67">
              <w:tc>
                <w:tcPr>
                  <w:tcW w:w="4891" w:type="dxa"/>
                  <w:hideMark/>
                </w:tcPr>
                <w:p w:rsidR="001D6277" w:rsidRDefault="001D6277" w:rsidP="00491D67">
                  <w:pPr>
                    <w:snapToGrid w:val="0"/>
                    <w:ind w:left="0"/>
                    <w:jc w:val="center"/>
                    <w:rPr>
                      <w:rFonts w:ascii="Bookman Old Style" w:hAnsi="Bookman Old Style" w:cs="Arial"/>
                      <w:color w:val="000000"/>
                    </w:rPr>
                  </w:pPr>
                  <w:r>
                    <w:rPr>
                      <w:rFonts w:ascii="Bookman Old Style" w:hAnsi="Bookman Old Style" w:cs="Arial"/>
                      <w:color w:val="000000"/>
                    </w:rPr>
                    <w:t>Presidente</w:t>
                  </w:r>
                </w:p>
              </w:tc>
            </w:tr>
          </w:tbl>
          <w:p w:rsidR="001D6277" w:rsidRPr="000B65DE" w:rsidRDefault="001D6277" w:rsidP="000B65DE">
            <w:pPr>
              <w:ind w:left="0"/>
              <w:jc w:val="center"/>
              <w:rPr>
                <w:rFonts w:ascii="Bookman Old Style" w:hAnsi="Bookman Old Style" w:cs="Arial"/>
                <w:spacing w:val="-3"/>
                <w:lang w:val="es-ES_tradnl"/>
              </w:rPr>
            </w:pPr>
          </w:p>
        </w:tc>
        <w:tc>
          <w:tcPr>
            <w:tcW w:w="4606" w:type="dxa"/>
            <w:hideMark/>
          </w:tcPr>
          <w:p w:rsidR="001D6277" w:rsidRPr="000B65DE" w:rsidRDefault="001D6277" w:rsidP="000B65DE">
            <w:pPr>
              <w:rPr>
                <w:rFonts w:ascii="Bookman Old Style" w:hAnsi="Bookman Old Style" w:cs="Arial"/>
                <w:spacing w:val="-3"/>
                <w:lang w:val="es-ES_tradnl"/>
              </w:rPr>
            </w:pPr>
            <w:r w:rsidRPr="000B65DE">
              <w:rPr>
                <w:rFonts w:ascii="Bookman Old Style" w:hAnsi="Bookman Old Style" w:cs="Arial"/>
                <w:spacing w:val="-3"/>
                <w:lang w:val="es-ES_tradnl"/>
              </w:rPr>
              <w:t xml:space="preserve">           Director Ejecutivo</w:t>
            </w:r>
          </w:p>
        </w:tc>
      </w:tr>
      <w:tr w:rsidR="001D6277" w:rsidRPr="000B65DE" w:rsidTr="001D6277">
        <w:trPr>
          <w:jc w:val="right"/>
        </w:trPr>
        <w:tc>
          <w:tcPr>
            <w:tcW w:w="4875" w:type="dxa"/>
            <w:hideMark/>
          </w:tcPr>
          <w:p w:rsidR="001D6277" w:rsidRPr="000B65DE" w:rsidRDefault="001D6277" w:rsidP="000B65DE">
            <w:pPr>
              <w:rPr>
                <w:rFonts w:ascii="Bookman Old Style" w:hAnsi="Bookman Old Style" w:cs="Arial"/>
                <w:spacing w:val="-3"/>
              </w:rPr>
            </w:pPr>
          </w:p>
        </w:tc>
        <w:tc>
          <w:tcPr>
            <w:tcW w:w="4695" w:type="dxa"/>
            <w:gridSpan w:val="2"/>
          </w:tcPr>
          <w:p w:rsidR="001D6277" w:rsidRPr="000B65DE" w:rsidRDefault="001D6277" w:rsidP="000B65DE">
            <w:pPr>
              <w:rPr>
                <w:rFonts w:ascii="Bookman Old Style" w:hAnsi="Bookman Old Style" w:cs="Arial"/>
                <w:spacing w:val="-3"/>
              </w:rPr>
            </w:pPr>
          </w:p>
        </w:tc>
      </w:tr>
    </w:tbl>
    <w:p w:rsidR="000B65DE" w:rsidRPr="000B65DE" w:rsidRDefault="000B65DE" w:rsidP="008F4D9F">
      <w:pPr>
        <w:numPr>
          <w:ilvl w:val="0"/>
          <w:numId w:val="19"/>
        </w:numPr>
        <w:jc w:val="both"/>
        <w:rPr>
          <w:rFonts w:ascii="Bookman Old Style" w:hAnsi="Bookman Old Style" w:cs="Arial"/>
          <w:lang w:val="es-CO" w:eastAsia="es-CO"/>
        </w:rPr>
      </w:pPr>
      <w:r w:rsidRPr="000B65DE">
        <w:rPr>
          <w:rFonts w:ascii="Bookman Old Style" w:hAnsi="Bookman Old Style" w:cs="Arial"/>
          <w:lang w:val="es-CO" w:eastAsia="es-CO"/>
        </w:rPr>
        <w:br w:type="page"/>
      </w:r>
    </w:p>
    <w:p w:rsidR="000B65DE" w:rsidRPr="000B65DE" w:rsidRDefault="000B65DE" w:rsidP="000B65DE">
      <w:pPr>
        <w:ind w:left="0"/>
        <w:rPr>
          <w:rFonts w:ascii="Bookman Old Style" w:hAnsi="Bookman Old Style"/>
          <w:lang w:val="es-CO" w:eastAsia="es-CO"/>
        </w:rPr>
      </w:pPr>
      <w:bookmarkStart w:id="36" w:name="_Ref289697024"/>
    </w:p>
    <w:p w:rsidR="000B65DE" w:rsidRPr="000B65DE" w:rsidRDefault="000B65DE" w:rsidP="008F4D9F">
      <w:pPr>
        <w:numPr>
          <w:ilvl w:val="0"/>
          <w:numId w:val="14"/>
        </w:numPr>
        <w:jc w:val="center"/>
        <w:outlineLvl w:val="0"/>
        <w:rPr>
          <w:rFonts w:ascii="Bookman Old Style" w:hAnsi="Bookman Old Style"/>
          <w:b/>
          <w:lang w:val="es-ES_tradnl"/>
        </w:rPr>
      </w:pPr>
      <w:bookmarkStart w:id="37" w:name="_Ref291665114"/>
    </w:p>
    <w:bookmarkEnd w:id="36"/>
    <w:bookmarkEnd w:id="37"/>
    <w:p w:rsidR="000B65DE" w:rsidRPr="000B65DE" w:rsidRDefault="000B65DE" w:rsidP="000B65DE">
      <w:pPr>
        <w:ind w:left="0"/>
        <w:jc w:val="center"/>
        <w:outlineLvl w:val="0"/>
        <w:rPr>
          <w:rFonts w:ascii="Bookman Old Style" w:hAnsi="Bookman Old Style"/>
          <w:b/>
          <w:lang w:val="es-ES_tradnl"/>
        </w:rPr>
      </w:pPr>
      <w:r w:rsidRPr="000B65DE">
        <w:rPr>
          <w:rFonts w:ascii="Bookman Old Style" w:hAnsi="Bookman Old Style"/>
          <w:b/>
          <w:lang w:val="es-ES_tradnl"/>
        </w:rPr>
        <w:t>INFORMACIÓN PRUEBAS VERIFICACIÓN SOBRE LOS ACTIVOS REPORTADOS POR LAS EMPRESAS DISTRIBUIDORAS DE GAS COMBUSTIBLE POR REDES PARA DETERMINAR LOS CARGOS POR USO DE LOS SISTEMAS DE DISTRIBUCIÓN</w:t>
      </w:r>
    </w:p>
    <w:p w:rsidR="000B65DE" w:rsidRPr="000B65DE" w:rsidRDefault="000B65DE" w:rsidP="000B65DE">
      <w:pPr>
        <w:ind w:left="0"/>
        <w:jc w:val="center"/>
        <w:rPr>
          <w:rFonts w:ascii="Bookman Old Style" w:hAnsi="Bookman Old Style"/>
          <w:b/>
        </w:rPr>
      </w:pPr>
    </w:p>
    <w:p w:rsidR="000B65DE" w:rsidRPr="000B65DE" w:rsidRDefault="000B65DE" w:rsidP="000B65DE">
      <w:pPr>
        <w:ind w:left="0"/>
        <w:jc w:val="center"/>
        <w:rPr>
          <w:rFonts w:ascii="Bookman Old Style" w:hAnsi="Bookman Old Style"/>
          <w:b/>
        </w:rPr>
      </w:pPr>
    </w:p>
    <w:p w:rsidR="000B65DE" w:rsidRPr="000B65DE" w:rsidRDefault="000B65DE" w:rsidP="000B65DE">
      <w:pPr>
        <w:ind w:left="0"/>
        <w:jc w:val="both"/>
        <w:rPr>
          <w:rFonts w:ascii="Bookman Old Style" w:hAnsi="Bookman Old Style"/>
          <w:lang w:val="es-CO"/>
        </w:rPr>
      </w:pPr>
      <w:r w:rsidRPr="000B65DE">
        <w:rPr>
          <w:rFonts w:ascii="Bookman Old Style" w:hAnsi="Bookman Old Style"/>
          <w:lang w:val="es-CO"/>
        </w:rPr>
        <w:t>Con base en la información entregada por las empresas, la Comisión adelantará una verificación de la calidad de la información reportada, de conformidad con la siguiente metodología:</w:t>
      </w:r>
    </w:p>
    <w:p w:rsidR="000B65DE" w:rsidRPr="000B65DE" w:rsidRDefault="000B65DE" w:rsidP="000B65DE">
      <w:pPr>
        <w:ind w:left="0"/>
        <w:jc w:val="both"/>
        <w:rPr>
          <w:rFonts w:ascii="Bookman Old Style" w:hAnsi="Bookman Old Style"/>
          <w:lang w:val="es-CO"/>
        </w:rPr>
      </w:pPr>
    </w:p>
    <w:p w:rsidR="000B65DE" w:rsidRPr="000B65DE" w:rsidRDefault="000B65DE" w:rsidP="000B65DE">
      <w:pPr>
        <w:tabs>
          <w:tab w:val="left" w:pos="360"/>
        </w:tabs>
        <w:ind w:left="0"/>
        <w:jc w:val="both"/>
        <w:rPr>
          <w:rFonts w:ascii="Bookman Old Style" w:hAnsi="Bookman Old Style"/>
          <w:b/>
          <w:lang w:val="es-ES_tradnl"/>
        </w:rPr>
      </w:pPr>
      <w:r w:rsidRPr="000B65DE">
        <w:rPr>
          <w:rFonts w:ascii="Bookman Old Style" w:hAnsi="Bookman Old Style"/>
          <w:b/>
          <w:lang w:val="es-ES_tradnl"/>
        </w:rPr>
        <w:t>1.</w:t>
      </w:r>
      <w:r w:rsidRPr="000B65DE">
        <w:rPr>
          <w:rFonts w:ascii="Bookman Old Style" w:hAnsi="Bookman Old Style"/>
          <w:b/>
          <w:lang w:val="es-ES_tradnl"/>
        </w:rPr>
        <w:tab/>
        <w:t>Verificación Tipo 1</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A partir de la información reportada por cada empresa distribuidora de gas combustible por redes, la CREG determinará el tamaño de la muestra que garantice una confiabilidad global mayor del 90% y un error relativo de muestreo menor del 5%.</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En desarrollo del trabajo de campo, se verificará la precisión de la información reportada y se aceptará la misma cuando:</w:t>
      </w:r>
    </w:p>
    <w:p w:rsidR="000B65DE" w:rsidRPr="000B65DE" w:rsidRDefault="000B65DE" w:rsidP="000B65DE">
      <w:pPr>
        <w:ind w:left="0"/>
        <w:jc w:val="both"/>
        <w:rPr>
          <w:rFonts w:ascii="Bookman Old Style" w:hAnsi="Bookman Old Style"/>
          <w:lang w:val="es-ES_tradnl"/>
        </w:rPr>
      </w:pPr>
    </w:p>
    <w:p w:rsidR="000B65DE" w:rsidRPr="000B65DE" w:rsidRDefault="000B65DE" w:rsidP="008F4D9F">
      <w:pPr>
        <w:numPr>
          <w:ilvl w:val="0"/>
          <w:numId w:val="20"/>
        </w:numPr>
        <w:jc w:val="both"/>
        <w:rPr>
          <w:rFonts w:ascii="Bookman Old Style" w:hAnsi="Bookman Old Style"/>
          <w:lang w:val="es-ES_tradnl"/>
        </w:rPr>
      </w:pPr>
      <w:r w:rsidRPr="000B65DE">
        <w:rPr>
          <w:rFonts w:ascii="Bookman Old Style" w:hAnsi="Bookman Old Style"/>
          <w:lang w:val="es-ES_tradnl"/>
        </w:rPr>
        <w:t>Los tramos de red o Unidad Constructiva seleccionados para el trabajo de campo no presentan ninguna inconsistencia con respecto a la información reportada a la Comisión.</w:t>
      </w:r>
    </w:p>
    <w:p w:rsidR="000B65DE" w:rsidRPr="000B65DE" w:rsidRDefault="000B65DE" w:rsidP="000B65DE">
      <w:pPr>
        <w:ind w:left="540"/>
        <w:jc w:val="both"/>
        <w:rPr>
          <w:rFonts w:ascii="Bookman Old Style" w:hAnsi="Bookman Old Style"/>
          <w:lang w:val="es-ES_tradnl"/>
        </w:rPr>
      </w:pPr>
    </w:p>
    <w:p w:rsidR="000B65DE" w:rsidRPr="000B65DE" w:rsidRDefault="000B65DE" w:rsidP="008F4D9F">
      <w:pPr>
        <w:numPr>
          <w:ilvl w:val="0"/>
          <w:numId w:val="20"/>
        </w:numPr>
        <w:jc w:val="both"/>
        <w:rPr>
          <w:rFonts w:ascii="Bookman Old Style" w:hAnsi="Bookman Old Style"/>
          <w:lang w:val="es-ES_tradnl"/>
        </w:rPr>
      </w:pPr>
      <w:r w:rsidRPr="000B65DE">
        <w:rPr>
          <w:rFonts w:ascii="Bookman Old Style" w:hAnsi="Bookman Old Style"/>
          <w:lang w:val="es-ES_tradnl"/>
        </w:rPr>
        <w:t>La empresa distribuidora explique adecuadamente las razones por las cuales la información no coincide exactamente con la levantada en campo, en caso de que se encuentre alguna inconsistencia en la misma para un tramo de red o Unidad Constructiva. Las aclaraciones deberán ser efectuadas por la empresa dentro de los cinco (5) días siguientes a la fecha cuando sea informada de tal situación por parte de la CREG.</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color w:val="000000"/>
          <w:lang w:val="es-MX"/>
        </w:rPr>
      </w:pPr>
      <w:r w:rsidRPr="000B65DE">
        <w:rPr>
          <w:rFonts w:ascii="Bookman Old Style" w:hAnsi="Bookman Old Style"/>
          <w:color w:val="000000"/>
          <w:lang w:val="es-MX"/>
        </w:rPr>
        <w:t>Se entiende que la información es inconsistente: i)cuando su georreferenciación no permita establecer la existencia del activo, ii) cuando lleve a clasificarlo en una Unidad Constructiva que no corresponde con la reportada.</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Cuando se encuentren inconsistencias en la información y éstas no sean justificadas adecuadamente ante la CREG dentro del término establecido, se considerará que la muestra presenta inconsistencias. Cuando la suma del efecto de todos los errores no explicados por la empresa distribuidora, conduzca a una estimación de costos de activos superior al 0.5% del costo total de los activos de la muestra estimados con las cantidades correctas, se rechazará la información reportada.</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Cuando a una empresa le sea rechazada la información reportada, la Comisión informará a la Superintendencia de Servicios Públicos para que adelante las acciones de su competencia, y la empresa distribuidora deberá presentar nuevamente la información que respalda la aprobación de los cargos de distribución, corrigiendo la información de sus activos, y solicitar a la Comisión la realización de la Verificación Tipo 2.</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Los costos de la Verificación Tipo 1 serán asumidos por la CREG.</w:t>
      </w:r>
    </w:p>
    <w:p w:rsidR="000B65DE" w:rsidRPr="000B65DE" w:rsidRDefault="000B65DE" w:rsidP="000B65DE">
      <w:pPr>
        <w:tabs>
          <w:tab w:val="left" w:pos="360"/>
        </w:tabs>
        <w:ind w:left="0"/>
        <w:jc w:val="both"/>
        <w:rPr>
          <w:rFonts w:ascii="Bookman Old Style" w:hAnsi="Bookman Old Style"/>
          <w:b/>
          <w:szCs w:val="20"/>
          <w:lang w:val="es-CO"/>
        </w:rPr>
      </w:pPr>
    </w:p>
    <w:p w:rsidR="000B65DE" w:rsidRPr="000B65DE" w:rsidRDefault="000B65DE" w:rsidP="000B65DE">
      <w:pPr>
        <w:tabs>
          <w:tab w:val="left" w:pos="360"/>
        </w:tabs>
        <w:ind w:left="0"/>
        <w:jc w:val="both"/>
        <w:rPr>
          <w:rFonts w:ascii="Bookman Old Style" w:hAnsi="Bookman Old Style"/>
          <w:b/>
          <w:szCs w:val="20"/>
          <w:lang w:val="es-CO"/>
        </w:rPr>
      </w:pPr>
      <w:r w:rsidRPr="000B65DE">
        <w:rPr>
          <w:rFonts w:ascii="Bookman Old Style" w:hAnsi="Bookman Old Style"/>
          <w:b/>
          <w:szCs w:val="20"/>
          <w:lang w:val="es-CO"/>
        </w:rPr>
        <w:t>2.</w:t>
      </w:r>
      <w:r w:rsidRPr="000B65DE">
        <w:rPr>
          <w:rFonts w:ascii="Bookman Old Style" w:hAnsi="Bookman Old Style"/>
          <w:b/>
          <w:szCs w:val="20"/>
          <w:lang w:val="es-CO"/>
        </w:rPr>
        <w:tab/>
        <w:t>Verificación Tipo 2</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Con la información de activos revisada y reportada por la empresa se diseña el tamaño de la muestra que garantice una confiabilidad global mayor del 95% y un error relativo de muestreo menor del 5%. Los criterios de aceptación o rechazo de la información serán los mismos establecidos para la Verificación Tipo 1.</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color w:val="000000"/>
        </w:rPr>
      </w:pPr>
      <w:r w:rsidRPr="000B65DE">
        <w:rPr>
          <w:rFonts w:ascii="Bookman Old Style" w:hAnsi="Bookman Old Style"/>
          <w:color w:val="000000"/>
        </w:rPr>
        <w:t>Si en este caso se rechaza la información, la Comisión informará a la Superintendencia de Servicios Públicos para que adelante las acciones de su competencia, y el distribuidor deberá solicitar una vez más la aprobación de los cargos de distribución y la verificación sobre el total de la información reportada.</w:t>
      </w:r>
    </w:p>
    <w:p w:rsidR="000B65DE" w:rsidRPr="000B65DE" w:rsidRDefault="000B65DE" w:rsidP="000B65DE">
      <w:pPr>
        <w:ind w:left="0"/>
        <w:jc w:val="both"/>
        <w:rPr>
          <w:rFonts w:ascii="Bookman Old Style" w:hAnsi="Bookman Old Style"/>
          <w:color w:val="000000"/>
        </w:rPr>
      </w:pPr>
    </w:p>
    <w:p w:rsidR="000B65DE" w:rsidRPr="000B65DE" w:rsidRDefault="000B65DE" w:rsidP="000B65DE">
      <w:pPr>
        <w:ind w:left="0"/>
        <w:jc w:val="both"/>
        <w:rPr>
          <w:rFonts w:ascii="Bookman Old Style" w:hAnsi="Bookman Old Style"/>
          <w:color w:val="000000"/>
        </w:rPr>
      </w:pPr>
      <w:r w:rsidRPr="000B65DE">
        <w:rPr>
          <w:rFonts w:ascii="Bookman Old Style" w:hAnsi="Bookman Old Style"/>
          <w:color w:val="000000"/>
          <w:lang w:val="es-MX"/>
        </w:rPr>
        <w:t>A partir de la información obtenida de la verificación total la Comisión estimará los cargos para la empresa.</w:t>
      </w:r>
    </w:p>
    <w:p w:rsidR="000B65DE" w:rsidRPr="000B65DE" w:rsidRDefault="000B65DE" w:rsidP="000B65DE">
      <w:pPr>
        <w:ind w:left="0"/>
        <w:jc w:val="both"/>
        <w:rPr>
          <w:rFonts w:ascii="Bookman Old Style" w:hAnsi="Bookman Old Style"/>
          <w:color w:val="000000"/>
        </w:rPr>
      </w:pPr>
    </w:p>
    <w:p w:rsidR="000B65DE" w:rsidRPr="000B65DE" w:rsidRDefault="000B65DE" w:rsidP="000B65DE">
      <w:pPr>
        <w:ind w:left="0"/>
        <w:jc w:val="both"/>
        <w:rPr>
          <w:rFonts w:ascii="Bookman Old Style" w:hAnsi="Bookman Old Style"/>
          <w:color w:val="000000"/>
          <w:sz w:val="22"/>
        </w:rPr>
      </w:pPr>
      <w:r w:rsidRPr="000B65DE">
        <w:rPr>
          <w:rFonts w:ascii="Bookman Old Style" w:hAnsi="Bookman Old Style"/>
          <w:color w:val="000000"/>
        </w:rPr>
        <w:t>Los costos de las Verificaciones Tipo 2 y de las verificaciones sobre el total de los activos, serán cubiertos por la empresa distribuidora y la CREG en partes iguales.</w:t>
      </w:r>
    </w:p>
    <w:p w:rsidR="000B65DE" w:rsidRPr="000B65DE" w:rsidRDefault="000B65DE" w:rsidP="000B65DE">
      <w:pPr>
        <w:ind w:left="0"/>
      </w:pPr>
    </w:p>
    <w:p w:rsidR="000B65DE" w:rsidRDefault="000B65DE" w:rsidP="000B65DE">
      <w:pPr>
        <w:ind w:left="0"/>
        <w:rPr>
          <w:rFonts w:ascii="Bookman Old Style" w:hAnsi="Bookman Old Style"/>
          <w:b/>
          <w:lang w:val="es-ES_tradnl"/>
        </w:rPr>
      </w:pPr>
    </w:p>
    <w:p w:rsidR="001D143C" w:rsidRDefault="001D143C" w:rsidP="000B65DE">
      <w:pPr>
        <w:ind w:left="0"/>
        <w:rPr>
          <w:rFonts w:ascii="Bookman Old Style" w:hAnsi="Bookman Old Style"/>
          <w:b/>
          <w:lang w:val="es-ES_tradnl"/>
        </w:rPr>
      </w:pPr>
    </w:p>
    <w:p w:rsidR="00965051" w:rsidRDefault="00965051" w:rsidP="000B65DE">
      <w:pPr>
        <w:ind w:left="0"/>
        <w:rPr>
          <w:rFonts w:ascii="Bookman Old Style" w:hAnsi="Bookman Old Style"/>
          <w:b/>
          <w:lang w:val="es-ES_tradnl"/>
        </w:rPr>
      </w:pPr>
    </w:p>
    <w:p w:rsidR="001D143C" w:rsidRPr="000B65DE" w:rsidRDefault="001D143C" w:rsidP="000B65DE">
      <w:pPr>
        <w:ind w:left="0"/>
        <w:rPr>
          <w:rFonts w:ascii="Bookman Old Style" w:hAnsi="Bookman Old Style"/>
          <w:b/>
          <w:lang w:val="es-ES_tradnl"/>
        </w:rPr>
      </w:pPr>
    </w:p>
    <w:p w:rsidR="000B65DE" w:rsidRPr="000B65DE" w:rsidRDefault="000B65DE" w:rsidP="000B65DE">
      <w:pPr>
        <w:ind w:left="0"/>
        <w:rPr>
          <w:rFonts w:ascii="Bookman Old Style" w:hAnsi="Bookman Old Style"/>
          <w:b/>
          <w:lang w:val="es-ES_tradnl"/>
        </w:rPr>
      </w:pPr>
    </w:p>
    <w:tbl>
      <w:tblPr>
        <w:tblW w:w="9801" w:type="dxa"/>
        <w:jc w:val="right"/>
        <w:tblLayout w:type="fixed"/>
        <w:tblCellMar>
          <w:left w:w="70" w:type="dxa"/>
          <w:right w:w="70" w:type="dxa"/>
        </w:tblCellMar>
        <w:tblLook w:val="04A0" w:firstRow="1" w:lastRow="0" w:firstColumn="1" w:lastColumn="0" w:noHBand="0" w:noVBand="1"/>
      </w:tblPr>
      <w:tblGrid>
        <w:gridCol w:w="4875"/>
        <w:gridCol w:w="231"/>
        <w:gridCol w:w="4464"/>
        <w:gridCol w:w="231"/>
      </w:tblGrid>
      <w:tr w:rsidR="008E426C" w:rsidRPr="000B65DE" w:rsidTr="0069494E">
        <w:trPr>
          <w:jc w:val="right"/>
        </w:trPr>
        <w:tc>
          <w:tcPr>
            <w:tcW w:w="5106" w:type="dxa"/>
            <w:gridSpan w:val="2"/>
            <w:hideMark/>
          </w:tcPr>
          <w:p w:rsidR="008E426C" w:rsidRPr="000B65DE" w:rsidRDefault="008E426C" w:rsidP="008E426C">
            <w:pPr>
              <w:ind w:left="0"/>
              <w:jc w:val="center"/>
              <w:rPr>
                <w:rFonts w:ascii="Bookman Old Style" w:hAnsi="Bookman Old Style" w:cs="Arial"/>
                <w:b/>
                <w:spacing w:val="-3"/>
                <w:lang w:val="es-ES_tradnl"/>
              </w:rPr>
            </w:pPr>
            <w:r>
              <w:rPr>
                <w:rFonts w:ascii="Bookman Old Style" w:hAnsi="Bookman Old Style" w:cs="Arial"/>
                <w:b/>
                <w:color w:val="000000"/>
              </w:rPr>
              <w:t>ORLANDO CABRALES SEGOVIA</w:t>
            </w:r>
          </w:p>
        </w:tc>
        <w:tc>
          <w:tcPr>
            <w:tcW w:w="4695" w:type="dxa"/>
            <w:gridSpan w:val="2"/>
            <w:hideMark/>
          </w:tcPr>
          <w:p w:rsidR="008E426C" w:rsidRPr="000B65DE" w:rsidRDefault="008E426C" w:rsidP="000B65DE">
            <w:pPr>
              <w:ind w:left="161" w:right="567"/>
              <w:jc w:val="right"/>
              <w:rPr>
                <w:rFonts w:ascii="Bookman Old Style" w:hAnsi="Bookman Old Style" w:cs="Arial"/>
                <w:b/>
                <w:spacing w:val="-3"/>
                <w:lang w:val="es-ES_tradnl"/>
              </w:rPr>
            </w:pPr>
            <w:r w:rsidRPr="000B65DE">
              <w:rPr>
                <w:rFonts w:ascii="Bookman Old Style" w:hAnsi="Bookman Old Style" w:cs="Arial"/>
                <w:b/>
                <w:spacing w:val="-3"/>
                <w:lang w:val="es-ES_tradnl"/>
              </w:rPr>
              <w:t>GERMÁN CASTRO FERREIRA</w:t>
            </w:r>
          </w:p>
        </w:tc>
      </w:tr>
      <w:tr w:rsidR="008E426C" w:rsidRPr="000B65DE" w:rsidTr="0069494E">
        <w:trPr>
          <w:jc w:val="right"/>
        </w:trPr>
        <w:tc>
          <w:tcPr>
            <w:tcW w:w="5106" w:type="dxa"/>
            <w:gridSpan w:val="2"/>
            <w:hideMark/>
          </w:tcPr>
          <w:tbl>
            <w:tblPr>
              <w:tblW w:w="5319" w:type="dxa"/>
              <w:tblLayout w:type="fixed"/>
              <w:tblCellMar>
                <w:left w:w="0" w:type="dxa"/>
                <w:right w:w="0" w:type="dxa"/>
              </w:tblCellMar>
              <w:tblLook w:val="04A0" w:firstRow="1" w:lastRow="0" w:firstColumn="1" w:lastColumn="0" w:noHBand="0" w:noVBand="1"/>
            </w:tblPr>
            <w:tblGrid>
              <w:gridCol w:w="5319"/>
            </w:tblGrid>
            <w:tr w:rsidR="008E426C" w:rsidTr="0069494E">
              <w:tc>
                <w:tcPr>
                  <w:tcW w:w="5319" w:type="dxa"/>
                  <w:hideMark/>
                </w:tcPr>
                <w:p w:rsidR="008E426C" w:rsidRDefault="008E426C" w:rsidP="00A206C9">
                  <w:pPr>
                    <w:snapToGrid w:val="0"/>
                    <w:ind w:left="0"/>
                    <w:rPr>
                      <w:rFonts w:ascii="Bookman Old Style" w:hAnsi="Bookman Old Style" w:cs="Arial"/>
                      <w:color w:val="000000"/>
                    </w:rPr>
                  </w:pPr>
                  <w:r>
                    <w:rPr>
                      <w:rFonts w:ascii="Bookman Old Style" w:hAnsi="Bookman Old Style" w:cs="Arial"/>
                      <w:color w:val="000000"/>
                    </w:rPr>
                    <w:t xml:space="preserve">             Viceministro de Energía</w:t>
                  </w:r>
                </w:p>
                <w:p w:rsidR="008E426C" w:rsidRDefault="008E426C" w:rsidP="00A206C9">
                  <w:pPr>
                    <w:snapToGrid w:val="0"/>
                    <w:ind w:left="0"/>
                    <w:rPr>
                      <w:rFonts w:ascii="Bookman Old Style" w:hAnsi="Bookman Old Style" w:cs="Arial"/>
                      <w:color w:val="000000"/>
                    </w:rPr>
                  </w:pPr>
                  <w:r>
                    <w:rPr>
                      <w:rFonts w:ascii="Bookman Old Style" w:hAnsi="Bookman Old Style" w:cs="Arial"/>
                      <w:color w:val="000000"/>
                    </w:rPr>
                    <w:t>Delegado del Ministro de Minas y Energía</w:t>
                  </w:r>
                </w:p>
              </w:tc>
            </w:tr>
            <w:tr w:rsidR="008E426C" w:rsidTr="0069494E">
              <w:tc>
                <w:tcPr>
                  <w:tcW w:w="5319" w:type="dxa"/>
                  <w:hideMark/>
                </w:tcPr>
                <w:p w:rsidR="008E426C" w:rsidRDefault="008E426C" w:rsidP="00A206C9">
                  <w:pPr>
                    <w:snapToGrid w:val="0"/>
                    <w:ind w:left="0"/>
                    <w:jc w:val="center"/>
                    <w:rPr>
                      <w:rFonts w:ascii="Bookman Old Style" w:hAnsi="Bookman Old Style" w:cs="Arial"/>
                      <w:color w:val="000000"/>
                    </w:rPr>
                  </w:pPr>
                  <w:r>
                    <w:rPr>
                      <w:rFonts w:ascii="Bookman Old Style" w:hAnsi="Bookman Old Style" w:cs="Arial"/>
                      <w:color w:val="000000"/>
                    </w:rPr>
                    <w:t>Presidente</w:t>
                  </w:r>
                </w:p>
              </w:tc>
            </w:tr>
          </w:tbl>
          <w:p w:rsidR="008E426C" w:rsidRPr="000B65DE" w:rsidRDefault="008E426C" w:rsidP="000B65DE">
            <w:pPr>
              <w:ind w:left="0"/>
              <w:jc w:val="center"/>
              <w:rPr>
                <w:rFonts w:ascii="Bookman Old Style" w:hAnsi="Bookman Old Style" w:cs="Arial"/>
                <w:spacing w:val="-3"/>
                <w:lang w:val="es-ES_tradnl"/>
              </w:rPr>
            </w:pPr>
          </w:p>
        </w:tc>
        <w:tc>
          <w:tcPr>
            <w:tcW w:w="4695" w:type="dxa"/>
            <w:gridSpan w:val="2"/>
            <w:hideMark/>
          </w:tcPr>
          <w:p w:rsidR="008E426C" w:rsidRPr="000B65DE" w:rsidRDefault="008E426C" w:rsidP="000B65DE">
            <w:pPr>
              <w:rPr>
                <w:rFonts w:ascii="Bookman Old Style" w:hAnsi="Bookman Old Style" w:cs="Arial"/>
                <w:spacing w:val="-3"/>
                <w:lang w:val="es-ES_tradnl"/>
              </w:rPr>
            </w:pPr>
            <w:r w:rsidRPr="000B65DE">
              <w:rPr>
                <w:rFonts w:ascii="Bookman Old Style" w:hAnsi="Bookman Old Style" w:cs="Arial"/>
                <w:spacing w:val="-3"/>
                <w:lang w:val="es-ES_tradnl"/>
              </w:rPr>
              <w:t xml:space="preserve">           Director Ejecutivo</w:t>
            </w:r>
          </w:p>
        </w:tc>
      </w:tr>
      <w:tr w:rsidR="008E426C" w:rsidRPr="000B65DE" w:rsidTr="0069494E">
        <w:trPr>
          <w:gridAfter w:val="1"/>
          <w:wAfter w:w="231" w:type="dxa"/>
          <w:jc w:val="right"/>
        </w:trPr>
        <w:tc>
          <w:tcPr>
            <w:tcW w:w="4875" w:type="dxa"/>
            <w:hideMark/>
          </w:tcPr>
          <w:p w:rsidR="008E426C" w:rsidRPr="000B65DE" w:rsidRDefault="008E426C" w:rsidP="000B65DE">
            <w:pPr>
              <w:rPr>
                <w:rFonts w:ascii="Bookman Old Style" w:hAnsi="Bookman Old Style" w:cs="Arial"/>
                <w:spacing w:val="-3"/>
              </w:rPr>
            </w:pPr>
          </w:p>
        </w:tc>
        <w:tc>
          <w:tcPr>
            <w:tcW w:w="4695" w:type="dxa"/>
            <w:gridSpan w:val="2"/>
          </w:tcPr>
          <w:p w:rsidR="008E426C" w:rsidRPr="000B65DE" w:rsidRDefault="008E426C" w:rsidP="000B65DE">
            <w:pPr>
              <w:rPr>
                <w:rFonts w:ascii="Bookman Old Style" w:hAnsi="Bookman Old Style" w:cs="Arial"/>
                <w:spacing w:val="-3"/>
              </w:rPr>
            </w:pPr>
          </w:p>
        </w:tc>
      </w:tr>
    </w:tbl>
    <w:p w:rsidR="000B65DE" w:rsidRPr="000B65DE" w:rsidRDefault="000B65DE" w:rsidP="000B65DE">
      <w:pPr>
        <w:ind w:left="0"/>
        <w:rPr>
          <w:rFonts w:ascii="Bookman Old Style" w:hAnsi="Bookman Old Style"/>
          <w:b/>
          <w:lang w:val="es-ES_tradnl"/>
        </w:rPr>
      </w:pPr>
      <w:r w:rsidRPr="000B65DE">
        <w:rPr>
          <w:rFonts w:ascii="Bookman Old Style" w:hAnsi="Bookman Old Style"/>
          <w:b/>
          <w:lang w:val="es-ES_tradnl"/>
        </w:rPr>
        <w:br w:type="page"/>
      </w:r>
    </w:p>
    <w:p w:rsidR="005411F7" w:rsidRPr="000B65DE" w:rsidRDefault="005411F7" w:rsidP="008F4D9F">
      <w:pPr>
        <w:numPr>
          <w:ilvl w:val="0"/>
          <w:numId w:val="14"/>
        </w:numPr>
        <w:jc w:val="center"/>
        <w:outlineLvl w:val="0"/>
        <w:rPr>
          <w:rFonts w:ascii="Bookman Old Style" w:hAnsi="Bookman Old Style"/>
          <w:b/>
          <w:lang w:val="es-ES_tradnl"/>
        </w:rPr>
      </w:pPr>
      <w:bookmarkStart w:id="38" w:name="_Ref289697078"/>
    </w:p>
    <w:p w:rsidR="005411F7" w:rsidRPr="000B65DE" w:rsidRDefault="005411F7" w:rsidP="005411F7">
      <w:pPr>
        <w:rPr>
          <w:lang w:val="es-ES_tradnl"/>
        </w:rPr>
      </w:pPr>
      <w:bookmarkStart w:id="39" w:name="_Ref289348298"/>
      <w:bookmarkEnd w:id="38"/>
    </w:p>
    <w:p w:rsidR="005411F7" w:rsidRPr="000B65DE" w:rsidRDefault="005411F7" w:rsidP="005411F7">
      <w:pPr>
        <w:ind w:left="0"/>
        <w:jc w:val="center"/>
        <w:outlineLvl w:val="0"/>
        <w:rPr>
          <w:rFonts w:ascii="Bookman Old Style" w:hAnsi="Bookman Old Style"/>
          <w:b/>
          <w:lang w:val="es-ES_tradnl"/>
        </w:rPr>
      </w:pPr>
      <w:bookmarkStart w:id="40" w:name="_Ref289344645"/>
      <w:bookmarkStart w:id="41" w:name="_Ref289345101"/>
      <w:bookmarkEnd w:id="39"/>
      <w:r w:rsidRPr="000B65DE">
        <w:rPr>
          <w:rFonts w:ascii="Bookman Old Style" w:hAnsi="Bookman Old Style"/>
          <w:b/>
          <w:lang w:val="es-ES_tradnl"/>
        </w:rPr>
        <w:t xml:space="preserve">COSTOS UNIDADES CONSTRUCTIVAS PARA VALORAR INVERSION EXISTENTE  </w:t>
      </w:r>
      <w:bookmarkEnd w:id="40"/>
      <w:r w:rsidRPr="000B65DE">
        <w:rPr>
          <w:rFonts w:ascii="Bookman Old Style" w:hAnsi="Bookman Old Style"/>
          <w:b/>
          <w:lang w:val="es-ES_tradnl"/>
        </w:rPr>
        <w:t>(IE)</w:t>
      </w:r>
      <w:bookmarkEnd w:id="41"/>
    </w:p>
    <w:p w:rsidR="005411F7" w:rsidRPr="000B65DE" w:rsidRDefault="005411F7" w:rsidP="005411F7">
      <w:pPr>
        <w:ind w:left="0"/>
        <w:jc w:val="center"/>
        <w:rPr>
          <w:rFonts w:ascii="Bookman Old Style" w:hAnsi="Bookman Old Style"/>
          <w:b/>
          <w:lang w:val="es-ES_tradnl"/>
        </w:rPr>
      </w:pPr>
    </w:p>
    <w:p w:rsidR="005411F7" w:rsidRPr="000B65DE" w:rsidRDefault="005411F7" w:rsidP="005411F7">
      <w:pPr>
        <w:ind w:left="0"/>
        <w:jc w:val="both"/>
        <w:rPr>
          <w:rFonts w:ascii="Bookman Old Style" w:hAnsi="Bookman Old Style"/>
          <w:lang w:val="es-ES_tradnl"/>
        </w:rPr>
      </w:pPr>
      <w:r w:rsidRPr="000B65DE">
        <w:rPr>
          <w:rFonts w:ascii="Bookman Old Style" w:hAnsi="Bookman Old Style"/>
          <w:lang w:val="es-ES_tradnl"/>
        </w:rPr>
        <w:t xml:space="preserve">La información contenida en este Anexo ha sido extraída de las resoluciones aprobatorias de cargos de distribución durante la vigencia de la Resolución CREG 011 de 2003. </w:t>
      </w:r>
    </w:p>
    <w:p w:rsidR="005411F7" w:rsidRPr="000B65DE" w:rsidRDefault="005411F7" w:rsidP="005411F7">
      <w:pPr>
        <w:ind w:left="0"/>
        <w:rPr>
          <w:rFonts w:ascii="Bookman Old Style" w:hAnsi="Bookman Old Style"/>
          <w:b/>
          <w:lang w:val="es-ES_tradnl"/>
        </w:rPr>
      </w:pPr>
    </w:p>
    <w:p w:rsidR="005411F7" w:rsidRPr="000B65DE" w:rsidRDefault="005411F7" w:rsidP="005411F7">
      <w:pPr>
        <w:ind w:left="0"/>
        <w:jc w:val="center"/>
        <w:rPr>
          <w:rFonts w:ascii="Bookman Old Style" w:hAnsi="Bookman Old Style"/>
          <w:b/>
          <w:lang w:val="es-CO"/>
        </w:rPr>
      </w:pPr>
      <w:r w:rsidRPr="000B65DE">
        <w:rPr>
          <w:rFonts w:ascii="Bookman Old Style" w:hAnsi="Bookman Old Style"/>
          <w:b/>
          <w:lang w:val="es-CO"/>
        </w:rPr>
        <w:t>4.1. EMPRESA GAS NATURAL S.A. E.S.P.</w:t>
      </w:r>
    </w:p>
    <w:p w:rsidR="005411F7" w:rsidRPr="000B65DE" w:rsidRDefault="005411F7" w:rsidP="005411F7">
      <w:pPr>
        <w:ind w:left="0"/>
        <w:jc w:val="center"/>
        <w:rPr>
          <w:rFonts w:ascii="Bookman Old Style" w:hAnsi="Bookman Old Style"/>
          <w:b/>
          <w:lang w:val="es-CO"/>
        </w:rPr>
      </w:pPr>
    </w:p>
    <w:p w:rsidR="005411F7" w:rsidRDefault="005411F7" w:rsidP="005411F7">
      <w:pPr>
        <w:ind w:left="0"/>
        <w:jc w:val="center"/>
        <w:rPr>
          <w:rFonts w:ascii="Bookman Old Style" w:hAnsi="Bookman Old Style"/>
          <w:b/>
          <w:lang w:val="es-ES_tradnl"/>
        </w:rPr>
      </w:pPr>
      <w:r w:rsidRPr="007F02D4">
        <w:rPr>
          <w:rFonts w:ascii="Bookman Old Style" w:hAnsi="Bookman Old Style"/>
          <w:b/>
          <w:noProof/>
          <w:lang w:val="es-CO" w:eastAsia="es-CO"/>
        </w:rPr>
        <w:drawing>
          <wp:inline distT="0" distB="0" distL="0" distR="0" wp14:anchorId="0602B13E" wp14:editId="3056478E">
            <wp:extent cx="5648446" cy="6941997"/>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49122" cy="6942828"/>
                    </a:xfrm>
                    <a:prstGeom prst="rect">
                      <a:avLst/>
                    </a:prstGeom>
                    <a:noFill/>
                    <a:ln>
                      <a:noFill/>
                    </a:ln>
                  </pic:spPr>
                </pic:pic>
              </a:graphicData>
            </a:graphic>
          </wp:inline>
        </w:drawing>
      </w:r>
    </w:p>
    <w:p w:rsidR="005411F7" w:rsidRPr="000B65DE" w:rsidRDefault="005411F7" w:rsidP="005411F7">
      <w:pPr>
        <w:ind w:left="0"/>
        <w:jc w:val="center"/>
        <w:rPr>
          <w:rFonts w:ascii="Bookman Old Style" w:hAnsi="Bookman Old Style"/>
          <w:b/>
          <w:lang w:val="es-ES_tradnl"/>
        </w:rPr>
      </w:pPr>
    </w:p>
    <w:p w:rsidR="005411F7" w:rsidRDefault="005411F7" w:rsidP="005411F7">
      <w:pPr>
        <w:ind w:left="-567"/>
        <w:jc w:val="center"/>
        <w:rPr>
          <w:rFonts w:ascii="Bookman Old Style" w:hAnsi="Bookman Old Style"/>
          <w:b/>
          <w:lang w:val="es-CO"/>
        </w:rPr>
      </w:pPr>
      <w:r w:rsidRPr="000B65DE">
        <w:rPr>
          <w:rFonts w:ascii="Bookman Old Style" w:hAnsi="Bookman Old Style"/>
          <w:b/>
          <w:lang w:val="es-CO"/>
        </w:rPr>
        <w:lastRenderedPageBreak/>
        <w:t>4.2. EMPRESAS PÚBLICAS DE MEDELLÍN E.S.P</w:t>
      </w:r>
    </w:p>
    <w:p w:rsidR="005411F7" w:rsidRPr="000B65DE" w:rsidRDefault="005411F7" w:rsidP="005411F7">
      <w:pPr>
        <w:ind w:left="-567"/>
        <w:jc w:val="center"/>
        <w:rPr>
          <w:rFonts w:ascii="Bookman Old Style" w:hAnsi="Bookman Old Style"/>
          <w:b/>
          <w:lang w:val="es-CO"/>
        </w:rPr>
      </w:pPr>
    </w:p>
    <w:p w:rsidR="005411F7" w:rsidRDefault="005411F7" w:rsidP="005411F7">
      <w:pPr>
        <w:ind w:left="0"/>
        <w:jc w:val="center"/>
        <w:rPr>
          <w:rFonts w:ascii="Bookman Old Style" w:hAnsi="Bookman Old Style"/>
          <w:b/>
          <w:lang w:val="es-ES_tradnl"/>
        </w:rPr>
      </w:pPr>
      <w:r w:rsidRPr="001572F2">
        <w:rPr>
          <w:rFonts w:ascii="Bookman Old Style" w:hAnsi="Bookman Old Style"/>
          <w:b/>
          <w:noProof/>
          <w:lang w:val="es-CO" w:eastAsia="es-CO"/>
        </w:rPr>
        <w:drawing>
          <wp:inline distT="0" distB="0" distL="0" distR="0" wp14:anchorId="7903D69E" wp14:editId="234D68E8">
            <wp:extent cx="5914390" cy="7708900"/>
            <wp:effectExtent l="0" t="0" r="0"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14390" cy="7708900"/>
                    </a:xfrm>
                    <a:prstGeom prst="rect">
                      <a:avLst/>
                    </a:prstGeom>
                    <a:noFill/>
                    <a:ln>
                      <a:noFill/>
                    </a:ln>
                  </pic:spPr>
                </pic:pic>
              </a:graphicData>
            </a:graphic>
          </wp:inline>
        </w:drawing>
      </w:r>
    </w:p>
    <w:p w:rsidR="005411F7" w:rsidRDefault="005411F7" w:rsidP="005411F7">
      <w:pPr>
        <w:ind w:left="0"/>
        <w:jc w:val="center"/>
        <w:rPr>
          <w:rFonts w:ascii="Bookman Old Style" w:hAnsi="Bookman Old Style"/>
          <w:b/>
          <w:lang w:val="es-ES_tradnl"/>
        </w:rPr>
      </w:pPr>
    </w:p>
    <w:p w:rsidR="005411F7" w:rsidRPr="000B65DE" w:rsidRDefault="005411F7" w:rsidP="005411F7">
      <w:pPr>
        <w:ind w:left="0"/>
        <w:jc w:val="center"/>
        <w:rPr>
          <w:rFonts w:ascii="Bookman Old Style" w:hAnsi="Bookman Old Style"/>
          <w:b/>
          <w:lang w:val="es-ES_tradnl"/>
        </w:rPr>
      </w:pPr>
      <w:r w:rsidRPr="000B65DE">
        <w:rPr>
          <w:rFonts w:ascii="Bookman Old Style" w:hAnsi="Bookman Old Style"/>
          <w:b/>
          <w:lang w:val="es-ES_tradnl"/>
        </w:rPr>
        <w:br w:type="page"/>
      </w:r>
      <w:r w:rsidRPr="000B65DE">
        <w:rPr>
          <w:rFonts w:ascii="Bookman Old Style" w:hAnsi="Bookman Old Style"/>
          <w:b/>
          <w:lang w:val="es-CO"/>
        </w:rPr>
        <w:lastRenderedPageBreak/>
        <w:t>4.3. EMPRESA SURTIDORA DE GASES DEL CARIBE – SURTIGAS S.A. E.S.P.</w:t>
      </w:r>
    </w:p>
    <w:p w:rsidR="005411F7" w:rsidRDefault="005411F7" w:rsidP="005411F7">
      <w:pPr>
        <w:ind w:left="0"/>
        <w:jc w:val="both"/>
        <w:rPr>
          <w:rFonts w:ascii="Bookman Old Style" w:hAnsi="Bookman Old Style"/>
          <w:sz w:val="22"/>
          <w:lang w:val="es-ES_tradnl"/>
        </w:rPr>
      </w:pPr>
    </w:p>
    <w:p w:rsidR="005411F7" w:rsidRDefault="005411F7" w:rsidP="005411F7">
      <w:pPr>
        <w:ind w:left="0"/>
        <w:jc w:val="both"/>
        <w:rPr>
          <w:rFonts w:ascii="Bookman Old Style" w:hAnsi="Bookman Old Style"/>
          <w:sz w:val="22"/>
          <w:lang w:val="es-ES_tradnl"/>
        </w:rPr>
      </w:pPr>
      <w:r w:rsidRPr="007F02D4">
        <w:rPr>
          <w:rFonts w:ascii="Bookman Old Style" w:hAnsi="Bookman Old Style"/>
          <w:noProof/>
          <w:sz w:val="22"/>
          <w:lang w:val="es-CO" w:eastAsia="es-CO"/>
        </w:rPr>
        <w:drawing>
          <wp:inline distT="0" distB="0" distL="0" distR="0" wp14:anchorId="6BBE4958" wp14:editId="7E10B697">
            <wp:extent cx="5941060" cy="8420785"/>
            <wp:effectExtent l="0" t="0" r="254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1060" cy="8420785"/>
                    </a:xfrm>
                    <a:prstGeom prst="rect">
                      <a:avLst/>
                    </a:prstGeom>
                    <a:noFill/>
                    <a:ln>
                      <a:noFill/>
                    </a:ln>
                  </pic:spPr>
                </pic:pic>
              </a:graphicData>
            </a:graphic>
          </wp:inline>
        </w:drawing>
      </w:r>
    </w:p>
    <w:p w:rsidR="005411F7" w:rsidRDefault="005411F7" w:rsidP="005411F7">
      <w:pPr>
        <w:ind w:left="0"/>
        <w:jc w:val="both"/>
        <w:rPr>
          <w:rFonts w:ascii="Bookman Old Style" w:hAnsi="Bookman Old Style"/>
          <w:sz w:val="22"/>
          <w:lang w:val="es-ES_tradnl"/>
        </w:rPr>
      </w:pPr>
    </w:p>
    <w:p w:rsidR="005411F7" w:rsidRDefault="005411F7" w:rsidP="005411F7">
      <w:pPr>
        <w:ind w:left="0"/>
        <w:jc w:val="both"/>
        <w:rPr>
          <w:rFonts w:ascii="Bookman Old Style" w:hAnsi="Bookman Old Style"/>
          <w:sz w:val="22"/>
          <w:lang w:val="es-ES_tradnl"/>
        </w:rPr>
      </w:pPr>
    </w:p>
    <w:p w:rsidR="005411F7" w:rsidRDefault="005411F7" w:rsidP="005411F7">
      <w:pPr>
        <w:ind w:left="0"/>
        <w:jc w:val="both"/>
        <w:rPr>
          <w:rFonts w:ascii="Bookman Old Style" w:hAnsi="Bookman Old Style"/>
          <w:sz w:val="22"/>
          <w:lang w:val="es-ES_tradnl"/>
        </w:rPr>
      </w:pPr>
      <w:r w:rsidRPr="007F02D4">
        <w:rPr>
          <w:rFonts w:ascii="Bookman Old Style" w:hAnsi="Bookman Old Style"/>
          <w:noProof/>
          <w:sz w:val="22"/>
          <w:lang w:val="es-CO" w:eastAsia="es-CO"/>
        </w:rPr>
        <w:drawing>
          <wp:inline distT="0" distB="0" distL="0" distR="0" wp14:anchorId="6239C833" wp14:editId="5DC2246B">
            <wp:extent cx="5941060" cy="2788124"/>
            <wp:effectExtent l="0" t="0" r="254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1060" cy="2788124"/>
                    </a:xfrm>
                    <a:prstGeom prst="rect">
                      <a:avLst/>
                    </a:prstGeom>
                    <a:noFill/>
                    <a:ln>
                      <a:noFill/>
                    </a:ln>
                  </pic:spPr>
                </pic:pic>
              </a:graphicData>
            </a:graphic>
          </wp:inline>
        </w:drawing>
      </w:r>
    </w:p>
    <w:p w:rsidR="005411F7" w:rsidRDefault="005411F7" w:rsidP="005411F7">
      <w:pPr>
        <w:ind w:left="0"/>
        <w:jc w:val="both"/>
        <w:rPr>
          <w:rFonts w:ascii="Bookman Old Style" w:hAnsi="Bookman Old Style"/>
          <w:sz w:val="22"/>
          <w:lang w:val="es-ES_tradnl"/>
        </w:rPr>
      </w:pPr>
    </w:p>
    <w:p w:rsidR="005411F7" w:rsidRPr="000B65DE" w:rsidRDefault="005411F7" w:rsidP="005411F7">
      <w:pPr>
        <w:ind w:left="0"/>
        <w:jc w:val="both"/>
        <w:rPr>
          <w:rFonts w:ascii="Bookman Old Style" w:hAnsi="Bookman Old Style"/>
          <w:sz w:val="22"/>
          <w:lang w:val="es-ES_tradnl"/>
        </w:rPr>
      </w:pPr>
      <w:r w:rsidRPr="000B65DE">
        <w:rPr>
          <w:rFonts w:ascii="Bookman Old Style" w:hAnsi="Bookman Old Style"/>
          <w:sz w:val="22"/>
          <w:lang w:val="es-ES_tradnl"/>
        </w:rPr>
        <w:t>Notas: Los precios de las ERPC 01T2 y Actuadores se estimaron a partir de la información del Radicado CREG E-2002-003363.</w:t>
      </w:r>
    </w:p>
    <w:p w:rsidR="005411F7" w:rsidRPr="000B65DE" w:rsidRDefault="005411F7" w:rsidP="005411F7">
      <w:pPr>
        <w:ind w:left="0"/>
        <w:jc w:val="both"/>
        <w:rPr>
          <w:rFonts w:ascii="Bookman Old Style" w:hAnsi="Bookman Old Style"/>
          <w:sz w:val="22"/>
          <w:lang w:val="es-ES_tradnl"/>
        </w:rPr>
      </w:pPr>
      <w:r w:rsidRPr="000B65DE">
        <w:rPr>
          <w:rFonts w:ascii="Bookman Old Style" w:hAnsi="Bookman Old Style"/>
          <w:sz w:val="22"/>
          <w:lang w:val="es-ES_tradnl"/>
        </w:rPr>
        <w:t xml:space="preserve">De 64 cruces de vías existentes se reconocieron solo 15, por cuanto los demás estaban dentro de las UC de tuberías. En Cartagena cinco (5) </w:t>
      </w:r>
      <w:r w:rsidR="00364E59">
        <w:rPr>
          <w:rFonts w:ascii="Bookman Old Style" w:hAnsi="Bookman Old Style"/>
          <w:sz w:val="22"/>
          <w:lang w:val="es-ES_tradnl"/>
        </w:rPr>
        <w:t>E</w:t>
      </w:r>
      <w:r w:rsidRPr="000B65DE">
        <w:rPr>
          <w:rFonts w:ascii="Bookman Old Style" w:hAnsi="Bookman Old Style"/>
          <w:sz w:val="22"/>
          <w:lang w:val="es-ES_tradnl"/>
        </w:rPr>
        <w:t xml:space="preserve">quipos de </w:t>
      </w:r>
      <w:r w:rsidR="00364E59">
        <w:rPr>
          <w:rFonts w:ascii="Bookman Old Style" w:hAnsi="Bookman Old Style"/>
          <w:sz w:val="22"/>
          <w:lang w:val="es-ES_tradnl"/>
        </w:rPr>
        <w:t>O</w:t>
      </w:r>
      <w:r w:rsidRPr="000B65DE">
        <w:rPr>
          <w:rFonts w:ascii="Bookman Old Style" w:hAnsi="Bookman Old Style"/>
          <w:sz w:val="22"/>
          <w:lang w:val="es-ES_tradnl"/>
        </w:rPr>
        <w:t>dorización y trece (13) Actuadores se reconocieron dentro de las UC de estaciones</w:t>
      </w:r>
    </w:p>
    <w:p w:rsidR="005411F7" w:rsidRPr="000B65DE" w:rsidRDefault="005411F7" w:rsidP="005411F7">
      <w:pPr>
        <w:ind w:left="0"/>
        <w:jc w:val="both"/>
        <w:rPr>
          <w:rFonts w:ascii="Bookman Old Style" w:hAnsi="Bookman Old Style"/>
          <w:sz w:val="22"/>
          <w:lang w:val="es-ES_tradnl"/>
        </w:rPr>
      </w:pPr>
      <w:r w:rsidRPr="000B65DE">
        <w:rPr>
          <w:rFonts w:ascii="Bookman Old Style" w:hAnsi="Bookman Old Style"/>
          <w:sz w:val="22"/>
          <w:lang w:val="es-ES_tradnl"/>
        </w:rPr>
        <w:t>En Montería se presentaron tres (3) equipos de odorización, pero solo se reconoció uno (1) y un actuador en la estación de Promigas.</w:t>
      </w:r>
    </w:p>
    <w:p w:rsidR="005411F7" w:rsidRPr="000B65DE" w:rsidRDefault="005411F7" w:rsidP="005411F7">
      <w:pPr>
        <w:ind w:left="0"/>
        <w:jc w:val="both"/>
        <w:rPr>
          <w:rFonts w:ascii="Bookman Old Style" w:hAnsi="Bookman Old Style"/>
          <w:sz w:val="22"/>
          <w:lang w:val="es-ES_tradnl"/>
        </w:rPr>
      </w:pPr>
      <w:r w:rsidRPr="000B65DE">
        <w:rPr>
          <w:rFonts w:ascii="Bookman Old Style" w:hAnsi="Bookman Old Style"/>
          <w:sz w:val="22"/>
          <w:lang w:val="es-ES_tradnl"/>
        </w:rPr>
        <w:t>En Sincelejo se presentaron cuatro (4) equipos de odorización, pero solo se reconocieron dos (2 móviles) y un actuador en la estación de Promigas.</w:t>
      </w:r>
    </w:p>
    <w:p w:rsidR="005411F7" w:rsidRPr="000B65DE" w:rsidRDefault="005411F7" w:rsidP="005411F7">
      <w:pPr>
        <w:ind w:left="0"/>
        <w:rPr>
          <w:rFonts w:ascii="Bookman Old Style" w:hAnsi="Bookman Old Style" w:cs="Calibri"/>
          <w:b/>
          <w:bCs/>
          <w:sz w:val="20"/>
          <w:szCs w:val="20"/>
          <w:lang w:val="es-CO" w:eastAsia="es-CO"/>
        </w:rPr>
      </w:pPr>
      <w:r w:rsidRPr="000B65DE">
        <w:rPr>
          <w:rFonts w:ascii="Bookman Old Style" w:hAnsi="Bookman Old Style" w:cs="Calibri"/>
          <w:b/>
          <w:bCs/>
          <w:sz w:val="20"/>
          <w:szCs w:val="20"/>
          <w:lang w:val="es-CO" w:eastAsia="es-CO"/>
        </w:rPr>
        <w:br w:type="page"/>
      </w:r>
    </w:p>
    <w:p w:rsidR="005411F7" w:rsidRPr="000B65DE" w:rsidRDefault="005411F7" w:rsidP="005411F7">
      <w:pPr>
        <w:ind w:left="0"/>
        <w:jc w:val="center"/>
        <w:rPr>
          <w:rFonts w:ascii="Bookman Old Style" w:hAnsi="Bookman Old Style"/>
          <w:b/>
          <w:lang w:val="es-ES_tradnl"/>
        </w:rPr>
      </w:pPr>
      <w:r w:rsidRPr="000B65DE">
        <w:rPr>
          <w:rFonts w:ascii="Bookman Old Style" w:hAnsi="Bookman Old Style"/>
          <w:b/>
          <w:lang w:val="es-CO"/>
        </w:rPr>
        <w:lastRenderedPageBreak/>
        <w:t>4.4. EMPRESA GASES DEL CARIBE</w:t>
      </w:r>
      <w:r w:rsidRPr="000B65DE">
        <w:rPr>
          <w:rFonts w:ascii="Bookman Old Style" w:hAnsi="Bookman Old Style"/>
          <w:b/>
          <w:lang w:val="es-ES_tradnl"/>
        </w:rPr>
        <w:t xml:space="preserve"> S.A. E.S.P.</w:t>
      </w:r>
    </w:p>
    <w:p w:rsidR="005411F7" w:rsidRPr="000B65DE" w:rsidRDefault="005411F7" w:rsidP="005411F7">
      <w:pPr>
        <w:ind w:left="0"/>
        <w:jc w:val="center"/>
        <w:rPr>
          <w:rFonts w:ascii="Bookman Old Style" w:hAnsi="Bookman Old Style"/>
          <w:b/>
          <w:lang w:val="es-ES_tradnl"/>
        </w:rPr>
      </w:pPr>
    </w:p>
    <w:p w:rsidR="005411F7" w:rsidRDefault="001E3A08" w:rsidP="005411F7">
      <w:pPr>
        <w:ind w:left="0"/>
        <w:jc w:val="center"/>
        <w:rPr>
          <w:rFonts w:ascii="Bookman Old Style" w:hAnsi="Bookman Old Style"/>
          <w:b/>
          <w:lang w:val="es-ES_tradnl"/>
        </w:rPr>
      </w:pPr>
      <w:r>
        <w:rPr>
          <w:rFonts w:ascii="Bookman Old Style" w:hAnsi="Bookman Old Style"/>
          <w:b/>
          <w:noProof/>
          <w:lang w:val="es-CO" w:eastAsia="es-CO"/>
        </w:rPr>
        <w:drawing>
          <wp:inline distT="0" distB="0" distL="0" distR="0" wp14:anchorId="7BFBF92E" wp14:editId="0C935186">
            <wp:extent cx="5934710" cy="6452870"/>
            <wp:effectExtent l="0" t="0" r="8890" b="508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4710" cy="6452870"/>
                    </a:xfrm>
                    <a:prstGeom prst="rect">
                      <a:avLst/>
                    </a:prstGeom>
                    <a:noFill/>
                    <a:ln>
                      <a:noFill/>
                    </a:ln>
                  </pic:spPr>
                </pic:pic>
              </a:graphicData>
            </a:graphic>
          </wp:inline>
        </w:drawing>
      </w:r>
    </w:p>
    <w:p w:rsidR="005411F7" w:rsidRPr="000B65DE" w:rsidRDefault="005411F7" w:rsidP="005411F7">
      <w:pPr>
        <w:ind w:left="0"/>
        <w:jc w:val="center"/>
        <w:rPr>
          <w:rFonts w:ascii="Bookman Old Style" w:hAnsi="Bookman Old Style"/>
          <w:b/>
          <w:lang w:val="es-ES_tradnl"/>
        </w:rPr>
      </w:pPr>
    </w:p>
    <w:p w:rsidR="005411F7" w:rsidRPr="000B65DE" w:rsidRDefault="005411F7" w:rsidP="005411F7">
      <w:pPr>
        <w:ind w:left="0"/>
        <w:rPr>
          <w:rFonts w:ascii="Bookman Old Style" w:hAnsi="Bookman Old Style"/>
          <w:b/>
          <w:lang w:val="es-ES_tradnl"/>
        </w:rPr>
      </w:pPr>
      <w:r w:rsidRPr="000B65DE">
        <w:rPr>
          <w:rFonts w:ascii="Bookman Old Style" w:hAnsi="Bookman Old Style"/>
          <w:b/>
          <w:lang w:val="es-ES_tradnl"/>
        </w:rPr>
        <w:br w:type="page"/>
      </w:r>
    </w:p>
    <w:p w:rsidR="005411F7" w:rsidRPr="000B65DE" w:rsidRDefault="005411F7" w:rsidP="005411F7">
      <w:pPr>
        <w:ind w:left="0"/>
        <w:jc w:val="center"/>
        <w:rPr>
          <w:rFonts w:ascii="Bookman Old Style" w:hAnsi="Bookman Old Style"/>
          <w:b/>
          <w:lang w:val="es-CO"/>
        </w:rPr>
      </w:pPr>
      <w:r w:rsidRPr="000B65DE">
        <w:rPr>
          <w:rFonts w:ascii="Bookman Old Style" w:hAnsi="Bookman Old Style"/>
          <w:b/>
          <w:lang w:val="es-CO"/>
        </w:rPr>
        <w:lastRenderedPageBreak/>
        <w:t>4.5. EMPRESA ALCANOS DE COLOMBIA S.A. E.S.P.</w:t>
      </w:r>
    </w:p>
    <w:p w:rsidR="005411F7" w:rsidRPr="000B65DE" w:rsidRDefault="005411F7" w:rsidP="005411F7">
      <w:pPr>
        <w:ind w:left="0"/>
        <w:jc w:val="center"/>
        <w:rPr>
          <w:rFonts w:ascii="Bookman Old Style" w:hAnsi="Bookman Old Style"/>
          <w:b/>
          <w:lang w:val="es-CO"/>
        </w:rPr>
      </w:pPr>
    </w:p>
    <w:p w:rsidR="005411F7" w:rsidRPr="000B65DE" w:rsidRDefault="005411F7" w:rsidP="005411F7">
      <w:pPr>
        <w:ind w:left="0"/>
        <w:jc w:val="center"/>
        <w:rPr>
          <w:rFonts w:ascii="Bookman Old Style" w:hAnsi="Bookman Old Style"/>
          <w:b/>
          <w:lang w:val="es-ES_tradnl"/>
        </w:rPr>
      </w:pPr>
      <w:r w:rsidRPr="001572F2">
        <w:rPr>
          <w:rFonts w:ascii="Bookman Old Style" w:hAnsi="Bookman Old Style"/>
          <w:b/>
          <w:noProof/>
          <w:lang w:val="es-CO" w:eastAsia="es-CO"/>
        </w:rPr>
        <w:drawing>
          <wp:inline distT="0" distB="0" distL="0" distR="0" wp14:anchorId="0AAB463E" wp14:editId="67B273B7">
            <wp:extent cx="5441988" cy="8518967"/>
            <wp:effectExtent l="0" t="0" r="635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45355" cy="8524238"/>
                    </a:xfrm>
                    <a:prstGeom prst="rect">
                      <a:avLst/>
                    </a:prstGeom>
                    <a:noFill/>
                    <a:ln>
                      <a:noFill/>
                    </a:ln>
                  </pic:spPr>
                </pic:pic>
              </a:graphicData>
            </a:graphic>
          </wp:inline>
        </w:drawing>
      </w:r>
    </w:p>
    <w:p w:rsidR="005411F7" w:rsidRPr="000B65DE" w:rsidRDefault="005411F7" w:rsidP="005411F7">
      <w:pPr>
        <w:ind w:left="0"/>
        <w:rPr>
          <w:rFonts w:ascii="Bookman Old Style" w:hAnsi="Bookman Old Style"/>
          <w:b/>
          <w:lang w:val="es-CO"/>
        </w:rPr>
      </w:pPr>
      <w:r w:rsidRPr="000B65DE">
        <w:rPr>
          <w:rFonts w:ascii="Bookman Old Style" w:hAnsi="Bookman Old Style"/>
          <w:b/>
          <w:lang w:val="es-CO"/>
        </w:rPr>
        <w:br w:type="page"/>
      </w:r>
    </w:p>
    <w:p w:rsidR="005411F7" w:rsidRPr="000B65DE" w:rsidRDefault="005411F7" w:rsidP="005411F7">
      <w:pPr>
        <w:ind w:left="0"/>
        <w:jc w:val="center"/>
        <w:rPr>
          <w:rFonts w:ascii="Bookman Old Style" w:hAnsi="Bookman Old Style"/>
          <w:b/>
          <w:lang w:val="es-CO"/>
        </w:rPr>
      </w:pPr>
      <w:r w:rsidRPr="000B65DE">
        <w:rPr>
          <w:rFonts w:ascii="Bookman Old Style" w:hAnsi="Bookman Old Style"/>
          <w:b/>
          <w:lang w:val="es-CO"/>
        </w:rPr>
        <w:lastRenderedPageBreak/>
        <w:t>4.6. EMPRESA GAS NATURAL DEL ORIENTE S.A. E.S.P.</w:t>
      </w:r>
    </w:p>
    <w:p w:rsidR="005411F7" w:rsidRPr="000B65DE" w:rsidRDefault="005411F7" w:rsidP="005411F7">
      <w:pPr>
        <w:ind w:left="0"/>
        <w:jc w:val="center"/>
        <w:rPr>
          <w:rFonts w:ascii="Bookman Old Style" w:hAnsi="Bookman Old Style"/>
          <w:b/>
          <w:lang w:val="es-CO"/>
        </w:rPr>
      </w:pPr>
    </w:p>
    <w:p w:rsidR="005411F7" w:rsidRPr="000B65DE" w:rsidRDefault="005411F7" w:rsidP="005411F7">
      <w:pPr>
        <w:ind w:left="0"/>
        <w:jc w:val="center"/>
        <w:rPr>
          <w:rFonts w:ascii="Bookman Old Style" w:hAnsi="Bookman Old Style"/>
          <w:b/>
          <w:lang w:val="es-ES_tradnl"/>
        </w:rPr>
      </w:pPr>
      <w:r w:rsidRPr="001572F2">
        <w:rPr>
          <w:rFonts w:ascii="Bookman Old Style" w:hAnsi="Bookman Old Style"/>
          <w:b/>
          <w:noProof/>
          <w:lang w:val="es-CO" w:eastAsia="es-CO"/>
        </w:rPr>
        <w:drawing>
          <wp:inline distT="0" distB="0" distL="0" distR="0" wp14:anchorId="440E205A" wp14:editId="6CFBF39C">
            <wp:extent cx="5941060" cy="7963829"/>
            <wp:effectExtent l="0" t="0" r="254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1060" cy="7963829"/>
                    </a:xfrm>
                    <a:prstGeom prst="rect">
                      <a:avLst/>
                    </a:prstGeom>
                    <a:noFill/>
                    <a:ln>
                      <a:noFill/>
                    </a:ln>
                  </pic:spPr>
                </pic:pic>
              </a:graphicData>
            </a:graphic>
          </wp:inline>
        </w:drawing>
      </w:r>
    </w:p>
    <w:p w:rsidR="005411F7" w:rsidRPr="000B65DE" w:rsidRDefault="005411F7" w:rsidP="005411F7">
      <w:pPr>
        <w:ind w:left="0"/>
        <w:jc w:val="both"/>
        <w:rPr>
          <w:rFonts w:ascii="Bookman Old Style" w:hAnsi="Bookman Old Style"/>
          <w:sz w:val="22"/>
          <w:lang w:val="es-ES_tradnl"/>
        </w:rPr>
      </w:pPr>
      <w:r w:rsidRPr="000B65DE">
        <w:rPr>
          <w:rFonts w:ascii="Bookman Old Style" w:hAnsi="Bookman Old Style"/>
          <w:sz w:val="22"/>
          <w:lang w:val="es-ES_tradnl"/>
        </w:rPr>
        <w:t>Nota: El valor de la ERPC 35T2 quedó incluido en la ERP de Lebrija</w:t>
      </w:r>
    </w:p>
    <w:p w:rsidR="005411F7" w:rsidRDefault="005411F7" w:rsidP="005411F7">
      <w:pPr>
        <w:ind w:left="0"/>
        <w:jc w:val="center"/>
        <w:rPr>
          <w:rFonts w:ascii="Bookman Old Style" w:hAnsi="Bookman Old Style"/>
          <w:b/>
          <w:lang w:val="es-ES_tradnl"/>
        </w:rPr>
      </w:pPr>
    </w:p>
    <w:p w:rsidR="005411F7" w:rsidRPr="000B65DE" w:rsidRDefault="005411F7" w:rsidP="005411F7">
      <w:pPr>
        <w:ind w:left="0"/>
        <w:jc w:val="center"/>
        <w:rPr>
          <w:rFonts w:ascii="Bookman Old Style" w:hAnsi="Bookman Old Style"/>
          <w:b/>
          <w:lang w:val="es-ES_tradnl"/>
        </w:rPr>
      </w:pPr>
    </w:p>
    <w:p w:rsidR="005411F7" w:rsidRPr="000B65DE" w:rsidRDefault="005411F7" w:rsidP="005411F7">
      <w:pPr>
        <w:ind w:left="0"/>
        <w:jc w:val="center"/>
        <w:rPr>
          <w:rFonts w:ascii="Bookman Old Style" w:hAnsi="Bookman Old Style"/>
          <w:b/>
          <w:lang w:val="es-ES_tradnl"/>
        </w:rPr>
      </w:pPr>
    </w:p>
    <w:p w:rsidR="005411F7" w:rsidRPr="000B65DE" w:rsidRDefault="005411F7" w:rsidP="005411F7">
      <w:pPr>
        <w:ind w:left="0"/>
        <w:jc w:val="center"/>
        <w:rPr>
          <w:rFonts w:ascii="Bookman Old Style" w:hAnsi="Bookman Old Style"/>
          <w:lang w:val="es-ES_tradnl"/>
        </w:rPr>
      </w:pPr>
      <w:r w:rsidRPr="000B65DE">
        <w:rPr>
          <w:rFonts w:ascii="Bookman Old Style" w:hAnsi="Bookman Old Style"/>
          <w:b/>
          <w:lang w:val="es-CO"/>
        </w:rPr>
        <w:lastRenderedPageBreak/>
        <w:t>4.7. EMPRESA GAS NATURAL DEL CESAR</w:t>
      </w:r>
      <w:r w:rsidRPr="000B65DE">
        <w:rPr>
          <w:rFonts w:ascii="Bookman Old Style" w:hAnsi="Bookman Old Style"/>
          <w:b/>
          <w:lang w:val="es-ES_tradnl"/>
        </w:rPr>
        <w:t xml:space="preserve"> S.A E.S.P.</w:t>
      </w:r>
    </w:p>
    <w:p w:rsidR="005411F7" w:rsidRDefault="005411F7" w:rsidP="005411F7">
      <w:pPr>
        <w:ind w:left="0"/>
        <w:jc w:val="center"/>
        <w:rPr>
          <w:rFonts w:ascii="Bookman Old Style" w:hAnsi="Bookman Old Style" w:cs="Calibri"/>
          <w:b/>
          <w:bCs/>
          <w:sz w:val="20"/>
          <w:szCs w:val="20"/>
          <w:lang w:val="es-CO" w:eastAsia="es-CO"/>
        </w:rPr>
      </w:pPr>
    </w:p>
    <w:p w:rsidR="005411F7" w:rsidRPr="000B65DE" w:rsidRDefault="005411F7" w:rsidP="005411F7">
      <w:pPr>
        <w:ind w:left="0"/>
        <w:jc w:val="center"/>
        <w:rPr>
          <w:rFonts w:ascii="Bookman Old Style" w:hAnsi="Bookman Old Style" w:cs="Calibri"/>
          <w:b/>
          <w:bCs/>
          <w:sz w:val="20"/>
          <w:szCs w:val="20"/>
          <w:lang w:val="es-CO" w:eastAsia="es-CO"/>
        </w:rPr>
      </w:pPr>
      <w:r w:rsidRPr="001572F2">
        <w:rPr>
          <w:rFonts w:ascii="Bookman Old Style" w:hAnsi="Bookman Old Style" w:cs="Calibri"/>
          <w:b/>
          <w:bCs/>
          <w:noProof/>
          <w:sz w:val="20"/>
          <w:szCs w:val="20"/>
          <w:lang w:val="es-CO" w:eastAsia="es-CO"/>
        </w:rPr>
        <w:drawing>
          <wp:inline distT="0" distB="0" distL="0" distR="0" wp14:anchorId="18BD9C7D" wp14:editId="3D2921C8">
            <wp:extent cx="5914390" cy="6979285"/>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14390" cy="6979285"/>
                    </a:xfrm>
                    <a:prstGeom prst="rect">
                      <a:avLst/>
                    </a:prstGeom>
                    <a:noFill/>
                    <a:ln>
                      <a:noFill/>
                    </a:ln>
                  </pic:spPr>
                </pic:pic>
              </a:graphicData>
            </a:graphic>
          </wp:inline>
        </w:drawing>
      </w:r>
    </w:p>
    <w:p w:rsidR="005411F7" w:rsidRPr="000B65DE" w:rsidRDefault="005411F7" w:rsidP="005411F7">
      <w:pPr>
        <w:ind w:left="0"/>
        <w:rPr>
          <w:rFonts w:ascii="Bookman Old Style" w:hAnsi="Bookman Old Style" w:cs="Calibri"/>
          <w:b/>
          <w:bCs/>
          <w:sz w:val="20"/>
          <w:szCs w:val="20"/>
          <w:lang w:val="es-CO" w:eastAsia="es-CO"/>
        </w:rPr>
      </w:pPr>
      <w:r w:rsidRPr="000B65DE">
        <w:rPr>
          <w:rFonts w:ascii="Bookman Old Style" w:hAnsi="Bookman Old Style" w:cs="Calibri"/>
          <w:b/>
          <w:bCs/>
          <w:sz w:val="20"/>
          <w:szCs w:val="20"/>
          <w:lang w:val="es-CO" w:eastAsia="es-CO"/>
        </w:rPr>
        <w:br w:type="page"/>
      </w:r>
    </w:p>
    <w:p w:rsidR="005411F7" w:rsidRPr="000B65DE" w:rsidRDefault="005411F7" w:rsidP="005411F7">
      <w:pPr>
        <w:ind w:left="0"/>
        <w:jc w:val="center"/>
        <w:rPr>
          <w:rFonts w:ascii="Bookman Old Style" w:hAnsi="Bookman Old Style"/>
          <w:b/>
          <w:lang w:val="es-CO"/>
        </w:rPr>
      </w:pPr>
      <w:r w:rsidRPr="000B65DE">
        <w:rPr>
          <w:rFonts w:ascii="Bookman Old Style" w:hAnsi="Bookman Old Style"/>
          <w:b/>
          <w:lang w:val="es-CO"/>
        </w:rPr>
        <w:lastRenderedPageBreak/>
        <w:t>4.8. EMPRESA LLANOGAS S.A. E.S.P.</w:t>
      </w:r>
    </w:p>
    <w:p w:rsidR="005411F7" w:rsidRDefault="005411F7" w:rsidP="005411F7">
      <w:pPr>
        <w:ind w:left="0"/>
        <w:rPr>
          <w:rFonts w:ascii="Bookman Old Style" w:hAnsi="Bookman Old Style" w:cs="Calibri"/>
          <w:b/>
          <w:bCs/>
          <w:sz w:val="20"/>
          <w:szCs w:val="20"/>
          <w:lang w:val="es-CO" w:eastAsia="es-CO"/>
        </w:rPr>
      </w:pPr>
    </w:p>
    <w:p w:rsidR="005411F7" w:rsidRDefault="005411F7" w:rsidP="005411F7">
      <w:pPr>
        <w:ind w:left="0"/>
        <w:rPr>
          <w:rFonts w:ascii="Bookman Old Style" w:hAnsi="Bookman Old Style" w:cs="Calibri"/>
          <w:b/>
          <w:bCs/>
          <w:sz w:val="20"/>
          <w:szCs w:val="20"/>
          <w:lang w:val="es-CO" w:eastAsia="es-CO"/>
        </w:rPr>
      </w:pPr>
      <w:r w:rsidRPr="00416F0F">
        <w:rPr>
          <w:rFonts w:ascii="Bookman Old Style" w:hAnsi="Bookman Old Style" w:cs="Calibri"/>
          <w:b/>
          <w:bCs/>
          <w:noProof/>
          <w:sz w:val="20"/>
          <w:szCs w:val="20"/>
          <w:lang w:val="es-CO" w:eastAsia="es-CO"/>
        </w:rPr>
        <w:drawing>
          <wp:inline distT="0" distB="0" distL="0" distR="0" wp14:anchorId="6E01BC3C" wp14:editId="539F4E0B">
            <wp:extent cx="5941060" cy="8703916"/>
            <wp:effectExtent l="0" t="0" r="2540" b="254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1060" cy="8703916"/>
                    </a:xfrm>
                    <a:prstGeom prst="rect">
                      <a:avLst/>
                    </a:prstGeom>
                    <a:noFill/>
                    <a:ln>
                      <a:noFill/>
                    </a:ln>
                  </pic:spPr>
                </pic:pic>
              </a:graphicData>
            </a:graphic>
          </wp:inline>
        </w:drawing>
      </w:r>
    </w:p>
    <w:p w:rsidR="005411F7" w:rsidRDefault="005411F7" w:rsidP="005411F7">
      <w:pPr>
        <w:ind w:left="0"/>
        <w:rPr>
          <w:rFonts w:ascii="Bookman Old Style" w:hAnsi="Bookman Old Style" w:cs="Calibri"/>
          <w:b/>
          <w:bCs/>
          <w:sz w:val="20"/>
          <w:szCs w:val="20"/>
          <w:lang w:val="es-CO" w:eastAsia="es-CO"/>
        </w:rPr>
      </w:pPr>
    </w:p>
    <w:p w:rsidR="005411F7" w:rsidRPr="000B65DE" w:rsidRDefault="005411F7" w:rsidP="005411F7">
      <w:pPr>
        <w:ind w:left="0"/>
        <w:rPr>
          <w:rFonts w:ascii="Bookman Old Style" w:hAnsi="Bookman Old Style" w:cs="Calibri"/>
          <w:b/>
          <w:bCs/>
          <w:sz w:val="20"/>
          <w:szCs w:val="20"/>
          <w:lang w:val="es-CO" w:eastAsia="es-CO"/>
        </w:rPr>
      </w:pPr>
      <w:r w:rsidRPr="00416F0F">
        <w:rPr>
          <w:rFonts w:ascii="Bookman Old Style" w:hAnsi="Bookman Old Style" w:cs="Calibri"/>
          <w:b/>
          <w:bCs/>
          <w:noProof/>
          <w:sz w:val="20"/>
          <w:szCs w:val="20"/>
          <w:lang w:val="es-CO" w:eastAsia="es-CO"/>
        </w:rPr>
        <w:drawing>
          <wp:inline distT="0" distB="0" distL="0" distR="0" wp14:anchorId="2181ECC4" wp14:editId="1064DCD8">
            <wp:extent cx="5941060" cy="4068507"/>
            <wp:effectExtent l="0" t="0" r="2540" b="825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1060" cy="4068507"/>
                    </a:xfrm>
                    <a:prstGeom prst="rect">
                      <a:avLst/>
                    </a:prstGeom>
                    <a:noFill/>
                    <a:ln>
                      <a:noFill/>
                    </a:ln>
                  </pic:spPr>
                </pic:pic>
              </a:graphicData>
            </a:graphic>
          </wp:inline>
        </w:drawing>
      </w:r>
    </w:p>
    <w:p w:rsidR="005411F7" w:rsidRPr="000B65DE" w:rsidRDefault="005411F7" w:rsidP="005411F7">
      <w:pPr>
        <w:ind w:left="0"/>
        <w:rPr>
          <w:rFonts w:ascii="Bookman Old Style" w:hAnsi="Bookman Old Style"/>
          <w:b/>
          <w:lang w:val="es-CO"/>
        </w:rPr>
      </w:pPr>
      <w:r w:rsidRPr="000B65DE">
        <w:rPr>
          <w:rFonts w:ascii="Bookman Old Style" w:hAnsi="Bookman Old Style"/>
          <w:b/>
          <w:lang w:val="es-CO"/>
        </w:rPr>
        <w:br w:type="page"/>
      </w:r>
    </w:p>
    <w:p w:rsidR="005411F7" w:rsidRPr="000B65DE" w:rsidRDefault="005411F7" w:rsidP="005411F7">
      <w:pPr>
        <w:ind w:left="0"/>
        <w:jc w:val="center"/>
        <w:rPr>
          <w:rFonts w:ascii="Bookman Old Style" w:hAnsi="Bookman Old Style"/>
          <w:b/>
          <w:lang w:val="es-CO"/>
        </w:rPr>
      </w:pPr>
      <w:r w:rsidRPr="000B65DE">
        <w:rPr>
          <w:rFonts w:ascii="Bookman Old Style" w:hAnsi="Bookman Old Style"/>
          <w:b/>
          <w:lang w:val="es-CO"/>
        </w:rPr>
        <w:lastRenderedPageBreak/>
        <w:t>4.9. EMPRESA GASES DE LA GUAJIRA S.A. E.S.P.</w:t>
      </w:r>
    </w:p>
    <w:p w:rsidR="005411F7" w:rsidRPr="000B65DE" w:rsidRDefault="005411F7" w:rsidP="005411F7">
      <w:pPr>
        <w:ind w:left="0"/>
        <w:jc w:val="center"/>
        <w:rPr>
          <w:rFonts w:ascii="Bookman Old Style" w:hAnsi="Bookman Old Style" w:cs="Calibri"/>
          <w:b/>
          <w:bCs/>
          <w:sz w:val="20"/>
          <w:szCs w:val="20"/>
          <w:lang w:val="es-CO" w:eastAsia="es-CO"/>
        </w:rPr>
      </w:pPr>
    </w:p>
    <w:p w:rsidR="005411F7" w:rsidRDefault="005411F7" w:rsidP="005411F7">
      <w:pPr>
        <w:ind w:left="0"/>
        <w:jc w:val="center"/>
        <w:rPr>
          <w:rFonts w:ascii="Bookman Old Style" w:hAnsi="Bookman Old Style"/>
          <w:b/>
          <w:lang w:val="es-CO"/>
        </w:rPr>
      </w:pPr>
      <w:r w:rsidRPr="00416F0F">
        <w:rPr>
          <w:rFonts w:ascii="Bookman Old Style" w:hAnsi="Bookman Old Style"/>
          <w:b/>
          <w:noProof/>
          <w:lang w:val="es-CO" w:eastAsia="es-CO"/>
        </w:rPr>
        <w:drawing>
          <wp:inline distT="0" distB="0" distL="0" distR="0" wp14:anchorId="08790272" wp14:editId="255F76D4">
            <wp:extent cx="5914390" cy="3634740"/>
            <wp:effectExtent l="0" t="0" r="0" b="381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14390" cy="3634740"/>
                    </a:xfrm>
                    <a:prstGeom prst="rect">
                      <a:avLst/>
                    </a:prstGeom>
                    <a:noFill/>
                    <a:ln>
                      <a:noFill/>
                    </a:ln>
                  </pic:spPr>
                </pic:pic>
              </a:graphicData>
            </a:graphic>
          </wp:inline>
        </w:drawing>
      </w:r>
    </w:p>
    <w:p w:rsidR="005411F7" w:rsidRPr="000B65DE" w:rsidRDefault="005411F7" w:rsidP="005411F7">
      <w:pPr>
        <w:ind w:left="0"/>
        <w:jc w:val="center"/>
        <w:rPr>
          <w:rFonts w:ascii="Bookman Old Style" w:hAnsi="Bookman Old Style"/>
          <w:b/>
          <w:lang w:val="es-CO"/>
        </w:rPr>
      </w:pPr>
    </w:p>
    <w:p w:rsidR="005411F7" w:rsidRPr="000B65DE" w:rsidRDefault="005411F7" w:rsidP="005411F7">
      <w:pPr>
        <w:ind w:left="0"/>
        <w:rPr>
          <w:rFonts w:ascii="Bookman Old Style" w:hAnsi="Bookman Old Style" w:cs="Calibri"/>
          <w:b/>
          <w:bCs/>
          <w:sz w:val="20"/>
          <w:szCs w:val="20"/>
          <w:lang w:val="es-CO" w:eastAsia="es-CO"/>
        </w:rPr>
      </w:pPr>
      <w:r w:rsidRPr="000B65DE">
        <w:rPr>
          <w:rFonts w:ascii="Bookman Old Style" w:hAnsi="Bookman Old Style" w:cs="Calibri"/>
          <w:b/>
          <w:bCs/>
          <w:sz w:val="20"/>
          <w:szCs w:val="20"/>
          <w:lang w:val="es-CO" w:eastAsia="es-CO"/>
        </w:rPr>
        <w:br w:type="page"/>
      </w:r>
    </w:p>
    <w:p w:rsidR="005411F7" w:rsidRPr="000B65DE" w:rsidRDefault="005411F7" w:rsidP="005411F7">
      <w:pPr>
        <w:ind w:left="0"/>
        <w:jc w:val="center"/>
        <w:rPr>
          <w:rFonts w:ascii="Bookman Old Style" w:hAnsi="Bookman Old Style"/>
          <w:b/>
          <w:lang w:val="es-CO"/>
        </w:rPr>
      </w:pPr>
      <w:r w:rsidRPr="000B65DE">
        <w:rPr>
          <w:rFonts w:ascii="Bookman Old Style" w:hAnsi="Bookman Old Style"/>
          <w:b/>
          <w:lang w:val="es-CO"/>
        </w:rPr>
        <w:lastRenderedPageBreak/>
        <w:t>4.10. EMPRESA METROGAS DE COLOMBIA S.A. E.S.P.</w:t>
      </w:r>
    </w:p>
    <w:p w:rsidR="005411F7" w:rsidRDefault="005411F7" w:rsidP="005411F7">
      <w:pPr>
        <w:ind w:left="0"/>
        <w:jc w:val="center"/>
        <w:rPr>
          <w:rFonts w:ascii="Bookman Old Style" w:hAnsi="Bookman Old Style"/>
          <w:b/>
          <w:lang w:val="es-CO"/>
        </w:rPr>
      </w:pPr>
    </w:p>
    <w:p w:rsidR="005411F7" w:rsidRPr="000B65DE" w:rsidRDefault="005411F7" w:rsidP="005411F7">
      <w:pPr>
        <w:ind w:left="0"/>
        <w:jc w:val="center"/>
        <w:rPr>
          <w:rFonts w:ascii="Bookman Old Style" w:hAnsi="Bookman Old Style"/>
          <w:b/>
          <w:lang w:val="es-CO"/>
        </w:rPr>
      </w:pPr>
      <w:r w:rsidRPr="00416F0F">
        <w:rPr>
          <w:rFonts w:ascii="Bookman Old Style" w:hAnsi="Bookman Old Style"/>
          <w:b/>
          <w:noProof/>
          <w:lang w:val="es-CO" w:eastAsia="es-CO"/>
        </w:rPr>
        <w:drawing>
          <wp:inline distT="0" distB="0" distL="0" distR="0" wp14:anchorId="5A5E6B52" wp14:editId="73480D7D">
            <wp:extent cx="5941060" cy="6328181"/>
            <wp:effectExtent l="0" t="0" r="254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1060" cy="6328181"/>
                    </a:xfrm>
                    <a:prstGeom prst="rect">
                      <a:avLst/>
                    </a:prstGeom>
                    <a:noFill/>
                    <a:ln>
                      <a:noFill/>
                    </a:ln>
                  </pic:spPr>
                </pic:pic>
              </a:graphicData>
            </a:graphic>
          </wp:inline>
        </w:drawing>
      </w:r>
    </w:p>
    <w:p w:rsidR="005411F7" w:rsidRPr="000B65DE" w:rsidRDefault="005411F7" w:rsidP="005411F7">
      <w:pPr>
        <w:ind w:left="0"/>
        <w:rPr>
          <w:rFonts w:ascii="Bookman Old Style" w:hAnsi="Bookman Old Style"/>
          <w:b/>
          <w:lang w:val="es-CO"/>
        </w:rPr>
      </w:pPr>
      <w:r w:rsidRPr="000B65DE">
        <w:rPr>
          <w:rFonts w:ascii="Bookman Old Style" w:hAnsi="Bookman Old Style"/>
          <w:b/>
          <w:lang w:val="es-CO"/>
        </w:rPr>
        <w:br w:type="page"/>
      </w:r>
    </w:p>
    <w:p w:rsidR="005411F7" w:rsidRPr="000B65DE" w:rsidRDefault="005411F7" w:rsidP="005411F7">
      <w:pPr>
        <w:ind w:left="0"/>
        <w:jc w:val="center"/>
        <w:rPr>
          <w:rFonts w:ascii="Bookman Old Style" w:hAnsi="Bookman Old Style"/>
          <w:b/>
          <w:lang w:val="es-CO"/>
        </w:rPr>
      </w:pPr>
      <w:r w:rsidRPr="000B65DE">
        <w:rPr>
          <w:rFonts w:ascii="Bookman Old Style" w:hAnsi="Bookman Old Style"/>
          <w:b/>
          <w:lang w:val="es-CO"/>
        </w:rPr>
        <w:lastRenderedPageBreak/>
        <w:t>4.11. EMPRESA CAUCANA DE GAS S.A. E.S.P.</w:t>
      </w:r>
    </w:p>
    <w:p w:rsidR="005411F7" w:rsidRDefault="005411F7" w:rsidP="005411F7">
      <w:pPr>
        <w:ind w:left="0"/>
        <w:jc w:val="center"/>
        <w:rPr>
          <w:rFonts w:ascii="Bookman Old Style" w:hAnsi="Bookman Old Style" w:cs="Calibri"/>
          <w:b/>
          <w:bCs/>
          <w:sz w:val="20"/>
          <w:szCs w:val="20"/>
          <w:lang w:val="es-CO" w:eastAsia="es-CO"/>
        </w:rPr>
      </w:pPr>
    </w:p>
    <w:p w:rsidR="005411F7" w:rsidRPr="000B65DE" w:rsidRDefault="005411F7" w:rsidP="005411F7">
      <w:pPr>
        <w:ind w:left="0"/>
        <w:jc w:val="center"/>
        <w:rPr>
          <w:rFonts w:ascii="Bookman Old Style" w:hAnsi="Bookman Old Style" w:cs="Calibri"/>
          <w:b/>
          <w:bCs/>
          <w:sz w:val="20"/>
          <w:szCs w:val="20"/>
          <w:lang w:val="es-CO" w:eastAsia="es-CO"/>
        </w:rPr>
      </w:pPr>
      <w:r w:rsidRPr="00416F0F">
        <w:rPr>
          <w:rFonts w:ascii="Bookman Old Style" w:hAnsi="Bookman Old Style" w:cs="Calibri"/>
          <w:b/>
          <w:bCs/>
          <w:noProof/>
          <w:sz w:val="20"/>
          <w:szCs w:val="20"/>
          <w:lang w:val="es-CO" w:eastAsia="es-CO"/>
        </w:rPr>
        <w:drawing>
          <wp:inline distT="0" distB="0" distL="0" distR="0" wp14:anchorId="2E3A7969" wp14:editId="14507482">
            <wp:extent cx="5914390" cy="297497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14390" cy="2974975"/>
                    </a:xfrm>
                    <a:prstGeom prst="rect">
                      <a:avLst/>
                    </a:prstGeom>
                    <a:noFill/>
                    <a:ln>
                      <a:noFill/>
                    </a:ln>
                  </pic:spPr>
                </pic:pic>
              </a:graphicData>
            </a:graphic>
          </wp:inline>
        </w:drawing>
      </w:r>
    </w:p>
    <w:p w:rsidR="005411F7" w:rsidRPr="000B65DE" w:rsidRDefault="005411F7" w:rsidP="005411F7">
      <w:pPr>
        <w:ind w:left="0"/>
        <w:rPr>
          <w:rFonts w:ascii="Bookman Old Style" w:hAnsi="Bookman Old Style" w:cs="Calibri"/>
          <w:b/>
          <w:bCs/>
          <w:sz w:val="20"/>
          <w:szCs w:val="20"/>
          <w:lang w:val="es-CO" w:eastAsia="es-CO"/>
        </w:rPr>
      </w:pPr>
      <w:r w:rsidRPr="000B65DE">
        <w:rPr>
          <w:rFonts w:ascii="Bookman Old Style" w:hAnsi="Bookman Old Style" w:cs="Calibri"/>
          <w:b/>
          <w:bCs/>
          <w:sz w:val="20"/>
          <w:szCs w:val="20"/>
          <w:lang w:val="es-CO" w:eastAsia="es-CO"/>
        </w:rPr>
        <w:br w:type="page"/>
      </w:r>
    </w:p>
    <w:p w:rsidR="005411F7" w:rsidRPr="000B65DE" w:rsidRDefault="005411F7" w:rsidP="005411F7">
      <w:pPr>
        <w:ind w:left="0"/>
        <w:jc w:val="center"/>
        <w:rPr>
          <w:rFonts w:ascii="Bookman Old Style" w:hAnsi="Bookman Old Style"/>
          <w:b/>
          <w:lang w:val="es-CO"/>
        </w:rPr>
      </w:pPr>
      <w:r w:rsidRPr="000B65DE">
        <w:rPr>
          <w:rFonts w:ascii="Bookman Old Style" w:hAnsi="Bookman Old Style"/>
          <w:b/>
          <w:lang w:val="es-CO"/>
        </w:rPr>
        <w:lastRenderedPageBreak/>
        <w:t>4.12. EMPRESA GASES DEL ORIENTE S.A. E.S.P.</w:t>
      </w:r>
    </w:p>
    <w:p w:rsidR="005411F7" w:rsidRPr="000B65DE" w:rsidRDefault="005411F7" w:rsidP="005411F7">
      <w:pPr>
        <w:ind w:left="0"/>
        <w:rPr>
          <w:rFonts w:ascii="Bookman Old Style" w:hAnsi="Bookman Old Style" w:cs="Calibri"/>
          <w:b/>
          <w:bCs/>
          <w:sz w:val="20"/>
          <w:szCs w:val="20"/>
          <w:lang w:val="es-CO" w:eastAsia="es-CO"/>
        </w:rPr>
      </w:pPr>
    </w:p>
    <w:p w:rsidR="005411F7" w:rsidRPr="000B65DE" w:rsidRDefault="005411F7" w:rsidP="005411F7">
      <w:pPr>
        <w:ind w:left="0"/>
        <w:jc w:val="center"/>
        <w:rPr>
          <w:rFonts w:ascii="Bookman Old Style" w:hAnsi="Bookman Old Style"/>
          <w:lang w:val="es-ES_tradnl"/>
        </w:rPr>
      </w:pPr>
      <w:r w:rsidRPr="00AB038D">
        <w:rPr>
          <w:rFonts w:ascii="Bookman Old Style" w:hAnsi="Bookman Old Style"/>
          <w:noProof/>
          <w:lang w:val="es-CO" w:eastAsia="es-CO"/>
        </w:rPr>
        <w:drawing>
          <wp:inline distT="0" distB="0" distL="0" distR="0" wp14:anchorId="6D925E04" wp14:editId="232DA189">
            <wp:extent cx="5941060" cy="3930201"/>
            <wp:effectExtent l="0" t="0" r="254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1060" cy="3930201"/>
                    </a:xfrm>
                    <a:prstGeom prst="rect">
                      <a:avLst/>
                    </a:prstGeom>
                    <a:noFill/>
                    <a:ln>
                      <a:noFill/>
                    </a:ln>
                  </pic:spPr>
                </pic:pic>
              </a:graphicData>
            </a:graphic>
          </wp:inline>
        </w:drawing>
      </w:r>
    </w:p>
    <w:p w:rsidR="005411F7" w:rsidRPr="000B65DE" w:rsidRDefault="005411F7" w:rsidP="005411F7">
      <w:pPr>
        <w:ind w:left="0"/>
        <w:rPr>
          <w:rFonts w:ascii="Bookman Old Style" w:hAnsi="Bookman Old Style" w:cs="Calibri"/>
          <w:b/>
          <w:bCs/>
          <w:sz w:val="20"/>
          <w:szCs w:val="20"/>
          <w:lang w:val="es-CO" w:eastAsia="es-CO"/>
        </w:rPr>
      </w:pPr>
      <w:r w:rsidRPr="000B65DE">
        <w:rPr>
          <w:rFonts w:ascii="Bookman Old Style" w:hAnsi="Bookman Old Style" w:cs="Calibri"/>
          <w:b/>
          <w:bCs/>
          <w:sz w:val="20"/>
          <w:szCs w:val="20"/>
          <w:lang w:val="es-CO" w:eastAsia="es-CO"/>
        </w:rPr>
        <w:br w:type="page"/>
      </w:r>
    </w:p>
    <w:p w:rsidR="005411F7" w:rsidRPr="000B65DE" w:rsidRDefault="005411F7" w:rsidP="005411F7">
      <w:pPr>
        <w:ind w:left="0"/>
        <w:jc w:val="center"/>
        <w:rPr>
          <w:rFonts w:ascii="Bookman Old Style" w:hAnsi="Bookman Old Style"/>
          <w:b/>
          <w:lang w:val="es-CO"/>
        </w:rPr>
      </w:pPr>
      <w:r w:rsidRPr="000B65DE">
        <w:rPr>
          <w:rFonts w:ascii="Bookman Old Style" w:hAnsi="Bookman Old Style"/>
          <w:b/>
          <w:lang w:val="es-CO"/>
        </w:rPr>
        <w:lastRenderedPageBreak/>
        <w:t>4.13. EMPRESA GASES DE OCCIDENTE S.A. E.S.P.</w:t>
      </w:r>
    </w:p>
    <w:p w:rsidR="005411F7" w:rsidRPr="000B65DE" w:rsidRDefault="005411F7" w:rsidP="005411F7">
      <w:pPr>
        <w:ind w:left="0" w:firstLine="142"/>
        <w:rPr>
          <w:rFonts w:ascii="Bookman Old Style" w:hAnsi="Bookman Old Style" w:cs="Calibri"/>
          <w:b/>
          <w:bCs/>
          <w:sz w:val="20"/>
          <w:szCs w:val="20"/>
          <w:lang w:val="es-CO" w:eastAsia="es-CO"/>
        </w:rPr>
      </w:pPr>
    </w:p>
    <w:p w:rsidR="005411F7" w:rsidRPr="000B65DE" w:rsidRDefault="005411F7" w:rsidP="005411F7">
      <w:pPr>
        <w:ind w:left="0"/>
        <w:jc w:val="center"/>
        <w:rPr>
          <w:rFonts w:ascii="Bookman Old Style" w:hAnsi="Bookman Old Style"/>
          <w:lang w:val="es-ES_tradnl"/>
        </w:rPr>
      </w:pPr>
      <w:r w:rsidRPr="00AB038D">
        <w:rPr>
          <w:rFonts w:ascii="Bookman Old Style" w:hAnsi="Bookman Old Style"/>
          <w:noProof/>
          <w:lang w:val="es-CO" w:eastAsia="es-CO"/>
        </w:rPr>
        <w:drawing>
          <wp:inline distT="0" distB="0" distL="0" distR="0" wp14:anchorId="289AD5C5" wp14:editId="5707A79A">
            <wp:extent cx="5914390" cy="6365875"/>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14390" cy="6365875"/>
                    </a:xfrm>
                    <a:prstGeom prst="rect">
                      <a:avLst/>
                    </a:prstGeom>
                    <a:noFill/>
                    <a:ln>
                      <a:noFill/>
                    </a:ln>
                  </pic:spPr>
                </pic:pic>
              </a:graphicData>
            </a:graphic>
          </wp:inline>
        </w:drawing>
      </w:r>
    </w:p>
    <w:p w:rsidR="005411F7" w:rsidRPr="000B65DE" w:rsidRDefault="005411F7" w:rsidP="005411F7">
      <w:pPr>
        <w:ind w:left="0"/>
        <w:rPr>
          <w:rFonts w:ascii="Bookman Old Style" w:hAnsi="Bookman Old Style"/>
          <w:lang w:val="es-ES_tradnl"/>
        </w:rPr>
      </w:pPr>
      <w:r w:rsidRPr="000B65DE">
        <w:rPr>
          <w:rFonts w:ascii="Bookman Old Style" w:hAnsi="Bookman Old Style"/>
          <w:lang w:val="es-ES_tradnl"/>
        </w:rPr>
        <w:br w:type="page"/>
      </w:r>
    </w:p>
    <w:p w:rsidR="005411F7" w:rsidRPr="000B65DE" w:rsidRDefault="005411F7" w:rsidP="005411F7">
      <w:pPr>
        <w:ind w:left="0"/>
        <w:jc w:val="center"/>
        <w:rPr>
          <w:rFonts w:ascii="Bookman Old Style" w:hAnsi="Bookman Old Style"/>
          <w:b/>
          <w:lang w:val="es-CO"/>
        </w:rPr>
      </w:pPr>
      <w:r w:rsidRPr="000B65DE">
        <w:rPr>
          <w:rFonts w:ascii="Bookman Old Style" w:hAnsi="Bookman Old Style"/>
          <w:b/>
          <w:lang w:val="es-CO"/>
        </w:rPr>
        <w:lastRenderedPageBreak/>
        <w:t>4.14. EMPRESA GASES DE BARRANCABERMEJA S.A. E.S.P.</w:t>
      </w:r>
    </w:p>
    <w:p w:rsidR="005411F7" w:rsidRDefault="005411F7" w:rsidP="005411F7">
      <w:pPr>
        <w:ind w:left="0"/>
        <w:jc w:val="center"/>
        <w:rPr>
          <w:rFonts w:ascii="Bookman Old Style" w:hAnsi="Bookman Old Style"/>
          <w:b/>
          <w:lang w:val="es-CO"/>
        </w:rPr>
      </w:pPr>
    </w:p>
    <w:p w:rsidR="005411F7" w:rsidRPr="000B65DE" w:rsidRDefault="005411F7" w:rsidP="005411F7">
      <w:pPr>
        <w:ind w:left="0"/>
        <w:jc w:val="center"/>
        <w:rPr>
          <w:rFonts w:ascii="Bookman Old Style" w:hAnsi="Bookman Old Style"/>
          <w:b/>
          <w:lang w:val="es-CO"/>
        </w:rPr>
      </w:pPr>
      <w:r w:rsidRPr="00AB038D">
        <w:rPr>
          <w:rFonts w:ascii="Bookman Old Style" w:hAnsi="Bookman Old Style"/>
          <w:b/>
          <w:noProof/>
          <w:lang w:val="es-CO" w:eastAsia="es-CO"/>
        </w:rPr>
        <w:drawing>
          <wp:inline distT="0" distB="0" distL="0" distR="0" wp14:anchorId="5BB5B242" wp14:editId="64847CB8">
            <wp:extent cx="5914390" cy="7755255"/>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14390" cy="7755255"/>
                    </a:xfrm>
                    <a:prstGeom prst="rect">
                      <a:avLst/>
                    </a:prstGeom>
                    <a:noFill/>
                    <a:ln>
                      <a:noFill/>
                    </a:ln>
                  </pic:spPr>
                </pic:pic>
              </a:graphicData>
            </a:graphic>
          </wp:inline>
        </w:drawing>
      </w:r>
    </w:p>
    <w:p w:rsidR="005411F7" w:rsidRPr="000B65DE" w:rsidRDefault="005411F7" w:rsidP="005411F7">
      <w:pPr>
        <w:ind w:left="0"/>
        <w:rPr>
          <w:rFonts w:ascii="Bookman Old Style" w:hAnsi="Bookman Old Style"/>
          <w:b/>
          <w:lang w:val="es-CO"/>
        </w:rPr>
      </w:pPr>
      <w:r w:rsidRPr="000B65DE">
        <w:rPr>
          <w:rFonts w:ascii="Bookman Old Style" w:hAnsi="Bookman Old Style"/>
          <w:b/>
          <w:lang w:val="es-CO"/>
        </w:rPr>
        <w:br w:type="page"/>
      </w:r>
    </w:p>
    <w:p w:rsidR="005411F7" w:rsidRPr="000B65DE" w:rsidRDefault="005411F7" w:rsidP="005411F7">
      <w:pPr>
        <w:ind w:left="0"/>
        <w:jc w:val="center"/>
        <w:rPr>
          <w:rFonts w:ascii="Bookman Old Style" w:hAnsi="Bookman Old Style"/>
          <w:b/>
          <w:lang w:val="es-CO"/>
        </w:rPr>
      </w:pPr>
    </w:p>
    <w:p w:rsidR="005411F7" w:rsidRPr="000B65DE" w:rsidRDefault="005411F7" w:rsidP="005411F7">
      <w:pPr>
        <w:ind w:left="0"/>
        <w:jc w:val="center"/>
        <w:rPr>
          <w:rFonts w:ascii="Bookman Old Style" w:hAnsi="Bookman Old Style"/>
          <w:b/>
          <w:lang w:val="es-CO"/>
        </w:rPr>
      </w:pPr>
      <w:r w:rsidRPr="000B65DE">
        <w:rPr>
          <w:rFonts w:ascii="Bookman Old Style" w:hAnsi="Bookman Old Style"/>
          <w:b/>
          <w:lang w:val="es-CO"/>
        </w:rPr>
        <w:t>4.15. EMPRESA MADIGAS INGENIEROS S.A. E.S.P.</w:t>
      </w:r>
    </w:p>
    <w:p w:rsidR="005411F7" w:rsidRPr="000B65DE" w:rsidRDefault="005411F7" w:rsidP="005411F7">
      <w:pPr>
        <w:ind w:left="0"/>
        <w:jc w:val="center"/>
        <w:rPr>
          <w:rFonts w:ascii="Bookman Old Style" w:hAnsi="Bookman Old Style"/>
          <w:b/>
          <w:lang w:val="es-CO"/>
        </w:rPr>
      </w:pPr>
    </w:p>
    <w:p w:rsidR="005411F7" w:rsidRPr="000B65DE" w:rsidRDefault="005411F7" w:rsidP="005411F7">
      <w:pPr>
        <w:ind w:left="0"/>
        <w:jc w:val="center"/>
        <w:rPr>
          <w:rFonts w:ascii="Bookman Old Style" w:hAnsi="Bookman Old Style"/>
          <w:b/>
          <w:lang w:val="es-CO"/>
        </w:rPr>
      </w:pPr>
      <w:r w:rsidRPr="00AB038D">
        <w:rPr>
          <w:rFonts w:ascii="Bookman Old Style" w:hAnsi="Bookman Old Style"/>
          <w:b/>
          <w:noProof/>
          <w:lang w:val="es-CO" w:eastAsia="es-CO"/>
        </w:rPr>
        <w:drawing>
          <wp:inline distT="0" distB="0" distL="0" distR="0" wp14:anchorId="49B18A84" wp14:editId="3B1BC478">
            <wp:extent cx="5914390" cy="4838065"/>
            <wp:effectExtent l="0" t="0" r="0" b="63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14390" cy="4838065"/>
                    </a:xfrm>
                    <a:prstGeom prst="rect">
                      <a:avLst/>
                    </a:prstGeom>
                    <a:noFill/>
                    <a:ln>
                      <a:noFill/>
                    </a:ln>
                  </pic:spPr>
                </pic:pic>
              </a:graphicData>
            </a:graphic>
          </wp:inline>
        </w:drawing>
      </w:r>
    </w:p>
    <w:p w:rsidR="005411F7" w:rsidRDefault="005411F7" w:rsidP="005411F7">
      <w:pPr>
        <w:ind w:left="0"/>
        <w:rPr>
          <w:rFonts w:ascii="Bookman Old Style" w:hAnsi="Bookman Old Style"/>
          <w:b/>
          <w:lang w:val="es-CO"/>
        </w:rPr>
      </w:pPr>
    </w:p>
    <w:p w:rsidR="005411F7" w:rsidRPr="000B65DE" w:rsidRDefault="005411F7" w:rsidP="005411F7">
      <w:pPr>
        <w:ind w:left="0"/>
        <w:rPr>
          <w:rFonts w:ascii="Bookman Old Style" w:hAnsi="Bookman Old Style"/>
          <w:b/>
          <w:lang w:val="es-CO"/>
        </w:rPr>
      </w:pPr>
      <w:r w:rsidRPr="00AB038D">
        <w:rPr>
          <w:rFonts w:ascii="Bookman Old Style" w:hAnsi="Bookman Old Style"/>
          <w:b/>
          <w:noProof/>
          <w:lang w:val="es-CO" w:eastAsia="es-CO"/>
        </w:rPr>
        <w:lastRenderedPageBreak/>
        <w:drawing>
          <wp:inline distT="0" distB="0" distL="0" distR="0" wp14:anchorId="334CF341" wp14:editId="2A1CDF47">
            <wp:extent cx="5914390" cy="7292340"/>
            <wp:effectExtent l="0" t="0" r="0" b="381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14390" cy="7292340"/>
                    </a:xfrm>
                    <a:prstGeom prst="rect">
                      <a:avLst/>
                    </a:prstGeom>
                    <a:noFill/>
                    <a:ln>
                      <a:noFill/>
                    </a:ln>
                  </pic:spPr>
                </pic:pic>
              </a:graphicData>
            </a:graphic>
          </wp:inline>
        </w:drawing>
      </w:r>
    </w:p>
    <w:p w:rsidR="005411F7" w:rsidRPr="000B65DE" w:rsidRDefault="005411F7" w:rsidP="005411F7">
      <w:pPr>
        <w:ind w:left="0"/>
        <w:rPr>
          <w:rFonts w:ascii="Bookman Old Style" w:hAnsi="Bookman Old Style"/>
          <w:b/>
          <w:lang w:val="es-CO"/>
        </w:rPr>
      </w:pPr>
      <w:r w:rsidRPr="000B65DE">
        <w:rPr>
          <w:rFonts w:ascii="Bookman Old Style" w:hAnsi="Bookman Old Style"/>
          <w:b/>
          <w:lang w:val="es-CO"/>
        </w:rPr>
        <w:br w:type="page"/>
      </w:r>
    </w:p>
    <w:p w:rsidR="005411F7" w:rsidRPr="000B65DE" w:rsidRDefault="005411F7" w:rsidP="005411F7">
      <w:pPr>
        <w:ind w:left="0"/>
        <w:rPr>
          <w:rFonts w:ascii="Bookman Old Style" w:hAnsi="Bookman Old Style"/>
          <w:b/>
          <w:lang w:val="es-CO"/>
        </w:rPr>
      </w:pPr>
    </w:p>
    <w:p w:rsidR="005411F7" w:rsidRPr="000B65DE" w:rsidRDefault="005411F7" w:rsidP="005411F7">
      <w:pPr>
        <w:ind w:left="0"/>
        <w:jc w:val="center"/>
        <w:rPr>
          <w:rFonts w:ascii="Bookman Old Style" w:hAnsi="Bookman Old Style"/>
          <w:b/>
          <w:lang w:val="es-CO"/>
        </w:rPr>
      </w:pPr>
      <w:r w:rsidRPr="000B65DE">
        <w:rPr>
          <w:rFonts w:ascii="Bookman Old Style" w:hAnsi="Bookman Old Style"/>
          <w:b/>
          <w:lang w:val="es-CO"/>
        </w:rPr>
        <w:t>4.16. EMPRESA PROMESA S.A. E.S.P.</w:t>
      </w:r>
    </w:p>
    <w:p w:rsidR="005411F7" w:rsidRPr="000B65DE" w:rsidRDefault="005411F7" w:rsidP="005411F7">
      <w:pPr>
        <w:ind w:left="0"/>
        <w:jc w:val="center"/>
        <w:rPr>
          <w:rFonts w:ascii="Bookman Old Style" w:hAnsi="Bookman Old Style"/>
          <w:b/>
          <w:lang w:val="es-CO"/>
        </w:rPr>
      </w:pPr>
    </w:p>
    <w:p w:rsidR="005411F7" w:rsidRPr="000B65DE" w:rsidRDefault="005411F7" w:rsidP="005411F7">
      <w:pPr>
        <w:ind w:left="0"/>
        <w:jc w:val="center"/>
        <w:rPr>
          <w:rFonts w:ascii="Bookman Old Style" w:hAnsi="Bookman Old Style"/>
          <w:b/>
          <w:lang w:val="es-ES_tradnl"/>
        </w:rPr>
      </w:pPr>
      <w:r w:rsidRPr="00AB038D">
        <w:rPr>
          <w:rFonts w:ascii="Bookman Old Style" w:hAnsi="Bookman Old Style"/>
          <w:b/>
          <w:noProof/>
          <w:lang w:val="es-CO" w:eastAsia="es-CO"/>
        </w:rPr>
        <w:drawing>
          <wp:inline distT="0" distB="0" distL="0" distR="0" wp14:anchorId="30AE7864" wp14:editId="304D66C0">
            <wp:extent cx="5914390" cy="3217545"/>
            <wp:effectExtent l="0" t="0" r="0" b="190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14390" cy="3217545"/>
                    </a:xfrm>
                    <a:prstGeom prst="rect">
                      <a:avLst/>
                    </a:prstGeom>
                    <a:noFill/>
                    <a:ln>
                      <a:noFill/>
                    </a:ln>
                  </pic:spPr>
                </pic:pic>
              </a:graphicData>
            </a:graphic>
          </wp:inline>
        </w:drawing>
      </w:r>
    </w:p>
    <w:p w:rsidR="005411F7" w:rsidRPr="000B65DE" w:rsidRDefault="005411F7" w:rsidP="005411F7">
      <w:pPr>
        <w:ind w:left="0"/>
        <w:rPr>
          <w:rFonts w:ascii="Bookman Old Style" w:hAnsi="Bookman Old Style"/>
          <w:b/>
          <w:lang w:val="es-ES_tradnl"/>
        </w:rPr>
      </w:pPr>
      <w:r w:rsidRPr="000B65DE">
        <w:rPr>
          <w:rFonts w:ascii="Bookman Old Style" w:hAnsi="Bookman Old Style"/>
          <w:b/>
          <w:lang w:val="es-ES_tradnl"/>
        </w:rPr>
        <w:br w:type="page"/>
      </w:r>
    </w:p>
    <w:p w:rsidR="005411F7" w:rsidRPr="000B65DE" w:rsidRDefault="005411F7" w:rsidP="005411F7">
      <w:pPr>
        <w:ind w:left="0"/>
        <w:rPr>
          <w:rFonts w:ascii="Bookman Old Style" w:hAnsi="Bookman Old Style"/>
          <w:b/>
          <w:lang w:val="es-ES_tradnl"/>
        </w:rPr>
      </w:pPr>
    </w:p>
    <w:p w:rsidR="005411F7" w:rsidRPr="000B65DE" w:rsidRDefault="005411F7" w:rsidP="005411F7">
      <w:pPr>
        <w:ind w:left="0"/>
        <w:jc w:val="center"/>
        <w:rPr>
          <w:rFonts w:ascii="Bookman Old Style" w:hAnsi="Bookman Old Style"/>
          <w:b/>
          <w:lang w:val="es-CO"/>
        </w:rPr>
      </w:pPr>
      <w:r w:rsidRPr="000B65DE">
        <w:rPr>
          <w:rFonts w:ascii="Bookman Old Style" w:hAnsi="Bookman Old Style"/>
          <w:b/>
          <w:lang w:val="es-CO"/>
        </w:rPr>
        <w:t>4.17. EMPRESA GASES DEL CUSIANA S.A. E.S.P. (YOPAL)</w:t>
      </w:r>
    </w:p>
    <w:p w:rsidR="005411F7" w:rsidRDefault="005411F7" w:rsidP="005411F7">
      <w:pPr>
        <w:ind w:left="0"/>
        <w:rPr>
          <w:rFonts w:ascii="Bookman Old Style" w:hAnsi="Bookman Old Style"/>
          <w:b/>
          <w:lang w:val="es-CO"/>
        </w:rPr>
      </w:pPr>
    </w:p>
    <w:p w:rsidR="005411F7" w:rsidRPr="000B65DE" w:rsidRDefault="005411F7" w:rsidP="005411F7">
      <w:pPr>
        <w:ind w:left="0"/>
        <w:rPr>
          <w:rFonts w:ascii="Bookman Old Style" w:hAnsi="Bookman Old Style"/>
          <w:b/>
          <w:lang w:val="es-CO"/>
        </w:rPr>
      </w:pPr>
      <w:r w:rsidRPr="00AB038D">
        <w:rPr>
          <w:rFonts w:ascii="Bookman Old Style" w:hAnsi="Bookman Old Style"/>
          <w:b/>
          <w:noProof/>
          <w:lang w:val="es-CO" w:eastAsia="es-CO"/>
        </w:rPr>
        <w:drawing>
          <wp:inline distT="0" distB="0" distL="0" distR="0" wp14:anchorId="246BA619" wp14:editId="50CFD876">
            <wp:extent cx="5941060" cy="6159602"/>
            <wp:effectExtent l="0" t="0" r="254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1060" cy="6159602"/>
                    </a:xfrm>
                    <a:prstGeom prst="rect">
                      <a:avLst/>
                    </a:prstGeom>
                    <a:noFill/>
                    <a:ln>
                      <a:noFill/>
                    </a:ln>
                  </pic:spPr>
                </pic:pic>
              </a:graphicData>
            </a:graphic>
          </wp:inline>
        </w:drawing>
      </w:r>
    </w:p>
    <w:p w:rsidR="005411F7" w:rsidRPr="000B65DE" w:rsidRDefault="005411F7" w:rsidP="005411F7">
      <w:pPr>
        <w:ind w:left="0"/>
        <w:rPr>
          <w:rFonts w:ascii="Bookman Old Style" w:hAnsi="Bookman Old Style"/>
          <w:b/>
          <w:lang w:val="es-CO"/>
        </w:rPr>
      </w:pPr>
      <w:r w:rsidRPr="000B65DE">
        <w:rPr>
          <w:rFonts w:ascii="Bookman Old Style" w:hAnsi="Bookman Old Style"/>
          <w:b/>
          <w:lang w:val="es-CO"/>
        </w:rPr>
        <w:br w:type="page"/>
      </w:r>
    </w:p>
    <w:p w:rsidR="005411F7" w:rsidRPr="000B65DE" w:rsidRDefault="005411F7" w:rsidP="005411F7">
      <w:pPr>
        <w:ind w:left="0"/>
        <w:rPr>
          <w:rFonts w:ascii="Bookman Old Style" w:hAnsi="Bookman Old Style"/>
          <w:b/>
          <w:lang w:val="es-CO"/>
        </w:rPr>
      </w:pPr>
    </w:p>
    <w:p w:rsidR="005411F7" w:rsidRPr="000B65DE" w:rsidRDefault="005411F7" w:rsidP="005411F7">
      <w:pPr>
        <w:ind w:left="0"/>
        <w:jc w:val="center"/>
        <w:rPr>
          <w:rFonts w:ascii="Bookman Old Style" w:hAnsi="Bookman Old Style"/>
          <w:b/>
          <w:lang w:val="es-CO"/>
        </w:rPr>
      </w:pPr>
      <w:r w:rsidRPr="000B65DE">
        <w:rPr>
          <w:rFonts w:ascii="Bookman Old Style" w:hAnsi="Bookman Old Style"/>
          <w:b/>
          <w:lang w:val="es-CO"/>
        </w:rPr>
        <w:t>4.18. EMPRESA GASES DEL CUSIANA S.A. E.S.P. (TAURAMENA)</w:t>
      </w:r>
    </w:p>
    <w:p w:rsidR="005411F7" w:rsidRPr="000B65DE" w:rsidDel="00FC7E79" w:rsidRDefault="005411F7" w:rsidP="005411F7">
      <w:pPr>
        <w:ind w:left="0"/>
        <w:rPr>
          <w:rFonts w:ascii="Bookman Old Style" w:hAnsi="Bookman Old Style"/>
          <w:lang w:val="es-ES_tradnl"/>
        </w:rPr>
      </w:pPr>
    </w:p>
    <w:p w:rsidR="005411F7" w:rsidRDefault="005411F7" w:rsidP="005411F7">
      <w:pPr>
        <w:ind w:left="0"/>
        <w:rPr>
          <w:rFonts w:ascii="Bookman Old Style" w:hAnsi="Bookman Old Style"/>
          <w:lang w:val="es-ES_tradnl"/>
        </w:rPr>
      </w:pPr>
      <w:r w:rsidRPr="00AB038D">
        <w:rPr>
          <w:rFonts w:ascii="Bookman Old Style" w:hAnsi="Bookman Old Style"/>
          <w:noProof/>
          <w:lang w:val="es-CO" w:eastAsia="es-CO"/>
        </w:rPr>
        <w:drawing>
          <wp:inline distT="0" distB="0" distL="0" distR="0" wp14:anchorId="50AFF65E" wp14:editId="098B4347">
            <wp:extent cx="5941060" cy="3222846"/>
            <wp:effectExtent l="0" t="0" r="254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1060" cy="3222846"/>
                    </a:xfrm>
                    <a:prstGeom prst="rect">
                      <a:avLst/>
                    </a:prstGeom>
                    <a:noFill/>
                    <a:ln>
                      <a:noFill/>
                    </a:ln>
                  </pic:spPr>
                </pic:pic>
              </a:graphicData>
            </a:graphic>
          </wp:inline>
        </w:drawing>
      </w:r>
    </w:p>
    <w:p w:rsidR="005411F7" w:rsidRPr="000B65DE" w:rsidRDefault="005411F7" w:rsidP="005411F7">
      <w:pPr>
        <w:ind w:left="0"/>
        <w:rPr>
          <w:rFonts w:ascii="Bookman Old Style" w:hAnsi="Bookman Old Style"/>
          <w:lang w:val="es-ES_tradnl"/>
        </w:rPr>
      </w:pPr>
      <w:r w:rsidRPr="000B65DE">
        <w:rPr>
          <w:rFonts w:ascii="Bookman Old Style" w:hAnsi="Bookman Old Style"/>
          <w:lang w:val="es-ES_tradnl"/>
        </w:rPr>
        <w:br w:type="page"/>
      </w:r>
    </w:p>
    <w:p w:rsidR="005411F7" w:rsidRPr="000B65DE" w:rsidRDefault="005411F7" w:rsidP="005411F7">
      <w:pPr>
        <w:ind w:left="0"/>
        <w:rPr>
          <w:rFonts w:ascii="Bookman Old Style" w:hAnsi="Bookman Old Style"/>
          <w:lang w:val="es-ES_tradnl"/>
        </w:rPr>
      </w:pPr>
    </w:p>
    <w:p w:rsidR="005411F7" w:rsidRPr="000B65DE" w:rsidRDefault="005411F7" w:rsidP="005411F7">
      <w:pPr>
        <w:ind w:left="0"/>
        <w:jc w:val="center"/>
        <w:rPr>
          <w:rFonts w:ascii="Bookman Old Style" w:hAnsi="Bookman Old Style"/>
          <w:b/>
          <w:lang w:val="es-CO"/>
        </w:rPr>
      </w:pPr>
      <w:r w:rsidRPr="000B65DE">
        <w:rPr>
          <w:rFonts w:ascii="Bookman Old Style" w:hAnsi="Bookman Old Style"/>
          <w:b/>
          <w:lang w:val="es-CO"/>
        </w:rPr>
        <w:t>4.19. EMPRESA GASES DEL CUSIANA S.A. E.S.P.</w:t>
      </w:r>
    </w:p>
    <w:p w:rsidR="005411F7" w:rsidRPr="000B65DE" w:rsidRDefault="005411F7" w:rsidP="005411F7">
      <w:pPr>
        <w:ind w:left="0"/>
        <w:jc w:val="center"/>
        <w:rPr>
          <w:rFonts w:ascii="Bookman Old Style" w:hAnsi="Bookman Old Style"/>
          <w:b/>
          <w:lang w:val="es-CO"/>
        </w:rPr>
      </w:pPr>
      <w:r w:rsidRPr="000B65DE">
        <w:rPr>
          <w:rFonts w:ascii="Bookman Old Style" w:hAnsi="Bookman Old Style"/>
          <w:b/>
          <w:lang w:val="es-CO"/>
        </w:rPr>
        <w:t xml:space="preserve"> (AGUAZUL, MONTERREY Y VILLANUEVA)</w:t>
      </w:r>
    </w:p>
    <w:p w:rsidR="005411F7" w:rsidRDefault="005411F7" w:rsidP="005411F7">
      <w:pPr>
        <w:ind w:left="0"/>
        <w:rPr>
          <w:rFonts w:ascii="Arial" w:hAnsi="Arial" w:cs="Arial"/>
          <w:b/>
          <w:bCs/>
          <w:color w:val="FF0000"/>
          <w:sz w:val="20"/>
          <w:szCs w:val="20"/>
          <w:lang w:val="es-CO" w:eastAsia="es-CO"/>
        </w:rPr>
      </w:pPr>
    </w:p>
    <w:p w:rsidR="005411F7" w:rsidRDefault="005411F7" w:rsidP="005411F7">
      <w:pPr>
        <w:ind w:left="0"/>
        <w:rPr>
          <w:rFonts w:ascii="Arial" w:hAnsi="Arial" w:cs="Arial"/>
          <w:b/>
          <w:bCs/>
          <w:color w:val="FF0000"/>
          <w:sz w:val="20"/>
          <w:szCs w:val="20"/>
          <w:lang w:val="es-CO" w:eastAsia="es-CO"/>
        </w:rPr>
      </w:pPr>
      <w:r w:rsidRPr="00AB038D">
        <w:rPr>
          <w:rFonts w:ascii="Arial" w:hAnsi="Arial" w:cs="Arial"/>
          <w:b/>
          <w:bCs/>
          <w:noProof/>
          <w:color w:val="FF0000"/>
          <w:sz w:val="20"/>
          <w:szCs w:val="20"/>
          <w:lang w:val="es-CO" w:eastAsia="es-CO"/>
        </w:rPr>
        <w:drawing>
          <wp:inline distT="0" distB="0" distL="0" distR="0" wp14:anchorId="3EA0A713" wp14:editId="34366B28">
            <wp:extent cx="5941060" cy="7159028"/>
            <wp:effectExtent l="0" t="0" r="2540" b="381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1060" cy="7159028"/>
                    </a:xfrm>
                    <a:prstGeom prst="rect">
                      <a:avLst/>
                    </a:prstGeom>
                    <a:noFill/>
                    <a:ln>
                      <a:noFill/>
                    </a:ln>
                  </pic:spPr>
                </pic:pic>
              </a:graphicData>
            </a:graphic>
          </wp:inline>
        </w:drawing>
      </w:r>
    </w:p>
    <w:p w:rsidR="005411F7" w:rsidRDefault="005411F7" w:rsidP="005411F7">
      <w:pPr>
        <w:ind w:left="0"/>
        <w:rPr>
          <w:rFonts w:ascii="Arial" w:hAnsi="Arial" w:cs="Arial"/>
          <w:b/>
          <w:bCs/>
          <w:color w:val="FF0000"/>
          <w:sz w:val="20"/>
          <w:szCs w:val="20"/>
          <w:lang w:val="es-CO" w:eastAsia="es-CO"/>
        </w:rPr>
      </w:pPr>
    </w:p>
    <w:p w:rsidR="005411F7" w:rsidRDefault="005411F7" w:rsidP="005411F7">
      <w:pPr>
        <w:ind w:left="0"/>
        <w:jc w:val="center"/>
        <w:rPr>
          <w:rFonts w:ascii="Arial" w:hAnsi="Arial" w:cs="Arial"/>
          <w:b/>
          <w:bCs/>
          <w:color w:val="FF0000"/>
          <w:sz w:val="20"/>
          <w:szCs w:val="20"/>
          <w:lang w:val="es-CO" w:eastAsia="es-CO"/>
        </w:rPr>
      </w:pPr>
      <w:r w:rsidRPr="00AB038D">
        <w:rPr>
          <w:rFonts w:ascii="Arial" w:hAnsi="Arial" w:cs="Arial"/>
          <w:b/>
          <w:bCs/>
          <w:noProof/>
          <w:color w:val="FF0000"/>
          <w:sz w:val="20"/>
          <w:szCs w:val="20"/>
          <w:lang w:val="es-CO" w:eastAsia="es-CO"/>
        </w:rPr>
        <w:lastRenderedPageBreak/>
        <w:drawing>
          <wp:inline distT="0" distB="0" distL="0" distR="0" wp14:anchorId="26B99C8C" wp14:editId="39B7777C">
            <wp:extent cx="5463250" cy="8833723"/>
            <wp:effectExtent l="0" t="0" r="4445" b="571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62866" cy="8833101"/>
                    </a:xfrm>
                    <a:prstGeom prst="rect">
                      <a:avLst/>
                    </a:prstGeom>
                    <a:noFill/>
                    <a:ln>
                      <a:noFill/>
                    </a:ln>
                  </pic:spPr>
                </pic:pic>
              </a:graphicData>
            </a:graphic>
          </wp:inline>
        </w:drawing>
      </w:r>
    </w:p>
    <w:p w:rsidR="005411F7" w:rsidRDefault="005411F7" w:rsidP="005411F7">
      <w:pPr>
        <w:ind w:left="0"/>
        <w:rPr>
          <w:rFonts w:ascii="Arial" w:hAnsi="Arial" w:cs="Arial"/>
          <w:b/>
          <w:bCs/>
          <w:color w:val="FF0000"/>
          <w:sz w:val="20"/>
          <w:szCs w:val="20"/>
          <w:lang w:val="es-CO" w:eastAsia="es-CO"/>
        </w:rPr>
      </w:pPr>
    </w:p>
    <w:p w:rsidR="005411F7" w:rsidRPr="000B65DE" w:rsidRDefault="005411F7" w:rsidP="005411F7">
      <w:pPr>
        <w:ind w:left="0"/>
        <w:jc w:val="center"/>
        <w:rPr>
          <w:rFonts w:ascii="Bookman Old Style" w:hAnsi="Bookman Old Style"/>
          <w:b/>
          <w:lang w:val="es-CO"/>
        </w:rPr>
      </w:pPr>
      <w:r w:rsidRPr="000B65DE">
        <w:rPr>
          <w:rFonts w:ascii="Bookman Old Style" w:hAnsi="Bookman Old Style"/>
          <w:b/>
          <w:lang w:val="es-CO"/>
        </w:rPr>
        <w:lastRenderedPageBreak/>
        <w:t>4.</w:t>
      </w:r>
      <w:r>
        <w:rPr>
          <w:rFonts w:ascii="Bookman Old Style" w:hAnsi="Bookman Old Style"/>
          <w:b/>
          <w:lang w:val="es-CO"/>
        </w:rPr>
        <w:t>20</w:t>
      </w:r>
      <w:r w:rsidRPr="000B65DE">
        <w:rPr>
          <w:rFonts w:ascii="Bookman Old Style" w:hAnsi="Bookman Old Style"/>
          <w:b/>
          <w:lang w:val="es-CO"/>
        </w:rPr>
        <w:t xml:space="preserve">. EMPRESA </w:t>
      </w:r>
      <w:r>
        <w:rPr>
          <w:rFonts w:ascii="Bookman Old Style" w:hAnsi="Bookman Old Style"/>
          <w:b/>
          <w:lang w:val="es-CO"/>
        </w:rPr>
        <w:t>PROMIGAS</w:t>
      </w:r>
      <w:r w:rsidRPr="000B65DE">
        <w:rPr>
          <w:rFonts w:ascii="Bookman Old Style" w:hAnsi="Bookman Old Style"/>
          <w:b/>
          <w:lang w:val="es-CO"/>
        </w:rPr>
        <w:t xml:space="preserve"> S.A. E.S.P.</w:t>
      </w:r>
    </w:p>
    <w:p w:rsidR="005411F7" w:rsidRDefault="005411F7" w:rsidP="005411F7">
      <w:pPr>
        <w:ind w:left="0"/>
        <w:rPr>
          <w:rFonts w:ascii="Arial" w:hAnsi="Arial" w:cs="Arial"/>
          <w:b/>
          <w:bCs/>
          <w:color w:val="FF0000"/>
          <w:sz w:val="20"/>
          <w:szCs w:val="20"/>
          <w:lang w:val="es-CO" w:eastAsia="es-CO"/>
        </w:rPr>
      </w:pPr>
    </w:p>
    <w:p w:rsidR="005411F7" w:rsidRDefault="005411F7" w:rsidP="005411F7">
      <w:pPr>
        <w:ind w:left="0"/>
        <w:rPr>
          <w:rFonts w:ascii="Arial" w:hAnsi="Arial" w:cs="Arial"/>
          <w:b/>
          <w:bCs/>
          <w:color w:val="FF0000"/>
          <w:sz w:val="20"/>
          <w:szCs w:val="20"/>
          <w:lang w:val="es-CO" w:eastAsia="es-CO"/>
        </w:rPr>
      </w:pPr>
      <w:r w:rsidRPr="00AB038D">
        <w:rPr>
          <w:rFonts w:ascii="Arial" w:hAnsi="Arial" w:cs="Arial"/>
          <w:b/>
          <w:bCs/>
          <w:noProof/>
          <w:color w:val="FF0000"/>
          <w:sz w:val="20"/>
          <w:szCs w:val="20"/>
          <w:lang w:val="es-CO" w:eastAsia="es-CO"/>
        </w:rPr>
        <w:drawing>
          <wp:inline distT="0" distB="0" distL="0" distR="0" wp14:anchorId="4E6F949B" wp14:editId="29A4DFDE">
            <wp:extent cx="5941060" cy="5849019"/>
            <wp:effectExtent l="0" t="0" r="254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1060" cy="5849019"/>
                    </a:xfrm>
                    <a:prstGeom prst="rect">
                      <a:avLst/>
                    </a:prstGeom>
                    <a:noFill/>
                    <a:ln>
                      <a:noFill/>
                    </a:ln>
                  </pic:spPr>
                </pic:pic>
              </a:graphicData>
            </a:graphic>
          </wp:inline>
        </w:drawing>
      </w:r>
    </w:p>
    <w:p w:rsidR="005411F7" w:rsidRDefault="00965051" w:rsidP="005411F7">
      <w:pPr>
        <w:ind w:left="0"/>
        <w:rPr>
          <w:rFonts w:ascii="Arial" w:hAnsi="Arial" w:cs="Arial"/>
          <w:b/>
          <w:bCs/>
          <w:color w:val="FF0000"/>
          <w:sz w:val="20"/>
          <w:szCs w:val="20"/>
          <w:lang w:val="es-CO" w:eastAsia="es-CO"/>
        </w:rPr>
      </w:pPr>
      <w:r w:rsidRPr="00965051">
        <w:rPr>
          <w:noProof/>
          <w:sz w:val="22"/>
          <w:szCs w:val="22"/>
          <w:lang w:val="es-CO" w:eastAsia="es-CO"/>
        </w:rPr>
        <w:drawing>
          <wp:anchor distT="0" distB="0" distL="114300" distR="114300" simplePos="0" relativeHeight="251658752" behindDoc="1" locked="0" layoutInCell="1" allowOverlap="1" wp14:anchorId="56829F97" wp14:editId="6C314C27">
            <wp:simplePos x="0" y="0"/>
            <wp:positionH relativeFrom="column">
              <wp:posOffset>-1270</wp:posOffset>
            </wp:positionH>
            <wp:positionV relativeFrom="paragraph">
              <wp:posOffset>76835</wp:posOffset>
            </wp:positionV>
            <wp:extent cx="5941060" cy="608965"/>
            <wp:effectExtent l="0" t="0" r="2540" b="63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1060" cy="6089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411F7" w:rsidRDefault="005411F7" w:rsidP="005411F7">
      <w:pPr>
        <w:ind w:left="0"/>
        <w:rPr>
          <w:rFonts w:ascii="Arial" w:hAnsi="Arial" w:cs="Arial"/>
          <w:b/>
          <w:bCs/>
          <w:color w:val="FF0000"/>
          <w:sz w:val="20"/>
          <w:szCs w:val="20"/>
          <w:lang w:val="es-CO" w:eastAsia="es-CO"/>
        </w:rPr>
      </w:pPr>
    </w:p>
    <w:p w:rsidR="005411F7" w:rsidRDefault="005411F7" w:rsidP="005411F7">
      <w:pPr>
        <w:ind w:left="0"/>
        <w:rPr>
          <w:rFonts w:ascii="Arial" w:hAnsi="Arial" w:cs="Arial"/>
          <w:b/>
          <w:bCs/>
          <w:color w:val="FF0000"/>
          <w:sz w:val="20"/>
          <w:szCs w:val="20"/>
          <w:lang w:val="es-CO" w:eastAsia="es-CO"/>
        </w:rPr>
      </w:pPr>
    </w:p>
    <w:p w:rsidR="005411F7" w:rsidRDefault="005411F7" w:rsidP="005411F7">
      <w:pPr>
        <w:ind w:left="0"/>
        <w:rPr>
          <w:rFonts w:ascii="Arial" w:hAnsi="Arial" w:cs="Arial"/>
          <w:b/>
          <w:bCs/>
          <w:color w:val="FF0000"/>
          <w:sz w:val="20"/>
          <w:szCs w:val="20"/>
          <w:lang w:val="es-CO" w:eastAsia="es-CO"/>
        </w:rPr>
      </w:pPr>
    </w:p>
    <w:p w:rsidR="005411F7" w:rsidRDefault="005411F7" w:rsidP="005411F7">
      <w:pPr>
        <w:ind w:left="0"/>
        <w:rPr>
          <w:rFonts w:ascii="Arial" w:hAnsi="Arial" w:cs="Arial"/>
          <w:b/>
          <w:bCs/>
          <w:color w:val="FF0000"/>
          <w:sz w:val="20"/>
          <w:szCs w:val="20"/>
          <w:lang w:val="es-CO" w:eastAsia="es-CO"/>
        </w:rPr>
      </w:pPr>
    </w:p>
    <w:p w:rsidR="005411F7" w:rsidRDefault="005411F7" w:rsidP="005411F7">
      <w:pPr>
        <w:ind w:left="0"/>
        <w:rPr>
          <w:rFonts w:ascii="Arial" w:hAnsi="Arial" w:cs="Arial"/>
          <w:b/>
          <w:bCs/>
          <w:color w:val="FF0000"/>
          <w:sz w:val="20"/>
          <w:szCs w:val="20"/>
          <w:lang w:val="es-CO" w:eastAsia="es-CO"/>
        </w:rPr>
      </w:pPr>
    </w:p>
    <w:p w:rsidR="005411F7" w:rsidRPr="000B65DE" w:rsidRDefault="005411F7" w:rsidP="005411F7">
      <w:pPr>
        <w:ind w:left="0"/>
        <w:rPr>
          <w:rFonts w:ascii="Arial" w:hAnsi="Arial" w:cs="Arial"/>
          <w:b/>
          <w:bCs/>
          <w:color w:val="FF0000"/>
          <w:sz w:val="20"/>
          <w:szCs w:val="20"/>
          <w:lang w:val="es-CO" w:eastAsia="es-CO"/>
        </w:rPr>
      </w:pPr>
    </w:p>
    <w:tbl>
      <w:tblPr>
        <w:tblW w:w="9570" w:type="dxa"/>
        <w:jc w:val="right"/>
        <w:tblCellMar>
          <w:left w:w="70" w:type="dxa"/>
          <w:right w:w="70" w:type="dxa"/>
        </w:tblCellMar>
        <w:tblLook w:val="04A0" w:firstRow="1" w:lastRow="0" w:firstColumn="1" w:lastColumn="0" w:noHBand="0" w:noVBand="1"/>
      </w:tblPr>
      <w:tblGrid>
        <w:gridCol w:w="5031"/>
        <w:gridCol w:w="4539"/>
      </w:tblGrid>
      <w:tr w:rsidR="005411F7" w:rsidRPr="000B65DE" w:rsidTr="005411F7">
        <w:trPr>
          <w:jc w:val="right"/>
        </w:trPr>
        <w:tc>
          <w:tcPr>
            <w:tcW w:w="5031" w:type="dxa"/>
            <w:hideMark/>
          </w:tcPr>
          <w:p w:rsidR="005411F7" w:rsidRPr="000B65DE" w:rsidRDefault="005411F7" w:rsidP="005411F7">
            <w:pPr>
              <w:ind w:left="0"/>
              <w:jc w:val="center"/>
              <w:rPr>
                <w:rFonts w:ascii="Bookman Old Style" w:hAnsi="Bookman Old Style" w:cs="Arial"/>
                <w:b/>
                <w:spacing w:val="-3"/>
                <w:lang w:val="es-ES_tradnl"/>
              </w:rPr>
            </w:pPr>
            <w:r>
              <w:rPr>
                <w:rFonts w:ascii="Bookman Old Style" w:hAnsi="Bookman Old Style" w:cs="Arial"/>
                <w:b/>
                <w:color w:val="000000"/>
              </w:rPr>
              <w:t>ORLANDO CABRALES SEGOVIA</w:t>
            </w:r>
          </w:p>
        </w:tc>
        <w:tc>
          <w:tcPr>
            <w:tcW w:w="4539" w:type="dxa"/>
            <w:hideMark/>
          </w:tcPr>
          <w:p w:rsidR="005411F7" w:rsidRPr="000B65DE" w:rsidRDefault="005411F7" w:rsidP="005411F7">
            <w:pPr>
              <w:ind w:left="161" w:right="567"/>
              <w:jc w:val="center"/>
              <w:rPr>
                <w:rFonts w:ascii="Bookman Old Style" w:hAnsi="Bookman Old Style" w:cs="Arial"/>
                <w:b/>
                <w:spacing w:val="-3"/>
                <w:lang w:val="es-ES_tradnl"/>
              </w:rPr>
            </w:pPr>
            <w:r w:rsidRPr="000B65DE">
              <w:rPr>
                <w:rFonts w:ascii="Bookman Old Style" w:hAnsi="Bookman Old Style" w:cs="Arial"/>
                <w:b/>
                <w:spacing w:val="-3"/>
                <w:lang w:val="es-ES_tradnl"/>
              </w:rPr>
              <w:t>GERMÁN CASTRO FERREIRA</w:t>
            </w:r>
          </w:p>
        </w:tc>
      </w:tr>
      <w:tr w:rsidR="005411F7" w:rsidRPr="000B65DE" w:rsidTr="005411F7">
        <w:trPr>
          <w:jc w:val="right"/>
        </w:trPr>
        <w:tc>
          <w:tcPr>
            <w:tcW w:w="5031" w:type="dxa"/>
            <w:hideMark/>
          </w:tcPr>
          <w:tbl>
            <w:tblPr>
              <w:tblW w:w="4891" w:type="dxa"/>
              <w:tblCellMar>
                <w:left w:w="0" w:type="dxa"/>
                <w:right w:w="0" w:type="dxa"/>
              </w:tblCellMar>
              <w:tblLook w:val="04A0" w:firstRow="1" w:lastRow="0" w:firstColumn="1" w:lastColumn="0" w:noHBand="0" w:noVBand="1"/>
            </w:tblPr>
            <w:tblGrid>
              <w:gridCol w:w="4891"/>
            </w:tblGrid>
            <w:tr w:rsidR="005411F7" w:rsidTr="003F5BEB">
              <w:tc>
                <w:tcPr>
                  <w:tcW w:w="4891" w:type="dxa"/>
                  <w:hideMark/>
                </w:tcPr>
                <w:p w:rsidR="005411F7" w:rsidRDefault="005411F7" w:rsidP="005411F7">
                  <w:pPr>
                    <w:snapToGrid w:val="0"/>
                    <w:ind w:left="0"/>
                    <w:jc w:val="center"/>
                    <w:rPr>
                      <w:rFonts w:ascii="Bookman Old Style" w:hAnsi="Bookman Old Style" w:cs="Arial"/>
                      <w:color w:val="000000"/>
                    </w:rPr>
                  </w:pPr>
                  <w:r>
                    <w:rPr>
                      <w:rFonts w:ascii="Bookman Old Style" w:hAnsi="Bookman Old Style" w:cs="Arial"/>
                      <w:color w:val="000000"/>
                    </w:rPr>
                    <w:t>Viceministro de Energía</w:t>
                  </w:r>
                </w:p>
                <w:p w:rsidR="005411F7" w:rsidRDefault="005411F7" w:rsidP="005411F7">
                  <w:pPr>
                    <w:snapToGrid w:val="0"/>
                    <w:ind w:left="0"/>
                    <w:jc w:val="center"/>
                    <w:rPr>
                      <w:rFonts w:ascii="Bookman Old Style" w:hAnsi="Bookman Old Style" w:cs="Arial"/>
                      <w:color w:val="000000"/>
                    </w:rPr>
                  </w:pPr>
                  <w:r>
                    <w:rPr>
                      <w:rFonts w:ascii="Bookman Old Style" w:hAnsi="Bookman Old Style" w:cs="Arial"/>
                      <w:color w:val="000000"/>
                    </w:rPr>
                    <w:t>Delegado del Ministro de Minas y Energía</w:t>
                  </w:r>
                </w:p>
              </w:tc>
            </w:tr>
            <w:tr w:rsidR="005411F7" w:rsidTr="003F5BEB">
              <w:tc>
                <w:tcPr>
                  <w:tcW w:w="4891" w:type="dxa"/>
                  <w:hideMark/>
                </w:tcPr>
                <w:p w:rsidR="005411F7" w:rsidRDefault="005411F7" w:rsidP="005411F7">
                  <w:pPr>
                    <w:snapToGrid w:val="0"/>
                    <w:ind w:left="0"/>
                    <w:jc w:val="center"/>
                    <w:rPr>
                      <w:rFonts w:ascii="Bookman Old Style" w:hAnsi="Bookman Old Style" w:cs="Arial"/>
                      <w:color w:val="000000"/>
                    </w:rPr>
                  </w:pPr>
                  <w:r>
                    <w:rPr>
                      <w:rFonts w:ascii="Bookman Old Style" w:hAnsi="Bookman Old Style" w:cs="Arial"/>
                      <w:color w:val="000000"/>
                    </w:rPr>
                    <w:t>Presidente</w:t>
                  </w:r>
                </w:p>
              </w:tc>
            </w:tr>
          </w:tbl>
          <w:p w:rsidR="005411F7" w:rsidRPr="000B65DE" w:rsidRDefault="005411F7" w:rsidP="005411F7">
            <w:pPr>
              <w:ind w:left="0"/>
              <w:jc w:val="center"/>
              <w:rPr>
                <w:rFonts w:ascii="Bookman Old Style" w:hAnsi="Bookman Old Style" w:cs="Arial"/>
                <w:spacing w:val="-3"/>
                <w:lang w:val="es-ES_tradnl"/>
              </w:rPr>
            </w:pPr>
          </w:p>
        </w:tc>
        <w:tc>
          <w:tcPr>
            <w:tcW w:w="4539" w:type="dxa"/>
            <w:hideMark/>
          </w:tcPr>
          <w:p w:rsidR="005411F7" w:rsidRPr="000B65DE" w:rsidRDefault="005411F7" w:rsidP="005411F7">
            <w:pPr>
              <w:jc w:val="center"/>
              <w:rPr>
                <w:rFonts w:ascii="Bookman Old Style" w:hAnsi="Bookman Old Style" w:cs="Arial"/>
                <w:spacing w:val="-3"/>
                <w:lang w:val="es-ES_tradnl"/>
              </w:rPr>
            </w:pPr>
            <w:r w:rsidRPr="000B65DE">
              <w:rPr>
                <w:rFonts w:ascii="Bookman Old Style" w:hAnsi="Bookman Old Style" w:cs="Arial"/>
                <w:spacing w:val="-3"/>
                <w:lang w:val="es-ES_tradnl"/>
              </w:rPr>
              <w:t>Director Ejecutivo</w:t>
            </w:r>
          </w:p>
        </w:tc>
      </w:tr>
    </w:tbl>
    <w:p w:rsidR="000B65DE" w:rsidRPr="000B65DE" w:rsidRDefault="000B65DE" w:rsidP="000B65DE">
      <w:pPr>
        <w:ind w:left="0"/>
        <w:rPr>
          <w:rFonts w:ascii="Arial" w:hAnsi="Arial" w:cs="Arial"/>
          <w:b/>
          <w:bCs/>
          <w:color w:val="FF0000"/>
          <w:sz w:val="20"/>
          <w:szCs w:val="20"/>
          <w:lang w:val="es-CO" w:eastAsia="es-CO"/>
        </w:rPr>
      </w:pPr>
      <w:r w:rsidRPr="000B65DE">
        <w:rPr>
          <w:rFonts w:ascii="Arial" w:hAnsi="Arial" w:cs="Arial"/>
          <w:b/>
          <w:bCs/>
          <w:color w:val="FF0000"/>
          <w:sz w:val="20"/>
          <w:szCs w:val="20"/>
          <w:lang w:val="es-CO" w:eastAsia="es-CO"/>
        </w:rPr>
        <w:br w:type="page"/>
      </w:r>
    </w:p>
    <w:p w:rsidR="000B65DE" w:rsidRPr="000B65DE" w:rsidRDefault="000B65DE" w:rsidP="000B65DE">
      <w:pPr>
        <w:ind w:left="0"/>
        <w:rPr>
          <w:rFonts w:ascii="Bookman Old Style" w:hAnsi="Bookman Old Style"/>
          <w:b/>
          <w:lang w:val="es-ES_tradnl"/>
        </w:rPr>
      </w:pPr>
    </w:p>
    <w:p w:rsidR="000B65DE" w:rsidRPr="000B65DE" w:rsidRDefault="000B65DE" w:rsidP="000B65DE">
      <w:pPr>
        <w:ind w:left="0"/>
        <w:rPr>
          <w:rFonts w:ascii="Bookman Old Style" w:hAnsi="Bookman Old Style"/>
          <w:b/>
          <w:lang w:val="es-ES_tradnl"/>
        </w:rPr>
      </w:pPr>
    </w:p>
    <w:p w:rsidR="000B65DE" w:rsidRPr="000B65DE" w:rsidRDefault="000B65DE" w:rsidP="008F4D9F">
      <w:pPr>
        <w:numPr>
          <w:ilvl w:val="0"/>
          <w:numId w:val="14"/>
        </w:numPr>
        <w:jc w:val="center"/>
        <w:outlineLvl w:val="0"/>
        <w:rPr>
          <w:rFonts w:ascii="Bookman Old Style" w:hAnsi="Bookman Old Style"/>
          <w:b/>
          <w:lang w:val="es-ES_tradnl"/>
        </w:rPr>
      </w:pPr>
      <w:bookmarkStart w:id="42" w:name="_Ref320543087"/>
      <w:bookmarkStart w:id="43" w:name="_Ref289348473"/>
    </w:p>
    <w:bookmarkEnd w:id="42"/>
    <w:p w:rsidR="000B65DE" w:rsidRPr="000B65DE" w:rsidRDefault="000B65DE" w:rsidP="000B65DE">
      <w:pPr>
        <w:rPr>
          <w:lang w:val="es-ES_tradnl"/>
        </w:rPr>
      </w:pPr>
    </w:p>
    <w:p w:rsidR="003F52C8" w:rsidRPr="000B65DE" w:rsidRDefault="003F52C8" w:rsidP="003F52C8">
      <w:pPr>
        <w:ind w:left="0"/>
        <w:jc w:val="center"/>
        <w:outlineLvl w:val="0"/>
        <w:rPr>
          <w:rFonts w:ascii="Bookman Old Style" w:hAnsi="Bookman Old Style"/>
          <w:b/>
          <w:lang w:val="es-ES_tradnl"/>
        </w:rPr>
      </w:pPr>
      <w:r w:rsidRPr="000B65DE">
        <w:rPr>
          <w:rFonts w:ascii="Bookman Old Style" w:hAnsi="Bookman Old Style"/>
          <w:b/>
          <w:lang w:val="es-ES_tradnl"/>
        </w:rPr>
        <w:t>CANTIDADES DE UNIDADES CONSTRUCTIVAS RECONOCIDAS COMO INVERSIÓN EXISTENTE  (IE)</w:t>
      </w:r>
    </w:p>
    <w:p w:rsidR="003F52C8" w:rsidRPr="000B65DE" w:rsidRDefault="003F52C8" w:rsidP="003F52C8">
      <w:pPr>
        <w:ind w:left="0"/>
        <w:rPr>
          <w:lang w:val="es-ES_tradnl"/>
        </w:rPr>
      </w:pPr>
    </w:p>
    <w:p w:rsidR="003F52C8" w:rsidRPr="000B65DE" w:rsidRDefault="003F52C8" w:rsidP="003F52C8">
      <w:pPr>
        <w:ind w:left="0"/>
        <w:jc w:val="both"/>
        <w:rPr>
          <w:rFonts w:ascii="Bookman Old Style" w:hAnsi="Bookman Old Style"/>
          <w:lang w:val="es-ES_tradnl"/>
        </w:rPr>
      </w:pPr>
      <w:r w:rsidRPr="000B65DE">
        <w:rPr>
          <w:rFonts w:ascii="Bookman Old Style" w:hAnsi="Bookman Old Style"/>
          <w:lang w:val="es-ES_tradnl"/>
        </w:rPr>
        <w:t xml:space="preserve">La información contenida en este Anexo ha sido extraída de las resoluciones aprobatorias de cargos de distribución durante la vigencia de la Resolución CREG 011 de 2003. </w:t>
      </w:r>
    </w:p>
    <w:p w:rsidR="003F52C8" w:rsidRPr="000B65DE" w:rsidRDefault="003F52C8" w:rsidP="003F52C8">
      <w:pPr>
        <w:rPr>
          <w:lang w:val="es-ES_tradnl"/>
        </w:rPr>
      </w:pPr>
    </w:p>
    <w:p w:rsidR="003F52C8" w:rsidRDefault="003F52C8" w:rsidP="003F52C8">
      <w:pPr>
        <w:ind w:left="0"/>
        <w:jc w:val="center"/>
        <w:rPr>
          <w:rFonts w:ascii="Bookman Old Style" w:hAnsi="Bookman Old Style"/>
          <w:b/>
          <w:lang w:val="es-CO"/>
        </w:rPr>
      </w:pPr>
      <w:r w:rsidRPr="000B65DE">
        <w:rPr>
          <w:rFonts w:ascii="Bookman Old Style" w:hAnsi="Bookman Old Style"/>
          <w:b/>
          <w:lang w:val="es-CO"/>
        </w:rPr>
        <w:t>5.1. EMPRESA GAS NATURAL S.A. E.S.P.</w:t>
      </w:r>
    </w:p>
    <w:p w:rsidR="003F52C8" w:rsidRDefault="003F52C8" w:rsidP="003F52C8">
      <w:pPr>
        <w:ind w:left="0"/>
        <w:jc w:val="center"/>
        <w:rPr>
          <w:rFonts w:ascii="Bookman Old Style" w:hAnsi="Bookman Old Style"/>
          <w:b/>
          <w:lang w:val="es-CO"/>
        </w:rPr>
      </w:pPr>
    </w:p>
    <w:p w:rsidR="003F52C8" w:rsidRPr="000B65DE" w:rsidRDefault="003F52C8" w:rsidP="003F52C8">
      <w:pPr>
        <w:ind w:left="0"/>
        <w:jc w:val="center"/>
        <w:rPr>
          <w:rFonts w:ascii="Bookman Old Style" w:hAnsi="Bookman Old Style"/>
          <w:b/>
          <w:lang w:val="es-CO"/>
        </w:rPr>
      </w:pPr>
      <w:r w:rsidRPr="007F02D4">
        <w:rPr>
          <w:rFonts w:ascii="Bookman Old Style" w:hAnsi="Bookman Old Style"/>
          <w:b/>
          <w:noProof/>
          <w:lang w:val="es-CO" w:eastAsia="es-CO"/>
        </w:rPr>
        <w:drawing>
          <wp:inline distT="0" distB="0" distL="0" distR="0" wp14:anchorId="3249693A" wp14:editId="4556B6BA">
            <wp:extent cx="4479290" cy="509270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79290" cy="5092700"/>
                    </a:xfrm>
                    <a:prstGeom prst="rect">
                      <a:avLst/>
                    </a:prstGeom>
                    <a:noFill/>
                    <a:ln>
                      <a:noFill/>
                    </a:ln>
                  </pic:spPr>
                </pic:pic>
              </a:graphicData>
            </a:graphic>
          </wp:inline>
        </w:drawing>
      </w:r>
    </w:p>
    <w:p w:rsidR="003F52C8" w:rsidRPr="000B65DE" w:rsidRDefault="003F52C8" w:rsidP="003F52C8">
      <w:pPr>
        <w:ind w:left="0"/>
        <w:rPr>
          <w:rFonts w:ascii="Bookman Old Style" w:hAnsi="Bookman Old Style"/>
          <w:b/>
          <w:lang w:val="es-ES_tradnl"/>
        </w:rPr>
      </w:pPr>
      <w:r w:rsidRPr="000B65DE">
        <w:rPr>
          <w:rFonts w:ascii="Bookman Old Style" w:hAnsi="Bookman Old Style"/>
          <w:b/>
          <w:lang w:val="es-ES_tradnl"/>
        </w:rPr>
        <w:br w:type="page"/>
      </w:r>
    </w:p>
    <w:p w:rsidR="003F52C8" w:rsidRPr="000B65DE" w:rsidRDefault="003F52C8" w:rsidP="003F52C8">
      <w:pPr>
        <w:ind w:left="0"/>
        <w:jc w:val="center"/>
        <w:rPr>
          <w:rFonts w:ascii="Bookman Old Style" w:hAnsi="Bookman Old Style"/>
          <w:b/>
          <w:lang w:val="es-CO"/>
        </w:rPr>
      </w:pPr>
      <w:r w:rsidRPr="000B65DE">
        <w:rPr>
          <w:rFonts w:ascii="Bookman Old Style" w:hAnsi="Bookman Old Style"/>
          <w:b/>
          <w:lang w:val="es-CO"/>
        </w:rPr>
        <w:lastRenderedPageBreak/>
        <w:t>5.2. EMPRESAS PÚBLICAS DE MEDELLÍN E.S.P.</w:t>
      </w:r>
    </w:p>
    <w:p w:rsidR="003F52C8" w:rsidRDefault="003F52C8" w:rsidP="003F52C8">
      <w:pPr>
        <w:ind w:left="0"/>
        <w:jc w:val="center"/>
        <w:rPr>
          <w:noProof/>
          <w:lang w:val="es-CO" w:eastAsia="es-CO"/>
        </w:rPr>
      </w:pPr>
    </w:p>
    <w:p w:rsidR="003F52C8" w:rsidRDefault="003F52C8" w:rsidP="003F52C8">
      <w:pPr>
        <w:ind w:left="0"/>
        <w:jc w:val="center"/>
        <w:rPr>
          <w:rFonts w:ascii="Bookman Old Style" w:hAnsi="Bookman Old Style"/>
          <w:b/>
          <w:lang w:val="es-ES_tradnl"/>
        </w:rPr>
      </w:pPr>
      <w:r w:rsidRPr="00AB038D">
        <w:rPr>
          <w:rFonts w:ascii="Bookman Old Style" w:hAnsi="Bookman Old Style"/>
          <w:b/>
          <w:noProof/>
          <w:lang w:val="es-CO" w:eastAsia="es-CO"/>
        </w:rPr>
        <w:drawing>
          <wp:inline distT="0" distB="0" distL="0" distR="0" wp14:anchorId="2AACE38D" wp14:editId="45A253DE">
            <wp:extent cx="8003213" cy="5695552"/>
            <wp:effectExtent l="0" t="8255" r="8890" b="889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rot="16200000">
                      <a:off x="0" y="0"/>
                      <a:ext cx="8025987" cy="5711759"/>
                    </a:xfrm>
                    <a:prstGeom prst="rect">
                      <a:avLst/>
                    </a:prstGeom>
                    <a:noFill/>
                    <a:ln>
                      <a:noFill/>
                    </a:ln>
                  </pic:spPr>
                </pic:pic>
              </a:graphicData>
            </a:graphic>
          </wp:inline>
        </w:drawing>
      </w:r>
    </w:p>
    <w:p w:rsidR="003F52C8" w:rsidRPr="000B65DE" w:rsidRDefault="003F52C8" w:rsidP="003F52C8">
      <w:pPr>
        <w:ind w:left="0"/>
        <w:jc w:val="center"/>
        <w:rPr>
          <w:rFonts w:ascii="Bookman Old Style" w:hAnsi="Bookman Old Style"/>
          <w:b/>
          <w:lang w:val="es-ES_tradnl"/>
        </w:rPr>
      </w:pPr>
    </w:p>
    <w:p w:rsidR="003F52C8" w:rsidRDefault="003F52C8" w:rsidP="003F52C8">
      <w:pPr>
        <w:ind w:left="0"/>
        <w:rPr>
          <w:rFonts w:ascii="Bookman Old Style" w:hAnsi="Bookman Old Style"/>
          <w:b/>
          <w:lang w:val="es-CO"/>
        </w:rPr>
      </w:pPr>
      <w:r>
        <w:rPr>
          <w:rFonts w:ascii="Bookman Old Style" w:hAnsi="Bookman Old Style"/>
          <w:b/>
          <w:lang w:val="es-CO"/>
        </w:rPr>
        <w:br w:type="page"/>
      </w:r>
    </w:p>
    <w:p w:rsidR="003F52C8" w:rsidRPr="000B65DE" w:rsidRDefault="003F52C8" w:rsidP="003F52C8">
      <w:pPr>
        <w:ind w:left="0"/>
        <w:jc w:val="center"/>
        <w:rPr>
          <w:rFonts w:ascii="Bookman Old Style" w:hAnsi="Bookman Old Style"/>
          <w:b/>
          <w:lang w:val="es-CO"/>
        </w:rPr>
      </w:pPr>
      <w:r w:rsidRPr="000B65DE">
        <w:rPr>
          <w:rFonts w:ascii="Bookman Old Style" w:hAnsi="Bookman Old Style"/>
          <w:b/>
          <w:lang w:val="es-CO"/>
        </w:rPr>
        <w:lastRenderedPageBreak/>
        <w:t>5.3. EMPRESA SURTIGAS S.A. E.S.P.</w:t>
      </w:r>
    </w:p>
    <w:p w:rsidR="003F52C8" w:rsidRPr="00267F1B" w:rsidRDefault="003F52C8" w:rsidP="003F52C8">
      <w:pPr>
        <w:ind w:left="0"/>
        <w:jc w:val="center"/>
        <w:rPr>
          <w:rFonts w:ascii="Bookman Old Style" w:hAnsi="Bookman Old Style"/>
          <w:lang w:val="es-CO"/>
        </w:rPr>
      </w:pPr>
    </w:p>
    <w:p w:rsidR="003F52C8" w:rsidRPr="00267F1B" w:rsidRDefault="003F52C8" w:rsidP="003F52C8">
      <w:pPr>
        <w:ind w:left="0"/>
        <w:jc w:val="center"/>
        <w:rPr>
          <w:rFonts w:ascii="Bookman Old Style" w:hAnsi="Bookman Old Style"/>
          <w:lang w:val="es-CO"/>
        </w:rPr>
      </w:pPr>
      <w:r w:rsidRPr="007F02D4">
        <w:rPr>
          <w:rFonts w:ascii="Bookman Old Style" w:hAnsi="Bookman Old Style"/>
          <w:noProof/>
          <w:lang w:val="es-CO" w:eastAsia="es-CO"/>
        </w:rPr>
        <w:drawing>
          <wp:inline distT="0" distB="0" distL="0" distR="0" wp14:anchorId="7F783599" wp14:editId="41AD3980">
            <wp:extent cx="5941060" cy="5287290"/>
            <wp:effectExtent l="0" t="0" r="2540" b="889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1060" cy="5287290"/>
                    </a:xfrm>
                    <a:prstGeom prst="rect">
                      <a:avLst/>
                    </a:prstGeom>
                    <a:noFill/>
                    <a:ln>
                      <a:noFill/>
                    </a:ln>
                  </pic:spPr>
                </pic:pic>
              </a:graphicData>
            </a:graphic>
          </wp:inline>
        </w:drawing>
      </w:r>
    </w:p>
    <w:p w:rsidR="003F52C8" w:rsidRDefault="003F52C8" w:rsidP="003F52C8">
      <w:pPr>
        <w:ind w:left="0"/>
        <w:rPr>
          <w:rFonts w:ascii="Bookman Old Style" w:hAnsi="Bookman Old Style"/>
          <w:lang w:val="es-ES_tradnl"/>
        </w:rPr>
      </w:pPr>
    </w:p>
    <w:p w:rsidR="003F52C8" w:rsidRDefault="003F52C8" w:rsidP="003F52C8">
      <w:pPr>
        <w:ind w:left="0"/>
        <w:rPr>
          <w:rFonts w:ascii="Bookman Old Style" w:hAnsi="Bookman Old Style"/>
          <w:lang w:val="es-ES_tradnl"/>
        </w:rPr>
      </w:pPr>
      <w:r w:rsidRPr="007F02D4">
        <w:rPr>
          <w:rFonts w:ascii="Bookman Old Style" w:hAnsi="Bookman Old Style"/>
          <w:noProof/>
          <w:lang w:val="es-CO" w:eastAsia="es-CO"/>
        </w:rPr>
        <w:lastRenderedPageBreak/>
        <w:drawing>
          <wp:inline distT="0" distB="0" distL="0" distR="0" wp14:anchorId="2D83B433" wp14:editId="30A4D40E">
            <wp:extent cx="5941060" cy="5123088"/>
            <wp:effectExtent l="0" t="0" r="2540" b="190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1060" cy="5123088"/>
                    </a:xfrm>
                    <a:prstGeom prst="rect">
                      <a:avLst/>
                    </a:prstGeom>
                    <a:noFill/>
                    <a:ln>
                      <a:noFill/>
                    </a:ln>
                  </pic:spPr>
                </pic:pic>
              </a:graphicData>
            </a:graphic>
          </wp:inline>
        </w:drawing>
      </w:r>
    </w:p>
    <w:p w:rsidR="003F52C8" w:rsidRDefault="003F52C8" w:rsidP="003F52C8">
      <w:pPr>
        <w:ind w:left="0"/>
        <w:rPr>
          <w:rFonts w:ascii="Bookman Old Style" w:hAnsi="Bookman Old Style"/>
          <w:lang w:val="es-ES_tradnl"/>
        </w:rPr>
      </w:pPr>
    </w:p>
    <w:p w:rsidR="003F52C8" w:rsidRDefault="003F52C8" w:rsidP="003F52C8">
      <w:pPr>
        <w:ind w:left="0"/>
        <w:rPr>
          <w:rFonts w:ascii="Bookman Old Style" w:hAnsi="Bookman Old Style"/>
          <w:lang w:val="es-ES_tradnl"/>
        </w:rPr>
      </w:pPr>
      <w:r w:rsidRPr="007F02D4">
        <w:rPr>
          <w:rFonts w:ascii="Bookman Old Style" w:hAnsi="Bookman Old Style"/>
          <w:noProof/>
          <w:lang w:val="es-CO" w:eastAsia="es-CO"/>
        </w:rPr>
        <w:lastRenderedPageBreak/>
        <w:drawing>
          <wp:inline distT="0" distB="0" distL="0" distR="0" wp14:anchorId="3E67FA86" wp14:editId="3602AD90">
            <wp:extent cx="5941060" cy="5976936"/>
            <wp:effectExtent l="0" t="0" r="2540" b="508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1060" cy="5976936"/>
                    </a:xfrm>
                    <a:prstGeom prst="rect">
                      <a:avLst/>
                    </a:prstGeom>
                    <a:noFill/>
                    <a:ln>
                      <a:noFill/>
                    </a:ln>
                  </pic:spPr>
                </pic:pic>
              </a:graphicData>
            </a:graphic>
          </wp:inline>
        </w:drawing>
      </w:r>
    </w:p>
    <w:p w:rsidR="003F52C8" w:rsidRDefault="003F52C8" w:rsidP="003F52C8">
      <w:pPr>
        <w:ind w:left="0"/>
        <w:rPr>
          <w:rFonts w:ascii="Bookman Old Style" w:hAnsi="Bookman Old Style"/>
          <w:lang w:val="es-ES_tradnl"/>
        </w:rPr>
      </w:pPr>
    </w:p>
    <w:p w:rsidR="003F52C8" w:rsidRPr="00267F1B" w:rsidRDefault="003F52C8" w:rsidP="003F52C8">
      <w:pPr>
        <w:ind w:left="0"/>
        <w:rPr>
          <w:rFonts w:ascii="Bookman Old Style" w:hAnsi="Bookman Old Style"/>
          <w:lang w:val="es-ES_tradnl"/>
        </w:rPr>
      </w:pPr>
      <w:r w:rsidRPr="007F02D4">
        <w:rPr>
          <w:rFonts w:ascii="Bookman Old Style" w:hAnsi="Bookman Old Style"/>
          <w:noProof/>
          <w:lang w:val="es-CO" w:eastAsia="es-CO"/>
        </w:rPr>
        <w:lastRenderedPageBreak/>
        <w:drawing>
          <wp:inline distT="0" distB="0" distL="0" distR="0" wp14:anchorId="1FC940B6" wp14:editId="06C43FF7">
            <wp:extent cx="5941060" cy="5321401"/>
            <wp:effectExtent l="0" t="0" r="254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1060" cy="5321401"/>
                    </a:xfrm>
                    <a:prstGeom prst="rect">
                      <a:avLst/>
                    </a:prstGeom>
                    <a:noFill/>
                    <a:ln>
                      <a:noFill/>
                    </a:ln>
                  </pic:spPr>
                </pic:pic>
              </a:graphicData>
            </a:graphic>
          </wp:inline>
        </w:drawing>
      </w:r>
    </w:p>
    <w:p w:rsidR="003F52C8" w:rsidRPr="000B65DE" w:rsidRDefault="003F52C8" w:rsidP="003F52C8">
      <w:pPr>
        <w:ind w:left="0"/>
        <w:rPr>
          <w:rFonts w:ascii="Bookman Old Style" w:hAnsi="Bookman Old Style"/>
          <w:b/>
          <w:lang w:val="es-ES_tradnl"/>
        </w:rPr>
      </w:pPr>
    </w:p>
    <w:p w:rsidR="003F52C8" w:rsidRDefault="003F52C8" w:rsidP="003F52C8">
      <w:pPr>
        <w:ind w:left="0"/>
        <w:rPr>
          <w:rFonts w:ascii="Bookman Old Style" w:hAnsi="Bookman Old Style"/>
          <w:b/>
          <w:lang w:val="es-CO"/>
        </w:rPr>
      </w:pPr>
      <w:r>
        <w:rPr>
          <w:rFonts w:ascii="Bookman Old Style" w:hAnsi="Bookman Old Style"/>
          <w:b/>
          <w:lang w:val="es-CO"/>
        </w:rPr>
        <w:br w:type="page"/>
      </w:r>
    </w:p>
    <w:p w:rsidR="003F52C8" w:rsidRPr="000B65DE" w:rsidRDefault="003F52C8" w:rsidP="003F52C8">
      <w:pPr>
        <w:ind w:left="0"/>
        <w:jc w:val="center"/>
        <w:rPr>
          <w:rFonts w:ascii="Bookman Old Style" w:hAnsi="Bookman Old Style"/>
          <w:b/>
          <w:lang w:val="es-CO"/>
        </w:rPr>
      </w:pPr>
      <w:r w:rsidRPr="000B65DE">
        <w:rPr>
          <w:rFonts w:ascii="Bookman Old Style" w:hAnsi="Bookman Old Style"/>
          <w:b/>
          <w:lang w:val="es-CO"/>
        </w:rPr>
        <w:lastRenderedPageBreak/>
        <w:t>5.4. EMPRESA GASES DEL CARIBE S.A. E.S.P.</w:t>
      </w:r>
    </w:p>
    <w:p w:rsidR="003F52C8" w:rsidRDefault="003F52C8" w:rsidP="003F52C8">
      <w:pPr>
        <w:ind w:left="0"/>
        <w:rPr>
          <w:rFonts w:ascii="Bookman Old Style" w:hAnsi="Bookman Old Style"/>
          <w:b/>
          <w:lang w:val="es-ES_tradnl"/>
        </w:rPr>
      </w:pPr>
    </w:p>
    <w:p w:rsidR="003F52C8" w:rsidRPr="000B65DE" w:rsidRDefault="003F52C8" w:rsidP="003F52C8">
      <w:pPr>
        <w:ind w:left="0"/>
        <w:jc w:val="center"/>
        <w:rPr>
          <w:rFonts w:ascii="Bookman Old Style" w:hAnsi="Bookman Old Style"/>
          <w:b/>
          <w:lang w:val="es-ES_tradnl"/>
        </w:rPr>
      </w:pPr>
      <w:r w:rsidRPr="00AB038D">
        <w:rPr>
          <w:rFonts w:ascii="Bookman Old Style" w:hAnsi="Bookman Old Style"/>
          <w:b/>
          <w:noProof/>
          <w:lang w:val="es-CO" w:eastAsia="es-CO"/>
        </w:rPr>
        <w:drawing>
          <wp:inline distT="0" distB="0" distL="0" distR="0" wp14:anchorId="31D6A2E6" wp14:editId="123425ED">
            <wp:extent cx="8252692" cy="4227383"/>
            <wp:effectExtent l="0" t="6668" r="8573" b="8572"/>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rot="16200000">
                      <a:off x="0" y="0"/>
                      <a:ext cx="8249165" cy="4225576"/>
                    </a:xfrm>
                    <a:prstGeom prst="rect">
                      <a:avLst/>
                    </a:prstGeom>
                    <a:noFill/>
                    <a:ln>
                      <a:noFill/>
                    </a:ln>
                  </pic:spPr>
                </pic:pic>
              </a:graphicData>
            </a:graphic>
          </wp:inline>
        </w:drawing>
      </w:r>
    </w:p>
    <w:p w:rsidR="003F52C8" w:rsidRDefault="003F52C8" w:rsidP="003F52C8">
      <w:pPr>
        <w:ind w:left="0"/>
        <w:jc w:val="center"/>
        <w:rPr>
          <w:rFonts w:ascii="Bookman Old Style" w:hAnsi="Bookman Old Style"/>
          <w:b/>
          <w:lang w:val="es-ES_tradnl"/>
        </w:rPr>
      </w:pPr>
    </w:p>
    <w:p w:rsidR="003F52C8" w:rsidRDefault="003F52C8" w:rsidP="003F52C8">
      <w:pPr>
        <w:ind w:left="0"/>
        <w:jc w:val="center"/>
        <w:rPr>
          <w:rFonts w:ascii="Bookman Old Style" w:hAnsi="Bookman Old Style"/>
          <w:b/>
          <w:lang w:val="es-ES_tradnl"/>
        </w:rPr>
      </w:pPr>
    </w:p>
    <w:p w:rsidR="003F52C8" w:rsidRPr="000B65DE" w:rsidRDefault="003F52C8" w:rsidP="003F52C8">
      <w:pPr>
        <w:ind w:left="0"/>
        <w:jc w:val="center"/>
        <w:rPr>
          <w:rFonts w:ascii="Bookman Old Style" w:hAnsi="Bookman Old Style"/>
          <w:b/>
          <w:lang w:val="es-ES_tradnl"/>
        </w:rPr>
      </w:pPr>
    </w:p>
    <w:p w:rsidR="003F52C8" w:rsidRPr="000B65DE" w:rsidRDefault="003F52C8" w:rsidP="003F52C8">
      <w:pPr>
        <w:ind w:left="0"/>
        <w:jc w:val="center"/>
        <w:rPr>
          <w:rFonts w:ascii="Bookman Old Style" w:hAnsi="Bookman Old Style"/>
          <w:b/>
          <w:lang w:val="es-ES_tradnl"/>
        </w:rPr>
      </w:pPr>
      <w:r w:rsidRPr="00AB038D">
        <w:rPr>
          <w:rFonts w:ascii="Bookman Old Style" w:hAnsi="Bookman Old Style"/>
          <w:b/>
          <w:noProof/>
          <w:lang w:val="es-CO" w:eastAsia="es-CO"/>
        </w:rPr>
        <w:drawing>
          <wp:inline distT="0" distB="0" distL="0" distR="0" wp14:anchorId="759FBCCD" wp14:editId="0C1AFE29">
            <wp:extent cx="8043890" cy="4364060"/>
            <wp:effectExtent l="0" t="7937" r="6667" b="6668"/>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rot="16200000">
                      <a:off x="0" y="0"/>
                      <a:ext cx="8053284" cy="4369157"/>
                    </a:xfrm>
                    <a:prstGeom prst="rect">
                      <a:avLst/>
                    </a:prstGeom>
                    <a:noFill/>
                    <a:ln>
                      <a:noFill/>
                    </a:ln>
                  </pic:spPr>
                </pic:pic>
              </a:graphicData>
            </a:graphic>
          </wp:inline>
        </w:drawing>
      </w:r>
    </w:p>
    <w:p w:rsidR="003F52C8" w:rsidRPr="000B65DE" w:rsidRDefault="003F52C8" w:rsidP="003F52C8">
      <w:pPr>
        <w:ind w:left="0"/>
        <w:rPr>
          <w:rFonts w:ascii="Bookman Old Style" w:hAnsi="Bookman Old Style"/>
          <w:b/>
          <w:lang w:val="es-ES_tradnl"/>
        </w:rPr>
      </w:pPr>
    </w:p>
    <w:p w:rsidR="003F52C8" w:rsidRPr="000B65DE" w:rsidRDefault="003F52C8" w:rsidP="003F52C8">
      <w:pPr>
        <w:ind w:left="0"/>
        <w:rPr>
          <w:rFonts w:ascii="Bookman Old Style" w:hAnsi="Bookman Old Style"/>
          <w:b/>
          <w:lang w:val="es-ES_tradnl"/>
        </w:rPr>
      </w:pPr>
      <w:r w:rsidRPr="000B65DE">
        <w:rPr>
          <w:rFonts w:ascii="Bookman Old Style" w:hAnsi="Bookman Old Style"/>
          <w:b/>
          <w:lang w:val="es-ES_tradnl"/>
        </w:rPr>
        <w:br w:type="page"/>
      </w:r>
    </w:p>
    <w:p w:rsidR="003F52C8" w:rsidRPr="000B65DE" w:rsidRDefault="003F52C8" w:rsidP="003F52C8">
      <w:pPr>
        <w:ind w:left="0"/>
        <w:jc w:val="center"/>
        <w:rPr>
          <w:rFonts w:ascii="Bookman Old Style" w:hAnsi="Bookman Old Style"/>
          <w:b/>
          <w:lang w:val="es-CO"/>
        </w:rPr>
      </w:pPr>
      <w:r w:rsidRPr="000B65DE">
        <w:rPr>
          <w:rFonts w:ascii="Bookman Old Style" w:hAnsi="Bookman Old Style"/>
          <w:b/>
          <w:lang w:val="es-CO"/>
        </w:rPr>
        <w:lastRenderedPageBreak/>
        <w:t>5.5. ALCANOS DE COLOMBIA S.A. E.S.P.</w:t>
      </w:r>
    </w:p>
    <w:p w:rsidR="003F52C8" w:rsidRDefault="003F52C8" w:rsidP="003F52C8">
      <w:pPr>
        <w:ind w:left="0"/>
        <w:rPr>
          <w:rFonts w:ascii="Bookman Old Style" w:hAnsi="Bookman Old Style"/>
          <w:lang w:val="es-ES_tradnl"/>
        </w:rPr>
      </w:pPr>
    </w:p>
    <w:p w:rsidR="003F52C8" w:rsidRDefault="003F52C8" w:rsidP="003F52C8">
      <w:pPr>
        <w:ind w:left="0"/>
        <w:jc w:val="center"/>
        <w:rPr>
          <w:rFonts w:ascii="Bookman Old Style" w:hAnsi="Bookman Old Style"/>
          <w:lang w:val="es-ES_tradnl"/>
        </w:rPr>
      </w:pPr>
      <w:r w:rsidRPr="00AB038D">
        <w:rPr>
          <w:rFonts w:ascii="Bookman Old Style" w:hAnsi="Bookman Old Style"/>
          <w:noProof/>
          <w:lang w:val="es-CO" w:eastAsia="es-CO"/>
        </w:rPr>
        <w:drawing>
          <wp:inline distT="0" distB="0" distL="0" distR="0" wp14:anchorId="02951DC6" wp14:editId="2DA3F538">
            <wp:extent cx="8345466" cy="5458935"/>
            <wp:effectExtent l="0" t="4445"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rot="16200000">
                      <a:off x="0" y="0"/>
                      <a:ext cx="8347381" cy="5460188"/>
                    </a:xfrm>
                    <a:prstGeom prst="rect">
                      <a:avLst/>
                    </a:prstGeom>
                    <a:noFill/>
                    <a:ln>
                      <a:noFill/>
                    </a:ln>
                  </pic:spPr>
                </pic:pic>
              </a:graphicData>
            </a:graphic>
          </wp:inline>
        </w:drawing>
      </w:r>
    </w:p>
    <w:p w:rsidR="003F52C8" w:rsidRDefault="003F52C8" w:rsidP="003F52C8">
      <w:pPr>
        <w:ind w:left="0"/>
        <w:rPr>
          <w:rFonts w:ascii="Bookman Old Style" w:hAnsi="Bookman Old Style"/>
          <w:lang w:val="es-ES_tradnl"/>
        </w:rPr>
      </w:pPr>
    </w:p>
    <w:p w:rsidR="003F52C8" w:rsidRDefault="003F52C8" w:rsidP="003F52C8">
      <w:pPr>
        <w:ind w:left="0"/>
        <w:rPr>
          <w:rFonts w:ascii="Bookman Old Style" w:hAnsi="Bookman Old Style"/>
          <w:lang w:val="es-ES_tradnl"/>
        </w:rPr>
      </w:pPr>
      <w:r>
        <w:rPr>
          <w:rFonts w:ascii="Bookman Old Style" w:hAnsi="Bookman Old Style"/>
          <w:lang w:val="es-ES_tradnl"/>
        </w:rPr>
        <w:br w:type="page"/>
      </w:r>
    </w:p>
    <w:p w:rsidR="003F52C8" w:rsidRDefault="003F52C8" w:rsidP="003F52C8">
      <w:pPr>
        <w:ind w:left="0"/>
        <w:rPr>
          <w:rFonts w:ascii="Bookman Old Style" w:hAnsi="Bookman Old Style"/>
          <w:lang w:val="es-ES_tradnl"/>
        </w:rPr>
      </w:pPr>
    </w:p>
    <w:p w:rsidR="003F52C8" w:rsidRPr="007E755F" w:rsidRDefault="003F52C8" w:rsidP="003F52C8">
      <w:pPr>
        <w:ind w:left="0"/>
        <w:jc w:val="center"/>
        <w:rPr>
          <w:rFonts w:ascii="Bookman Old Style" w:hAnsi="Bookman Old Style"/>
          <w:lang w:val="es-ES_tradnl"/>
        </w:rPr>
      </w:pPr>
      <w:r w:rsidRPr="00AB038D">
        <w:rPr>
          <w:rFonts w:ascii="Bookman Old Style" w:hAnsi="Bookman Old Style"/>
          <w:noProof/>
          <w:lang w:val="es-CO" w:eastAsia="es-CO"/>
        </w:rPr>
        <w:drawing>
          <wp:inline distT="0" distB="0" distL="0" distR="0" wp14:anchorId="06033958" wp14:editId="44BBA0D6">
            <wp:extent cx="8301653" cy="5187525"/>
            <wp:effectExtent l="0" t="508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rot="16200000">
                      <a:off x="0" y="0"/>
                      <a:ext cx="8311374" cy="5193600"/>
                    </a:xfrm>
                    <a:prstGeom prst="rect">
                      <a:avLst/>
                    </a:prstGeom>
                    <a:noFill/>
                    <a:ln>
                      <a:noFill/>
                    </a:ln>
                  </pic:spPr>
                </pic:pic>
              </a:graphicData>
            </a:graphic>
          </wp:inline>
        </w:drawing>
      </w:r>
    </w:p>
    <w:p w:rsidR="003F52C8" w:rsidRPr="000B65DE" w:rsidRDefault="003F52C8" w:rsidP="003F52C8">
      <w:pPr>
        <w:ind w:left="0"/>
        <w:jc w:val="center"/>
        <w:rPr>
          <w:rFonts w:ascii="Bookman Old Style" w:hAnsi="Bookman Old Style"/>
          <w:b/>
          <w:lang w:val="es-CO"/>
        </w:rPr>
      </w:pPr>
      <w:r w:rsidRPr="000B65DE">
        <w:rPr>
          <w:rFonts w:ascii="Bookman Old Style" w:hAnsi="Bookman Old Style"/>
          <w:b/>
          <w:lang w:val="es-CO"/>
        </w:rPr>
        <w:br w:type="page"/>
      </w:r>
    </w:p>
    <w:p w:rsidR="003F52C8" w:rsidRPr="000B65DE" w:rsidRDefault="003F52C8" w:rsidP="003F52C8">
      <w:pPr>
        <w:ind w:left="0"/>
        <w:jc w:val="center"/>
        <w:rPr>
          <w:rFonts w:ascii="Bookman Old Style" w:hAnsi="Bookman Old Style"/>
          <w:b/>
          <w:lang w:val="es-CO"/>
        </w:rPr>
      </w:pPr>
      <w:r w:rsidRPr="000B65DE">
        <w:rPr>
          <w:rFonts w:ascii="Bookman Old Style" w:hAnsi="Bookman Old Style"/>
          <w:b/>
          <w:lang w:val="es-CO"/>
        </w:rPr>
        <w:lastRenderedPageBreak/>
        <w:t>5.6. EMPRESA GAS NATURAL DEL ORIENTE</w:t>
      </w:r>
    </w:p>
    <w:p w:rsidR="003F52C8" w:rsidRPr="000B65DE" w:rsidRDefault="003F52C8" w:rsidP="003F52C8">
      <w:pPr>
        <w:ind w:left="0"/>
        <w:jc w:val="center"/>
        <w:rPr>
          <w:rFonts w:ascii="Bookman Old Style" w:hAnsi="Bookman Old Style"/>
          <w:b/>
          <w:lang w:val="es-CO"/>
        </w:rPr>
      </w:pPr>
    </w:p>
    <w:p w:rsidR="003F52C8" w:rsidRPr="000B65DE" w:rsidRDefault="003F52C8" w:rsidP="003F52C8">
      <w:pPr>
        <w:ind w:left="0"/>
        <w:rPr>
          <w:rFonts w:ascii="Bookman Old Style" w:hAnsi="Bookman Old Style"/>
          <w:b/>
          <w:lang w:val="es-ES_tradnl"/>
        </w:rPr>
      </w:pPr>
      <w:r w:rsidRPr="00AB038D">
        <w:rPr>
          <w:rFonts w:ascii="Bookman Old Style" w:hAnsi="Bookman Old Style"/>
          <w:b/>
          <w:noProof/>
          <w:lang w:val="es-CO" w:eastAsia="es-CO"/>
        </w:rPr>
        <w:drawing>
          <wp:inline distT="0" distB="0" distL="0" distR="0" wp14:anchorId="6D161099" wp14:editId="0287BC24">
            <wp:extent cx="5941060" cy="7166178"/>
            <wp:effectExtent l="0" t="0" r="254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1060" cy="7166178"/>
                    </a:xfrm>
                    <a:prstGeom prst="rect">
                      <a:avLst/>
                    </a:prstGeom>
                    <a:noFill/>
                    <a:ln>
                      <a:noFill/>
                    </a:ln>
                  </pic:spPr>
                </pic:pic>
              </a:graphicData>
            </a:graphic>
          </wp:inline>
        </w:drawing>
      </w:r>
    </w:p>
    <w:p w:rsidR="003F52C8" w:rsidRPr="000B65DE" w:rsidRDefault="003F52C8" w:rsidP="003F52C8">
      <w:pPr>
        <w:ind w:left="0"/>
        <w:rPr>
          <w:rFonts w:ascii="Bookman Old Style" w:hAnsi="Bookman Old Style"/>
          <w:b/>
          <w:lang w:val="es-ES_tradnl"/>
        </w:rPr>
      </w:pPr>
    </w:p>
    <w:p w:rsidR="003F52C8" w:rsidRPr="000B65DE" w:rsidRDefault="003F52C8" w:rsidP="003F52C8">
      <w:pPr>
        <w:ind w:left="0"/>
        <w:rPr>
          <w:noProof/>
          <w:lang w:val="es-CO" w:eastAsia="es-CO"/>
        </w:rPr>
      </w:pPr>
      <w:r w:rsidRPr="000B65DE">
        <w:rPr>
          <w:noProof/>
          <w:lang w:val="es-CO" w:eastAsia="es-CO"/>
        </w:rPr>
        <w:br w:type="page"/>
      </w:r>
    </w:p>
    <w:p w:rsidR="003F52C8" w:rsidRPr="000B65DE" w:rsidRDefault="003F52C8" w:rsidP="003F52C8">
      <w:pPr>
        <w:ind w:left="0"/>
        <w:jc w:val="center"/>
        <w:rPr>
          <w:rFonts w:ascii="Bookman Old Style" w:hAnsi="Bookman Old Style"/>
          <w:b/>
          <w:lang w:val="es-CO"/>
        </w:rPr>
      </w:pPr>
      <w:r w:rsidRPr="000B65DE">
        <w:rPr>
          <w:rFonts w:ascii="Bookman Old Style" w:hAnsi="Bookman Old Style"/>
          <w:b/>
          <w:lang w:val="es-CO"/>
        </w:rPr>
        <w:lastRenderedPageBreak/>
        <w:t>5.7. EMPRESA GAS NATURAL DEL CESAR</w:t>
      </w:r>
    </w:p>
    <w:p w:rsidR="003F52C8" w:rsidRDefault="003F52C8" w:rsidP="003F52C8">
      <w:pPr>
        <w:ind w:left="0"/>
        <w:jc w:val="center"/>
        <w:rPr>
          <w:noProof/>
          <w:lang w:val="es-CO" w:eastAsia="es-CO"/>
        </w:rPr>
      </w:pPr>
    </w:p>
    <w:p w:rsidR="003F52C8" w:rsidRDefault="003F52C8" w:rsidP="003F52C8">
      <w:pPr>
        <w:ind w:left="0"/>
        <w:jc w:val="center"/>
        <w:rPr>
          <w:noProof/>
          <w:lang w:val="es-CO" w:eastAsia="es-CO"/>
        </w:rPr>
      </w:pPr>
      <w:r>
        <w:rPr>
          <w:noProof/>
          <w:lang w:val="es-CO" w:eastAsia="es-CO"/>
        </w:rPr>
        <w:drawing>
          <wp:inline distT="0" distB="0" distL="0" distR="0" wp14:anchorId="2C495C9D" wp14:editId="1572BAF9">
            <wp:extent cx="8249229" cy="4849282"/>
            <wp:effectExtent l="0" t="0" r="4445" b="4445"/>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rot="16200000">
                      <a:off x="0" y="0"/>
                      <a:ext cx="8258624" cy="4854805"/>
                    </a:xfrm>
                    <a:prstGeom prst="rect">
                      <a:avLst/>
                    </a:prstGeom>
                    <a:noFill/>
                    <a:ln>
                      <a:noFill/>
                    </a:ln>
                  </pic:spPr>
                </pic:pic>
              </a:graphicData>
            </a:graphic>
          </wp:inline>
        </w:drawing>
      </w:r>
    </w:p>
    <w:p w:rsidR="003F52C8" w:rsidRDefault="003F52C8" w:rsidP="003F52C8">
      <w:pPr>
        <w:ind w:left="0"/>
        <w:jc w:val="center"/>
        <w:rPr>
          <w:noProof/>
          <w:lang w:val="es-CO" w:eastAsia="es-CO"/>
        </w:rPr>
      </w:pPr>
    </w:p>
    <w:p w:rsidR="003F52C8" w:rsidRDefault="003F52C8" w:rsidP="003F52C8">
      <w:pPr>
        <w:ind w:left="0"/>
      </w:pPr>
      <w:r>
        <w:br w:type="page"/>
      </w:r>
    </w:p>
    <w:p w:rsidR="003F52C8" w:rsidRPr="000B65DE" w:rsidRDefault="003F52C8" w:rsidP="003F52C8">
      <w:pPr>
        <w:ind w:left="0"/>
        <w:jc w:val="center"/>
        <w:rPr>
          <w:rFonts w:ascii="Bookman Old Style" w:hAnsi="Bookman Old Style"/>
          <w:b/>
          <w:lang w:val="es-CO"/>
        </w:rPr>
      </w:pPr>
    </w:p>
    <w:p w:rsidR="003F52C8" w:rsidRDefault="003F52C8" w:rsidP="003F52C8">
      <w:pPr>
        <w:ind w:left="0"/>
        <w:jc w:val="center"/>
        <w:rPr>
          <w:rFonts w:ascii="Bookman Old Style" w:hAnsi="Bookman Old Style"/>
          <w:b/>
          <w:lang w:val="es-CO"/>
        </w:rPr>
      </w:pPr>
      <w:r w:rsidRPr="000B65DE">
        <w:rPr>
          <w:rFonts w:ascii="Bookman Old Style" w:hAnsi="Bookman Old Style"/>
          <w:b/>
          <w:lang w:val="es-CO"/>
        </w:rPr>
        <w:t>5.8. EMPRESA LLANOGAS S.A. E.S.P.</w:t>
      </w:r>
    </w:p>
    <w:p w:rsidR="003F52C8" w:rsidRDefault="003F52C8" w:rsidP="003F52C8">
      <w:pPr>
        <w:ind w:left="0"/>
        <w:jc w:val="center"/>
        <w:rPr>
          <w:rFonts w:ascii="Bookman Old Style" w:hAnsi="Bookman Old Style"/>
          <w:b/>
          <w:lang w:val="es-CO"/>
        </w:rPr>
      </w:pPr>
    </w:p>
    <w:p w:rsidR="003F52C8" w:rsidRPr="000B65DE" w:rsidRDefault="003F52C8" w:rsidP="003F52C8">
      <w:pPr>
        <w:ind w:left="0"/>
        <w:jc w:val="center"/>
        <w:rPr>
          <w:rFonts w:ascii="Bookman Old Style" w:hAnsi="Bookman Old Style"/>
          <w:b/>
          <w:lang w:val="es-CO"/>
        </w:rPr>
      </w:pPr>
      <w:r w:rsidRPr="00AB038D">
        <w:rPr>
          <w:rFonts w:ascii="Bookman Old Style" w:hAnsi="Bookman Old Style"/>
          <w:b/>
          <w:noProof/>
          <w:lang w:val="es-CO" w:eastAsia="es-CO"/>
        </w:rPr>
        <w:drawing>
          <wp:inline distT="0" distB="0" distL="0" distR="0" wp14:anchorId="6D7B94F5" wp14:editId="390E652E">
            <wp:extent cx="5941060" cy="6156537"/>
            <wp:effectExtent l="0" t="0" r="254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1060" cy="6156537"/>
                    </a:xfrm>
                    <a:prstGeom prst="rect">
                      <a:avLst/>
                    </a:prstGeom>
                    <a:noFill/>
                    <a:ln>
                      <a:noFill/>
                    </a:ln>
                  </pic:spPr>
                </pic:pic>
              </a:graphicData>
            </a:graphic>
          </wp:inline>
        </w:drawing>
      </w:r>
    </w:p>
    <w:p w:rsidR="003F52C8" w:rsidRDefault="003F52C8" w:rsidP="003F52C8">
      <w:pPr>
        <w:ind w:left="0"/>
        <w:rPr>
          <w:rFonts w:ascii="Bookman Old Style" w:hAnsi="Bookman Old Style"/>
          <w:b/>
          <w:lang w:val="es-CO"/>
        </w:rPr>
      </w:pPr>
      <w:r>
        <w:rPr>
          <w:rFonts w:ascii="Bookman Old Style" w:hAnsi="Bookman Old Style"/>
          <w:b/>
          <w:lang w:val="es-CO"/>
        </w:rPr>
        <w:br w:type="page"/>
      </w:r>
    </w:p>
    <w:p w:rsidR="003F52C8" w:rsidRPr="000B65DE" w:rsidRDefault="003F52C8" w:rsidP="003F52C8">
      <w:pPr>
        <w:ind w:left="0"/>
        <w:jc w:val="center"/>
        <w:rPr>
          <w:rFonts w:ascii="Bookman Old Style" w:hAnsi="Bookman Old Style"/>
          <w:b/>
          <w:lang w:val="es-CO"/>
        </w:rPr>
      </w:pPr>
      <w:r w:rsidRPr="000B65DE">
        <w:rPr>
          <w:rFonts w:ascii="Bookman Old Style" w:hAnsi="Bookman Old Style"/>
          <w:b/>
          <w:lang w:val="es-CO"/>
        </w:rPr>
        <w:lastRenderedPageBreak/>
        <w:t xml:space="preserve"> 5.9. EMPRESA GASES DE LA GUAJIRA S.A. E.S.P.</w:t>
      </w:r>
    </w:p>
    <w:p w:rsidR="003F52C8" w:rsidRPr="000B65DE" w:rsidRDefault="003F52C8" w:rsidP="003F52C8">
      <w:pPr>
        <w:ind w:left="0"/>
        <w:jc w:val="center"/>
        <w:rPr>
          <w:rFonts w:ascii="Bookman Old Style" w:hAnsi="Bookman Old Style"/>
          <w:b/>
          <w:lang w:val="es-CO"/>
        </w:rPr>
      </w:pPr>
    </w:p>
    <w:p w:rsidR="003F52C8" w:rsidRDefault="003F52C8" w:rsidP="003F52C8">
      <w:pPr>
        <w:ind w:left="0"/>
        <w:jc w:val="center"/>
        <w:rPr>
          <w:rFonts w:ascii="Bookman Old Style" w:hAnsi="Bookman Old Style"/>
          <w:b/>
          <w:lang w:val="es-CO"/>
        </w:rPr>
      </w:pPr>
      <w:r w:rsidRPr="00AB038D">
        <w:rPr>
          <w:rFonts w:ascii="Bookman Old Style" w:hAnsi="Bookman Old Style"/>
          <w:b/>
          <w:noProof/>
          <w:lang w:val="es-CO" w:eastAsia="es-CO"/>
        </w:rPr>
        <w:drawing>
          <wp:inline distT="0" distB="0" distL="0" distR="0" wp14:anchorId="784C5805" wp14:editId="23D9AE81">
            <wp:extent cx="8151818" cy="2835668"/>
            <wp:effectExtent l="0" t="889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rot="16200000">
                      <a:off x="0" y="0"/>
                      <a:ext cx="8137738" cy="2830770"/>
                    </a:xfrm>
                    <a:prstGeom prst="rect">
                      <a:avLst/>
                    </a:prstGeom>
                    <a:noFill/>
                    <a:ln>
                      <a:noFill/>
                    </a:ln>
                  </pic:spPr>
                </pic:pic>
              </a:graphicData>
            </a:graphic>
          </wp:inline>
        </w:drawing>
      </w:r>
    </w:p>
    <w:p w:rsidR="003F52C8" w:rsidRDefault="003F52C8" w:rsidP="003F52C8">
      <w:pPr>
        <w:ind w:left="0"/>
        <w:jc w:val="center"/>
        <w:rPr>
          <w:rFonts w:ascii="Bookman Old Style" w:hAnsi="Bookman Old Style"/>
          <w:b/>
          <w:lang w:val="es-CO"/>
        </w:rPr>
      </w:pPr>
    </w:p>
    <w:p w:rsidR="003F52C8" w:rsidRDefault="003F52C8" w:rsidP="003F52C8">
      <w:pPr>
        <w:ind w:left="0"/>
        <w:rPr>
          <w:rFonts w:ascii="Bookman Old Style" w:hAnsi="Bookman Old Style"/>
          <w:b/>
          <w:lang w:val="es-CO"/>
        </w:rPr>
      </w:pPr>
      <w:r>
        <w:rPr>
          <w:rFonts w:ascii="Bookman Old Style" w:hAnsi="Bookman Old Style"/>
          <w:b/>
          <w:lang w:val="es-CO"/>
        </w:rPr>
        <w:br w:type="page"/>
      </w:r>
    </w:p>
    <w:p w:rsidR="003F52C8" w:rsidRDefault="003F52C8" w:rsidP="003F52C8">
      <w:pPr>
        <w:ind w:left="0"/>
        <w:jc w:val="center"/>
        <w:rPr>
          <w:rFonts w:ascii="Bookman Old Style" w:hAnsi="Bookman Old Style"/>
          <w:b/>
          <w:lang w:val="es-CO"/>
        </w:rPr>
      </w:pPr>
    </w:p>
    <w:p w:rsidR="003F52C8" w:rsidRDefault="003F52C8" w:rsidP="003F52C8">
      <w:pPr>
        <w:ind w:left="0"/>
        <w:jc w:val="center"/>
        <w:rPr>
          <w:rFonts w:ascii="Bookman Old Style" w:hAnsi="Bookman Old Style"/>
          <w:b/>
          <w:lang w:val="es-CO"/>
        </w:rPr>
      </w:pPr>
      <w:r w:rsidRPr="00AB038D">
        <w:rPr>
          <w:rFonts w:ascii="Bookman Old Style" w:hAnsi="Bookman Old Style"/>
          <w:b/>
          <w:noProof/>
          <w:lang w:val="es-CO" w:eastAsia="es-CO"/>
        </w:rPr>
        <w:drawing>
          <wp:inline distT="0" distB="0" distL="0" distR="0" wp14:anchorId="710859E9" wp14:editId="686E31AF">
            <wp:extent cx="8465171" cy="2453795"/>
            <wp:effectExtent l="0" t="4445" r="8255" b="825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rot="16200000">
                      <a:off x="0" y="0"/>
                      <a:ext cx="8453323" cy="2450361"/>
                    </a:xfrm>
                    <a:prstGeom prst="rect">
                      <a:avLst/>
                    </a:prstGeom>
                    <a:noFill/>
                    <a:ln>
                      <a:noFill/>
                    </a:ln>
                  </pic:spPr>
                </pic:pic>
              </a:graphicData>
            </a:graphic>
          </wp:inline>
        </w:drawing>
      </w:r>
    </w:p>
    <w:p w:rsidR="003F52C8" w:rsidRPr="000B65DE" w:rsidRDefault="003F52C8" w:rsidP="003F52C8">
      <w:pPr>
        <w:ind w:left="0"/>
        <w:jc w:val="center"/>
        <w:rPr>
          <w:rFonts w:ascii="Bookman Old Style" w:hAnsi="Bookman Old Style"/>
          <w:b/>
          <w:lang w:val="es-CO"/>
        </w:rPr>
      </w:pPr>
    </w:p>
    <w:p w:rsidR="003F52C8" w:rsidRPr="000B65DE" w:rsidRDefault="003F52C8" w:rsidP="003F52C8">
      <w:pPr>
        <w:ind w:left="0"/>
        <w:rPr>
          <w:rFonts w:ascii="Bookman Old Style" w:hAnsi="Bookman Old Style"/>
          <w:b/>
          <w:lang w:val="es-CO"/>
        </w:rPr>
      </w:pPr>
      <w:r w:rsidRPr="000B65DE">
        <w:rPr>
          <w:rFonts w:ascii="Bookman Old Style" w:hAnsi="Bookman Old Style"/>
          <w:b/>
          <w:lang w:val="es-CO"/>
        </w:rPr>
        <w:br w:type="page"/>
      </w:r>
    </w:p>
    <w:p w:rsidR="003F52C8" w:rsidRPr="000B65DE" w:rsidRDefault="003F52C8" w:rsidP="003F52C8">
      <w:pPr>
        <w:ind w:left="0"/>
        <w:jc w:val="center"/>
        <w:rPr>
          <w:rFonts w:ascii="Bookman Old Style" w:hAnsi="Bookman Old Style"/>
          <w:b/>
          <w:lang w:val="es-CO"/>
        </w:rPr>
      </w:pPr>
    </w:p>
    <w:p w:rsidR="003F52C8" w:rsidRPr="000B65DE" w:rsidRDefault="003F52C8" w:rsidP="003F52C8">
      <w:pPr>
        <w:ind w:left="0"/>
        <w:jc w:val="center"/>
        <w:rPr>
          <w:rFonts w:ascii="Bookman Old Style" w:hAnsi="Bookman Old Style"/>
          <w:b/>
          <w:lang w:val="es-CO"/>
        </w:rPr>
      </w:pPr>
      <w:r w:rsidRPr="000B65DE">
        <w:rPr>
          <w:rFonts w:ascii="Bookman Old Style" w:hAnsi="Bookman Old Style"/>
          <w:b/>
          <w:lang w:val="es-CO"/>
        </w:rPr>
        <w:t>5.10. EMPRESA METROGAS DE COLOMBIA S.A. E.S.P.</w:t>
      </w:r>
    </w:p>
    <w:p w:rsidR="003F52C8" w:rsidRPr="000B65DE" w:rsidRDefault="003F52C8" w:rsidP="003F52C8">
      <w:pPr>
        <w:ind w:left="0"/>
        <w:jc w:val="center"/>
        <w:rPr>
          <w:rFonts w:ascii="Bookman Old Style" w:hAnsi="Bookman Old Style"/>
          <w:b/>
          <w:lang w:val="es-CO"/>
        </w:rPr>
      </w:pPr>
    </w:p>
    <w:p w:rsidR="003F52C8" w:rsidRPr="000B65DE" w:rsidRDefault="003F52C8" w:rsidP="003F52C8">
      <w:pPr>
        <w:ind w:left="0"/>
        <w:jc w:val="center"/>
        <w:rPr>
          <w:rFonts w:ascii="Bookman Old Style" w:hAnsi="Bookman Old Style"/>
          <w:b/>
          <w:lang w:val="es-CO"/>
        </w:rPr>
      </w:pPr>
      <w:r w:rsidRPr="00AB038D">
        <w:rPr>
          <w:rFonts w:ascii="Bookman Old Style" w:hAnsi="Bookman Old Style"/>
          <w:b/>
          <w:noProof/>
          <w:lang w:val="es-CO" w:eastAsia="es-CO"/>
        </w:rPr>
        <w:drawing>
          <wp:inline distT="0" distB="0" distL="0" distR="0" wp14:anchorId="6674F1F2" wp14:editId="2F72B5EB">
            <wp:extent cx="4317365" cy="4109085"/>
            <wp:effectExtent l="0" t="0" r="6985" b="571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17365" cy="4109085"/>
                    </a:xfrm>
                    <a:prstGeom prst="rect">
                      <a:avLst/>
                    </a:prstGeom>
                    <a:noFill/>
                    <a:ln>
                      <a:noFill/>
                    </a:ln>
                  </pic:spPr>
                </pic:pic>
              </a:graphicData>
            </a:graphic>
          </wp:inline>
        </w:drawing>
      </w:r>
    </w:p>
    <w:p w:rsidR="003F52C8" w:rsidRPr="000B65DE" w:rsidRDefault="003F52C8" w:rsidP="003F52C8">
      <w:pPr>
        <w:ind w:left="0"/>
        <w:rPr>
          <w:rFonts w:ascii="Bookman Old Style" w:hAnsi="Bookman Old Style"/>
          <w:b/>
          <w:lang w:val="es-CO"/>
        </w:rPr>
      </w:pPr>
      <w:r w:rsidRPr="000B65DE">
        <w:rPr>
          <w:rFonts w:ascii="Bookman Old Style" w:hAnsi="Bookman Old Style"/>
          <w:b/>
          <w:lang w:val="es-CO"/>
        </w:rPr>
        <w:br w:type="page"/>
      </w:r>
    </w:p>
    <w:p w:rsidR="003F52C8" w:rsidRPr="000B65DE" w:rsidRDefault="003F52C8" w:rsidP="003F52C8">
      <w:pPr>
        <w:ind w:left="0"/>
        <w:jc w:val="center"/>
        <w:rPr>
          <w:rFonts w:ascii="Bookman Old Style" w:hAnsi="Bookman Old Style"/>
          <w:b/>
          <w:lang w:val="es-CO"/>
        </w:rPr>
      </w:pPr>
      <w:r w:rsidRPr="000B65DE">
        <w:rPr>
          <w:rFonts w:ascii="Bookman Old Style" w:hAnsi="Bookman Old Style"/>
          <w:b/>
          <w:lang w:val="es-CO"/>
        </w:rPr>
        <w:lastRenderedPageBreak/>
        <w:t>5.11. CAUCANA DE GAS S.A. E.S.P.</w:t>
      </w:r>
    </w:p>
    <w:p w:rsidR="003F52C8" w:rsidRDefault="003F52C8" w:rsidP="003F52C8">
      <w:pPr>
        <w:ind w:left="0"/>
        <w:rPr>
          <w:rFonts w:ascii="Bookman Old Style" w:hAnsi="Bookman Old Style"/>
          <w:b/>
          <w:lang w:val="es-CO"/>
        </w:rPr>
      </w:pPr>
    </w:p>
    <w:p w:rsidR="003F52C8" w:rsidRPr="000B65DE" w:rsidRDefault="003F52C8" w:rsidP="003F52C8">
      <w:pPr>
        <w:ind w:left="0"/>
        <w:jc w:val="center"/>
        <w:rPr>
          <w:rFonts w:ascii="Bookman Old Style" w:hAnsi="Bookman Old Style"/>
          <w:b/>
          <w:lang w:val="es-CO"/>
        </w:rPr>
      </w:pPr>
      <w:r w:rsidRPr="00AB038D">
        <w:rPr>
          <w:rFonts w:ascii="Bookman Old Style" w:hAnsi="Bookman Old Style"/>
          <w:b/>
          <w:noProof/>
          <w:lang w:val="es-CO" w:eastAsia="es-CO"/>
        </w:rPr>
        <w:drawing>
          <wp:inline distT="0" distB="0" distL="0" distR="0" wp14:anchorId="5EB9CC84" wp14:editId="18E7BD1F">
            <wp:extent cx="4490720" cy="2291715"/>
            <wp:effectExtent l="0" t="0" r="508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90720" cy="2291715"/>
                    </a:xfrm>
                    <a:prstGeom prst="rect">
                      <a:avLst/>
                    </a:prstGeom>
                    <a:noFill/>
                    <a:ln>
                      <a:noFill/>
                    </a:ln>
                  </pic:spPr>
                </pic:pic>
              </a:graphicData>
            </a:graphic>
          </wp:inline>
        </w:drawing>
      </w:r>
    </w:p>
    <w:p w:rsidR="003F52C8" w:rsidRPr="000B65DE" w:rsidRDefault="003F52C8" w:rsidP="003F52C8">
      <w:r w:rsidRPr="000B65DE">
        <w:br w:type="page"/>
      </w:r>
    </w:p>
    <w:p w:rsidR="003F52C8" w:rsidRPr="000B65DE" w:rsidRDefault="003F52C8" w:rsidP="003F52C8">
      <w:pPr>
        <w:ind w:left="0"/>
        <w:jc w:val="center"/>
        <w:rPr>
          <w:rFonts w:ascii="Bookman Old Style" w:hAnsi="Bookman Old Style"/>
          <w:b/>
          <w:lang w:val="es-CO"/>
        </w:rPr>
      </w:pPr>
      <w:r w:rsidRPr="000B65DE">
        <w:rPr>
          <w:rFonts w:ascii="Bookman Old Style" w:hAnsi="Bookman Old Style"/>
          <w:b/>
          <w:lang w:val="es-CO"/>
        </w:rPr>
        <w:lastRenderedPageBreak/>
        <w:t>5.12. EMPRESA GASES DEL ORIENTE S.A. E.S.P.</w:t>
      </w:r>
    </w:p>
    <w:p w:rsidR="003F52C8" w:rsidRDefault="003F52C8" w:rsidP="003F52C8">
      <w:pPr>
        <w:ind w:left="0"/>
        <w:rPr>
          <w:rFonts w:ascii="Bookman Old Style" w:hAnsi="Bookman Old Style"/>
          <w:b/>
          <w:lang w:val="es-CO"/>
        </w:rPr>
      </w:pPr>
    </w:p>
    <w:p w:rsidR="003F52C8" w:rsidRDefault="003F52C8" w:rsidP="003F52C8">
      <w:pPr>
        <w:ind w:left="0"/>
        <w:jc w:val="center"/>
        <w:rPr>
          <w:rFonts w:ascii="Bookman Old Style" w:hAnsi="Bookman Old Style"/>
          <w:b/>
          <w:lang w:val="es-CO"/>
        </w:rPr>
      </w:pPr>
      <w:r w:rsidRPr="00AB038D">
        <w:rPr>
          <w:rFonts w:ascii="Bookman Old Style" w:hAnsi="Bookman Old Style"/>
          <w:b/>
          <w:noProof/>
          <w:lang w:val="es-CO" w:eastAsia="es-CO"/>
        </w:rPr>
        <w:drawing>
          <wp:inline distT="0" distB="0" distL="0" distR="0" wp14:anchorId="0D4F0796" wp14:editId="2BE2B73F">
            <wp:extent cx="4282440" cy="2986405"/>
            <wp:effectExtent l="0" t="0" r="3810" b="444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82440" cy="2986405"/>
                    </a:xfrm>
                    <a:prstGeom prst="rect">
                      <a:avLst/>
                    </a:prstGeom>
                    <a:noFill/>
                    <a:ln>
                      <a:noFill/>
                    </a:ln>
                  </pic:spPr>
                </pic:pic>
              </a:graphicData>
            </a:graphic>
          </wp:inline>
        </w:drawing>
      </w:r>
    </w:p>
    <w:p w:rsidR="003F52C8" w:rsidRPr="000B65DE" w:rsidRDefault="003F52C8" w:rsidP="003F52C8">
      <w:pPr>
        <w:ind w:left="0"/>
        <w:rPr>
          <w:rFonts w:ascii="Bookman Old Style" w:hAnsi="Bookman Old Style"/>
          <w:b/>
          <w:lang w:val="es-CO"/>
        </w:rPr>
      </w:pPr>
    </w:p>
    <w:p w:rsidR="003F52C8" w:rsidRPr="000B65DE" w:rsidRDefault="003F52C8" w:rsidP="003F52C8">
      <w:pPr>
        <w:ind w:left="0"/>
        <w:rPr>
          <w:rFonts w:ascii="Bookman Old Style" w:hAnsi="Bookman Old Style"/>
          <w:b/>
          <w:lang w:val="es-CO"/>
        </w:rPr>
      </w:pPr>
      <w:r w:rsidRPr="000B65DE">
        <w:rPr>
          <w:rFonts w:ascii="Bookman Old Style" w:hAnsi="Bookman Old Style"/>
          <w:b/>
          <w:lang w:val="es-CO"/>
        </w:rPr>
        <w:br w:type="page"/>
      </w:r>
    </w:p>
    <w:p w:rsidR="003F52C8" w:rsidRPr="000B65DE" w:rsidRDefault="003F52C8" w:rsidP="003F52C8">
      <w:pPr>
        <w:ind w:left="0"/>
        <w:jc w:val="center"/>
        <w:rPr>
          <w:rFonts w:ascii="Bookman Old Style" w:hAnsi="Bookman Old Style"/>
          <w:b/>
          <w:lang w:val="es-CO"/>
        </w:rPr>
      </w:pPr>
      <w:r w:rsidRPr="000B65DE">
        <w:rPr>
          <w:rFonts w:ascii="Bookman Old Style" w:hAnsi="Bookman Old Style"/>
          <w:b/>
          <w:lang w:val="es-CO"/>
        </w:rPr>
        <w:lastRenderedPageBreak/>
        <w:t>5.13.  EMPRESA GASES DE OCCIDENTE S.A. E.S.P.</w:t>
      </w:r>
    </w:p>
    <w:p w:rsidR="003F52C8" w:rsidRPr="000B65DE" w:rsidRDefault="003F52C8" w:rsidP="003F52C8">
      <w:pPr>
        <w:ind w:left="0"/>
        <w:jc w:val="center"/>
        <w:rPr>
          <w:rFonts w:ascii="Bookman Old Style" w:hAnsi="Bookman Old Style"/>
          <w:b/>
          <w:lang w:val="es-CO"/>
        </w:rPr>
      </w:pPr>
    </w:p>
    <w:p w:rsidR="003F52C8" w:rsidRPr="000B65DE" w:rsidRDefault="003F52C8" w:rsidP="003F52C8">
      <w:pPr>
        <w:ind w:left="0"/>
        <w:jc w:val="center"/>
        <w:rPr>
          <w:rFonts w:ascii="Bookman Old Style" w:hAnsi="Bookman Old Style"/>
          <w:b/>
          <w:lang w:val="es-CO"/>
        </w:rPr>
      </w:pPr>
      <w:r w:rsidRPr="00AB038D">
        <w:rPr>
          <w:rFonts w:ascii="Bookman Old Style" w:hAnsi="Bookman Old Style"/>
          <w:b/>
          <w:noProof/>
          <w:lang w:val="es-CO" w:eastAsia="es-CO"/>
        </w:rPr>
        <w:drawing>
          <wp:inline distT="0" distB="0" distL="0" distR="0" wp14:anchorId="339CB6BE" wp14:editId="1E1B5C1C">
            <wp:extent cx="4294505" cy="4780280"/>
            <wp:effectExtent l="0" t="0" r="0" b="127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294505" cy="4780280"/>
                    </a:xfrm>
                    <a:prstGeom prst="rect">
                      <a:avLst/>
                    </a:prstGeom>
                    <a:noFill/>
                    <a:ln>
                      <a:noFill/>
                    </a:ln>
                  </pic:spPr>
                </pic:pic>
              </a:graphicData>
            </a:graphic>
          </wp:inline>
        </w:drawing>
      </w:r>
    </w:p>
    <w:p w:rsidR="003F52C8" w:rsidRPr="000B65DE" w:rsidRDefault="003F52C8" w:rsidP="003F52C8">
      <w:pPr>
        <w:ind w:left="0"/>
        <w:rPr>
          <w:rFonts w:ascii="Bookman Old Style" w:hAnsi="Bookman Old Style"/>
          <w:b/>
          <w:lang w:val="es-CO"/>
        </w:rPr>
      </w:pPr>
      <w:r w:rsidRPr="000B65DE">
        <w:rPr>
          <w:rFonts w:ascii="Bookman Old Style" w:hAnsi="Bookman Old Style"/>
          <w:b/>
          <w:lang w:val="es-CO"/>
        </w:rPr>
        <w:br w:type="page"/>
      </w:r>
    </w:p>
    <w:p w:rsidR="003F52C8" w:rsidRPr="000B65DE" w:rsidRDefault="003F52C8" w:rsidP="003F52C8">
      <w:pPr>
        <w:ind w:left="0"/>
        <w:jc w:val="center"/>
        <w:rPr>
          <w:rFonts w:ascii="Bookman Old Style" w:hAnsi="Bookman Old Style"/>
          <w:b/>
          <w:lang w:val="es-CO"/>
        </w:rPr>
      </w:pPr>
      <w:r w:rsidRPr="000B65DE">
        <w:rPr>
          <w:rFonts w:ascii="Bookman Old Style" w:hAnsi="Bookman Old Style"/>
          <w:b/>
          <w:lang w:val="es-CO"/>
        </w:rPr>
        <w:lastRenderedPageBreak/>
        <w:t>5.14. EMPRESA GASES DE BARRANCABERMEJA S.A. E.S.P.</w:t>
      </w:r>
    </w:p>
    <w:p w:rsidR="003F52C8" w:rsidRPr="000B65DE" w:rsidRDefault="003F52C8" w:rsidP="003F52C8">
      <w:pPr>
        <w:ind w:left="0"/>
        <w:rPr>
          <w:rFonts w:ascii="Bookman Old Style" w:hAnsi="Bookman Old Style"/>
          <w:b/>
          <w:lang w:val="es-CO"/>
        </w:rPr>
      </w:pPr>
    </w:p>
    <w:p w:rsidR="003F52C8" w:rsidRDefault="003F52C8" w:rsidP="003F52C8">
      <w:pPr>
        <w:ind w:left="0"/>
        <w:jc w:val="center"/>
        <w:rPr>
          <w:rFonts w:ascii="Bookman Old Style" w:hAnsi="Bookman Old Style"/>
          <w:b/>
          <w:lang w:val="es-CO"/>
        </w:rPr>
      </w:pPr>
      <w:r w:rsidRPr="00AB038D">
        <w:rPr>
          <w:rFonts w:ascii="Bookman Old Style" w:hAnsi="Bookman Old Style"/>
          <w:b/>
          <w:noProof/>
          <w:lang w:val="es-CO" w:eastAsia="es-CO"/>
        </w:rPr>
        <w:drawing>
          <wp:inline distT="0" distB="0" distL="0" distR="0" wp14:anchorId="1AA963C8" wp14:editId="6F65BFAD">
            <wp:extent cx="4282440" cy="4977130"/>
            <wp:effectExtent l="0" t="0" r="381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82440" cy="4977130"/>
                    </a:xfrm>
                    <a:prstGeom prst="rect">
                      <a:avLst/>
                    </a:prstGeom>
                    <a:noFill/>
                    <a:ln>
                      <a:noFill/>
                    </a:ln>
                  </pic:spPr>
                </pic:pic>
              </a:graphicData>
            </a:graphic>
          </wp:inline>
        </w:drawing>
      </w:r>
    </w:p>
    <w:p w:rsidR="003F52C8" w:rsidRPr="000B65DE" w:rsidRDefault="003F52C8" w:rsidP="003F52C8">
      <w:pPr>
        <w:ind w:left="0"/>
        <w:jc w:val="center"/>
        <w:rPr>
          <w:rFonts w:ascii="Bookman Old Style" w:hAnsi="Bookman Old Style"/>
          <w:b/>
          <w:lang w:val="es-CO"/>
        </w:rPr>
      </w:pPr>
      <w:r w:rsidRPr="000B65DE">
        <w:rPr>
          <w:rFonts w:ascii="Bookman Old Style" w:hAnsi="Bookman Old Style"/>
          <w:b/>
          <w:lang w:val="es-CO"/>
        </w:rPr>
        <w:br w:type="page"/>
      </w:r>
    </w:p>
    <w:p w:rsidR="003F52C8" w:rsidRPr="000B65DE" w:rsidRDefault="003F52C8" w:rsidP="003F52C8">
      <w:pPr>
        <w:tabs>
          <w:tab w:val="left" w:pos="7980"/>
        </w:tabs>
        <w:ind w:left="0"/>
        <w:rPr>
          <w:rFonts w:ascii="Bookman Old Style" w:hAnsi="Bookman Old Style"/>
          <w:b/>
          <w:lang w:val="es-CO"/>
        </w:rPr>
      </w:pPr>
      <w:r w:rsidRPr="000B65DE">
        <w:rPr>
          <w:rFonts w:ascii="Bookman Old Style" w:hAnsi="Bookman Old Style"/>
          <w:b/>
          <w:lang w:val="es-CO"/>
        </w:rPr>
        <w:lastRenderedPageBreak/>
        <w:tab/>
      </w:r>
    </w:p>
    <w:p w:rsidR="003F52C8" w:rsidRPr="000B65DE" w:rsidRDefault="003F52C8" w:rsidP="003F52C8">
      <w:pPr>
        <w:ind w:left="0"/>
        <w:jc w:val="center"/>
        <w:rPr>
          <w:rFonts w:ascii="Bookman Old Style" w:hAnsi="Bookman Old Style"/>
          <w:b/>
          <w:lang w:val="es-CO"/>
        </w:rPr>
      </w:pPr>
      <w:r w:rsidRPr="000B65DE">
        <w:rPr>
          <w:rFonts w:ascii="Bookman Old Style" w:hAnsi="Bookman Old Style"/>
          <w:b/>
          <w:lang w:val="es-CO"/>
        </w:rPr>
        <w:t>5.15. EMPRESA MADIGAS INGENIEROS S.A. E.S.P.</w:t>
      </w:r>
    </w:p>
    <w:p w:rsidR="003F52C8" w:rsidRPr="000B65DE" w:rsidRDefault="003F52C8" w:rsidP="003F52C8">
      <w:pPr>
        <w:ind w:left="0"/>
        <w:jc w:val="center"/>
        <w:rPr>
          <w:rFonts w:ascii="Bookman Old Style" w:hAnsi="Bookman Old Style"/>
          <w:b/>
          <w:lang w:val="es-CO"/>
        </w:rPr>
      </w:pPr>
    </w:p>
    <w:p w:rsidR="003F52C8" w:rsidRPr="000B65DE" w:rsidRDefault="003F52C8" w:rsidP="003F52C8">
      <w:pPr>
        <w:ind w:left="0"/>
        <w:jc w:val="center"/>
        <w:rPr>
          <w:rFonts w:ascii="Bookman Old Style" w:hAnsi="Bookman Old Style"/>
          <w:b/>
          <w:lang w:val="es-CO"/>
        </w:rPr>
      </w:pPr>
      <w:r w:rsidRPr="00AB038D">
        <w:rPr>
          <w:rFonts w:ascii="Bookman Old Style" w:hAnsi="Bookman Old Style"/>
          <w:b/>
          <w:noProof/>
          <w:lang w:val="es-CO" w:eastAsia="es-CO"/>
        </w:rPr>
        <w:drawing>
          <wp:inline distT="0" distB="0" distL="0" distR="0" wp14:anchorId="2D774FC0" wp14:editId="553B54FC">
            <wp:extent cx="4884420" cy="4907915"/>
            <wp:effectExtent l="0" t="0" r="0" b="698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884420" cy="4907915"/>
                    </a:xfrm>
                    <a:prstGeom prst="rect">
                      <a:avLst/>
                    </a:prstGeom>
                    <a:noFill/>
                    <a:ln>
                      <a:noFill/>
                    </a:ln>
                  </pic:spPr>
                </pic:pic>
              </a:graphicData>
            </a:graphic>
          </wp:inline>
        </w:drawing>
      </w:r>
    </w:p>
    <w:p w:rsidR="003F52C8" w:rsidRPr="000B65DE" w:rsidRDefault="003F52C8" w:rsidP="003F52C8">
      <w:pPr>
        <w:ind w:left="0"/>
        <w:jc w:val="center"/>
        <w:rPr>
          <w:rFonts w:ascii="Bookman Old Style" w:hAnsi="Bookman Old Style"/>
          <w:b/>
          <w:lang w:val="es-CO"/>
        </w:rPr>
      </w:pPr>
    </w:p>
    <w:p w:rsidR="003F52C8" w:rsidRPr="000B65DE" w:rsidRDefault="003F52C8" w:rsidP="003F52C8">
      <w:pPr>
        <w:ind w:left="0"/>
        <w:rPr>
          <w:rFonts w:ascii="Bookman Old Style" w:hAnsi="Bookman Old Style"/>
          <w:b/>
          <w:lang w:val="es-CO"/>
        </w:rPr>
      </w:pPr>
      <w:r w:rsidRPr="000B65DE">
        <w:rPr>
          <w:rFonts w:ascii="Bookman Old Style" w:hAnsi="Bookman Old Style"/>
          <w:b/>
          <w:lang w:val="es-CO"/>
        </w:rPr>
        <w:br w:type="page"/>
      </w:r>
    </w:p>
    <w:p w:rsidR="003F52C8" w:rsidRPr="000B65DE" w:rsidRDefault="003F52C8" w:rsidP="003F52C8">
      <w:pPr>
        <w:ind w:left="0"/>
        <w:jc w:val="center"/>
        <w:rPr>
          <w:rFonts w:ascii="Bookman Old Style" w:hAnsi="Bookman Old Style"/>
          <w:b/>
          <w:lang w:val="es-CO"/>
        </w:rPr>
      </w:pPr>
      <w:r w:rsidRPr="000B65DE">
        <w:rPr>
          <w:rFonts w:ascii="Bookman Old Style" w:hAnsi="Bookman Old Style"/>
          <w:b/>
          <w:lang w:val="es-CO"/>
        </w:rPr>
        <w:lastRenderedPageBreak/>
        <w:t>5.16. EMPRESA PROMESA S.A. E.S.P.</w:t>
      </w:r>
    </w:p>
    <w:p w:rsidR="003F52C8" w:rsidRPr="000B65DE" w:rsidRDefault="003F52C8" w:rsidP="003F52C8">
      <w:pPr>
        <w:ind w:left="0"/>
        <w:jc w:val="center"/>
        <w:rPr>
          <w:rFonts w:ascii="Bookman Old Style" w:hAnsi="Bookman Old Style"/>
          <w:b/>
          <w:lang w:val="es-CO"/>
        </w:rPr>
      </w:pPr>
    </w:p>
    <w:p w:rsidR="003F52C8" w:rsidRPr="000B65DE" w:rsidRDefault="003F52C8" w:rsidP="003F52C8">
      <w:pPr>
        <w:ind w:left="0"/>
        <w:jc w:val="center"/>
        <w:rPr>
          <w:rFonts w:ascii="Bookman Old Style" w:hAnsi="Bookman Old Style"/>
          <w:b/>
          <w:lang w:val="es-CO"/>
        </w:rPr>
      </w:pPr>
      <w:r w:rsidRPr="00AB038D">
        <w:rPr>
          <w:rFonts w:ascii="Bookman Old Style" w:hAnsi="Bookman Old Style"/>
          <w:b/>
          <w:noProof/>
          <w:lang w:val="es-CO" w:eastAsia="es-CO"/>
        </w:rPr>
        <w:drawing>
          <wp:inline distT="0" distB="0" distL="0" distR="0" wp14:anchorId="60383863" wp14:editId="67D81CEE">
            <wp:extent cx="3449320" cy="2338070"/>
            <wp:effectExtent l="0" t="0" r="0" b="508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449320" cy="2338070"/>
                    </a:xfrm>
                    <a:prstGeom prst="rect">
                      <a:avLst/>
                    </a:prstGeom>
                    <a:noFill/>
                    <a:ln>
                      <a:noFill/>
                    </a:ln>
                  </pic:spPr>
                </pic:pic>
              </a:graphicData>
            </a:graphic>
          </wp:inline>
        </w:drawing>
      </w:r>
    </w:p>
    <w:p w:rsidR="003F52C8" w:rsidRPr="000B65DE" w:rsidRDefault="003F52C8" w:rsidP="003F52C8">
      <w:pPr>
        <w:ind w:left="0"/>
        <w:jc w:val="center"/>
        <w:rPr>
          <w:rFonts w:ascii="Bookman Old Style" w:hAnsi="Bookman Old Style"/>
          <w:b/>
          <w:lang w:val="es-CO"/>
        </w:rPr>
      </w:pPr>
    </w:p>
    <w:p w:rsidR="003F52C8" w:rsidRPr="000B65DE" w:rsidRDefault="003F52C8" w:rsidP="003F52C8">
      <w:pPr>
        <w:ind w:left="0"/>
        <w:rPr>
          <w:rFonts w:ascii="Bookman Old Style" w:hAnsi="Bookman Old Style"/>
          <w:b/>
          <w:lang w:val="es-CO"/>
        </w:rPr>
      </w:pPr>
      <w:r w:rsidRPr="000B65DE">
        <w:rPr>
          <w:rFonts w:ascii="Bookman Old Style" w:hAnsi="Bookman Old Style"/>
          <w:b/>
          <w:lang w:val="es-CO"/>
        </w:rPr>
        <w:br w:type="page"/>
      </w:r>
    </w:p>
    <w:p w:rsidR="003F52C8" w:rsidRPr="000B65DE" w:rsidRDefault="003F52C8" w:rsidP="003F52C8">
      <w:pPr>
        <w:ind w:left="0"/>
        <w:jc w:val="center"/>
        <w:rPr>
          <w:rFonts w:ascii="Bookman Old Style" w:hAnsi="Bookman Old Style"/>
          <w:b/>
          <w:lang w:val="es-CO"/>
        </w:rPr>
      </w:pPr>
      <w:r w:rsidRPr="000B65DE">
        <w:rPr>
          <w:rFonts w:ascii="Bookman Old Style" w:hAnsi="Bookman Old Style"/>
          <w:b/>
          <w:lang w:val="es-CO"/>
        </w:rPr>
        <w:lastRenderedPageBreak/>
        <w:t>5.17. EMPRESA GASES DEL CUSIANA S.A. E.S.P. (YOPAL)</w:t>
      </w:r>
    </w:p>
    <w:p w:rsidR="003F52C8" w:rsidRPr="000B65DE" w:rsidRDefault="003F52C8" w:rsidP="003F52C8">
      <w:pPr>
        <w:ind w:left="0"/>
        <w:jc w:val="center"/>
        <w:rPr>
          <w:rFonts w:ascii="Bookman Old Style" w:hAnsi="Bookman Old Style"/>
          <w:b/>
          <w:lang w:val="es-CO"/>
        </w:rPr>
      </w:pPr>
    </w:p>
    <w:p w:rsidR="003F52C8" w:rsidRPr="000B65DE" w:rsidRDefault="003F52C8" w:rsidP="003F52C8">
      <w:pPr>
        <w:ind w:left="0"/>
        <w:jc w:val="center"/>
        <w:rPr>
          <w:rFonts w:ascii="Bookman Old Style" w:hAnsi="Bookman Old Style"/>
          <w:b/>
          <w:lang w:val="es-CO"/>
        </w:rPr>
      </w:pPr>
      <w:r w:rsidRPr="00AB038D">
        <w:rPr>
          <w:rFonts w:ascii="Bookman Old Style" w:hAnsi="Bookman Old Style"/>
          <w:b/>
          <w:noProof/>
          <w:lang w:val="es-CO" w:eastAsia="es-CO"/>
        </w:rPr>
        <w:drawing>
          <wp:inline distT="0" distB="0" distL="0" distR="0" wp14:anchorId="68DAD709" wp14:editId="2E7868C9">
            <wp:extent cx="3599815" cy="4166870"/>
            <wp:effectExtent l="0" t="0" r="635" b="508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599815" cy="4166870"/>
                    </a:xfrm>
                    <a:prstGeom prst="rect">
                      <a:avLst/>
                    </a:prstGeom>
                    <a:noFill/>
                    <a:ln>
                      <a:noFill/>
                    </a:ln>
                  </pic:spPr>
                </pic:pic>
              </a:graphicData>
            </a:graphic>
          </wp:inline>
        </w:drawing>
      </w:r>
    </w:p>
    <w:p w:rsidR="003F52C8" w:rsidRPr="000B65DE" w:rsidRDefault="003F52C8" w:rsidP="003F52C8">
      <w:pPr>
        <w:ind w:left="0"/>
        <w:rPr>
          <w:rFonts w:ascii="Bookman Old Style" w:hAnsi="Bookman Old Style"/>
          <w:b/>
          <w:lang w:val="es-CO"/>
        </w:rPr>
      </w:pPr>
      <w:r w:rsidRPr="000B65DE">
        <w:rPr>
          <w:rFonts w:ascii="Bookman Old Style" w:hAnsi="Bookman Old Style"/>
          <w:b/>
          <w:lang w:val="es-CO"/>
        </w:rPr>
        <w:br w:type="page"/>
      </w:r>
    </w:p>
    <w:p w:rsidR="003F52C8" w:rsidRPr="000B65DE" w:rsidRDefault="003F52C8" w:rsidP="003F52C8">
      <w:pPr>
        <w:ind w:left="0"/>
        <w:jc w:val="center"/>
        <w:rPr>
          <w:rFonts w:ascii="Bookman Old Style" w:hAnsi="Bookman Old Style"/>
          <w:b/>
          <w:lang w:val="es-CO"/>
        </w:rPr>
      </w:pPr>
      <w:r w:rsidRPr="000B65DE">
        <w:rPr>
          <w:rFonts w:ascii="Bookman Old Style" w:hAnsi="Bookman Old Style"/>
          <w:b/>
          <w:lang w:val="es-CO"/>
        </w:rPr>
        <w:lastRenderedPageBreak/>
        <w:t>5.18. EMPRESA GASES DEL CUSIANA S.A. E.S.P. (TAURAMENA)</w:t>
      </w:r>
    </w:p>
    <w:p w:rsidR="003F52C8" w:rsidRPr="000B65DE" w:rsidRDefault="003F52C8" w:rsidP="003F52C8">
      <w:pPr>
        <w:ind w:left="0"/>
        <w:rPr>
          <w:rFonts w:ascii="Bookman Old Style" w:hAnsi="Bookman Old Style"/>
          <w:b/>
          <w:lang w:val="es-CO"/>
        </w:rPr>
      </w:pPr>
    </w:p>
    <w:p w:rsidR="003F52C8" w:rsidRPr="000B65DE" w:rsidRDefault="003F52C8" w:rsidP="003F52C8">
      <w:pPr>
        <w:ind w:left="0"/>
        <w:jc w:val="center"/>
        <w:rPr>
          <w:rFonts w:ascii="Bookman Old Style" w:hAnsi="Bookman Old Style"/>
          <w:b/>
          <w:lang w:val="es-CO"/>
        </w:rPr>
      </w:pPr>
      <w:r w:rsidRPr="00AB038D">
        <w:rPr>
          <w:rFonts w:ascii="Bookman Old Style" w:hAnsi="Bookman Old Style"/>
          <w:b/>
          <w:noProof/>
          <w:lang w:val="es-CO" w:eastAsia="es-CO"/>
        </w:rPr>
        <w:drawing>
          <wp:inline distT="0" distB="0" distL="0" distR="0" wp14:anchorId="5C58ABCD" wp14:editId="50C3CDEF">
            <wp:extent cx="3576320" cy="2893695"/>
            <wp:effectExtent l="0" t="0" r="5080" b="190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576320" cy="2893695"/>
                    </a:xfrm>
                    <a:prstGeom prst="rect">
                      <a:avLst/>
                    </a:prstGeom>
                    <a:noFill/>
                    <a:ln>
                      <a:noFill/>
                    </a:ln>
                  </pic:spPr>
                </pic:pic>
              </a:graphicData>
            </a:graphic>
          </wp:inline>
        </w:drawing>
      </w:r>
    </w:p>
    <w:p w:rsidR="003F52C8" w:rsidRPr="000B65DE" w:rsidRDefault="003F52C8" w:rsidP="003F52C8">
      <w:pPr>
        <w:ind w:left="0"/>
        <w:rPr>
          <w:rFonts w:ascii="Bookman Old Style" w:hAnsi="Bookman Old Style"/>
          <w:b/>
          <w:lang w:val="es-CO"/>
        </w:rPr>
      </w:pPr>
      <w:r w:rsidRPr="000B65DE">
        <w:rPr>
          <w:rFonts w:ascii="Bookman Old Style" w:hAnsi="Bookman Old Style"/>
          <w:b/>
          <w:lang w:val="es-CO"/>
        </w:rPr>
        <w:br w:type="page"/>
      </w:r>
    </w:p>
    <w:p w:rsidR="003F52C8" w:rsidRPr="000B65DE" w:rsidRDefault="003F52C8" w:rsidP="003F52C8">
      <w:pPr>
        <w:ind w:left="0"/>
        <w:jc w:val="center"/>
        <w:rPr>
          <w:rFonts w:ascii="Bookman Old Style" w:hAnsi="Bookman Old Style"/>
          <w:b/>
          <w:lang w:val="es-CO"/>
        </w:rPr>
      </w:pPr>
      <w:r w:rsidRPr="000B65DE">
        <w:rPr>
          <w:rFonts w:ascii="Bookman Old Style" w:hAnsi="Bookman Old Style"/>
          <w:b/>
          <w:lang w:val="es-CO"/>
        </w:rPr>
        <w:lastRenderedPageBreak/>
        <w:t xml:space="preserve">5.19. EMPRESA GASES DEL CUSIANA S.A. E.S.P. </w:t>
      </w:r>
    </w:p>
    <w:p w:rsidR="003F52C8" w:rsidRDefault="003F52C8" w:rsidP="003F52C8">
      <w:pPr>
        <w:ind w:left="0"/>
        <w:jc w:val="center"/>
        <w:rPr>
          <w:rFonts w:ascii="Bookman Old Style" w:hAnsi="Bookman Old Style"/>
          <w:b/>
          <w:lang w:val="es-CO"/>
        </w:rPr>
      </w:pPr>
    </w:p>
    <w:p w:rsidR="003F52C8" w:rsidRDefault="003F52C8" w:rsidP="003F52C8">
      <w:pPr>
        <w:ind w:left="0"/>
        <w:jc w:val="center"/>
        <w:rPr>
          <w:rFonts w:ascii="Bookman Old Style" w:hAnsi="Bookman Old Style"/>
          <w:b/>
          <w:lang w:val="es-ES_tradnl"/>
        </w:rPr>
      </w:pPr>
      <w:r w:rsidRPr="00AB038D">
        <w:rPr>
          <w:rFonts w:ascii="Bookman Old Style" w:hAnsi="Bookman Old Style"/>
          <w:b/>
          <w:noProof/>
          <w:lang w:val="es-CO" w:eastAsia="es-CO"/>
        </w:rPr>
        <w:drawing>
          <wp:inline distT="0" distB="0" distL="0" distR="0" wp14:anchorId="02C02A56" wp14:editId="2124D6EC">
            <wp:extent cx="4502785" cy="4768850"/>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02785" cy="4768850"/>
                    </a:xfrm>
                    <a:prstGeom prst="rect">
                      <a:avLst/>
                    </a:prstGeom>
                    <a:noFill/>
                    <a:ln>
                      <a:noFill/>
                    </a:ln>
                  </pic:spPr>
                </pic:pic>
              </a:graphicData>
            </a:graphic>
          </wp:inline>
        </w:drawing>
      </w:r>
    </w:p>
    <w:p w:rsidR="003F52C8" w:rsidRDefault="003F52C8" w:rsidP="003F52C8">
      <w:pPr>
        <w:ind w:left="0"/>
        <w:rPr>
          <w:rFonts w:ascii="Bookman Old Style" w:hAnsi="Bookman Old Style"/>
          <w:b/>
          <w:lang w:val="es-ES_tradnl"/>
        </w:rPr>
      </w:pPr>
    </w:p>
    <w:p w:rsidR="003F52C8" w:rsidRDefault="003F52C8" w:rsidP="003F52C8">
      <w:pPr>
        <w:ind w:left="0"/>
        <w:rPr>
          <w:rFonts w:ascii="Bookman Old Style" w:hAnsi="Bookman Old Style"/>
          <w:b/>
          <w:lang w:val="es-CO"/>
        </w:rPr>
      </w:pPr>
      <w:r>
        <w:rPr>
          <w:rFonts w:ascii="Bookman Old Style" w:hAnsi="Bookman Old Style"/>
          <w:b/>
          <w:lang w:val="es-CO"/>
        </w:rPr>
        <w:br w:type="page"/>
      </w:r>
    </w:p>
    <w:p w:rsidR="003F52C8" w:rsidRDefault="003F52C8" w:rsidP="003F52C8">
      <w:pPr>
        <w:ind w:left="0"/>
        <w:jc w:val="center"/>
        <w:rPr>
          <w:rFonts w:ascii="Bookman Old Style" w:hAnsi="Bookman Old Style"/>
          <w:b/>
          <w:lang w:val="es-ES_tradnl"/>
        </w:rPr>
      </w:pPr>
      <w:r w:rsidRPr="000B65DE">
        <w:rPr>
          <w:rFonts w:ascii="Bookman Old Style" w:hAnsi="Bookman Old Style"/>
          <w:b/>
          <w:lang w:val="es-CO"/>
        </w:rPr>
        <w:lastRenderedPageBreak/>
        <w:t>5.</w:t>
      </w:r>
      <w:r>
        <w:rPr>
          <w:rFonts w:ascii="Bookman Old Style" w:hAnsi="Bookman Old Style"/>
          <w:b/>
          <w:lang w:val="es-CO"/>
        </w:rPr>
        <w:t>20</w:t>
      </w:r>
      <w:r w:rsidRPr="000B65DE">
        <w:rPr>
          <w:rFonts w:ascii="Bookman Old Style" w:hAnsi="Bookman Old Style"/>
          <w:b/>
          <w:lang w:val="es-CO"/>
        </w:rPr>
        <w:t xml:space="preserve">. EMPRESA </w:t>
      </w:r>
      <w:r>
        <w:rPr>
          <w:rFonts w:ascii="Bookman Old Style" w:hAnsi="Bookman Old Style"/>
          <w:b/>
          <w:lang w:val="es-CO"/>
        </w:rPr>
        <w:t>PROMIGAS</w:t>
      </w:r>
      <w:r w:rsidRPr="000B65DE">
        <w:rPr>
          <w:rFonts w:ascii="Bookman Old Style" w:hAnsi="Bookman Old Style"/>
          <w:b/>
          <w:lang w:val="es-CO"/>
        </w:rPr>
        <w:t xml:space="preserve"> S.A. E.S.P.</w:t>
      </w:r>
    </w:p>
    <w:p w:rsidR="003F52C8" w:rsidRDefault="003F52C8" w:rsidP="003F52C8">
      <w:pPr>
        <w:ind w:left="0"/>
        <w:rPr>
          <w:rFonts w:ascii="Bookman Old Style" w:hAnsi="Bookman Old Style"/>
          <w:b/>
          <w:lang w:val="es-ES_tradnl"/>
        </w:rPr>
      </w:pPr>
    </w:p>
    <w:p w:rsidR="003F52C8" w:rsidRDefault="003F52C8" w:rsidP="003F52C8">
      <w:pPr>
        <w:ind w:left="0"/>
        <w:jc w:val="center"/>
        <w:rPr>
          <w:rFonts w:ascii="Bookman Old Style" w:hAnsi="Bookman Old Style"/>
          <w:b/>
          <w:lang w:val="es-ES_tradnl"/>
        </w:rPr>
      </w:pPr>
      <w:r w:rsidRPr="00AB038D">
        <w:rPr>
          <w:rFonts w:ascii="Bookman Old Style" w:hAnsi="Bookman Old Style"/>
          <w:b/>
          <w:noProof/>
          <w:lang w:val="es-CO" w:eastAsia="es-CO"/>
        </w:rPr>
        <w:drawing>
          <wp:inline distT="0" distB="0" distL="0" distR="0" wp14:anchorId="1D55DFA0" wp14:editId="0270B6F9">
            <wp:extent cx="2835910" cy="4930775"/>
            <wp:effectExtent l="0" t="0" r="2540" b="317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35910" cy="4930775"/>
                    </a:xfrm>
                    <a:prstGeom prst="rect">
                      <a:avLst/>
                    </a:prstGeom>
                    <a:noFill/>
                    <a:ln>
                      <a:noFill/>
                    </a:ln>
                  </pic:spPr>
                </pic:pic>
              </a:graphicData>
            </a:graphic>
          </wp:inline>
        </w:drawing>
      </w:r>
    </w:p>
    <w:p w:rsidR="003F52C8" w:rsidRDefault="003F52C8" w:rsidP="003F52C8">
      <w:pPr>
        <w:ind w:left="0"/>
        <w:rPr>
          <w:rFonts w:ascii="Bookman Old Style" w:hAnsi="Bookman Old Style"/>
          <w:b/>
          <w:lang w:val="es-ES_tradnl"/>
        </w:rPr>
      </w:pPr>
    </w:p>
    <w:p w:rsidR="003F52C8" w:rsidRDefault="003F52C8" w:rsidP="003F52C8">
      <w:pPr>
        <w:ind w:left="0"/>
        <w:rPr>
          <w:rFonts w:ascii="Bookman Old Style" w:hAnsi="Bookman Old Style"/>
          <w:b/>
          <w:lang w:val="es-ES_tradnl"/>
        </w:rPr>
      </w:pPr>
    </w:p>
    <w:p w:rsidR="003F52C8" w:rsidRDefault="003F52C8" w:rsidP="003F52C8">
      <w:pPr>
        <w:ind w:left="0"/>
        <w:rPr>
          <w:rFonts w:ascii="Bookman Old Style" w:hAnsi="Bookman Old Style"/>
          <w:b/>
          <w:lang w:val="es-ES_tradnl"/>
        </w:rPr>
      </w:pPr>
    </w:p>
    <w:p w:rsidR="003F52C8" w:rsidRDefault="003F52C8" w:rsidP="003F52C8">
      <w:pPr>
        <w:ind w:left="0"/>
        <w:rPr>
          <w:rFonts w:ascii="Bookman Old Style" w:hAnsi="Bookman Old Style"/>
          <w:b/>
          <w:lang w:val="es-ES_tradnl"/>
        </w:rPr>
      </w:pPr>
    </w:p>
    <w:p w:rsidR="003F52C8" w:rsidRDefault="003F52C8" w:rsidP="003F52C8">
      <w:pPr>
        <w:ind w:left="0"/>
        <w:rPr>
          <w:rFonts w:ascii="Bookman Old Style" w:hAnsi="Bookman Old Style"/>
          <w:b/>
          <w:lang w:val="es-ES_tradnl"/>
        </w:rPr>
      </w:pPr>
    </w:p>
    <w:p w:rsidR="003F52C8" w:rsidRDefault="003F52C8" w:rsidP="003F52C8">
      <w:pPr>
        <w:ind w:left="0"/>
        <w:rPr>
          <w:rFonts w:ascii="Bookman Old Style" w:hAnsi="Bookman Old Style"/>
          <w:b/>
          <w:lang w:val="es-ES_tradnl"/>
        </w:rPr>
      </w:pPr>
    </w:p>
    <w:p w:rsidR="003F52C8" w:rsidRDefault="003F52C8" w:rsidP="003F52C8">
      <w:pPr>
        <w:ind w:left="0"/>
        <w:rPr>
          <w:rFonts w:ascii="Bookman Old Style" w:hAnsi="Bookman Old Style"/>
          <w:b/>
          <w:lang w:val="es-ES_tradnl"/>
        </w:rPr>
      </w:pPr>
    </w:p>
    <w:tbl>
      <w:tblPr>
        <w:tblW w:w="9570" w:type="dxa"/>
        <w:jc w:val="right"/>
        <w:tblCellMar>
          <w:left w:w="70" w:type="dxa"/>
          <w:right w:w="70" w:type="dxa"/>
        </w:tblCellMar>
        <w:tblLook w:val="04A0" w:firstRow="1" w:lastRow="0" w:firstColumn="1" w:lastColumn="0" w:noHBand="0" w:noVBand="1"/>
      </w:tblPr>
      <w:tblGrid>
        <w:gridCol w:w="5031"/>
        <w:gridCol w:w="4539"/>
      </w:tblGrid>
      <w:tr w:rsidR="003F52C8" w:rsidRPr="000B65DE" w:rsidTr="003F5BEB">
        <w:trPr>
          <w:jc w:val="right"/>
        </w:trPr>
        <w:tc>
          <w:tcPr>
            <w:tcW w:w="4875" w:type="dxa"/>
            <w:hideMark/>
          </w:tcPr>
          <w:p w:rsidR="003F52C8" w:rsidRPr="000B65DE" w:rsidRDefault="003F52C8" w:rsidP="003F52C8">
            <w:pPr>
              <w:ind w:left="0"/>
              <w:jc w:val="center"/>
              <w:rPr>
                <w:rFonts w:ascii="Bookman Old Style" w:hAnsi="Bookman Old Style" w:cs="Arial"/>
                <w:b/>
                <w:spacing w:val="-3"/>
                <w:lang w:val="es-ES_tradnl"/>
              </w:rPr>
            </w:pPr>
            <w:r>
              <w:rPr>
                <w:rFonts w:ascii="Bookman Old Style" w:hAnsi="Bookman Old Style" w:cs="Arial"/>
                <w:b/>
                <w:color w:val="000000"/>
              </w:rPr>
              <w:t>ORLANDO CABRALES SEGOVIA</w:t>
            </w:r>
          </w:p>
        </w:tc>
        <w:tc>
          <w:tcPr>
            <w:tcW w:w="4695" w:type="dxa"/>
            <w:hideMark/>
          </w:tcPr>
          <w:p w:rsidR="003F52C8" w:rsidRPr="000B65DE" w:rsidRDefault="003F52C8" w:rsidP="003F52C8">
            <w:pPr>
              <w:ind w:left="161" w:right="567"/>
              <w:jc w:val="center"/>
              <w:rPr>
                <w:rFonts w:ascii="Bookman Old Style" w:hAnsi="Bookman Old Style" w:cs="Arial"/>
                <w:b/>
                <w:spacing w:val="-3"/>
                <w:lang w:val="es-ES_tradnl"/>
              </w:rPr>
            </w:pPr>
            <w:r w:rsidRPr="000B65DE">
              <w:rPr>
                <w:rFonts w:ascii="Bookman Old Style" w:hAnsi="Bookman Old Style" w:cs="Arial"/>
                <w:b/>
                <w:spacing w:val="-3"/>
                <w:lang w:val="es-ES_tradnl"/>
              </w:rPr>
              <w:t>GERMÁN CASTRO FERREIRA</w:t>
            </w:r>
          </w:p>
        </w:tc>
      </w:tr>
      <w:tr w:rsidR="003F52C8" w:rsidRPr="000B65DE" w:rsidTr="003F5BEB">
        <w:trPr>
          <w:jc w:val="right"/>
        </w:trPr>
        <w:tc>
          <w:tcPr>
            <w:tcW w:w="4875" w:type="dxa"/>
            <w:hideMark/>
          </w:tcPr>
          <w:tbl>
            <w:tblPr>
              <w:tblW w:w="4891" w:type="dxa"/>
              <w:tblCellMar>
                <w:left w:w="0" w:type="dxa"/>
                <w:right w:w="0" w:type="dxa"/>
              </w:tblCellMar>
              <w:tblLook w:val="04A0" w:firstRow="1" w:lastRow="0" w:firstColumn="1" w:lastColumn="0" w:noHBand="0" w:noVBand="1"/>
            </w:tblPr>
            <w:tblGrid>
              <w:gridCol w:w="4891"/>
            </w:tblGrid>
            <w:tr w:rsidR="003F52C8" w:rsidTr="003F5BEB">
              <w:tc>
                <w:tcPr>
                  <w:tcW w:w="4891" w:type="dxa"/>
                  <w:hideMark/>
                </w:tcPr>
                <w:p w:rsidR="003F52C8" w:rsidRDefault="003F52C8" w:rsidP="003F52C8">
                  <w:pPr>
                    <w:snapToGrid w:val="0"/>
                    <w:ind w:left="0"/>
                    <w:jc w:val="center"/>
                    <w:rPr>
                      <w:rFonts w:ascii="Bookman Old Style" w:hAnsi="Bookman Old Style" w:cs="Arial"/>
                      <w:color w:val="000000"/>
                    </w:rPr>
                  </w:pPr>
                  <w:r>
                    <w:rPr>
                      <w:rFonts w:ascii="Bookman Old Style" w:hAnsi="Bookman Old Style" w:cs="Arial"/>
                      <w:color w:val="000000"/>
                    </w:rPr>
                    <w:t>Viceministro de Energía</w:t>
                  </w:r>
                </w:p>
                <w:p w:rsidR="003F52C8" w:rsidRDefault="003F52C8" w:rsidP="003F52C8">
                  <w:pPr>
                    <w:snapToGrid w:val="0"/>
                    <w:ind w:left="0"/>
                    <w:jc w:val="center"/>
                    <w:rPr>
                      <w:rFonts w:ascii="Bookman Old Style" w:hAnsi="Bookman Old Style" w:cs="Arial"/>
                      <w:color w:val="000000"/>
                    </w:rPr>
                  </w:pPr>
                  <w:r>
                    <w:rPr>
                      <w:rFonts w:ascii="Bookman Old Style" w:hAnsi="Bookman Old Style" w:cs="Arial"/>
                      <w:color w:val="000000"/>
                    </w:rPr>
                    <w:t>Delegado del Ministro de Minas y Energía</w:t>
                  </w:r>
                </w:p>
              </w:tc>
            </w:tr>
            <w:tr w:rsidR="003F52C8" w:rsidTr="003F5BEB">
              <w:tc>
                <w:tcPr>
                  <w:tcW w:w="4891" w:type="dxa"/>
                  <w:hideMark/>
                </w:tcPr>
                <w:p w:rsidR="003F52C8" w:rsidRDefault="003F52C8" w:rsidP="003F52C8">
                  <w:pPr>
                    <w:snapToGrid w:val="0"/>
                    <w:ind w:left="0"/>
                    <w:jc w:val="center"/>
                    <w:rPr>
                      <w:rFonts w:ascii="Bookman Old Style" w:hAnsi="Bookman Old Style" w:cs="Arial"/>
                      <w:color w:val="000000"/>
                    </w:rPr>
                  </w:pPr>
                  <w:r>
                    <w:rPr>
                      <w:rFonts w:ascii="Bookman Old Style" w:hAnsi="Bookman Old Style" w:cs="Arial"/>
                      <w:color w:val="000000"/>
                    </w:rPr>
                    <w:t>Presidente</w:t>
                  </w:r>
                </w:p>
              </w:tc>
            </w:tr>
          </w:tbl>
          <w:p w:rsidR="003F52C8" w:rsidRPr="000B65DE" w:rsidRDefault="003F52C8" w:rsidP="003F52C8">
            <w:pPr>
              <w:ind w:left="0"/>
              <w:jc w:val="center"/>
              <w:rPr>
                <w:rFonts w:ascii="Bookman Old Style" w:hAnsi="Bookman Old Style" w:cs="Arial"/>
                <w:spacing w:val="-3"/>
                <w:lang w:val="es-ES_tradnl"/>
              </w:rPr>
            </w:pPr>
          </w:p>
        </w:tc>
        <w:tc>
          <w:tcPr>
            <w:tcW w:w="4695" w:type="dxa"/>
            <w:hideMark/>
          </w:tcPr>
          <w:p w:rsidR="003F52C8" w:rsidRPr="000B65DE" w:rsidRDefault="003F52C8" w:rsidP="003F52C8">
            <w:pPr>
              <w:ind w:left="161"/>
              <w:jc w:val="center"/>
              <w:rPr>
                <w:rFonts w:ascii="Bookman Old Style" w:hAnsi="Bookman Old Style" w:cs="Arial"/>
                <w:spacing w:val="-3"/>
                <w:lang w:val="es-ES_tradnl"/>
              </w:rPr>
            </w:pPr>
            <w:r w:rsidRPr="000B65DE">
              <w:rPr>
                <w:rFonts w:ascii="Bookman Old Style" w:hAnsi="Bookman Old Style" w:cs="Arial"/>
                <w:spacing w:val="-3"/>
                <w:lang w:val="es-ES_tradnl"/>
              </w:rPr>
              <w:t>Director Ejecutivo</w:t>
            </w:r>
          </w:p>
        </w:tc>
      </w:tr>
      <w:tr w:rsidR="003F52C8" w:rsidRPr="000B65DE" w:rsidTr="003F52C8">
        <w:trPr>
          <w:jc w:val="right"/>
        </w:trPr>
        <w:tc>
          <w:tcPr>
            <w:tcW w:w="4875" w:type="dxa"/>
          </w:tcPr>
          <w:p w:rsidR="003F52C8" w:rsidRPr="000B65DE" w:rsidRDefault="003F52C8" w:rsidP="003F5BEB">
            <w:pPr>
              <w:ind w:left="216"/>
              <w:jc w:val="center"/>
              <w:rPr>
                <w:rFonts w:ascii="Bookman Old Style" w:hAnsi="Bookman Old Style" w:cs="Arial"/>
                <w:spacing w:val="-3"/>
              </w:rPr>
            </w:pPr>
          </w:p>
        </w:tc>
        <w:tc>
          <w:tcPr>
            <w:tcW w:w="4695" w:type="dxa"/>
          </w:tcPr>
          <w:p w:rsidR="003F52C8" w:rsidRPr="000B65DE" w:rsidRDefault="003F52C8" w:rsidP="003F5BEB">
            <w:pPr>
              <w:rPr>
                <w:rFonts w:ascii="Bookman Old Style" w:hAnsi="Bookman Old Style" w:cs="Arial"/>
                <w:spacing w:val="-3"/>
              </w:rPr>
            </w:pPr>
          </w:p>
        </w:tc>
      </w:tr>
    </w:tbl>
    <w:p w:rsidR="003F52C8" w:rsidRDefault="003F52C8" w:rsidP="003F52C8">
      <w:pPr>
        <w:ind w:left="0"/>
        <w:rPr>
          <w:rFonts w:ascii="Bookman Old Style" w:hAnsi="Bookman Old Style"/>
          <w:b/>
          <w:lang w:val="es-ES_tradnl"/>
        </w:rPr>
      </w:pPr>
    </w:p>
    <w:p w:rsidR="003F52C8" w:rsidRPr="000B65DE" w:rsidRDefault="003F52C8" w:rsidP="003F52C8">
      <w:pPr>
        <w:ind w:left="0"/>
        <w:rPr>
          <w:rFonts w:ascii="Bookman Old Style" w:hAnsi="Bookman Old Style"/>
          <w:b/>
          <w:lang w:val="es-ES_tradnl"/>
        </w:rPr>
      </w:pPr>
    </w:p>
    <w:p w:rsidR="00AB038D" w:rsidRDefault="00AB038D">
      <w:pPr>
        <w:ind w:left="0"/>
        <w:rPr>
          <w:rFonts w:ascii="Bookman Old Style" w:hAnsi="Bookman Old Style"/>
          <w:b/>
          <w:lang w:val="es-ES_tradnl"/>
        </w:rPr>
      </w:pPr>
      <w:r>
        <w:rPr>
          <w:rFonts w:ascii="Bookman Old Style" w:hAnsi="Bookman Old Style"/>
          <w:b/>
          <w:lang w:val="es-ES_tradnl"/>
        </w:rPr>
        <w:br w:type="page"/>
      </w:r>
    </w:p>
    <w:p w:rsidR="000B65DE" w:rsidRPr="000B65DE" w:rsidRDefault="000B65DE" w:rsidP="003F52C8">
      <w:pPr>
        <w:ind w:left="0"/>
        <w:rPr>
          <w:rFonts w:ascii="Bookman Old Style" w:hAnsi="Bookman Old Style"/>
          <w:b/>
          <w:lang w:val="es-ES_tradnl"/>
        </w:rPr>
      </w:pPr>
    </w:p>
    <w:p w:rsidR="000B65DE" w:rsidRPr="000B65DE" w:rsidRDefault="000B65DE" w:rsidP="008F4D9F">
      <w:pPr>
        <w:numPr>
          <w:ilvl w:val="0"/>
          <w:numId w:val="14"/>
        </w:numPr>
        <w:jc w:val="center"/>
        <w:outlineLvl w:val="0"/>
        <w:rPr>
          <w:rFonts w:ascii="Bookman Old Style" w:hAnsi="Bookman Old Style"/>
          <w:b/>
          <w:lang w:val="es-ES_tradnl"/>
        </w:rPr>
      </w:pPr>
      <w:bookmarkStart w:id="44" w:name="_Ref332815662"/>
    </w:p>
    <w:bookmarkEnd w:id="44"/>
    <w:p w:rsidR="000B65DE" w:rsidRPr="000B65DE" w:rsidRDefault="000B65DE" w:rsidP="000B65DE">
      <w:pPr>
        <w:ind w:left="0"/>
        <w:jc w:val="center"/>
        <w:outlineLvl w:val="0"/>
        <w:rPr>
          <w:rFonts w:ascii="Bookman Old Style" w:hAnsi="Bookman Old Style"/>
          <w:b/>
          <w:lang w:val="es-ES_tradnl"/>
        </w:rPr>
      </w:pPr>
      <w:r w:rsidRPr="000B65DE">
        <w:rPr>
          <w:rFonts w:ascii="Bookman Old Style" w:hAnsi="Bookman Old Style"/>
          <w:b/>
          <w:lang w:val="es-ES_tradnl"/>
        </w:rPr>
        <w:t>COSTOS UNIDADES CONSTRUCTIVAS PARA LA VALORACION DE LA INVERSIÓN EJECUTADA DURANTE LA VIGENC</w:t>
      </w:r>
      <w:r w:rsidR="00EF6CF2">
        <w:rPr>
          <w:rFonts w:ascii="Bookman Old Style" w:hAnsi="Bookman Old Style"/>
          <w:b/>
          <w:lang w:val="es-ES_tradnl"/>
        </w:rPr>
        <w:t>I</w:t>
      </w:r>
      <w:r w:rsidRPr="000B65DE">
        <w:rPr>
          <w:rFonts w:ascii="Bookman Old Style" w:hAnsi="Bookman Old Style"/>
          <w:b/>
          <w:lang w:val="es-ES_tradnl"/>
        </w:rPr>
        <w:t>A DE LA RESOLUCIÓN CREG 011 DE 2003 (IPE, INPE)</w:t>
      </w:r>
    </w:p>
    <w:p w:rsidR="000B65DE" w:rsidRPr="000B65DE" w:rsidRDefault="000B65DE" w:rsidP="000B65DE">
      <w:pPr>
        <w:ind w:left="0"/>
        <w:jc w:val="center"/>
        <w:rPr>
          <w:rFonts w:ascii="Bookman Old Style" w:hAnsi="Bookman Old Style"/>
          <w:b/>
          <w:lang w:val="es-CO"/>
        </w:rPr>
      </w:pPr>
    </w:p>
    <w:p w:rsidR="0029186D" w:rsidRDefault="0029186D" w:rsidP="0029186D">
      <w:pPr>
        <w:rPr>
          <w:lang w:val="es-ES_tradnl"/>
        </w:rPr>
      </w:pPr>
    </w:p>
    <w:tbl>
      <w:tblPr>
        <w:tblW w:w="9431" w:type="dxa"/>
        <w:tblInd w:w="65" w:type="dxa"/>
        <w:tblCellMar>
          <w:left w:w="70" w:type="dxa"/>
          <w:right w:w="70" w:type="dxa"/>
        </w:tblCellMar>
        <w:tblLook w:val="04A0" w:firstRow="1" w:lastRow="0" w:firstColumn="1" w:lastColumn="0" w:noHBand="0" w:noVBand="1"/>
      </w:tblPr>
      <w:tblGrid>
        <w:gridCol w:w="909"/>
        <w:gridCol w:w="4148"/>
        <w:gridCol w:w="1473"/>
        <w:gridCol w:w="1584"/>
        <w:gridCol w:w="1317"/>
      </w:tblGrid>
      <w:tr w:rsidR="0029186D" w:rsidTr="0029186D">
        <w:trPr>
          <w:trHeight w:val="70"/>
        </w:trPr>
        <w:tc>
          <w:tcPr>
            <w:tcW w:w="909" w:type="dxa"/>
            <w:vMerge w:val="restart"/>
            <w:tcBorders>
              <w:top w:val="single" w:sz="4" w:space="0" w:color="auto"/>
              <w:left w:val="single" w:sz="4" w:space="0" w:color="auto"/>
              <w:bottom w:val="single" w:sz="4" w:space="0" w:color="auto"/>
              <w:right w:val="single" w:sz="4" w:space="0" w:color="auto"/>
            </w:tcBorders>
            <w:vAlign w:val="center"/>
          </w:tcPr>
          <w:p w:rsidR="0029186D" w:rsidRDefault="0029186D">
            <w:pPr>
              <w:ind w:left="0"/>
              <w:jc w:val="center"/>
              <w:rPr>
                <w:rFonts w:ascii="Bookman Old Style" w:hAnsi="Bookman Old Style"/>
                <w:b/>
                <w:bCs/>
                <w:color w:val="000000"/>
                <w:sz w:val="16"/>
                <w:szCs w:val="16"/>
                <w:lang w:val="es-CO" w:eastAsia="es-CO"/>
              </w:rPr>
            </w:pPr>
          </w:p>
          <w:p w:rsidR="0029186D" w:rsidRDefault="0029186D">
            <w:pPr>
              <w:ind w:left="0"/>
              <w:jc w:val="center"/>
              <w:rPr>
                <w:rFonts w:ascii="Bookman Old Style" w:hAnsi="Bookman Old Style"/>
                <w:b/>
                <w:bCs/>
                <w:color w:val="000000"/>
                <w:sz w:val="16"/>
                <w:szCs w:val="16"/>
                <w:lang w:val="es-CO" w:eastAsia="es-CO"/>
              </w:rPr>
            </w:pPr>
            <w:r>
              <w:rPr>
                <w:rFonts w:ascii="Bookman Old Style" w:hAnsi="Bookman Old Style"/>
                <w:b/>
                <w:color w:val="000000"/>
                <w:sz w:val="16"/>
                <w:szCs w:val="16"/>
                <w:lang w:val="es-CO" w:eastAsia="es-CO"/>
              </w:rPr>
              <w:t>CODIGO</w:t>
            </w:r>
          </w:p>
        </w:tc>
        <w:tc>
          <w:tcPr>
            <w:tcW w:w="4148" w:type="dxa"/>
            <w:vMerge w:val="restart"/>
            <w:tcBorders>
              <w:top w:val="single" w:sz="4" w:space="0" w:color="auto"/>
              <w:left w:val="nil"/>
              <w:bottom w:val="single" w:sz="4" w:space="0" w:color="auto"/>
              <w:right w:val="single" w:sz="4" w:space="0" w:color="auto"/>
            </w:tcBorders>
            <w:noWrap/>
            <w:vAlign w:val="center"/>
          </w:tcPr>
          <w:p w:rsidR="0029186D" w:rsidRDefault="0029186D">
            <w:pPr>
              <w:ind w:left="0"/>
              <w:jc w:val="center"/>
              <w:rPr>
                <w:rFonts w:ascii="Bookman Old Style" w:hAnsi="Bookman Old Style"/>
                <w:b/>
                <w:sz w:val="16"/>
                <w:szCs w:val="16"/>
                <w:lang w:val="es-CO" w:eastAsia="es-CO"/>
              </w:rPr>
            </w:pPr>
          </w:p>
          <w:p w:rsidR="0029186D" w:rsidRDefault="0029186D">
            <w:pPr>
              <w:ind w:left="0"/>
              <w:jc w:val="center"/>
              <w:rPr>
                <w:rFonts w:ascii="Bookman Old Style" w:hAnsi="Bookman Old Style"/>
                <w:b/>
                <w:sz w:val="16"/>
                <w:szCs w:val="16"/>
                <w:lang w:val="es-CO" w:eastAsia="es-CO"/>
              </w:rPr>
            </w:pPr>
            <w:r>
              <w:rPr>
                <w:rFonts w:ascii="Bookman Old Style" w:hAnsi="Bookman Old Style"/>
                <w:b/>
                <w:color w:val="000000"/>
                <w:sz w:val="16"/>
                <w:szCs w:val="16"/>
                <w:lang w:val="es-CO" w:eastAsia="es-CO"/>
              </w:rPr>
              <w:t>DESCRIPCION</w:t>
            </w:r>
          </w:p>
        </w:tc>
        <w:tc>
          <w:tcPr>
            <w:tcW w:w="1473" w:type="dxa"/>
            <w:tcBorders>
              <w:top w:val="single" w:sz="4" w:space="0" w:color="auto"/>
              <w:left w:val="nil"/>
              <w:bottom w:val="single" w:sz="4" w:space="0" w:color="auto"/>
              <w:right w:val="single" w:sz="4" w:space="0" w:color="auto"/>
            </w:tcBorders>
            <w:noWrap/>
            <w:vAlign w:val="bottom"/>
            <w:hideMark/>
          </w:tcPr>
          <w:p w:rsidR="0029186D" w:rsidRDefault="0029186D">
            <w:pPr>
              <w:ind w:left="0"/>
              <w:jc w:val="center"/>
              <w:rPr>
                <w:rFonts w:ascii="Bookman Old Style" w:hAnsi="Bookman Old Style"/>
                <w:b/>
                <w:color w:val="000000"/>
                <w:sz w:val="16"/>
                <w:szCs w:val="16"/>
                <w:lang w:val="es-CO" w:eastAsia="es-CO"/>
              </w:rPr>
            </w:pPr>
            <w:r>
              <w:rPr>
                <w:rFonts w:ascii="Bookman Old Style" w:hAnsi="Bookman Old Style"/>
                <w:b/>
                <w:color w:val="000000"/>
                <w:sz w:val="16"/>
                <w:szCs w:val="16"/>
                <w:lang w:val="es-CO" w:eastAsia="es-CO"/>
              </w:rPr>
              <w:t>A</w:t>
            </w:r>
          </w:p>
        </w:tc>
        <w:tc>
          <w:tcPr>
            <w:tcW w:w="1584" w:type="dxa"/>
            <w:tcBorders>
              <w:top w:val="single" w:sz="4" w:space="0" w:color="auto"/>
              <w:left w:val="nil"/>
              <w:bottom w:val="single" w:sz="4" w:space="0" w:color="auto"/>
              <w:right w:val="single" w:sz="4" w:space="0" w:color="auto"/>
            </w:tcBorders>
            <w:noWrap/>
            <w:vAlign w:val="bottom"/>
            <w:hideMark/>
          </w:tcPr>
          <w:p w:rsidR="0029186D" w:rsidRDefault="0029186D">
            <w:pPr>
              <w:ind w:left="0"/>
              <w:jc w:val="center"/>
              <w:rPr>
                <w:rFonts w:ascii="Bookman Old Style" w:hAnsi="Bookman Old Style"/>
                <w:b/>
                <w:color w:val="000000"/>
                <w:sz w:val="16"/>
                <w:szCs w:val="16"/>
                <w:lang w:val="es-CO" w:eastAsia="es-CO"/>
              </w:rPr>
            </w:pPr>
            <w:r>
              <w:rPr>
                <w:rFonts w:ascii="Bookman Old Style" w:hAnsi="Bookman Old Style"/>
                <w:b/>
                <w:color w:val="000000"/>
                <w:sz w:val="16"/>
                <w:szCs w:val="16"/>
                <w:lang w:val="es-CO" w:eastAsia="es-CO"/>
              </w:rPr>
              <w:t>B</w:t>
            </w:r>
          </w:p>
        </w:tc>
        <w:tc>
          <w:tcPr>
            <w:tcW w:w="1317" w:type="dxa"/>
            <w:tcBorders>
              <w:top w:val="single" w:sz="4" w:space="0" w:color="auto"/>
              <w:left w:val="nil"/>
              <w:bottom w:val="single" w:sz="4" w:space="0" w:color="auto"/>
              <w:right w:val="single" w:sz="4" w:space="0" w:color="auto"/>
            </w:tcBorders>
            <w:noWrap/>
            <w:vAlign w:val="bottom"/>
            <w:hideMark/>
          </w:tcPr>
          <w:p w:rsidR="0029186D" w:rsidRDefault="0029186D">
            <w:pPr>
              <w:ind w:left="0"/>
              <w:jc w:val="center"/>
              <w:rPr>
                <w:rFonts w:ascii="Bookman Old Style" w:hAnsi="Bookman Old Style"/>
                <w:b/>
                <w:color w:val="000000"/>
                <w:sz w:val="16"/>
                <w:szCs w:val="16"/>
                <w:lang w:val="es-CO" w:eastAsia="es-CO"/>
              </w:rPr>
            </w:pPr>
            <w:r>
              <w:rPr>
                <w:rFonts w:ascii="Bookman Old Style" w:hAnsi="Bookman Old Style"/>
                <w:b/>
                <w:color w:val="000000"/>
                <w:sz w:val="16"/>
                <w:szCs w:val="16"/>
                <w:lang w:val="es-CO" w:eastAsia="es-CO"/>
              </w:rPr>
              <w:t>C</w:t>
            </w:r>
          </w:p>
        </w:tc>
      </w:tr>
      <w:tr w:rsidR="0029186D" w:rsidTr="0029186D">
        <w:trPr>
          <w:trHeight w:val="808"/>
        </w:trPr>
        <w:tc>
          <w:tcPr>
            <w:tcW w:w="0" w:type="auto"/>
            <w:vMerge/>
            <w:tcBorders>
              <w:top w:val="single" w:sz="4" w:space="0" w:color="auto"/>
              <w:left w:val="single" w:sz="4" w:space="0" w:color="auto"/>
              <w:bottom w:val="single" w:sz="4" w:space="0" w:color="auto"/>
              <w:right w:val="single" w:sz="4" w:space="0" w:color="auto"/>
            </w:tcBorders>
            <w:vAlign w:val="center"/>
            <w:hideMark/>
          </w:tcPr>
          <w:p w:rsidR="0029186D" w:rsidRDefault="0029186D">
            <w:pPr>
              <w:ind w:left="0"/>
              <w:rPr>
                <w:rFonts w:ascii="Bookman Old Style" w:hAnsi="Bookman Old Style"/>
                <w:b/>
                <w:bCs/>
                <w:color w:val="000000"/>
                <w:sz w:val="16"/>
                <w:szCs w:val="16"/>
                <w:lang w:val="es-CO" w:eastAsia="es-CO"/>
              </w:rPr>
            </w:pPr>
          </w:p>
        </w:tc>
        <w:tc>
          <w:tcPr>
            <w:tcW w:w="0" w:type="auto"/>
            <w:vMerge/>
            <w:tcBorders>
              <w:top w:val="single" w:sz="4" w:space="0" w:color="auto"/>
              <w:left w:val="nil"/>
              <w:bottom w:val="single" w:sz="4" w:space="0" w:color="auto"/>
              <w:right w:val="single" w:sz="4" w:space="0" w:color="auto"/>
            </w:tcBorders>
            <w:vAlign w:val="center"/>
            <w:hideMark/>
          </w:tcPr>
          <w:p w:rsidR="0029186D" w:rsidRDefault="0029186D">
            <w:pPr>
              <w:ind w:left="0"/>
              <w:rPr>
                <w:rFonts w:ascii="Bookman Old Style" w:hAnsi="Bookman Old Style"/>
                <w:b/>
                <w:sz w:val="16"/>
                <w:szCs w:val="16"/>
                <w:lang w:val="es-CO" w:eastAsia="es-CO"/>
              </w:rPr>
            </w:pPr>
          </w:p>
        </w:tc>
        <w:tc>
          <w:tcPr>
            <w:tcW w:w="1473" w:type="dxa"/>
            <w:tcBorders>
              <w:top w:val="nil"/>
              <w:left w:val="nil"/>
              <w:bottom w:val="single" w:sz="4" w:space="0" w:color="auto"/>
              <w:right w:val="single" w:sz="4" w:space="0" w:color="auto"/>
            </w:tcBorders>
            <w:vAlign w:val="center"/>
            <w:hideMark/>
          </w:tcPr>
          <w:p w:rsidR="0029186D" w:rsidRDefault="0029186D">
            <w:pPr>
              <w:spacing w:before="100" w:beforeAutospacing="1" w:after="100" w:afterAutospacing="1"/>
              <w:ind w:left="0"/>
              <w:jc w:val="center"/>
              <w:textAlignment w:val="center"/>
              <w:rPr>
                <w:rFonts w:ascii="Bookman Old Style" w:hAnsi="Bookman Old Style"/>
                <w:b/>
                <w:color w:val="000000"/>
                <w:sz w:val="16"/>
                <w:szCs w:val="16"/>
                <w:lang w:val="es-CO" w:eastAsia="es-CO"/>
              </w:rPr>
            </w:pPr>
            <w:r>
              <w:rPr>
                <w:rFonts w:ascii="Bookman Old Style" w:hAnsi="Bookman Old Style"/>
                <w:b/>
                <w:color w:val="000000"/>
                <w:sz w:val="16"/>
                <w:szCs w:val="16"/>
                <w:lang w:val="es-CO" w:eastAsia="es-CO"/>
              </w:rPr>
              <w:t>Res 011/03      Col $ de Dic/2012</w:t>
            </w:r>
          </w:p>
        </w:tc>
        <w:tc>
          <w:tcPr>
            <w:tcW w:w="1584" w:type="dxa"/>
            <w:tcBorders>
              <w:top w:val="nil"/>
              <w:left w:val="nil"/>
              <w:bottom w:val="single" w:sz="4" w:space="0" w:color="auto"/>
              <w:right w:val="single" w:sz="4" w:space="0" w:color="auto"/>
            </w:tcBorders>
            <w:vAlign w:val="center"/>
            <w:hideMark/>
          </w:tcPr>
          <w:p w:rsidR="0029186D" w:rsidRDefault="0029186D">
            <w:pPr>
              <w:spacing w:before="100" w:beforeAutospacing="1" w:after="100" w:afterAutospacing="1"/>
              <w:ind w:left="0"/>
              <w:jc w:val="center"/>
              <w:textAlignment w:val="center"/>
              <w:rPr>
                <w:rFonts w:ascii="Bookman Old Style" w:hAnsi="Bookman Old Style"/>
                <w:b/>
                <w:color w:val="000000"/>
                <w:sz w:val="16"/>
                <w:szCs w:val="16"/>
                <w:lang w:val="es-CO" w:eastAsia="es-CO"/>
              </w:rPr>
            </w:pPr>
            <w:r>
              <w:rPr>
                <w:rFonts w:ascii="Bookman Old Style" w:hAnsi="Bookman Old Style"/>
                <w:b/>
                <w:color w:val="000000"/>
                <w:sz w:val="16"/>
                <w:szCs w:val="16"/>
                <w:lang w:val="es-CO" w:eastAsia="es-CO"/>
              </w:rPr>
              <w:t xml:space="preserve">  Res 33/2004                 Col $ de Dic/2012  </w:t>
            </w:r>
          </w:p>
        </w:tc>
        <w:tc>
          <w:tcPr>
            <w:tcW w:w="1317" w:type="dxa"/>
            <w:tcBorders>
              <w:top w:val="nil"/>
              <w:left w:val="nil"/>
              <w:bottom w:val="single" w:sz="4" w:space="0" w:color="auto"/>
              <w:right w:val="single" w:sz="4" w:space="0" w:color="auto"/>
            </w:tcBorders>
            <w:vAlign w:val="center"/>
            <w:hideMark/>
          </w:tcPr>
          <w:p w:rsidR="0029186D" w:rsidRDefault="0029186D">
            <w:pPr>
              <w:spacing w:before="100" w:beforeAutospacing="1" w:after="100" w:afterAutospacing="1"/>
              <w:ind w:left="0"/>
              <w:jc w:val="center"/>
              <w:textAlignment w:val="center"/>
              <w:rPr>
                <w:rFonts w:ascii="Bookman Old Style" w:hAnsi="Bookman Old Style"/>
                <w:b/>
                <w:color w:val="000000"/>
                <w:sz w:val="16"/>
                <w:szCs w:val="16"/>
                <w:lang w:val="es-CO" w:eastAsia="es-CO"/>
              </w:rPr>
            </w:pPr>
            <w:r>
              <w:rPr>
                <w:rFonts w:ascii="Bookman Old Style" w:hAnsi="Bookman Old Style"/>
                <w:b/>
                <w:color w:val="000000"/>
                <w:sz w:val="16"/>
                <w:szCs w:val="16"/>
                <w:lang w:val="es-CO" w:eastAsia="es-CO"/>
              </w:rPr>
              <w:t xml:space="preserve"> Res 22/2004 Col $ de Dic/2012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TA2AS</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2 pulg. en Calzada Asfalto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163,750,107</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w:t>
            </w:r>
          </w:p>
        </w:tc>
        <w:tc>
          <w:tcPr>
            <w:tcW w:w="1317" w:type="dxa"/>
            <w:tcBorders>
              <w:top w:val="nil"/>
              <w:left w:val="nil"/>
              <w:bottom w:val="single" w:sz="4" w:space="0" w:color="auto"/>
              <w:right w:val="single" w:sz="4" w:space="0" w:color="auto"/>
            </w:tcBorders>
            <w:noWrap/>
            <w:vAlign w:val="bottom"/>
            <w:hideMark/>
          </w:tcPr>
          <w:p w:rsidR="0029186D" w:rsidRDefault="0029186D">
            <w:pPr>
              <w:ind w:left="0"/>
              <w:jc w:val="right"/>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 xml:space="preserve"> -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TA3AS</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3 pulg. en Calzada Asfalto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196,713,764</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 </w:t>
            </w:r>
          </w:p>
        </w:tc>
        <w:tc>
          <w:tcPr>
            <w:tcW w:w="1317"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s="Calibri"/>
                <w:color w:val="000000"/>
                <w:sz w:val="16"/>
                <w:szCs w:val="16"/>
                <w:lang w:val="es-CO" w:eastAsia="es-CO"/>
              </w:rPr>
            </w:pPr>
            <w:r>
              <w:rPr>
                <w:rFonts w:ascii="Bookman Old Style" w:hAnsi="Bookman Old Style" w:cs="Calibri"/>
                <w:color w:val="000000"/>
                <w:sz w:val="16"/>
                <w:szCs w:val="16"/>
                <w:lang w:val="es-CO" w:eastAsia="es-CO"/>
              </w:rPr>
              <w:t xml:space="preserve">196,668,520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TA4AS</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4 pulg. en Calzada Asfalto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219,600,352</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319,369,431 </w:t>
            </w:r>
          </w:p>
        </w:tc>
        <w:tc>
          <w:tcPr>
            <w:tcW w:w="1317"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s="Calibri"/>
                <w:color w:val="000000"/>
                <w:sz w:val="16"/>
                <w:szCs w:val="16"/>
                <w:lang w:val="es-CO" w:eastAsia="es-CO"/>
              </w:rPr>
            </w:pPr>
            <w:r>
              <w:rPr>
                <w:rFonts w:ascii="Bookman Old Style" w:hAnsi="Bookman Old Style" w:cs="Calibri"/>
                <w:color w:val="000000"/>
                <w:sz w:val="16"/>
                <w:szCs w:val="16"/>
                <w:lang w:val="es-CO" w:eastAsia="es-CO"/>
              </w:rPr>
              <w:t xml:space="preserve"> 219,617,846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TA6AS</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6 pulg. en Calzada Asfalto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312,415,380</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432,368,021 </w:t>
            </w:r>
          </w:p>
        </w:tc>
        <w:tc>
          <w:tcPr>
            <w:tcW w:w="1317"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s="Calibri"/>
                <w:color w:val="000000"/>
                <w:sz w:val="16"/>
                <w:szCs w:val="16"/>
                <w:lang w:val="es-CO" w:eastAsia="es-CO"/>
              </w:rPr>
            </w:pPr>
            <w:r>
              <w:rPr>
                <w:rFonts w:ascii="Bookman Old Style" w:hAnsi="Bookman Old Style" w:cs="Calibri"/>
                <w:color w:val="000000"/>
                <w:sz w:val="16"/>
                <w:szCs w:val="16"/>
                <w:lang w:val="es-CO" w:eastAsia="es-CO"/>
              </w:rPr>
              <w:t xml:space="preserve"> -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TA8AS</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8 pulg. en Calzada Asfalto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430,885,005</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 </w:t>
            </w:r>
          </w:p>
        </w:tc>
        <w:tc>
          <w:tcPr>
            <w:tcW w:w="1317"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s="Calibri"/>
                <w:color w:val="000000"/>
                <w:sz w:val="16"/>
                <w:szCs w:val="16"/>
                <w:lang w:val="es-CO" w:eastAsia="es-CO"/>
              </w:rPr>
            </w:pPr>
            <w:r>
              <w:rPr>
                <w:rFonts w:ascii="Bookman Old Style" w:hAnsi="Bookman Old Style" w:cs="Calibri"/>
                <w:color w:val="000000"/>
                <w:sz w:val="16"/>
                <w:szCs w:val="16"/>
                <w:lang w:val="es-CO" w:eastAsia="es-CO"/>
              </w:rPr>
              <w:t xml:space="preserve"> -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TA10AS</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10 pulg. en Calzada Asfalto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488,589,585</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605,750,057 </w:t>
            </w:r>
          </w:p>
        </w:tc>
        <w:tc>
          <w:tcPr>
            <w:tcW w:w="1317"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s="Calibri"/>
                <w:color w:val="000000"/>
                <w:sz w:val="16"/>
                <w:szCs w:val="16"/>
                <w:lang w:val="es-CO" w:eastAsia="es-CO"/>
              </w:rPr>
            </w:pPr>
            <w:r>
              <w:rPr>
                <w:rFonts w:ascii="Bookman Old Style" w:hAnsi="Bookman Old Style" w:cs="Calibri"/>
                <w:color w:val="000000"/>
                <w:sz w:val="16"/>
                <w:szCs w:val="16"/>
                <w:lang w:val="es-CO" w:eastAsia="es-CO"/>
              </w:rPr>
              <w:t xml:space="preserve"> -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TA14AS</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14 pulg. en Calzada Asfalto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746,480,605</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866,427,494 </w:t>
            </w:r>
          </w:p>
        </w:tc>
        <w:tc>
          <w:tcPr>
            <w:tcW w:w="1317"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s="Calibri"/>
                <w:color w:val="000000"/>
                <w:sz w:val="16"/>
                <w:szCs w:val="16"/>
                <w:lang w:val="es-CO" w:eastAsia="es-CO"/>
              </w:rPr>
            </w:pPr>
            <w:r>
              <w:rPr>
                <w:rFonts w:ascii="Bookman Old Style" w:hAnsi="Bookman Old Style" w:cs="Calibri"/>
                <w:color w:val="000000"/>
                <w:sz w:val="16"/>
                <w:szCs w:val="16"/>
                <w:lang w:val="es-CO" w:eastAsia="es-CO"/>
              </w:rPr>
              <w:t xml:space="preserve"> -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TA16AS</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16 pulg. en Calzada Asfalto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828,635,326</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 </w:t>
            </w:r>
          </w:p>
        </w:tc>
        <w:tc>
          <w:tcPr>
            <w:tcW w:w="1317"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s="Calibri"/>
                <w:color w:val="000000"/>
                <w:sz w:val="16"/>
                <w:szCs w:val="16"/>
                <w:lang w:val="es-CO" w:eastAsia="es-CO"/>
              </w:rPr>
            </w:pPr>
            <w:r>
              <w:rPr>
                <w:rFonts w:ascii="Bookman Old Style" w:hAnsi="Bookman Old Style" w:cs="Calibri"/>
                <w:color w:val="000000"/>
                <w:sz w:val="16"/>
                <w:szCs w:val="16"/>
                <w:lang w:val="es-CO" w:eastAsia="es-CO"/>
              </w:rPr>
              <w:t xml:space="preserve"> -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TA20AS</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20 pulg. en Calzada Asfalto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981,213,872</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 </w:t>
            </w:r>
          </w:p>
        </w:tc>
        <w:tc>
          <w:tcPr>
            <w:tcW w:w="1317"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s="Calibri"/>
                <w:color w:val="000000"/>
                <w:sz w:val="16"/>
                <w:szCs w:val="16"/>
                <w:lang w:val="es-CO" w:eastAsia="es-CO"/>
              </w:rPr>
            </w:pPr>
            <w:r>
              <w:rPr>
                <w:rFonts w:ascii="Bookman Old Style" w:hAnsi="Bookman Old Style" w:cs="Calibri"/>
                <w:color w:val="000000"/>
                <w:sz w:val="16"/>
                <w:szCs w:val="16"/>
                <w:lang w:val="es-CO" w:eastAsia="es-CO"/>
              </w:rPr>
              <w:t xml:space="preserve"> -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TA2CO</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2 pulg. en Calzada Concreto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163,203,364</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 </w:t>
            </w:r>
          </w:p>
        </w:tc>
        <w:tc>
          <w:tcPr>
            <w:tcW w:w="1317"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s="Calibri"/>
                <w:color w:val="000000"/>
                <w:sz w:val="16"/>
                <w:szCs w:val="16"/>
                <w:lang w:val="es-CO" w:eastAsia="es-CO"/>
              </w:rPr>
            </w:pPr>
            <w:r>
              <w:rPr>
                <w:rFonts w:ascii="Bookman Old Style" w:hAnsi="Bookman Old Style" w:cs="Calibri"/>
                <w:color w:val="000000"/>
                <w:sz w:val="16"/>
                <w:szCs w:val="16"/>
                <w:lang w:val="es-CO" w:eastAsia="es-CO"/>
              </w:rPr>
              <w:t xml:space="preserve"> - </w:t>
            </w:r>
          </w:p>
        </w:tc>
      </w:tr>
      <w:tr w:rsidR="0029186D" w:rsidTr="0029186D">
        <w:trPr>
          <w:trHeight w:val="321"/>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TA3CO</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3 pulg. en Calzada Concreto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196,067,833</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 </w:t>
            </w:r>
          </w:p>
        </w:tc>
        <w:tc>
          <w:tcPr>
            <w:tcW w:w="1317"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s="Calibri"/>
                <w:color w:val="000000"/>
                <w:sz w:val="16"/>
                <w:szCs w:val="16"/>
                <w:lang w:val="es-CO" w:eastAsia="es-CO"/>
              </w:rPr>
            </w:pPr>
            <w:r>
              <w:rPr>
                <w:rFonts w:ascii="Bookman Old Style" w:hAnsi="Bookman Old Style" w:cs="Calibri"/>
                <w:color w:val="000000"/>
                <w:sz w:val="16"/>
                <w:szCs w:val="16"/>
                <w:lang w:val="es-CO" w:eastAsia="es-CO"/>
              </w:rPr>
              <w:t xml:space="preserve"> 196,000,201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TA4CO</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4 pulg. en Calzada Concreto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218,954,420</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561,350,141 </w:t>
            </w:r>
          </w:p>
        </w:tc>
        <w:tc>
          <w:tcPr>
            <w:tcW w:w="1317"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s="Calibri"/>
                <w:color w:val="000000"/>
                <w:sz w:val="16"/>
                <w:szCs w:val="16"/>
                <w:lang w:val="es-CO" w:eastAsia="es-CO"/>
              </w:rPr>
            </w:pPr>
            <w:r>
              <w:rPr>
                <w:rFonts w:ascii="Bookman Old Style" w:hAnsi="Bookman Old Style" w:cs="Calibri"/>
                <w:color w:val="000000"/>
                <w:sz w:val="16"/>
                <w:szCs w:val="16"/>
                <w:lang w:val="es-CO" w:eastAsia="es-CO"/>
              </w:rPr>
              <w:t xml:space="preserve"> 218,949,527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TA6CO</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6 pulg. en Calzada Concreto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311,694,456</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637,613,979 </w:t>
            </w:r>
          </w:p>
        </w:tc>
        <w:tc>
          <w:tcPr>
            <w:tcW w:w="1317"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s="Calibri"/>
                <w:color w:val="000000"/>
                <w:sz w:val="16"/>
                <w:szCs w:val="16"/>
                <w:lang w:val="es-CO" w:eastAsia="es-CO"/>
              </w:rPr>
            </w:pPr>
            <w:r>
              <w:rPr>
                <w:rFonts w:ascii="Bookman Old Style" w:hAnsi="Bookman Old Style" w:cs="Calibri"/>
                <w:color w:val="000000"/>
                <w:sz w:val="16"/>
                <w:szCs w:val="16"/>
                <w:lang w:val="es-CO" w:eastAsia="es-CO"/>
              </w:rPr>
              <w:t xml:space="preserve"> -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TA8CO</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8 pulg. en Calzada Concreto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429,555,646</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 </w:t>
            </w:r>
          </w:p>
        </w:tc>
        <w:tc>
          <w:tcPr>
            <w:tcW w:w="1317"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s="Calibri"/>
                <w:color w:val="000000"/>
                <w:sz w:val="16"/>
                <w:szCs w:val="16"/>
                <w:lang w:val="es-CO" w:eastAsia="es-CO"/>
              </w:rPr>
            </w:pPr>
            <w:r>
              <w:rPr>
                <w:rFonts w:ascii="Bookman Old Style" w:hAnsi="Bookman Old Style" w:cs="Calibri"/>
                <w:color w:val="000000"/>
                <w:sz w:val="16"/>
                <w:szCs w:val="16"/>
                <w:lang w:val="es-CO" w:eastAsia="es-CO"/>
              </w:rPr>
              <w:t xml:space="preserve"> -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TA10CO</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10 pulg. en Calzada Concreto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487,260,225</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790,669,717 </w:t>
            </w:r>
          </w:p>
        </w:tc>
        <w:tc>
          <w:tcPr>
            <w:tcW w:w="1317"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s="Calibri"/>
                <w:color w:val="000000"/>
                <w:sz w:val="16"/>
                <w:szCs w:val="16"/>
                <w:lang w:val="es-CO" w:eastAsia="es-CO"/>
              </w:rPr>
            </w:pPr>
            <w:r>
              <w:rPr>
                <w:rFonts w:ascii="Bookman Old Style" w:hAnsi="Bookman Old Style" w:cs="Calibri"/>
                <w:color w:val="000000"/>
                <w:sz w:val="16"/>
                <w:szCs w:val="16"/>
                <w:lang w:val="es-CO" w:eastAsia="es-CO"/>
              </w:rPr>
              <w:t xml:space="preserve"> -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TA14CO</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14 pulg. en Calzada Concreto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745,151,245</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1,051,699,197 </w:t>
            </w:r>
          </w:p>
        </w:tc>
        <w:tc>
          <w:tcPr>
            <w:tcW w:w="1317"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s="Calibri"/>
                <w:color w:val="000000"/>
                <w:sz w:val="16"/>
                <w:szCs w:val="16"/>
                <w:lang w:val="es-CO" w:eastAsia="es-CO"/>
              </w:rPr>
            </w:pPr>
            <w:r>
              <w:rPr>
                <w:rFonts w:ascii="Bookman Old Style" w:hAnsi="Bookman Old Style" w:cs="Calibri"/>
                <w:color w:val="000000"/>
                <w:sz w:val="16"/>
                <w:szCs w:val="16"/>
                <w:lang w:val="es-CO" w:eastAsia="es-CO"/>
              </w:rPr>
              <w:t xml:space="preserve"> -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TA16CO</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16 pulg. en Calzada Concreto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827,305,966</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 </w:t>
            </w:r>
          </w:p>
        </w:tc>
        <w:tc>
          <w:tcPr>
            <w:tcW w:w="1317"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s="Calibri"/>
                <w:color w:val="000000"/>
                <w:sz w:val="16"/>
                <w:szCs w:val="16"/>
                <w:lang w:val="es-CO" w:eastAsia="es-CO"/>
              </w:rPr>
            </w:pPr>
            <w:r>
              <w:rPr>
                <w:rFonts w:ascii="Bookman Old Style" w:hAnsi="Bookman Old Style" w:cs="Calibri"/>
                <w:color w:val="000000"/>
                <w:sz w:val="16"/>
                <w:szCs w:val="16"/>
                <w:lang w:val="es-CO" w:eastAsia="es-CO"/>
              </w:rPr>
              <w:t xml:space="preserve"> -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TA20CO</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20 pulg. en Calzada Concreto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979,884,513</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 </w:t>
            </w:r>
          </w:p>
        </w:tc>
        <w:tc>
          <w:tcPr>
            <w:tcW w:w="1317"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s="Calibri"/>
                <w:color w:val="000000"/>
                <w:sz w:val="16"/>
                <w:szCs w:val="16"/>
                <w:lang w:val="es-CO" w:eastAsia="es-CO"/>
              </w:rPr>
            </w:pPr>
            <w:r>
              <w:rPr>
                <w:rFonts w:ascii="Bookman Old Style" w:hAnsi="Bookman Old Style" w:cs="Calibri"/>
                <w:color w:val="000000"/>
                <w:sz w:val="16"/>
                <w:szCs w:val="16"/>
                <w:lang w:val="es-CO" w:eastAsia="es-CO"/>
              </w:rPr>
              <w:t xml:space="preserve"> -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TA2DE</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2 pulg. en Destapado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101,352,942</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 </w:t>
            </w:r>
          </w:p>
        </w:tc>
        <w:tc>
          <w:tcPr>
            <w:tcW w:w="1317"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s="Calibri"/>
                <w:color w:val="000000"/>
                <w:sz w:val="16"/>
                <w:szCs w:val="16"/>
                <w:lang w:val="es-CO" w:eastAsia="es-CO"/>
              </w:rPr>
            </w:pPr>
            <w:r>
              <w:rPr>
                <w:rFonts w:ascii="Bookman Old Style" w:hAnsi="Bookman Old Style" w:cs="Calibri"/>
                <w:color w:val="000000"/>
                <w:sz w:val="16"/>
                <w:szCs w:val="16"/>
                <w:lang w:val="es-CO" w:eastAsia="es-CO"/>
              </w:rPr>
              <w:t xml:space="preserve"> -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TA3DE</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3 pulg. en Destapado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134,163,848</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 </w:t>
            </w:r>
          </w:p>
        </w:tc>
        <w:tc>
          <w:tcPr>
            <w:tcW w:w="1317"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s="Calibri"/>
                <w:color w:val="000000"/>
                <w:sz w:val="16"/>
                <w:szCs w:val="16"/>
                <w:lang w:val="es-CO" w:eastAsia="es-CO"/>
              </w:rPr>
            </w:pPr>
            <w:r>
              <w:rPr>
                <w:rFonts w:ascii="Bookman Old Style" w:hAnsi="Bookman Old Style" w:cs="Calibri"/>
                <w:color w:val="000000"/>
                <w:sz w:val="16"/>
                <w:szCs w:val="16"/>
                <w:lang w:val="es-CO" w:eastAsia="es-CO"/>
              </w:rPr>
              <w:t xml:space="preserve"> 141,850,158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TA4DE</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4 pulg. en Destapado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157,014,727</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156,962,579 </w:t>
            </w:r>
          </w:p>
        </w:tc>
        <w:tc>
          <w:tcPr>
            <w:tcW w:w="1317"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s="Calibri"/>
                <w:color w:val="000000"/>
                <w:sz w:val="16"/>
                <w:szCs w:val="16"/>
                <w:lang w:val="es-CO" w:eastAsia="es-CO"/>
              </w:rPr>
            </w:pPr>
            <w:r>
              <w:rPr>
                <w:rFonts w:ascii="Bookman Old Style" w:hAnsi="Bookman Old Style" w:cs="Calibri"/>
                <w:color w:val="000000"/>
                <w:sz w:val="16"/>
                <w:szCs w:val="16"/>
                <w:lang w:val="es-CO" w:eastAsia="es-CO"/>
              </w:rPr>
              <w:t xml:space="preserve"> 164,799,484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TA6DE</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6 pulg. en Destapado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218,651,011</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218,579,546 </w:t>
            </w:r>
          </w:p>
        </w:tc>
        <w:tc>
          <w:tcPr>
            <w:tcW w:w="1317" w:type="dxa"/>
            <w:tcBorders>
              <w:top w:val="nil"/>
              <w:left w:val="nil"/>
              <w:bottom w:val="single" w:sz="4" w:space="0" w:color="auto"/>
              <w:right w:val="single" w:sz="4" w:space="0" w:color="auto"/>
            </w:tcBorders>
            <w:noWrap/>
            <w:vAlign w:val="bottom"/>
            <w:hideMark/>
          </w:tcPr>
          <w:p w:rsidR="0029186D" w:rsidRDefault="0029186D">
            <w:pPr>
              <w:ind w:left="0"/>
              <w:jc w:val="right"/>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 xml:space="preserve"> -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TA8DE</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8 pulg. en Destapado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289,789,621</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 </w:t>
            </w:r>
          </w:p>
        </w:tc>
        <w:tc>
          <w:tcPr>
            <w:tcW w:w="1317" w:type="dxa"/>
            <w:tcBorders>
              <w:top w:val="nil"/>
              <w:left w:val="nil"/>
              <w:bottom w:val="single" w:sz="4" w:space="0" w:color="auto"/>
              <w:right w:val="single" w:sz="4" w:space="0" w:color="auto"/>
            </w:tcBorders>
            <w:noWrap/>
            <w:vAlign w:val="bottom"/>
            <w:hideMark/>
          </w:tcPr>
          <w:p w:rsidR="0029186D" w:rsidRDefault="0029186D">
            <w:pPr>
              <w:ind w:left="0"/>
              <w:jc w:val="right"/>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 xml:space="preserve"> -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TA10DE</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10 pulg. en Destapado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347,293,342</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347,354,016 </w:t>
            </w:r>
          </w:p>
        </w:tc>
        <w:tc>
          <w:tcPr>
            <w:tcW w:w="1317" w:type="dxa"/>
            <w:tcBorders>
              <w:top w:val="nil"/>
              <w:left w:val="nil"/>
              <w:bottom w:val="single" w:sz="4" w:space="0" w:color="auto"/>
              <w:right w:val="single" w:sz="4" w:space="0" w:color="auto"/>
            </w:tcBorders>
            <w:noWrap/>
            <w:vAlign w:val="bottom"/>
            <w:hideMark/>
          </w:tcPr>
          <w:p w:rsidR="0029186D" w:rsidRDefault="0029186D">
            <w:pPr>
              <w:ind w:left="0"/>
              <w:jc w:val="right"/>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 xml:space="preserve"> -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TA14DE</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14 pulg. en Destapado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604,742,475</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604,949,711 </w:t>
            </w:r>
          </w:p>
        </w:tc>
        <w:tc>
          <w:tcPr>
            <w:tcW w:w="1317" w:type="dxa"/>
            <w:tcBorders>
              <w:top w:val="nil"/>
              <w:left w:val="nil"/>
              <w:bottom w:val="single" w:sz="4" w:space="0" w:color="auto"/>
              <w:right w:val="single" w:sz="4" w:space="0" w:color="auto"/>
            </w:tcBorders>
            <w:noWrap/>
            <w:vAlign w:val="bottom"/>
            <w:hideMark/>
          </w:tcPr>
          <w:p w:rsidR="0029186D" w:rsidRDefault="0029186D">
            <w:pPr>
              <w:ind w:left="0"/>
              <w:jc w:val="right"/>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 xml:space="preserve"> -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TA16DE</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16 pulg. en Destapado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686,696,338</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 </w:t>
            </w:r>
          </w:p>
        </w:tc>
        <w:tc>
          <w:tcPr>
            <w:tcW w:w="1317" w:type="dxa"/>
            <w:tcBorders>
              <w:top w:val="nil"/>
              <w:left w:val="nil"/>
              <w:bottom w:val="single" w:sz="4" w:space="0" w:color="auto"/>
              <w:right w:val="single" w:sz="4" w:space="0" w:color="auto"/>
            </w:tcBorders>
            <w:noWrap/>
            <w:vAlign w:val="bottom"/>
            <w:hideMark/>
          </w:tcPr>
          <w:p w:rsidR="0029186D" w:rsidRDefault="0029186D">
            <w:pPr>
              <w:ind w:left="0"/>
              <w:jc w:val="right"/>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 xml:space="preserve"> - </w:t>
            </w:r>
          </w:p>
        </w:tc>
      </w:tr>
      <w:tr w:rsidR="0029186D" w:rsidTr="0029186D">
        <w:trPr>
          <w:trHeight w:val="270"/>
        </w:trPr>
        <w:tc>
          <w:tcPr>
            <w:tcW w:w="909"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TA20DE</w:t>
            </w:r>
          </w:p>
        </w:tc>
        <w:tc>
          <w:tcPr>
            <w:tcW w:w="4148"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Acero de 20 pulg. en Destapado</w:t>
            </w:r>
          </w:p>
        </w:tc>
        <w:tc>
          <w:tcPr>
            <w:tcW w:w="1473"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838,873,169</w:t>
            </w:r>
          </w:p>
        </w:tc>
        <w:tc>
          <w:tcPr>
            <w:tcW w:w="1584" w:type="dxa"/>
            <w:tcBorders>
              <w:top w:val="nil"/>
              <w:left w:val="nil"/>
              <w:bottom w:val="single" w:sz="4" w:space="0" w:color="auto"/>
              <w:right w:val="single" w:sz="4" w:space="0" w:color="auto"/>
            </w:tcBorders>
            <w:noWrap/>
            <w:vAlign w:val="center"/>
            <w:hideMark/>
          </w:tcPr>
          <w:p w:rsidR="0029186D" w:rsidRDefault="0029186D">
            <w:pPr>
              <w:ind w:left="0"/>
              <w:jc w:val="right"/>
              <w:rPr>
                <w:rFonts w:ascii="Bookman Old Style" w:hAnsi="Bookman Old Style"/>
                <w:color w:val="000000"/>
                <w:sz w:val="16"/>
                <w:szCs w:val="16"/>
                <w:lang w:val="es-MX" w:eastAsia="es-MX"/>
              </w:rPr>
            </w:pPr>
            <w:r>
              <w:rPr>
                <w:rFonts w:ascii="Bookman Old Style" w:hAnsi="Bookman Old Style"/>
                <w:color w:val="000000"/>
                <w:sz w:val="16"/>
                <w:szCs w:val="16"/>
                <w:lang w:val="es-CO" w:eastAsia="es-MX"/>
              </w:rPr>
              <w:t xml:space="preserve"> - </w:t>
            </w:r>
          </w:p>
        </w:tc>
        <w:tc>
          <w:tcPr>
            <w:tcW w:w="1317" w:type="dxa"/>
            <w:tcBorders>
              <w:top w:val="nil"/>
              <w:left w:val="nil"/>
              <w:bottom w:val="single" w:sz="4" w:space="0" w:color="auto"/>
              <w:right w:val="single" w:sz="4" w:space="0" w:color="auto"/>
            </w:tcBorders>
            <w:noWrap/>
            <w:vAlign w:val="bottom"/>
            <w:hideMark/>
          </w:tcPr>
          <w:p w:rsidR="0029186D" w:rsidRDefault="0029186D">
            <w:pPr>
              <w:ind w:left="0"/>
              <w:jc w:val="right"/>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 xml:space="preserve"> - </w:t>
            </w:r>
          </w:p>
        </w:tc>
      </w:tr>
    </w:tbl>
    <w:p w:rsidR="0029186D" w:rsidRDefault="0029186D" w:rsidP="0029186D">
      <w:pPr>
        <w:ind w:left="0"/>
        <w:jc w:val="center"/>
        <w:rPr>
          <w:rFonts w:ascii="Bookman Old Style" w:hAnsi="Bookman Old Style"/>
          <w:b/>
          <w:lang w:val="es-CO"/>
        </w:rPr>
      </w:pPr>
    </w:p>
    <w:p w:rsidR="0029186D" w:rsidRDefault="0029186D" w:rsidP="0029186D">
      <w:pPr>
        <w:ind w:left="0"/>
        <w:jc w:val="both"/>
        <w:rPr>
          <w:rFonts w:ascii="Bookman Old Style" w:hAnsi="Bookman Old Style"/>
          <w:color w:val="000000"/>
          <w:sz w:val="22"/>
          <w:szCs w:val="22"/>
          <w:lang w:val="es-CO" w:eastAsia="es-CO"/>
        </w:rPr>
      </w:pPr>
      <w:r>
        <w:rPr>
          <w:rFonts w:ascii="Bookman Old Style" w:hAnsi="Bookman Old Style"/>
          <w:color w:val="000000"/>
          <w:sz w:val="22"/>
          <w:szCs w:val="22"/>
          <w:lang w:val="es-CO" w:eastAsia="es-CO"/>
        </w:rPr>
        <w:t>Nota.</w:t>
      </w:r>
    </w:p>
    <w:p w:rsidR="0029186D" w:rsidRDefault="0029186D" w:rsidP="0029186D">
      <w:pPr>
        <w:ind w:left="0"/>
        <w:jc w:val="both"/>
        <w:rPr>
          <w:rFonts w:ascii="Bookman Old Style" w:hAnsi="Bookman Old Style"/>
          <w:color w:val="000000"/>
          <w:sz w:val="22"/>
          <w:szCs w:val="22"/>
          <w:lang w:val="es-CO" w:eastAsia="es-CO"/>
        </w:rPr>
      </w:pPr>
      <w:r>
        <w:rPr>
          <w:rFonts w:ascii="Bookman Old Style" w:hAnsi="Bookman Old Style"/>
          <w:color w:val="000000"/>
          <w:sz w:val="22"/>
          <w:szCs w:val="22"/>
          <w:lang w:val="es-CO" w:eastAsia="es-CO"/>
        </w:rPr>
        <w:t>Grupo A. General, para toda Colombia.</w:t>
      </w:r>
    </w:p>
    <w:p w:rsidR="0029186D" w:rsidRDefault="0029186D" w:rsidP="0029186D">
      <w:pPr>
        <w:ind w:left="0"/>
        <w:jc w:val="both"/>
        <w:rPr>
          <w:rFonts w:ascii="Bookman Old Style" w:hAnsi="Bookman Old Style"/>
          <w:color w:val="000000"/>
          <w:sz w:val="22"/>
          <w:szCs w:val="22"/>
          <w:lang w:val="es-CO" w:eastAsia="es-CO"/>
        </w:rPr>
      </w:pPr>
      <w:r>
        <w:rPr>
          <w:rFonts w:ascii="Bookman Old Style" w:hAnsi="Bookman Old Style"/>
          <w:color w:val="000000"/>
          <w:sz w:val="22"/>
          <w:szCs w:val="22"/>
          <w:lang w:val="es-CO" w:eastAsia="es-CO"/>
        </w:rPr>
        <w:t xml:space="preserve">Grupo B. Específico, para Bogotá.  </w:t>
      </w:r>
    </w:p>
    <w:p w:rsidR="0029186D" w:rsidRDefault="0029186D" w:rsidP="0029186D">
      <w:pPr>
        <w:ind w:left="0"/>
        <w:jc w:val="both"/>
        <w:rPr>
          <w:rFonts w:ascii="Bookman Old Style" w:hAnsi="Bookman Old Style"/>
          <w:b/>
          <w:sz w:val="22"/>
          <w:szCs w:val="22"/>
          <w:lang w:val="es-CO"/>
        </w:rPr>
      </w:pPr>
      <w:r>
        <w:rPr>
          <w:rFonts w:ascii="Bookman Old Style" w:hAnsi="Bookman Old Style"/>
          <w:color w:val="000000"/>
          <w:sz w:val="22"/>
          <w:szCs w:val="22"/>
          <w:lang w:val="es-CO" w:eastAsia="es-CO"/>
        </w:rPr>
        <w:t>Grupo C. Específico, para Antioquia (Barbosa, Girardota, Copacabana, Bello, Medellín, Envigado, Itagüí, Sabaneta, La Estrella y Caldas)</w:t>
      </w:r>
    </w:p>
    <w:p w:rsidR="0029186D" w:rsidRDefault="0029186D" w:rsidP="0029186D">
      <w:pPr>
        <w:ind w:hanging="567"/>
        <w:rPr>
          <w:lang w:val="es-CO"/>
        </w:rPr>
      </w:pPr>
    </w:p>
    <w:p w:rsidR="0029186D" w:rsidRDefault="0029186D" w:rsidP="0029186D">
      <w:pPr>
        <w:ind w:left="0"/>
        <w:rPr>
          <w:rFonts w:ascii="Bookman Old Style" w:hAnsi="Bookman Old Style"/>
          <w:b/>
          <w:lang w:val="es-CO"/>
        </w:rPr>
      </w:pPr>
      <w:r>
        <w:rPr>
          <w:rFonts w:ascii="Bookman Old Style" w:hAnsi="Bookman Old Style"/>
          <w:b/>
          <w:lang w:val="es-CO"/>
        </w:rPr>
        <w:br w:type="page"/>
      </w:r>
    </w:p>
    <w:p w:rsidR="0029186D" w:rsidRDefault="0029186D" w:rsidP="0029186D">
      <w:pPr>
        <w:ind w:left="0"/>
        <w:jc w:val="center"/>
        <w:rPr>
          <w:rFonts w:ascii="Bookman Old Style" w:hAnsi="Bookman Old Style"/>
          <w:b/>
          <w:lang w:val="es-CO"/>
        </w:rPr>
      </w:pPr>
    </w:p>
    <w:tbl>
      <w:tblPr>
        <w:tblW w:w="9509" w:type="dxa"/>
        <w:tblInd w:w="65" w:type="dxa"/>
        <w:tblCellMar>
          <w:left w:w="70" w:type="dxa"/>
          <w:right w:w="70" w:type="dxa"/>
        </w:tblCellMar>
        <w:tblLook w:val="04A0" w:firstRow="1" w:lastRow="0" w:firstColumn="1" w:lastColumn="0" w:noHBand="0" w:noVBand="1"/>
      </w:tblPr>
      <w:tblGrid>
        <w:gridCol w:w="1158"/>
        <w:gridCol w:w="4943"/>
        <w:gridCol w:w="1136"/>
        <w:gridCol w:w="1136"/>
        <w:gridCol w:w="1136"/>
      </w:tblGrid>
      <w:tr w:rsidR="0029186D" w:rsidTr="0029186D">
        <w:trPr>
          <w:trHeight w:val="270"/>
        </w:trPr>
        <w:tc>
          <w:tcPr>
            <w:tcW w:w="1158" w:type="dxa"/>
            <w:vMerge w:val="restart"/>
            <w:tcBorders>
              <w:top w:val="single" w:sz="4" w:space="0" w:color="auto"/>
              <w:left w:val="single" w:sz="4" w:space="0" w:color="auto"/>
              <w:bottom w:val="single" w:sz="4" w:space="0" w:color="auto"/>
              <w:right w:val="single" w:sz="4" w:space="0" w:color="auto"/>
            </w:tcBorders>
            <w:vAlign w:val="center"/>
          </w:tcPr>
          <w:p w:rsidR="0029186D" w:rsidRDefault="0029186D">
            <w:pPr>
              <w:ind w:left="0"/>
              <w:jc w:val="center"/>
              <w:rPr>
                <w:rFonts w:ascii="Bookman Old Style" w:hAnsi="Bookman Old Style"/>
                <w:b/>
                <w:bCs/>
                <w:color w:val="000000"/>
                <w:sz w:val="16"/>
                <w:szCs w:val="16"/>
                <w:lang w:val="es-CO" w:eastAsia="es-CO"/>
              </w:rPr>
            </w:pPr>
          </w:p>
          <w:p w:rsidR="0029186D" w:rsidRDefault="0029186D">
            <w:pPr>
              <w:ind w:left="0"/>
              <w:jc w:val="center"/>
              <w:rPr>
                <w:rFonts w:ascii="Bookman Old Style" w:hAnsi="Bookman Old Style"/>
                <w:b/>
                <w:bCs/>
                <w:color w:val="000000"/>
                <w:sz w:val="16"/>
                <w:szCs w:val="16"/>
                <w:lang w:val="es-CO" w:eastAsia="es-CO"/>
              </w:rPr>
            </w:pPr>
            <w:r>
              <w:rPr>
                <w:rFonts w:ascii="Bookman Old Style" w:hAnsi="Bookman Old Style"/>
                <w:b/>
                <w:color w:val="000000"/>
                <w:sz w:val="16"/>
                <w:szCs w:val="16"/>
                <w:lang w:val="es-CO" w:eastAsia="es-CO"/>
              </w:rPr>
              <w:t>CODIGO</w:t>
            </w:r>
          </w:p>
        </w:tc>
        <w:tc>
          <w:tcPr>
            <w:tcW w:w="4943" w:type="dxa"/>
            <w:vMerge w:val="restart"/>
            <w:tcBorders>
              <w:top w:val="single" w:sz="4" w:space="0" w:color="auto"/>
              <w:left w:val="nil"/>
              <w:bottom w:val="single" w:sz="4" w:space="0" w:color="auto"/>
              <w:right w:val="single" w:sz="4" w:space="0" w:color="auto"/>
            </w:tcBorders>
            <w:noWrap/>
            <w:vAlign w:val="center"/>
          </w:tcPr>
          <w:p w:rsidR="0029186D" w:rsidRDefault="0029186D">
            <w:pPr>
              <w:ind w:left="0"/>
              <w:jc w:val="center"/>
              <w:rPr>
                <w:rFonts w:ascii="Bookman Old Style" w:hAnsi="Bookman Old Style"/>
                <w:b/>
                <w:sz w:val="16"/>
                <w:szCs w:val="16"/>
                <w:lang w:val="es-CO" w:eastAsia="es-CO"/>
              </w:rPr>
            </w:pPr>
          </w:p>
          <w:p w:rsidR="0029186D" w:rsidRDefault="0029186D">
            <w:pPr>
              <w:ind w:left="0"/>
              <w:jc w:val="center"/>
              <w:rPr>
                <w:rFonts w:ascii="Bookman Old Style" w:hAnsi="Bookman Old Style"/>
                <w:b/>
                <w:sz w:val="16"/>
                <w:szCs w:val="16"/>
                <w:lang w:val="es-CO" w:eastAsia="es-CO"/>
              </w:rPr>
            </w:pPr>
            <w:r>
              <w:rPr>
                <w:rFonts w:ascii="Bookman Old Style" w:hAnsi="Bookman Old Style"/>
                <w:b/>
                <w:color w:val="000000"/>
                <w:sz w:val="16"/>
                <w:szCs w:val="16"/>
                <w:lang w:val="es-CO" w:eastAsia="es-CO"/>
              </w:rPr>
              <w:t>DESCRIPCION</w:t>
            </w:r>
          </w:p>
        </w:tc>
        <w:tc>
          <w:tcPr>
            <w:tcW w:w="1136" w:type="dxa"/>
            <w:tcBorders>
              <w:top w:val="single" w:sz="4" w:space="0" w:color="auto"/>
              <w:left w:val="nil"/>
              <w:bottom w:val="single" w:sz="4" w:space="0" w:color="auto"/>
              <w:right w:val="single" w:sz="4" w:space="0" w:color="auto"/>
            </w:tcBorders>
            <w:noWrap/>
            <w:vAlign w:val="bottom"/>
            <w:hideMark/>
          </w:tcPr>
          <w:p w:rsidR="0029186D" w:rsidRDefault="0029186D">
            <w:pPr>
              <w:ind w:left="0"/>
              <w:jc w:val="center"/>
              <w:rPr>
                <w:rFonts w:ascii="Bookman Old Style" w:hAnsi="Bookman Old Style"/>
                <w:b/>
                <w:color w:val="000000"/>
                <w:sz w:val="16"/>
                <w:szCs w:val="16"/>
                <w:lang w:val="es-CO" w:eastAsia="es-CO"/>
              </w:rPr>
            </w:pPr>
            <w:r>
              <w:rPr>
                <w:rFonts w:ascii="Bookman Old Style" w:hAnsi="Bookman Old Style"/>
                <w:b/>
                <w:color w:val="000000"/>
                <w:sz w:val="16"/>
                <w:szCs w:val="16"/>
                <w:lang w:val="es-CO" w:eastAsia="es-CO"/>
              </w:rPr>
              <w:t>A</w:t>
            </w:r>
          </w:p>
        </w:tc>
        <w:tc>
          <w:tcPr>
            <w:tcW w:w="1136" w:type="dxa"/>
            <w:tcBorders>
              <w:top w:val="single" w:sz="4" w:space="0" w:color="auto"/>
              <w:left w:val="nil"/>
              <w:bottom w:val="single" w:sz="4" w:space="0" w:color="auto"/>
              <w:right w:val="single" w:sz="4" w:space="0" w:color="auto"/>
            </w:tcBorders>
            <w:noWrap/>
            <w:vAlign w:val="bottom"/>
            <w:hideMark/>
          </w:tcPr>
          <w:p w:rsidR="0029186D" w:rsidRDefault="0029186D">
            <w:pPr>
              <w:ind w:left="0"/>
              <w:jc w:val="center"/>
              <w:rPr>
                <w:rFonts w:ascii="Bookman Old Style" w:hAnsi="Bookman Old Style"/>
                <w:b/>
                <w:color w:val="000000"/>
                <w:sz w:val="16"/>
                <w:szCs w:val="16"/>
                <w:lang w:val="es-CO" w:eastAsia="es-CO"/>
              </w:rPr>
            </w:pPr>
            <w:r>
              <w:rPr>
                <w:rFonts w:ascii="Bookman Old Style" w:hAnsi="Bookman Old Style"/>
                <w:b/>
                <w:color w:val="000000"/>
                <w:sz w:val="16"/>
                <w:szCs w:val="16"/>
                <w:lang w:val="es-CO" w:eastAsia="es-CO"/>
              </w:rPr>
              <w:t>B</w:t>
            </w:r>
          </w:p>
        </w:tc>
        <w:tc>
          <w:tcPr>
            <w:tcW w:w="1136" w:type="dxa"/>
            <w:tcBorders>
              <w:top w:val="single" w:sz="4" w:space="0" w:color="auto"/>
              <w:left w:val="nil"/>
              <w:bottom w:val="single" w:sz="4" w:space="0" w:color="auto"/>
              <w:right w:val="single" w:sz="4" w:space="0" w:color="auto"/>
            </w:tcBorders>
            <w:noWrap/>
            <w:vAlign w:val="bottom"/>
            <w:hideMark/>
          </w:tcPr>
          <w:p w:rsidR="0029186D" w:rsidRDefault="0029186D">
            <w:pPr>
              <w:ind w:left="-70"/>
              <w:jc w:val="center"/>
              <w:rPr>
                <w:rFonts w:ascii="Bookman Old Style" w:hAnsi="Bookman Old Style"/>
                <w:b/>
                <w:color w:val="000000"/>
                <w:sz w:val="16"/>
                <w:szCs w:val="16"/>
                <w:lang w:val="es-CO" w:eastAsia="es-CO"/>
              </w:rPr>
            </w:pPr>
            <w:r>
              <w:rPr>
                <w:rFonts w:ascii="Bookman Old Style" w:hAnsi="Bookman Old Style"/>
                <w:b/>
                <w:color w:val="000000"/>
                <w:sz w:val="16"/>
                <w:szCs w:val="16"/>
                <w:lang w:val="es-CO" w:eastAsia="es-CO"/>
              </w:rPr>
              <w:t>C</w:t>
            </w:r>
          </w:p>
        </w:tc>
      </w:tr>
      <w:tr w:rsidR="0029186D" w:rsidTr="0029186D">
        <w:trPr>
          <w:trHeight w:val="9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29186D" w:rsidRDefault="0029186D">
            <w:pPr>
              <w:ind w:left="0"/>
              <w:rPr>
                <w:rFonts w:ascii="Bookman Old Style" w:hAnsi="Bookman Old Style"/>
                <w:b/>
                <w:bCs/>
                <w:color w:val="000000"/>
                <w:sz w:val="16"/>
                <w:szCs w:val="16"/>
                <w:lang w:val="es-CO" w:eastAsia="es-CO"/>
              </w:rPr>
            </w:pPr>
          </w:p>
        </w:tc>
        <w:tc>
          <w:tcPr>
            <w:tcW w:w="0" w:type="auto"/>
            <w:vMerge/>
            <w:tcBorders>
              <w:top w:val="single" w:sz="4" w:space="0" w:color="auto"/>
              <w:left w:val="nil"/>
              <w:bottom w:val="single" w:sz="4" w:space="0" w:color="auto"/>
              <w:right w:val="single" w:sz="4" w:space="0" w:color="auto"/>
            </w:tcBorders>
            <w:vAlign w:val="center"/>
            <w:hideMark/>
          </w:tcPr>
          <w:p w:rsidR="0029186D" w:rsidRDefault="0029186D">
            <w:pPr>
              <w:ind w:left="0"/>
              <w:rPr>
                <w:rFonts w:ascii="Bookman Old Style" w:hAnsi="Bookman Old Style"/>
                <w:b/>
                <w:sz w:val="16"/>
                <w:szCs w:val="16"/>
                <w:lang w:val="es-CO" w:eastAsia="es-CO"/>
              </w:rPr>
            </w:pPr>
          </w:p>
        </w:tc>
        <w:tc>
          <w:tcPr>
            <w:tcW w:w="1136" w:type="dxa"/>
            <w:tcBorders>
              <w:top w:val="nil"/>
              <w:left w:val="nil"/>
              <w:bottom w:val="single" w:sz="4" w:space="0" w:color="auto"/>
              <w:right w:val="single" w:sz="4" w:space="0" w:color="auto"/>
            </w:tcBorders>
            <w:vAlign w:val="center"/>
            <w:hideMark/>
          </w:tcPr>
          <w:p w:rsidR="0029186D" w:rsidRDefault="0029186D">
            <w:pPr>
              <w:ind w:left="0"/>
              <w:jc w:val="center"/>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Res 011/03      Col $ de Dic/2012</w:t>
            </w:r>
          </w:p>
        </w:tc>
        <w:tc>
          <w:tcPr>
            <w:tcW w:w="1136" w:type="dxa"/>
            <w:tcBorders>
              <w:top w:val="nil"/>
              <w:left w:val="nil"/>
              <w:bottom w:val="single" w:sz="4" w:space="0" w:color="auto"/>
              <w:right w:val="single" w:sz="4" w:space="0" w:color="auto"/>
            </w:tcBorders>
            <w:vAlign w:val="center"/>
            <w:hideMark/>
          </w:tcPr>
          <w:p w:rsidR="0029186D" w:rsidRDefault="0029186D">
            <w:pPr>
              <w:ind w:left="-70"/>
              <w:jc w:val="center"/>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 xml:space="preserve">  Res 33/2004                 Col $ de Dic/2012  Bogotá      </w:t>
            </w:r>
          </w:p>
        </w:tc>
        <w:tc>
          <w:tcPr>
            <w:tcW w:w="1136" w:type="dxa"/>
            <w:tcBorders>
              <w:top w:val="nil"/>
              <w:left w:val="nil"/>
              <w:bottom w:val="single" w:sz="4" w:space="0" w:color="auto"/>
              <w:right w:val="single" w:sz="4" w:space="0" w:color="auto"/>
            </w:tcBorders>
            <w:vAlign w:val="center"/>
            <w:hideMark/>
          </w:tcPr>
          <w:p w:rsidR="0029186D" w:rsidRDefault="0029186D">
            <w:pPr>
              <w:ind w:left="-70"/>
              <w:jc w:val="center"/>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 xml:space="preserve"> Res 22/2004 Col $ de Dic/2012                       </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TPE1/2AS</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1/2 pulg. en Calzada Asfalto</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47,059,357</w:t>
            </w:r>
          </w:p>
        </w:tc>
        <w:tc>
          <w:tcPr>
            <w:tcW w:w="1136" w:type="dxa"/>
            <w:tcBorders>
              <w:top w:val="nil"/>
              <w:left w:val="nil"/>
              <w:bottom w:val="single" w:sz="4" w:space="0" w:color="auto"/>
              <w:right w:val="single" w:sz="4" w:space="0" w:color="auto"/>
            </w:tcBorders>
            <w:noWrap/>
            <w:vAlign w:val="bottom"/>
            <w:hideMark/>
          </w:tcPr>
          <w:p w:rsidR="0029186D" w:rsidRDefault="0029186D">
            <w:pPr>
              <w:ind w:left="-7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47,083,558</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TPE3/4AS</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3/4 pulg. en Calzada Asfalto</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47,983,349</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130,027,244</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47,971,396</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TPE1AS</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1 pulg. en Calzada Asfalto</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50,105,275</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132,345,770</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50,057,106</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TPE1-1/4AS</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1-1/4 pulg. en Calzada Asfalto</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52,827,865</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TPE1-1/2AS</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1-1/2 pulg. en Calzada Asfalto</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54,252,912</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r>
      <w:tr w:rsidR="0029186D" w:rsidTr="0029186D">
        <w:trPr>
          <w:trHeight w:val="244"/>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TPE2AS</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2 pulg. en Calzada Asfalto</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55,997,318</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138,630,269</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56,002,249</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TPE3AS</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3 pulg. en Calzada Asfalto</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79,028,669</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162,247,334</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78,986,873</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TPE4AS</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4 pulg. en Calzada Asfalto</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95,987,964</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179,596,401</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95,998,677</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TPE6AS</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6 pulg. en Calzada Asfalto</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142,748,266</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142,764,401</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TPE1/2CO</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1/2 pulg. en Calzada Concreto</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32,962,042</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32,984,286</w:t>
            </w:r>
          </w:p>
        </w:tc>
      </w:tr>
      <w:tr w:rsidR="0029186D" w:rsidTr="0029186D">
        <w:trPr>
          <w:trHeight w:val="340"/>
        </w:trPr>
        <w:tc>
          <w:tcPr>
            <w:tcW w:w="1158" w:type="dxa"/>
            <w:tcBorders>
              <w:top w:val="nil"/>
              <w:left w:val="single" w:sz="4" w:space="0" w:color="auto"/>
              <w:bottom w:val="single" w:sz="4" w:space="0" w:color="auto"/>
              <w:right w:val="single" w:sz="4" w:space="0" w:color="auto"/>
            </w:tcBorders>
            <w:noWrap/>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TPE3/4CO</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3/4 pulg. en Calzada Concreto</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33,873,481</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100,232,944</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33,864,497</w:t>
            </w:r>
          </w:p>
        </w:tc>
      </w:tr>
      <w:tr w:rsidR="0029186D" w:rsidTr="0029186D">
        <w:trPr>
          <w:trHeight w:val="321"/>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TPE1CO</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1 pulg. en Calzada Concreto</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35,982,855</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102,514,341</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35,942,577</w:t>
            </w:r>
          </w:p>
        </w:tc>
      </w:tr>
      <w:tr w:rsidR="0029186D" w:rsidTr="0029186D">
        <w:trPr>
          <w:trHeight w:val="232"/>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TPE1-1/4CO</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1-1/4 pulg. en Calzada Concreto</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38,705,446</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TPE1-1/2CO</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1-1/2 pulg. en Calzada Concreto</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40,117,941</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TPE2CO</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2 pulg. en Calzada Concreto</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44,855,526</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111,727,939</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TPE3CO</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3 pulg. en Calzada Concreto</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84,890,511</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135,895,068</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84,825,023</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TPE4CO</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4 pulg. en Calzada Concreto</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101,824,702</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153,167,127</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TPE6CO</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6 pulg. en Calzada Concreto</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151,227,402</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203,388,111</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TPE1/2TA</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1/2 pulg. en Andén Tableta</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37,277,850</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37,290,710</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TPE3/4TA</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3/4 pulg. en Andén Tableta</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38,157,910</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42,987,622</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38,150,654</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TPE1AT</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1 pulg. en Andén Tableta</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40,235,904</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45,172,758</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40,208,469</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TPE1-1/4TA</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1-1/4 pulg. en Andén Tableta</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42,958,495</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TPE1-1/2TA</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1-1/2 pulg. en Andén Tableta</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44,339,610</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TPE2TA</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2 pulg. en Andén Tableta</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49,045,815</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54,193,833</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49,047,601</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TPE3TA</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3 pulg. en Andén Tableta</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69,747,941</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79,593,109</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69,711,409</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TPE4TA</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4 pulg. en Andén Tableta</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86,682,131</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96,865,168</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86,691,333</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TPE6TA</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6 pulg. en Andén Tableta</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136,084,831</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136,098,309</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TPE1/2ZV</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1/2 pulg. en Zona Verde</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11,930,223</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11,958,553</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TPE3/4ZV</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3/4 pulg. en Zona Verde</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12,862,583</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12,857,782</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12,851,705</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TPE1ZV</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1 pulg. en Zona Verde</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14,992,876</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15.443.822</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14,942,729</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TPE1-1/4ZV</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1-1/4 pulg. en Zona Verde</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17,715,467</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TPE1-1/2ZV</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1-1/2 pulg. en Zona Verde</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19,148,882</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TPE2ZV</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2 pulg. en Zona Verde</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23,907,386</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23,898,973</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23,914,695</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TPE3ZV</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3 pulg. en Zona Verde</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40,952,380</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40,938,628</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40,909,432</w:t>
            </w:r>
          </w:p>
        </w:tc>
      </w:tr>
      <w:tr w:rsidR="0029186D" w:rsidTr="0029186D">
        <w:trPr>
          <w:trHeight w:val="270"/>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TPE4ZV</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4 pulg. en Zona Verde</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57,928,410</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57,909,526</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57,942,490</w:t>
            </w:r>
          </w:p>
        </w:tc>
      </w:tr>
      <w:tr w:rsidR="0029186D" w:rsidTr="0029186D">
        <w:trPr>
          <w:trHeight w:val="244"/>
        </w:trPr>
        <w:tc>
          <w:tcPr>
            <w:tcW w:w="1158" w:type="dxa"/>
            <w:tcBorders>
              <w:top w:val="nil"/>
              <w:left w:val="single" w:sz="4" w:space="0" w:color="auto"/>
              <w:bottom w:val="single" w:sz="4" w:space="0" w:color="auto"/>
              <w:right w:val="single" w:sz="4" w:space="0" w:color="auto"/>
            </w:tcBorders>
            <w:noWrap/>
            <w:vAlign w:val="bottom"/>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TPE6ZV</w:t>
            </w:r>
          </w:p>
        </w:tc>
        <w:tc>
          <w:tcPr>
            <w:tcW w:w="4943" w:type="dxa"/>
            <w:tcBorders>
              <w:top w:val="nil"/>
              <w:left w:val="nil"/>
              <w:bottom w:val="single" w:sz="4" w:space="0" w:color="auto"/>
              <w:right w:val="single" w:sz="4" w:space="0" w:color="auto"/>
            </w:tcBorders>
            <w:vAlign w:val="center"/>
            <w:hideMark/>
          </w:tcPr>
          <w:p w:rsidR="0029186D" w:rsidRDefault="0029186D">
            <w:pPr>
              <w:ind w:left="0"/>
              <w:rPr>
                <w:rFonts w:ascii="Bookman Old Style" w:hAnsi="Bookman Old Style"/>
                <w:color w:val="000000"/>
                <w:sz w:val="16"/>
                <w:szCs w:val="16"/>
                <w:lang w:val="es-CO" w:eastAsia="es-CO"/>
              </w:rPr>
            </w:pPr>
            <w:r>
              <w:rPr>
                <w:rFonts w:ascii="Bookman Old Style" w:hAnsi="Bookman Old Style"/>
                <w:color w:val="000000"/>
                <w:sz w:val="16"/>
                <w:szCs w:val="16"/>
                <w:lang w:val="es-CO" w:eastAsia="es-CO"/>
              </w:rPr>
              <w:t>Tubería de Polietileno de 6 pulg. en Zona Verde</w:t>
            </w:r>
          </w:p>
        </w:tc>
        <w:tc>
          <w:tcPr>
            <w:tcW w:w="1136" w:type="dxa"/>
            <w:tcBorders>
              <w:top w:val="nil"/>
              <w:left w:val="nil"/>
              <w:bottom w:val="single" w:sz="4" w:space="0" w:color="auto"/>
              <w:right w:val="single" w:sz="4" w:space="0" w:color="auto"/>
            </w:tcBorders>
            <w:shd w:val="clear" w:color="auto" w:fill="FFFFFF"/>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102,927,114</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w:t>
            </w:r>
          </w:p>
        </w:tc>
        <w:tc>
          <w:tcPr>
            <w:tcW w:w="1136" w:type="dxa"/>
            <w:tcBorders>
              <w:top w:val="nil"/>
              <w:left w:val="nil"/>
              <w:bottom w:val="single" w:sz="4" w:space="0" w:color="auto"/>
              <w:right w:val="single" w:sz="4" w:space="0" w:color="auto"/>
            </w:tcBorders>
            <w:noWrap/>
            <w:vAlign w:val="center"/>
            <w:hideMark/>
          </w:tcPr>
          <w:p w:rsidR="0029186D" w:rsidRDefault="0029186D">
            <w:pPr>
              <w:ind w:left="0"/>
              <w:jc w:val="center"/>
              <w:rPr>
                <w:rFonts w:ascii="Bookman Old Style" w:hAnsi="Bookman Old Style" w:cs="Arial"/>
                <w:color w:val="000000"/>
                <w:sz w:val="16"/>
                <w:szCs w:val="16"/>
                <w:lang w:val="es-MX" w:eastAsia="es-MX"/>
              </w:rPr>
            </w:pPr>
            <w:r>
              <w:rPr>
                <w:rFonts w:ascii="Bookman Old Style" w:hAnsi="Bookman Old Style" w:cs="Arial"/>
                <w:color w:val="000000"/>
                <w:sz w:val="16"/>
                <w:szCs w:val="16"/>
                <w:lang w:val="es-MX" w:eastAsia="es-MX"/>
              </w:rPr>
              <w:t>102,947,378</w:t>
            </w:r>
          </w:p>
        </w:tc>
      </w:tr>
    </w:tbl>
    <w:p w:rsidR="0029186D" w:rsidRDefault="0029186D" w:rsidP="0029186D">
      <w:pPr>
        <w:ind w:left="0"/>
        <w:jc w:val="center"/>
        <w:rPr>
          <w:rFonts w:ascii="Bookman Old Style" w:hAnsi="Bookman Old Style"/>
          <w:b/>
          <w:lang w:val="es-CO"/>
        </w:rPr>
      </w:pPr>
    </w:p>
    <w:p w:rsidR="0029186D" w:rsidRDefault="0029186D" w:rsidP="0029186D">
      <w:pPr>
        <w:ind w:left="0"/>
        <w:jc w:val="both"/>
        <w:rPr>
          <w:rFonts w:ascii="Bookman Old Style" w:hAnsi="Bookman Old Style"/>
          <w:color w:val="000000"/>
          <w:sz w:val="22"/>
          <w:szCs w:val="22"/>
          <w:lang w:val="es-CO" w:eastAsia="es-CO"/>
        </w:rPr>
      </w:pPr>
      <w:r>
        <w:rPr>
          <w:rFonts w:ascii="Bookman Old Style" w:hAnsi="Bookman Old Style"/>
          <w:color w:val="000000"/>
          <w:sz w:val="22"/>
          <w:szCs w:val="22"/>
          <w:lang w:val="es-CO" w:eastAsia="es-CO"/>
        </w:rPr>
        <w:t>Nota.</w:t>
      </w:r>
    </w:p>
    <w:p w:rsidR="0029186D" w:rsidRDefault="0029186D" w:rsidP="0029186D">
      <w:pPr>
        <w:ind w:left="0"/>
        <w:jc w:val="both"/>
        <w:rPr>
          <w:rFonts w:ascii="Bookman Old Style" w:hAnsi="Bookman Old Style"/>
          <w:color w:val="000000"/>
          <w:sz w:val="22"/>
          <w:szCs w:val="22"/>
          <w:lang w:val="es-CO" w:eastAsia="es-CO"/>
        </w:rPr>
      </w:pPr>
      <w:r>
        <w:rPr>
          <w:rFonts w:ascii="Bookman Old Style" w:hAnsi="Bookman Old Style"/>
          <w:color w:val="000000"/>
          <w:sz w:val="22"/>
          <w:szCs w:val="22"/>
          <w:lang w:val="es-CO" w:eastAsia="es-CO"/>
        </w:rPr>
        <w:t>Grupo A. General, para toda Colombia.</w:t>
      </w:r>
    </w:p>
    <w:p w:rsidR="0029186D" w:rsidRDefault="0029186D" w:rsidP="0029186D">
      <w:pPr>
        <w:ind w:left="0"/>
        <w:jc w:val="both"/>
        <w:rPr>
          <w:rFonts w:ascii="Bookman Old Style" w:hAnsi="Bookman Old Style"/>
          <w:color w:val="000000"/>
          <w:sz w:val="22"/>
          <w:szCs w:val="22"/>
          <w:lang w:val="es-CO" w:eastAsia="es-CO"/>
        </w:rPr>
      </w:pPr>
      <w:r>
        <w:rPr>
          <w:rFonts w:ascii="Bookman Old Style" w:hAnsi="Bookman Old Style"/>
          <w:color w:val="000000"/>
          <w:sz w:val="22"/>
          <w:szCs w:val="22"/>
          <w:lang w:val="es-CO" w:eastAsia="es-CO"/>
        </w:rPr>
        <w:t xml:space="preserve">Grupo B. Específico, para Bogotá.  </w:t>
      </w:r>
    </w:p>
    <w:p w:rsidR="0029186D" w:rsidRDefault="0029186D" w:rsidP="0029186D">
      <w:pPr>
        <w:ind w:left="0"/>
        <w:jc w:val="both"/>
        <w:rPr>
          <w:rFonts w:ascii="Bookman Old Style" w:hAnsi="Bookman Old Style"/>
          <w:b/>
          <w:sz w:val="22"/>
          <w:szCs w:val="22"/>
          <w:lang w:val="es-CO"/>
        </w:rPr>
      </w:pPr>
      <w:r>
        <w:rPr>
          <w:rFonts w:ascii="Bookman Old Style" w:hAnsi="Bookman Old Style"/>
          <w:color w:val="000000"/>
          <w:sz w:val="22"/>
          <w:szCs w:val="22"/>
          <w:lang w:val="es-CO" w:eastAsia="es-CO"/>
        </w:rPr>
        <w:t>Grupo C. Específico, para Antioquia (Barbosa, Girardota, Copacabana, Bello, Medellín, Envigado, Itagüí, Sabaneta, La Estrella y Caldas)</w:t>
      </w:r>
    </w:p>
    <w:p w:rsidR="0029186D" w:rsidRDefault="0029186D" w:rsidP="0029186D">
      <w:pPr>
        <w:ind w:left="0"/>
        <w:jc w:val="center"/>
        <w:rPr>
          <w:rFonts w:ascii="Bookman Old Style" w:hAnsi="Bookman Old Style"/>
          <w:b/>
          <w:lang w:val="es-CO"/>
        </w:rPr>
      </w:pPr>
    </w:p>
    <w:p w:rsidR="0029186D" w:rsidRDefault="0029186D" w:rsidP="0029186D">
      <w:pPr>
        <w:ind w:left="0"/>
        <w:jc w:val="center"/>
        <w:rPr>
          <w:rFonts w:ascii="Bookman Old Style" w:hAnsi="Bookman Old Style"/>
          <w:b/>
          <w:lang w:val="es-CO"/>
        </w:rPr>
      </w:pPr>
    </w:p>
    <w:p w:rsidR="00905336" w:rsidRDefault="00905336" w:rsidP="0029186D">
      <w:pPr>
        <w:ind w:left="0"/>
        <w:jc w:val="center"/>
        <w:rPr>
          <w:rFonts w:ascii="Bookman Old Style" w:hAnsi="Bookman Old Style"/>
          <w:b/>
          <w:lang w:val="es-CO"/>
        </w:rPr>
      </w:pPr>
    </w:p>
    <w:p w:rsidR="0029186D" w:rsidRDefault="0029186D" w:rsidP="0029186D">
      <w:pPr>
        <w:ind w:left="0"/>
        <w:jc w:val="center"/>
        <w:rPr>
          <w:rFonts w:ascii="Bookman Old Style" w:hAnsi="Bookman Old Style"/>
          <w:b/>
          <w:lang w:val="es-CO"/>
        </w:rPr>
      </w:pPr>
    </w:p>
    <w:p w:rsidR="00905336" w:rsidRDefault="00905336" w:rsidP="0029186D">
      <w:pPr>
        <w:ind w:left="0"/>
        <w:jc w:val="both"/>
        <w:rPr>
          <w:rFonts w:ascii="Bookman Old Style" w:hAnsi="Bookman Old Style"/>
          <w:color w:val="000000"/>
          <w:sz w:val="22"/>
          <w:szCs w:val="22"/>
          <w:lang w:val="es-CO" w:eastAsia="es-CO"/>
        </w:rPr>
      </w:pPr>
    </w:p>
    <w:p w:rsidR="00905336" w:rsidRDefault="00905336" w:rsidP="00905336">
      <w:pPr>
        <w:ind w:left="0"/>
        <w:jc w:val="center"/>
        <w:rPr>
          <w:rFonts w:ascii="Bookman Old Style" w:hAnsi="Bookman Old Style"/>
          <w:b/>
          <w:lang w:val="es-CO"/>
        </w:rPr>
      </w:pPr>
    </w:p>
    <w:tbl>
      <w:tblPr>
        <w:tblW w:w="9371" w:type="dxa"/>
        <w:tblInd w:w="55" w:type="dxa"/>
        <w:tblCellMar>
          <w:left w:w="70" w:type="dxa"/>
          <w:right w:w="70" w:type="dxa"/>
        </w:tblCellMar>
        <w:tblLook w:val="04A0" w:firstRow="1" w:lastRow="0" w:firstColumn="1" w:lastColumn="0" w:noHBand="0" w:noVBand="1"/>
      </w:tblPr>
      <w:tblGrid>
        <w:gridCol w:w="1008"/>
        <w:gridCol w:w="4248"/>
        <w:gridCol w:w="1703"/>
        <w:gridCol w:w="1276"/>
        <w:gridCol w:w="1136"/>
      </w:tblGrid>
      <w:tr w:rsidR="00905336" w:rsidRPr="000513F8" w:rsidTr="00E139B1">
        <w:trPr>
          <w:trHeight w:val="300"/>
        </w:trPr>
        <w:tc>
          <w:tcPr>
            <w:tcW w:w="10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05336" w:rsidRPr="000513F8" w:rsidRDefault="00905336" w:rsidP="00E139B1">
            <w:pPr>
              <w:ind w:left="0"/>
              <w:jc w:val="center"/>
              <w:rPr>
                <w:rFonts w:ascii="Bookman Old Style" w:hAnsi="Bookman Old Style" w:cs="Calibri"/>
                <w:b/>
                <w:bCs/>
                <w:color w:val="000000"/>
                <w:sz w:val="16"/>
                <w:szCs w:val="16"/>
                <w:lang w:val="es-CO" w:eastAsia="es-CO"/>
              </w:rPr>
            </w:pPr>
            <w:r w:rsidRPr="000513F8">
              <w:rPr>
                <w:rFonts w:ascii="Bookman Old Style" w:hAnsi="Bookman Old Style" w:cs="Calibri"/>
                <w:b/>
                <w:bCs/>
                <w:color w:val="000000"/>
                <w:sz w:val="16"/>
                <w:szCs w:val="16"/>
                <w:lang w:val="es-CO" w:eastAsia="es-CO"/>
              </w:rPr>
              <w:t>CODIGO</w:t>
            </w:r>
          </w:p>
        </w:tc>
        <w:tc>
          <w:tcPr>
            <w:tcW w:w="46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05336" w:rsidRPr="000513F8" w:rsidRDefault="00905336" w:rsidP="00E139B1">
            <w:pPr>
              <w:ind w:left="0"/>
              <w:jc w:val="center"/>
              <w:rPr>
                <w:rFonts w:ascii="Bookman Old Style" w:hAnsi="Bookman Old Style" w:cs="Calibri"/>
                <w:b/>
                <w:bCs/>
                <w:color w:val="000000"/>
                <w:sz w:val="16"/>
                <w:szCs w:val="16"/>
                <w:lang w:val="es-CO" w:eastAsia="es-CO"/>
              </w:rPr>
            </w:pPr>
            <w:r w:rsidRPr="000513F8">
              <w:rPr>
                <w:rFonts w:ascii="Bookman Old Style" w:hAnsi="Bookman Old Style" w:cs="Calibri"/>
                <w:b/>
                <w:bCs/>
                <w:color w:val="000000"/>
                <w:sz w:val="16"/>
                <w:szCs w:val="16"/>
                <w:lang w:val="es-CO" w:eastAsia="es-CO"/>
              </w:rPr>
              <w:t>DESCRIPCION</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905336" w:rsidRPr="00905336" w:rsidRDefault="00905336" w:rsidP="00E139B1">
            <w:pPr>
              <w:ind w:left="0"/>
              <w:jc w:val="center"/>
              <w:rPr>
                <w:rFonts w:ascii="Bookman Old Style" w:hAnsi="Bookman Old Style" w:cs="Calibri"/>
                <w:b/>
                <w:color w:val="000000"/>
                <w:sz w:val="16"/>
                <w:szCs w:val="16"/>
                <w:lang w:val="es-CO" w:eastAsia="es-CO"/>
              </w:rPr>
            </w:pPr>
            <w:r w:rsidRPr="00905336">
              <w:rPr>
                <w:rFonts w:ascii="Bookman Old Style" w:hAnsi="Bookman Old Style" w:cs="Calibri"/>
                <w:b/>
                <w:color w:val="000000"/>
                <w:sz w:val="16"/>
                <w:szCs w:val="16"/>
                <w:lang w:val="es-CO" w:eastAsia="es-CO"/>
              </w:rPr>
              <w:t>A</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905336" w:rsidRPr="00905336" w:rsidRDefault="00905336" w:rsidP="00E139B1">
            <w:pPr>
              <w:ind w:left="0"/>
              <w:jc w:val="center"/>
              <w:rPr>
                <w:rFonts w:ascii="Bookman Old Style" w:hAnsi="Bookman Old Style" w:cs="Calibri"/>
                <w:b/>
                <w:color w:val="000000"/>
                <w:sz w:val="16"/>
                <w:szCs w:val="16"/>
                <w:lang w:val="es-CO" w:eastAsia="es-CO"/>
              </w:rPr>
            </w:pPr>
            <w:r w:rsidRPr="00905336">
              <w:rPr>
                <w:rFonts w:ascii="Bookman Old Style" w:hAnsi="Bookman Old Style" w:cs="Calibri"/>
                <w:b/>
                <w:color w:val="000000"/>
                <w:sz w:val="16"/>
                <w:szCs w:val="16"/>
                <w:lang w:val="es-CO" w:eastAsia="es-CO"/>
              </w:rPr>
              <w:t>B</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05336" w:rsidRPr="00905336" w:rsidRDefault="00905336" w:rsidP="00E139B1">
            <w:pPr>
              <w:ind w:left="0"/>
              <w:jc w:val="center"/>
              <w:rPr>
                <w:rFonts w:ascii="Bookman Old Style" w:hAnsi="Bookman Old Style" w:cs="Calibri"/>
                <w:b/>
                <w:color w:val="000000"/>
                <w:sz w:val="16"/>
                <w:szCs w:val="16"/>
                <w:lang w:val="es-CO" w:eastAsia="es-CO"/>
              </w:rPr>
            </w:pPr>
            <w:r w:rsidRPr="00905336">
              <w:rPr>
                <w:rFonts w:ascii="Bookman Old Style" w:hAnsi="Bookman Old Style" w:cs="Calibri"/>
                <w:b/>
                <w:color w:val="000000"/>
                <w:sz w:val="16"/>
                <w:szCs w:val="16"/>
                <w:lang w:val="es-CO" w:eastAsia="es-CO"/>
              </w:rPr>
              <w:t>C</w:t>
            </w:r>
          </w:p>
        </w:tc>
      </w:tr>
      <w:tr w:rsidR="00905336" w:rsidRPr="000513F8" w:rsidTr="00E139B1">
        <w:trPr>
          <w:trHeight w:val="900"/>
        </w:trPr>
        <w:tc>
          <w:tcPr>
            <w:tcW w:w="1008" w:type="dxa"/>
            <w:vMerge/>
            <w:tcBorders>
              <w:top w:val="single" w:sz="4" w:space="0" w:color="auto"/>
              <w:left w:val="single" w:sz="4" w:space="0" w:color="auto"/>
              <w:bottom w:val="single" w:sz="4" w:space="0" w:color="auto"/>
              <w:right w:val="single" w:sz="4" w:space="0" w:color="auto"/>
            </w:tcBorders>
            <w:vAlign w:val="center"/>
            <w:hideMark/>
          </w:tcPr>
          <w:p w:rsidR="00905336" w:rsidRPr="000513F8" w:rsidRDefault="00905336" w:rsidP="00E139B1">
            <w:pPr>
              <w:ind w:left="0"/>
              <w:rPr>
                <w:rFonts w:ascii="Bookman Old Style" w:hAnsi="Bookman Old Style" w:cs="Calibri"/>
                <w:b/>
                <w:bCs/>
                <w:color w:val="000000"/>
                <w:sz w:val="16"/>
                <w:szCs w:val="16"/>
                <w:lang w:val="es-CO" w:eastAsia="es-CO"/>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rsidR="00905336" w:rsidRPr="000513F8" w:rsidRDefault="00905336" w:rsidP="00E139B1">
            <w:pPr>
              <w:ind w:left="0"/>
              <w:rPr>
                <w:rFonts w:ascii="Bookman Old Style" w:hAnsi="Bookman Old Style" w:cs="Calibri"/>
                <w:b/>
                <w:bCs/>
                <w:color w:val="000000"/>
                <w:sz w:val="16"/>
                <w:szCs w:val="16"/>
                <w:lang w:val="es-CO" w:eastAsia="es-CO"/>
              </w:rPr>
            </w:pPr>
          </w:p>
        </w:tc>
        <w:tc>
          <w:tcPr>
            <w:tcW w:w="1276" w:type="dxa"/>
            <w:tcBorders>
              <w:top w:val="nil"/>
              <w:left w:val="nil"/>
              <w:bottom w:val="single" w:sz="4" w:space="0" w:color="auto"/>
              <w:right w:val="single" w:sz="4" w:space="0" w:color="auto"/>
            </w:tcBorders>
            <w:shd w:val="clear" w:color="auto" w:fill="auto"/>
            <w:vAlign w:val="center"/>
            <w:hideMark/>
          </w:tcPr>
          <w:p w:rsidR="00905336" w:rsidRPr="00905336" w:rsidRDefault="00905336" w:rsidP="00E139B1">
            <w:pPr>
              <w:ind w:left="0"/>
              <w:jc w:val="center"/>
              <w:rPr>
                <w:rFonts w:ascii="Bookman Old Style" w:hAnsi="Bookman Old Style" w:cs="Calibri"/>
                <w:b/>
                <w:color w:val="000000"/>
                <w:sz w:val="16"/>
                <w:szCs w:val="16"/>
                <w:lang w:val="es-CO" w:eastAsia="es-CO"/>
              </w:rPr>
            </w:pPr>
            <w:r w:rsidRPr="00905336">
              <w:rPr>
                <w:rFonts w:ascii="Bookman Old Style" w:hAnsi="Bookman Old Style" w:cs="Calibri"/>
                <w:b/>
                <w:color w:val="000000"/>
                <w:sz w:val="16"/>
                <w:szCs w:val="16"/>
                <w:lang w:val="es-CO" w:eastAsia="es-CO"/>
              </w:rPr>
              <w:t>Res 011/03 Col $ de Dic/2012</w:t>
            </w:r>
          </w:p>
        </w:tc>
        <w:tc>
          <w:tcPr>
            <w:tcW w:w="1276" w:type="dxa"/>
            <w:tcBorders>
              <w:top w:val="nil"/>
              <w:left w:val="nil"/>
              <w:bottom w:val="single" w:sz="4" w:space="0" w:color="auto"/>
              <w:right w:val="single" w:sz="4" w:space="0" w:color="auto"/>
            </w:tcBorders>
            <w:shd w:val="clear" w:color="auto" w:fill="auto"/>
            <w:vAlign w:val="center"/>
            <w:hideMark/>
          </w:tcPr>
          <w:p w:rsidR="00905336" w:rsidRPr="00905336" w:rsidRDefault="00905336" w:rsidP="00E139B1">
            <w:pPr>
              <w:ind w:left="0"/>
              <w:jc w:val="center"/>
              <w:rPr>
                <w:rFonts w:ascii="Bookman Old Style" w:hAnsi="Bookman Old Style" w:cs="Calibri"/>
                <w:b/>
                <w:color w:val="000000"/>
                <w:sz w:val="16"/>
                <w:szCs w:val="16"/>
                <w:lang w:val="es-CO" w:eastAsia="es-CO"/>
              </w:rPr>
            </w:pPr>
            <w:r w:rsidRPr="00905336">
              <w:rPr>
                <w:rFonts w:ascii="Bookman Old Style" w:hAnsi="Bookman Old Style" w:cs="Calibri"/>
                <w:b/>
                <w:color w:val="000000"/>
                <w:sz w:val="16"/>
                <w:szCs w:val="16"/>
                <w:lang w:val="es-CO" w:eastAsia="es-CO"/>
              </w:rPr>
              <w:t xml:space="preserve"> Res 33/2004                 Col $ de Dic/2012 </w:t>
            </w:r>
          </w:p>
        </w:tc>
        <w:tc>
          <w:tcPr>
            <w:tcW w:w="1134" w:type="dxa"/>
            <w:tcBorders>
              <w:top w:val="nil"/>
              <w:left w:val="nil"/>
              <w:bottom w:val="single" w:sz="4" w:space="0" w:color="auto"/>
              <w:right w:val="single" w:sz="4" w:space="0" w:color="auto"/>
            </w:tcBorders>
            <w:shd w:val="clear" w:color="auto" w:fill="auto"/>
            <w:vAlign w:val="center"/>
            <w:hideMark/>
          </w:tcPr>
          <w:p w:rsidR="00905336" w:rsidRPr="00905336" w:rsidRDefault="00905336" w:rsidP="00E139B1">
            <w:pPr>
              <w:ind w:left="0"/>
              <w:jc w:val="center"/>
              <w:rPr>
                <w:rFonts w:ascii="Bookman Old Style" w:hAnsi="Bookman Old Style" w:cs="Calibri"/>
                <w:b/>
                <w:color w:val="000000"/>
                <w:sz w:val="16"/>
                <w:szCs w:val="16"/>
                <w:lang w:val="es-CO" w:eastAsia="es-CO"/>
              </w:rPr>
            </w:pPr>
            <w:r w:rsidRPr="00905336">
              <w:rPr>
                <w:rFonts w:ascii="Bookman Old Style" w:hAnsi="Bookman Old Style" w:cs="Calibri"/>
                <w:b/>
                <w:color w:val="000000"/>
                <w:sz w:val="16"/>
                <w:szCs w:val="16"/>
                <w:lang w:val="es-CO" w:eastAsia="es-CO"/>
              </w:rPr>
              <w:t xml:space="preserve"> Res 22/2004 Col $ de Dic/2012</w:t>
            </w:r>
          </w:p>
        </w:tc>
      </w:tr>
      <w:tr w:rsidR="00905336" w:rsidRPr="000513F8" w:rsidTr="00E139B1">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905336" w:rsidRPr="000513F8" w:rsidRDefault="00905336" w:rsidP="00E139B1">
            <w:pPr>
              <w:ind w:left="0"/>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3T1</w:t>
            </w:r>
          </w:p>
        </w:tc>
        <w:tc>
          <w:tcPr>
            <w:tcW w:w="4677" w:type="dxa"/>
            <w:tcBorders>
              <w:top w:val="nil"/>
              <w:left w:val="nil"/>
              <w:bottom w:val="single" w:sz="4" w:space="0" w:color="auto"/>
              <w:right w:val="single" w:sz="4" w:space="0" w:color="auto"/>
            </w:tcBorders>
            <w:shd w:val="clear" w:color="auto" w:fill="auto"/>
            <w:vAlign w:val="center"/>
            <w:hideMark/>
          </w:tcPr>
          <w:p w:rsidR="00905336" w:rsidRPr="000513F8" w:rsidRDefault="00905336" w:rsidP="00E139B1">
            <w:pPr>
              <w:ind w:left="0"/>
              <w:jc w:val="both"/>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3000 m3/h - tren sencillo - con medidor</w:t>
            </w:r>
          </w:p>
        </w:tc>
        <w:tc>
          <w:tcPr>
            <w:tcW w:w="1276" w:type="dxa"/>
            <w:tcBorders>
              <w:top w:val="nil"/>
              <w:left w:val="nil"/>
              <w:bottom w:val="single" w:sz="4" w:space="0" w:color="auto"/>
              <w:right w:val="single" w:sz="4" w:space="0" w:color="auto"/>
            </w:tcBorders>
            <w:shd w:val="clear" w:color="auto" w:fill="auto"/>
            <w:noWrap/>
            <w:vAlign w:val="center"/>
          </w:tcPr>
          <w:p w:rsidR="00905336" w:rsidRPr="000513F8" w:rsidRDefault="00905336" w:rsidP="00E139B1">
            <w:pPr>
              <w:ind w:left="0"/>
              <w:jc w:val="right"/>
              <w:rPr>
                <w:rFonts w:ascii="Bookman Old Style" w:hAnsi="Bookman Old Style" w:cs="Calibri"/>
                <w:color w:val="000000"/>
                <w:sz w:val="16"/>
                <w:szCs w:val="16"/>
                <w:lang w:val="es-CO" w:eastAsia="es-CO"/>
              </w:rPr>
            </w:pPr>
            <w:r>
              <w:rPr>
                <w:rFonts w:ascii="Bookman Old Style" w:hAnsi="Bookman Old Style" w:cs="Calibri"/>
                <w:color w:val="000000"/>
                <w:sz w:val="16"/>
                <w:szCs w:val="16"/>
                <w:lang w:val="es-CO" w:eastAsia="es-CO"/>
              </w:rPr>
              <w:t>156.297.994</w:t>
            </w:r>
          </w:p>
        </w:tc>
        <w:tc>
          <w:tcPr>
            <w:tcW w:w="1276"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c>
          <w:tcPr>
            <w:tcW w:w="1134"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r>
      <w:tr w:rsidR="00905336" w:rsidRPr="000513F8" w:rsidTr="00E139B1">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905336" w:rsidRPr="000513F8" w:rsidRDefault="00905336" w:rsidP="00E139B1">
            <w:pPr>
              <w:ind w:left="0"/>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3T2</w:t>
            </w:r>
          </w:p>
        </w:tc>
        <w:tc>
          <w:tcPr>
            <w:tcW w:w="4677" w:type="dxa"/>
            <w:tcBorders>
              <w:top w:val="nil"/>
              <w:left w:val="nil"/>
              <w:bottom w:val="single" w:sz="4" w:space="0" w:color="auto"/>
              <w:right w:val="single" w:sz="4" w:space="0" w:color="auto"/>
            </w:tcBorders>
            <w:shd w:val="clear" w:color="auto" w:fill="auto"/>
            <w:vAlign w:val="center"/>
            <w:hideMark/>
          </w:tcPr>
          <w:p w:rsidR="00905336" w:rsidRPr="000513F8" w:rsidRDefault="00905336" w:rsidP="00E139B1">
            <w:pPr>
              <w:ind w:left="0"/>
              <w:jc w:val="both"/>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3000 m3/h - tren sencillo - sin medidor</w:t>
            </w:r>
          </w:p>
        </w:tc>
        <w:tc>
          <w:tcPr>
            <w:tcW w:w="1276" w:type="dxa"/>
            <w:tcBorders>
              <w:top w:val="nil"/>
              <w:left w:val="nil"/>
              <w:bottom w:val="single" w:sz="4" w:space="0" w:color="auto"/>
              <w:right w:val="single" w:sz="4" w:space="0" w:color="auto"/>
            </w:tcBorders>
            <w:shd w:val="clear" w:color="auto" w:fill="auto"/>
            <w:noWrap/>
            <w:vAlign w:val="center"/>
          </w:tcPr>
          <w:p w:rsidR="00905336" w:rsidRPr="000513F8" w:rsidRDefault="00905336" w:rsidP="00E139B1">
            <w:pPr>
              <w:ind w:left="0"/>
              <w:jc w:val="right"/>
              <w:rPr>
                <w:rFonts w:ascii="Bookman Old Style" w:hAnsi="Bookman Old Style" w:cs="Calibri"/>
                <w:color w:val="000000"/>
                <w:sz w:val="16"/>
                <w:szCs w:val="16"/>
                <w:lang w:val="es-CO" w:eastAsia="es-CO"/>
              </w:rPr>
            </w:pPr>
            <w:r>
              <w:rPr>
                <w:rFonts w:ascii="Bookman Old Style" w:hAnsi="Bookman Old Style" w:cs="Calibri"/>
                <w:color w:val="000000"/>
                <w:sz w:val="16"/>
                <w:szCs w:val="16"/>
                <w:lang w:val="es-CO" w:eastAsia="es-CO"/>
              </w:rPr>
              <w:t>120.229.226</w:t>
            </w:r>
          </w:p>
        </w:tc>
        <w:tc>
          <w:tcPr>
            <w:tcW w:w="1276"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c>
          <w:tcPr>
            <w:tcW w:w="1134"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r>
      <w:tr w:rsidR="00905336" w:rsidRPr="000513F8" w:rsidTr="00E139B1">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905336" w:rsidRPr="000513F8" w:rsidRDefault="00905336" w:rsidP="00E139B1">
            <w:pPr>
              <w:ind w:left="0"/>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3T3</w:t>
            </w:r>
          </w:p>
        </w:tc>
        <w:tc>
          <w:tcPr>
            <w:tcW w:w="4677" w:type="dxa"/>
            <w:tcBorders>
              <w:top w:val="nil"/>
              <w:left w:val="nil"/>
              <w:bottom w:val="single" w:sz="4" w:space="0" w:color="auto"/>
              <w:right w:val="single" w:sz="4" w:space="0" w:color="auto"/>
            </w:tcBorders>
            <w:shd w:val="clear" w:color="auto" w:fill="auto"/>
            <w:vAlign w:val="center"/>
            <w:hideMark/>
          </w:tcPr>
          <w:p w:rsidR="00905336" w:rsidRPr="000513F8" w:rsidRDefault="00905336" w:rsidP="00E139B1">
            <w:pPr>
              <w:ind w:left="0"/>
              <w:jc w:val="both"/>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3000 m3/h - tren paralelo - con medidor</w:t>
            </w:r>
          </w:p>
        </w:tc>
        <w:tc>
          <w:tcPr>
            <w:tcW w:w="1276" w:type="dxa"/>
            <w:tcBorders>
              <w:top w:val="nil"/>
              <w:left w:val="nil"/>
              <w:bottom w:val="single" w:sz="4" w:space="0" w:color="auto"/>
              <w:right w:val="single" w:sz="4" w:space="0" w:color="auto"/>
            </w:tcBorders>
            <w:shd w:val="clear" w:color="auto" w:fill="auto"/>
            <w:noWrap/>
            <w:vAlign w:val="center"/>
          </w:tcPr>
          <w:p w:rsidR="00905336" w:rsidRPr="000513F8" w:rsidRDefault="00905336" w:rsidP="00E139B1">
            <w:pPr>
              <w:ind w:left="0"/>
              <w:jc w:val="right"/>
              <w:rPr>
                <w:rFonts w:ascii="Bookman Old Style" w:hAnsi="Bookman Old Style" w:cs="Calibri"/>
                <w:color w:val="000000"/>
                <w:sz w:val="16"/>
                <w:szCs w:val="16"/>
                <w:lang w:val="es-CO" w:eastAsia="es-CO"/>
              </w:rPr>
            </w:pPr>
            <w:r w:rsidRPr="00677FCF">
              <w:rPr>
                <w:rFonts w:ascii="Bookman Old Style" w:hAnsi="Bookman Old Style" w:cs="Calibri"/>
                <w:color w:val="000000"/>
                <w:sz w:val="16"/>
                <w:szCs w:val="16"/>
                <w:lang w:val="es-CO" w:eastAsia="es-CO"/>
              </w:rPr>
              <w:t>219</w:t>
            </w:r>
            <w:r>
              <w:rPr>
                <w:rFonts w:ascii="Bookman Old Style" w:hAnsi="Bookman Old Style" w:cs="Calibri"/>
                <w:color w:val="000000"/>
                <w:sz w:val="16"/>
                <w:szCs w:val="16"/>
                <w:lang w:val="es-CO" w:eastAsia="es-CO"/>
              </w:rPr>
              <w:t>.</w:t>
            </w:r>
            <w:r w:rsidRPr="00677FCF">
              <w:rPr>
                <w:rFonts w:ascii="Bookman Old Style" w:hAnsi="Bookman Old Style" w:cs="Calibri"/>
                <w:color w:val="000000"/>
                <w:sz w:val="16"/>
                <w:szCs w:val="16"/>
                <w:lang w:val="es-CO" w:eastAsia="es-CO"/>
              </w:rPr>
              <w:t>418</w:t>
            </w:r>
            <w:r>
              <w:rPr>
                <w:rFonts w:ascii="Bookman Old Style" w:hAnsi="Bookman Old Style" w:cs="Calibri"/>
                <w:color w:val="000000"/>
                <w:sz w:val="16"/>
                <w:szCs w:val="16"/>
                <w:lang w:val="es-CO" w:eastAsia="es-CO"/>
              </w:rPr>
              <w:t>.</w:t>
            </w:r>
            <w:r w:rsidRPr="00677FCF">
              <w:rPr>
                <w:rFonts w:ascii="Bookman Old Style" w:hAnsi="Bookman Old Style" w:cs="Calibri"/>
                <w:color w:val="000000"/>
                <w:sz w:val="16"/>
                <w:szCs w:val="16"/>
                <w:lang w:val="es-CO" w:eastAsia="es-CO"/>
              </w:rPr>
              <w:t>338</w:t>
            </w:r>
          </w:p>
        </w:tc>
        <w:tc>
          <w:tcPr>
            <w:tcW w:w="1276"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c>
          <w:tcPr>
            <w:tcW w:w="1134"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r>
      <w:tr w:rsidR="00905336" w:rsidRPr="000513F8" w:rsidTr="00E139B1">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905336" w:rsidRPr="000513F8" w:rsidRDefault="00905336" w:rsidP="00E139B1">
            <w:pPr>
              <w:ind w:left="0"/>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3T4</w:t>
            </w:r>
          </w:p>
        </w:tc>
        <w:tc>
          <w:tcPr>
            <w:tcW w:w="4677" w:type="dxa"/>
            <w:tcBorders>
              <w:top w:val="nil"/>
              <w:left w:val="nil"/>
              <w:bottom w:val="single" w:sz="4" w:space="0" w:color="auto"/>
              <w:right w:val="single" w:sz="4" w:space="0" w:color="auto"/>
            </w:tcBorders>
            <w:shd w:val="clear" w:color="auto" w:fill="auto"/>
            <w:vAlign w:val="center"/>
            <w:hideMark/>
          </w:tcPr>
          <w:p w:rsidR="00905336" w:rsidRPr="000513F8" w:rsidRDefault="00905336" w:rsidP="00E139B1">
            <w:pPr>
              <w:ind w:left="0"/>
              <w:jc w:val="both"/>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3000 m3/h - tren paralelo - sin medidor</w:t>
            </w:r>
          </w:p>
        </w:tc>
        <w:tc>
          <w:tcPr>
            <w:tcW w:w="1276" w:type="dxa"/>
            <w:tcBorders>
              <w:top w:val="nil"/>
              <w:left w:val="nil"/>
              <w:bottom w:val="single" w:sz="4" w:space="0" w:color="auto"/>
              <w:right w:val="single" w:sz="4" w:space="0" w:color="auto"/>
            </w:tcBorders>
            <w:shd w:val="clear" w:color="auto" w:fill="auto"/>
            <w:noWrap/>
            <w:vAlign w:val="center"/>
          </w:tcPr>
          <w:p w:rsidR="00905336" w:rsidRPr="000513F8" w:rsidRDefault="00905336" w:rsidP="00E139B1">
            <w:pPr>
              <w:jc w:val="right"/>
              <w:rPr>
                <w:rFonts w:ascii="Bookman Old Style" w:hAnsi="Bookman Old Style" w:cs="Calibri"/>
                <w:color w:val="000000"/>
                <w:sz w:val="16"/>
                <w:szCs w:val="16"/>
                <w:lang w:val="es-CO" w:eastAsia="es-CO"/>
              </w:rPr>
            </w:pPr>
            <w:r>
              <w:rPr>
                <w:rFonts w:ascii="Bookman Old Style" w:hAnsi="Bookman Old Style" w:cs="Arial"/>
                <w:color w:val="000000"/>
                <w:sz w:val="16"/>
                <w:szCs w:val="16"/>
              </w:rPr>
              <w:t>168.320.917</w:t>
            </w:r>
          </w:p>
        </w:tc>
        <w:tc>
          <w:tcPr>
            <w:tcW w:w="1276"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c>
          <w:tcPr>
            <w:tcW w:w="1134"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r>
      <w:tr w:rsidR="00905336" w:rsidRPr="000513F8" w:rsidTr="00E139B1">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905336" w:rsidRPr="000513F8" w:rsidRDefault="00905336" w:rsidP="00E139B1">
            <w:pPr>
              <w:ind w:left="0"/>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5T1</w:t>
            </w:r>
          </w:p>
        </w:tc>
        <w:tc>
          <w:tcPr>
            <w:tcW w:w="4677" w:type="dxa"/>
            <w:tcBorders>
              <w:top w:val="nil"/>
              <w:left w:val="nil"/>
              <w:bottom w:val="single" w:sz="4" w:space="0" w:color="auto"/>
              <w:right w:val="single" w:sz="4" w:space="0" w:color="auto"/>
            </w:tcBorders>
            <w:shd w:val="clear" w:color="auto" w:fill="auto"/>
            <w:vAlign w:val="center"/>
            <w:hideMark/>
          </w:tcPr>
          <w:p w:rsidR="00905336" w:rsidRPr="000513F8" w:rsidRDefault="00905336" w:rsidP="00E139B1">
            <w:pPr>
              <w:ind w:left="0"/>
              <w:jc w:val="both"/>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5000 m3/h - tren sencillo - con medidor</w:t>
            </w:r>
          </w:p>
        </w:tc>
        <w:tc>
          <w:tcPr>
            <w:tcW w:w="1276" w:type="dxa"/>
            <w:tcBorders>
              <w:top w:val="nil"/>
              <w:left w:val="nil"/>
              <w:bottom w:val="single" w:sz="4" w:space="0" w:color="auto"/>
              <w:right w:val="single" w:sz="4" w:space="0" w:color="auto"/>
            </w:tcBorders>
            <w:shd w:val="clear" w:color="auto" w:fill="auto"/>
            <w:noWrap/>
            <w:vAlign w:val="center"/>
          </w:tcPr>
          <w:p w:rsidR="00905336" w:rsidRPr="000513F8" w:rsidRDefault="00905336" w:rsidP="00E139B1">
            <w:pPr>
              <w:jc w:val="right"/>
              <w:rPr>
                <w:rFonts w:ascii="Bookman Old Style" w:hAnsi="Bookman Old Style" w:cs="Calibri"/>
                <w:color w:val="000000"/>
                <w:sz w:val="16"/>
                <w:szCs w:val="16"/>
                <w:lang w:val="es-CO" w:eastAsia="es-CO"/>
              </w:rPr>
            </w:pPr>
            <w:r>
              <w:rPr>
                <w:rFonts w:ascii="Bookman Old Style" w:hAnsi="Bookman Old Style" w:cs="Arial"/>
                <w:color w:val="000000"/>
                <w:sz w:val="16"/>
                <w:szCs w:val="16"/>
              </w:rPr>
              <w:t>159.303.725</w:t>
            </w:r>
          </w:p>
        </w:tc>
        <w:tc>
          <w:tcPr>
            <w:tcW w:w="1276"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c>
          <w:tcPr>
            <w:tcW w:w="1134"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r>
      <w:tr w:rsidR="00905336" w:rsidRPr="000513F8" w:rsidTr="00E139B1">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905336" w:rsidRPr="000513F8" w:rsidRDefault="00905336" w:rsidP="00E139B1">
            <w:pPr>
              <w:ind w:left="0"/>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5T2</w:t>
            </w:r>
          </w:p>
        </w:tc>
        <w:tc>
          <w:tcPr>
            <w:tcW w:w="4677" w:type="dxa"/>
            <w:tcBorders>
              <w:top w:val="nil"/>
              <w:left w:val="nil"/>
              <w:bottom w:val="single" w:sz="4" w:space="0" w:color="auto"/>
              <w:right w:val="single" w:sz="4" w:space="0" w:color="auto"/>
            </w:tcBorders>
            <w:shd w:val="clear" w:color="auto" w:fill="auto"/>
            <w:vAlign w:val="center"/>
            <w:hideMark/>
          </w:tcPr>
          <w:p w:rsidR="00905336" w:rsidRPr="000513F8" w:rsidRDefault="00905336" w:rsidP="00E139B1">
            <w:pPr>
              <w:ind w:left="0"/>
              <w:jc w:val="both"/>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5000 m3/h - tren sencillo - sin medidor</w:t>
            </w:r>
          </w:p>
        </w:tc>
        <w:tc>
          <w:tcPr>
            <w:tcW w:w="1276" w:type="dxa"/>
            <w:tcBorders>
              <w:top w:val="nil"/>
              <w:left w:val="nil"/>
              <w:bottom w:val="single" w:sz="4" w:space="0" w:color="auto"/>
              <w:right w:val="single" w:sz="4" w:space="0" w:color="auto"/>
            </w:tcBorders>
            <w:shd w:val="clear" w:color="auto" w:fill="auto"/>
            <w:noWrap/>
            <w:vAlign w:val="center"/>
          </w:tcPr>
          <w:p w:rsidR="00905336" w:rsidRPr="000513F8" w:rsidRDefault="00905336" w:rsidP="00E139B1">
            <w:pPr>
              <w:jc w:val="right"/>
              <w:rPr>
                <w:rFonts w:ascii="Bookman Old Style" w:hAnsi="Bookman Old Style" w:cs="Calibri"/>
                <w:color w:val="000000"/>
                <w:sz w:val="16"/>
                <w:szCs w:val="16"/>
                <w:lang w:val="es-CO" w:eastAsia="es-CO"/>
              </w:rPr>
            </w:pPr>
            <w:r>
              <w:rPr>
                <w:rFonts w:ascii="Bookman Old Style" w:hAnsi="Bookman Old Style" w:cs="Arial"/>
                <w:color w:val="000000"/>
                <w:sz w:val="16"/>
                <w:szCs w:val="16"/>
              </w:rPr>
              <w:t>123.234.957</w:t>
            </w:r>
          </w:p>
        </w:tc>
        <w:tc>
          <w:tcPr>
            <w:tcW w:w="1276"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c>
          <w:tcPr>
            <w:tcW w:w="1134"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r>
      <w:tr w:rsidR="00905336" w:rsidRPr="000513F8" w:rsidTr="00E139B1">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905336" w:rsidRPr="000513F8" w:rsidRDefault="00905336" w:rsidP="00E139B1">
            <w:pPr>
              <w:ind w:left="0"/>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5T3</w:t>
            </w:r>
          </w:p>
        </w:tc>
        <w:tc>
          <w:tcPr>
            <w:tcW w:w="4677" w:type="dxa"/>
            <w:tcBorders>
              <w:top w:val="nil"/>
              <w:left w:val="nil"/>
              <w:bottom w:val="single" w:sz="4" w:space="0" w:color="auto"/>
              <w:right w:val="single" w:sz="4" w:space="0" w:color="auto"/>
            </w:tcBorders>
            <w:shd w:val="clear" w:color="auto" w:fill="auto"/>
            <w:vAlign w:val="center"/>
            <w:hideMark/>
          </w:tcPr>
          <w:p w:rsidR="00905336" w:rsidRPr="000513F8" w:rsidRDefault="00905336" w:rsidP="00E139B1">
            <w:pPr>
              <w:ind w:left="0"/>
              <w:jc w:val="both"/>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5000 m3/h - tren paralelo - con medidor</w:t>
            </w:r>
          </w:p>
        </w:tc>
        <w:tc>
          <w:tcPr>
            <w:tcW w:w="1276" w:type="dxa"/>
            <w:tcBorders>
              <w:top w:val="nil"/>
              <w:left w:val="nil"/>
              <w:bottom w:val="single" w:sz="4" w:space="0" w:color="auto"/>
              <w:right w:val="single" w:sz="4" w:space="0" w:color="auto"/>
            </w:tcBorders>
            <w:shd w:val="clear" w:color="auto" w:fill="auto"/>
            <w:noWrap/>
            <w:vAlign w:val="center"/>
          </w:tcPr>
          <w:p w:rsidR="00905336" w:rsidRPr="000513F8" w:rsidRDefault="00905336" w:rsidP="00E139B1">
            <w:pPr>
              <w:jc w:val="right"/>
              <w:rPr>
                <w:rFonts w:ascii="Bookman Old Style" w:hAnsi="Bookman Old Style" w:cs="Calibri"/>
                <w:color w:val="000000"/>
                <w:sz w:val="16"/>
                <w:szCs w:val="16"/>
                <w:lang w:val="es-CO" w:eastAsia="es-CO"/>
              </w:rPr>
            </w:pPr>
            <w:r>
              <w:rPr>
                <w:rFonts w:ascii="Bookman Old Style" w:hAnsi="Bookman Old Style" w:cs="Arial"/>
                <w:color w:val="000000"/>
                <w:sz w:val="16"/>
                <w:szCs w:val="16"/>
              </w:rPr>
              <w:t>222.424.069</w:t>
            </w:r>
          </w:p>
        </w:tc>
        <w:tc>
          <w:tcPr>
            <w:tcW w:w="1276"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c>
          <w:tcPr>
            <w:tcW w:w="1134"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r>
      <w:tr w:rsidR="00905336" w:rsidRPr="000513F8" w:rsidTr="00E139B1">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905336" w:rsidRPr="000513F8" w:rsidRDefault="00905336" w:rsidP="00E139B1">
            <w:pPr>
              <w:ind w:left="0"/>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5T4</w:t>
            </w:r>
          </w:p>
        </w:tc>
        <w:tc>
          <w:tcPr>
            <w:tcW w:w="4677" w:type="dxa"/>
            <w:tcBorders>
              <w:top w:val="nil"/>
              <w:left w:val="nil"/>
              <w:bottom w:val="single" w:sz="4" w:space="0" w:color="auto"/>
              <w:right w:val="single" w:sz="4" w:space="0" w:color="auto"/>
            </w:tcBorders>
            <w:shd w:val="clear" w:color="auto" w:fill="auto"/>
            <w:vAlign w:val="center"/>
            <w:hideMark/>
          </w:tcPr>
          <w:p w:rsidR="00905336" w:rsidRPr="000513F8" w:rsidRDefault="00905336" w:rsidP="00E139B1">
            <w:pPr>
              <w:ind w:left="0"/>
              <w:jc w:val="both"/>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5000 m3/h - tren paralelo - sin medidor</w:t>
            </w:r>
          </w:p>
        </w:tc>
        <w:tc>
          <w:tcPr>
            <w:tcW w:w="1276" w:type="dxa"/>
            <w:tcBorders>
              <w:top w:val="nil"/>
              <w:left w:val="nil"/>
              <w:bottom w:val="single" w:sz="4" w:space="0" w:color="auto"/>
              <w:right w:val="single" w:sz="4" w:space="0" w:color="auto"/>
            </w:tcBorders>
            <w:shd w:val="clear" w:color="auto" w:fill="auto"/>
            <w:noWrap/>
            <w:vAlign w:val="center"/>
          </w:tcPr>
          <w:p w:rsidR="00905336" w:rsidRPr="000513F8" w:rsidRDefault="00905336" w:rsidP="00E139B1">
            <w:pPr>
              <w:jc w:val="right"/>
              <w:rPr>
                <w:rFonts w:ascii="Bookman Old Style" w:hAnsi="Bookman Old Style" w:cs="Calibri"/>
                <w:color w:val="000000"/>
                <w:sz w:val="16"/>
                <w:szCs w:val="16"/>
                <w:lang w:val="es-CO" w:eastAsia="es-CO"/>
              </w:rPr>
            </w:pPr>
            <w:r>
              <w:rPr>
                <w:rFonts w:ascii="Bookman Old Style" w:hAnsi="Bookman Old Style" w:cs="Arial"/>
                <w:color w:val="000000"/>
                <w:sz w:val="16"/>
                <w:szCs w:val="16"/>
              </w:rPr>
              <w:t>172.829.513</w:t>
            </w:r>
          </w:p>
        </w:tc>
        <w:tc>
          <w:tcPr>
            <w:tcW w:w="1276"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c>
          <w:tcPr>
            <w:tcW w:w="1134"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r>
      <w:tr w:rsidR="00905336" w:rsidRPr="000513F8" w:rsidTr="00E139B1">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905336" w:rsidRPr="000513F8" w:rsidRDefault="00905336" w:rsidP="00E139B1">
            <w:pPr>
              <w:ind w:left="0"/>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8T1</w:t>
            </w:r>
          </w:p>
        </w:tc>
        <w:tc>
          <w:tcPr>
            <w:tcW w:w="4677" w:type="dxa"/>
            <w:tcBorders>
              <w:top w:val="nil"/>
              <w:left w:val="nil"/>
              <w:bottom w:val="single" w:sz="4" w:space="0" w:color="auto"/>
              <w:right w:val="single" w:sz="4" w:space="0" w:color="auto"/>
            </w:tcBorders>
            <w:shd w:val="clear" w:color="auto" w:fill="auto"/>
            <w:vAlign w:val="center"/>
            <w:hideMark/>
          </w:tcPr>
          <w:p w:rsidR="00905336" w:rsidRPr="000513F8" w:rsidRDefault="00905336" w:rsidP="00E139B1">
            <w:pPr>
              <w:ind w:left="0"/>
              <w:jc w:val="both"/>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8000 m3/h - tren sencillo - con medidor</w:t>
            </w:r>
          </w:p>
        </w:tc>
        <w:tc>
          <w:tcPr>
            <w:tcW w:w="1276" w:type="dxa"/>
            <w:tcBorders>
              <w:top w:val="nil"/>
              <w:left w:val="nil"/>
              <w:bottom w:val="single" w:sz="4" w:space="0" w:color="auto"/>
              <w:right w:val="single" w:sz="4" w:space="0" w:color="auto"/>
            </w:tcBorders>
            <w:shd w:val="clear" w:color="auto" w:fill="auto"/>
            <w:noWrap/>
            <w:vAlign w:val="center"/>
          </w:tcPr>
          <w:p w:rsidR="00905336" w:rsidRPr="000513F8" w:rsidRDefault="00905336" w:rsidP="00E139B1">
            <w:pPr>
              <w:jc w:val="right"/>
              <w:rPr>
                <w:rFonts w:ascii="Bookman Old Style" w:hAnsi="Bookman Old Style" w:cs="Calibri"/>
                <w:color w:val="000000"/>
                <w:sz w:val="16"/>
                <w:szCs w:val="16"/>
                <w:lang w:val="es-CO" w:eastAsia="es-CO"/>
              </w:rPr>
            </w:pPr>
            <w:r>
              <w:rPr>
                <w:rFonts w:ascii="Bookman Old Style" w:hAnsi="Bookman Old Style" w:cs="Arial"/>
                <w:color w:val="000000"/>
                <w:sz w:val="16"/>
                <w:szCs w:val="16"/>
              </w:rPr>
              <w:t>193.869.628</w:t>
            </w:r>
          </w:p>
        </w:tc>
        <w:tc>
          <w:tcPr>
            <w:tcW w:w="1276"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c>
          <w:tcPr>
            <w:tcW w:w="1134"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r>
      <w:tr w:rsidR="00905336" w:rsidRPr="000513F8" w:rsidTr="00E139B1">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905336" w:rsidRPr="000513F8" w:rsidRDefault="00905336" w:rsidP="00E139B1">
            <w:pPr>
              <w:ind w:left="0"/>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8T2</w:t>
            </w:r>
          </w:p>
        </w:tc>
        <w:tc>
          <w:tcPr>
            <w:tcW w:w="4677" w:type="dxa"/>
            <w:tcBorders>
              <w:top w:val="nil"/>
              <w:left w:val="nil"/>
              <w:bottom w:val="single" w:sz="4" w:space="0" w:color="auto"/>
              <w:right w:val="single" w:sz="4" w:space="0" w:color="auto"/>
            </w:tcBorders>
            <w:shd w:val="clear" w:color="auto" w:fill="auto"/>
            <w:vAlign w:val="center"/>
            <w:hideMark/>
          </w:tcPr>
          <w:p w:rsidR="00905336" w:rsidRPr="000513F8" w:rsidRDefault="00905336" w:rsidP="00E139B1">
            <w:pPr>
              <w:ind w:left="0"/>
              <w:jc w:val="both"/>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8000 m3/h - tren sencillo - sin medidor</w:t>
            </w:r>
          </w:p>
        </w:tc>
        <w:tc>
          <w:tcPr>
            <w:tcW w:w="1276" w:type="dxa"/>
            <w:tcBorders>
              <w:top w:val="nil"/>
              <w:left w:val="nil"/>
              <w:bottom w:val="single" w:sz="4" w:space="0" w:color="auto"/>
              <w:right w:val="single" w:sz="4" w:space="0" w:color="auto"/>
            </w:tcBorders>
            <w:shd w:val="clear" w:color="auto" w:fill="auto"/>
            <w:noWrap/>
            <w:vAlign w:val="center"/>
          </w:tcPr>
          <w:p w:rsidR="00905336" w:rsidRPr="000513F8" w:rsidRDefault="00905336" w:rsidP="00E139B1">
            <w:pPr>
              <w:jc w:val="right"/>
              <w:rPr>
                <w:rFonts w:ascii="Bookman Old Style" w:hAnsi="Bookman Old Style" w:cs="Calibri"/>
                <w:color w:val="000000"/>
                <w:sz w:val="16"/>
                <w:szCs w:val="16"/>
                <w:lang w:val="es-CO" w:eastAsia="es-CO"/>
              </w:rPr>
            </w:pPr>
            <w:r>
              <w:rPr>
                <w:rFonts w:ascii="Bookman Old Style" w:hAnsi="Bookman Old Style" w:cs="Arial"/>
                <w:color w:val="000000"/>
                <w:sz w:val="16"/>
                <w:szCs w:val="16"/>
              </w:rPr>
              <w:t>147.280.802</w:t>
            </w:r>
          </w:p>
        </w:tc>
        <w:tc>
          <w:tcPr>
            <w:tcW w:w="1276"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c>
          <w:tcPr>
            <w:tcW w:w="1134"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r>
      <w:tr w:rsidR="00905336" w:rsidRPr="000513F8" w:rsidTr="00E139B1">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905336" w:rsidRPr="000513F8" w:rsidRDefault="00905336" w:rsidP="00E139B1">
            <w:pPr>
              <w:ind w:left="0"/>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8T3</w:t>
            </w:r>
          </w:p>
        </w:tc>
        <w:tc>
          <w:tcPr>
            <w:tcW w:w="4677" w:type="dxa"/>
            <w:tcBorders>
              <w:top w:val="nil"/>
              <w:left w:val="nil"/>
              <w:bottom w:val="single" w:sz="4" w:space="0" w:color="auto"/>
              <w:right w:val="single" w:sz="4" w:space="0" w:color="auto"/>
            </w:tcBorders>
            <w:shd w:val="clear" w:color="auto" w:fill="auto"/>
            <w:vAlign w:val="center"/>
            <w:hideMark/>
          </w:tcPr>
          <w:p w:rsidR="00905336" w:rsidRPr="000513F8" w:rsidRDefault="00905336" w:rsidP="00E139B1">
            <w:pPr>
              <w:ind w:left="0"/>
              <w:jc w:val="both"/>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8000 m3/h - tren paralelo - con medidor</w:t>
            </w:r>
          </w:p>
        </w:tc>
        <w:tc>
          <w:tcPr>
            <w:tcW w:w="1276" w:type="dxa"/>
            <w:tcBorders>
              <w:top w:val="nil"/>
              <w:left w:val="nil"/>
              <w:bottom w:val="single" w:sz="4" w:space="0" w:color="auto"/>
              <w:right w:val="single" w:sz="4" w:space="0" w:color="auto"/>
            </w:tcBorders>
            <w:shd w:val="clear" w:color="auto" w:fill="auto"/>
            <w:noWrap/>
            <w:vAlign w:val="center"/>
          </w:tcPr>
          <w:p w:rsidR="00905336" w:rsidRPr="000513F8" w:rsidRDefault="00905336" w:rsidP="00E139B1">
            <w:pPr>
              <w:jc w:val="right"/>
              <w:rPr>
                <w:rFonts w:ascii="Bookman Old Style" w:hAnsi="Bookman Old Style" w:cs="Calibri"/>
                <w:color w:val="000000"/>
                <w:sz w:val="16"/>
                <w:szCs w:val="16"/>
                <w:lang w:val="es-CO" w:eastAsia="es-CO"/>
              </w:rPr>
            </w:pPr>
            <w:r>
              <w:rPr>
                <w:rFonts w:ascii="Bookman Old Style" w:hAnsi="Bookman Old Style" w:cs="Arial"/>
                <w:color w:val="000000"/>
                <w:sz w:val="16"/>
                <w:szCs w:val="16"/>
              </w:rPr>
              <w:t>272.018.625</w:t>
            </w:r>
          </w:p>
        </w:tc>
        <w:tc>
          <w:tcPr>
            <w:tcW w:w="1276"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 xml:space="preserve">   272.003.012 </w:t>
            </w:r>
          </w:p>
        </w:tc>
        <w:tc>
          <w:tcPr>
            <w:tcW w:w="1134"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 xml:space="preserve"> 272.004.136 </w:t>
            </w:r>
          </w:p>
        </w:tc>
      </w:tr>
      <w:tr w:rsidR="00905336" w:rsidRPr="000513F8" w:rsidTr="00E139B1">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905336" w:rsidRPr="000513F8" w:rsidRDefault="00905336" w:rsidP="00E139B1">
            <w:pPr>
              <w:ind w:left="0"/>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8T4</w:t>
            </w:r>
          </w:p>
        </w:tc>
        <w:tc>
          <w:tcPr>
            <w:tcW w:w="4677" w:type="dxa"/>
            <w:tcBorders>
              <w:top w:val="nil"/>
              <w:left w:val="nil"/>
              <w:bottom w:val="single" w:sz="4" w:space="0" w:color="auto"/>
              <w:right w:val="single" w:sz="4" w:space="0" w:color="auto"/>
            </w:tcBorders>
            <w:shd w:val="clear" w:color="auto" w:fill="auto"/>
            <w:vAlign w:val="center"/>
            <w:hideMark/>
          </w:tcPr>
          <w:p w:rsidR="00905336" w:rsidRPr="000513F8" w:rsidRDefault="00905336" w:rsidP="00E139B1">
            <w:pPr>
              <w:ind w:left="0"/>
              <w:jc w:val="both"/>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8000 m3/h - tren paralelo - sin medidor</w:t>
            </w:r>
          </w:p>
        </w:tc>
        <w:tc>
          <w:tcPr>
            <w:tcW w:w="1276" w:type="dxa"/>
            <w:tcBorders>
              <w:top w:val="nil"/>
              <w:left w:val="nil"/>
              <w:bottom w:val="single" w:sz="4" w:space="0" w:color="auto"/>
              <w:right w:val="single" w:sz="4" w:space="0" w:color="auto"/>
            </w:tcBorders>
            <w:shd w:val="clear" w:color="auto" w:fill="auto"/>
            <w:noWrap/>
            <w:vAlign w:val="center"/>
          </w:tcPr>
          <w:p w:rsidR="00905336" w:rsidRPr="000513F8" w:rsidRDefault="00905336" w:rsidP="00E139B1">
            <w:pPr>
              <w:jc w:val="right"/>
              <w:rPr>
                <w:rFonts w:ascii="Bookman Old Style" w:hAnsi="Bookman Old Style" w:cs="Calibri"/>
                <w:color w:val="000000"/>
                <w:sz w:val="16"/>
                <w:szCs w:val="16"/>
                <w:lang w:val="es-CO" w:eastAsia="es-CO"/>
              </w:rPr>
            </w:pPr>
            <w:r>
              <w:rPr>
                <w:rFonts w:ascii="Bookman Old Style" w:hAnsi="Bookman Old Style" w:cs="Arial"/>
                <w:color w:val="000000"/>
                <w:sz w:val="16"/>
                <w:szCs w:val="16"/>
              </w:rPr>
              <w:t>205.892.550</w:t>
            </w:r>
          </w:p>
        </w:tc>
        <w:tc>
          <w:tcPr>
            <w:tcW w:w="1276"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 xml:space="preserve">   205.880.733 </w:t>
            </w:r>
          </w:p>
        </w:tc>
        <w:tc>
          <w:tcPr>
            <w:tcW w:w="1134"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r>
      <w:tr w:rsidR="00905336" w:rsidRPr="000513F8" w:rsidTr="00E139B1">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905336" w:rsidRPr="000513F8" w:rsidRDefault="00905336" w:rsidP="00E139B1">
            <w:pPr>
              <w:ind w:left="0"/>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10T1</w:t>
            </w:r>
          </w:p>
        </w:tc>
        <w:tc>
          <w:tcPr>
            <w:tcW w:w="4677" w:type="dxa"/>
            <w:tcBorders>
              <w:top w:val="nil"/>
              <w:left w:val="nil"/>
              <w:bottom w:val="single" w:sz="4" w:space="0" w:color="auto"/>
              <w:right w:val="single" w:sz="4" w:space="0" w:color="auto"/>
            </w:tcBorders>
            <w:shd w:val="clear" w:color="auto" w:fill="auto"/>
            <w:vAlign w:val="center"/>
            <w:hideMark/>
          </w:tcPr>
          <w:p w:rsidR="00905336" w:rsidRPr="000513F8" w:rsidRDefault="00905336" w:rsidP="00E139B1">
            <w:pPr>
              <w:ind w:left="0"/>
              <w:jc w:val="both"/>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10000 m3/h - tren sencillo - con medidor</w:t>
            </w:r>
          </w:p>
        </w:tc>
        <w:tc>
          <w:tcPr>
            <w:tcW w:w="1276" w:type="dxa"/>
            <w:tcBorders>
              <w:top w:val="nil"/>
              <w:left w:val="nil"/>
              <w:bottom w:val="single" w:sz="4" w:space="0" w:color="auto"/>
              <w:right w:val="single" w:sz="4" w:space="0" w:color="auto"/>
            </w:tcBorders>
            <w:shd w:val="clear" w:color="auto" w:fill="auto"/>
            <w:noWrap/>
            <w:vAlign w:val="center"/>
          </w:tcPr>
          <w:p w:rsidR="00905336" w:rsidRPr="000513F8" w:rsidRDefault="00905336" w:rsidP="00E139B1">
            <w:pPr>
              <w:jc w:val="right"/>
              <w:rPr>
                <w:rFonts w:ascii="Bookman Old Style" w:hAnsi="Bookman Old Style" w:cs="Calibri"/>
                <w:color w:val="000000"/>
                <w:sz w:val="16"/>
                <w:szCs w:val="16"/>
                <w:lang w:val="es-CO" w:eastAsia="es-CO"/>
              </w:rPr>
            </w:pPr>
            <w:r>
              <w:rPr>
                <w:rFonts w:ascii="Bookman Old Style" w:hAnsi="Bookman Old Style" w:cs="Arial"/>
                <w:color w:val="000000"/>
                <w:sz w:val="16"/>
                <w:szCs w:val="16"/>
              </w:rPr>
              <w:t>207.395.415</w:t>
            </w:r>
          </w:p>
        </w:tc>
        <w:tc>
          <w:tcPr>
            <w:tcW w:w="1276"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r>
      <w:tr w:rsidR="00905336" w:rsidRPr="000513F8" w:rsidTr="00E139B1">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905336" w:rsidRPr="000513F8" w:rsidRDefault="00905336" w:rsidP="00E139B1">
            <w:pPr>
              <w:ind w:left="0"/>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10T2</w:t>
            </w:r>
          </w:p>
        </w:tc>
        <w:tc>
          <w:tcPr>
            <w:tcW w:w="4677" w:type="dxa"/>
            <w:tcBorders>
              <w:top w:val="nil"/>
              <w:left w:val="nil"/>
              <w:bottom w:val="single" w:sz="4" w:space="0" w:color="auto"/>
              <w:right w:val="single" w:sz="4" w:space="0" w:color="auto"/>
            </w:tcBorders>
            <w:shd w:val="clear" w:color="auto" w:fill="auto"/>
            <w:vAlign w:val="center"/>
            <w:hideMark/>
          </w:tcPr>
          <w:p w:rsidR="00905336" w:rsidRPr="000513F8" w:rsidRDefault="00905336" w:rsidP="00E139B1">
            <w:pPr>
              <w:ind w:left="0"/>
              <w:jc w:val="both"/>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10000 m3/h - tren sencillo - sin medidor</w:t>
            </w:r>
          </w:p>
        </w:tc>
        <w:tc>
          <w:tcPr>
            <w:tcW w:w="1276" w:type="dxa"/>
            <w:tcBorders>
              <w:top w:val="nil"/>
              <w:left w:val="nil"/>
              <w:bottom w:val="single" w:sz="4" w:space="0" w:color="auto"/>
              <w:right w:val="single" w:sz="4" w:space="0" w:color="auto"/>
            </w:tcBorders>
            <w:shd w:val="clear" w:color="auto" w:fill="auto"/>
            <w:noWrap/>
            <w:vAlign w:val="center"/>
          </w:tcPr>
          <w:p w:rsidR="00905336" w:rsidRPr="000513F8" w:rsidRDefault="00905336" w:rsidP="00E139B1">
            <w:pPr>
              <w:jc w:val="right"/>
              <w:rPr>
                <w:rFonts w:ascii="Bookman Old Style" w:hAnsi="Bookman Old Style" w:cs="Calibri"/>
                <w:color w:val="000000"/>
                <w:sz w:val="16"/>
                <w:szCs w:val="16"/>
                <w:lang w:val="es-CO" w:eastAsia="es-CO"/>
              </w:rPr>
            </w:pPr>
            <w:r>
              <w:rPr>
                <w:rFonts w:ascii="Bookman Old Style" w:hAnsi="Bookman Old Style" w:cs="Arial"/>
                <w:color w:val="000000"/>
                <w:sz w:val="16"/>
                <w:szCs w:val="16"/>
              </w:rPr>
              <w:t>162.309.456</w:t>
            </w:r>
          </w:p>
        </w:tc>
        <w:tc>
          <w:tcPr>
            <w:tcW w:w="1276"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 xml:space="preserve">   162.300.140 </w:t>
            </w:r>
          </w:p>
        </w:tc>
        <w:tc>
          <w:tcPr>
            <w:tcW w:w="1134"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r>
      <w:tr w:rsidR="00905336" w:rsidRPr="000513F8" w:rsidTr="00E139B1">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905336" w:rsidRPr="000513F8" w:rsidRDefault="00905336" w:rsidP="00E139B1">
            <w:pPr>
              <w:ind w:left="0"/>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10T3</w:t>
            </w:r>
          </w:p>
        </w:tc>
        <w:tc>
          <w:tcPr>
            <w:tcW w:w="4677" w:type="dxa"/>
            <w:tcBorders>
              <w:top w:val="nil"/>
              <w:left w:val="nil"/>
              <w:bottom w:val="single" w:sz="4" w:space="0" w:color="auto"/>
              <w:right w:val="single" w:sz="4" w:space="0" w:color="auto"/>
            </w:tcBorders>
            <w:shd w:val="clear" w:color="auto" w:fill="auto"/>
            <w:vAlign w:val="center"/>
            <w:hideMark/>
          </w:tcPr>
          <w:p w:rsidR="00905336" w:rsidRPr="000513F8" w:rsidRDefault="00905336" w:rsidP="00E139B1">
            <w:pPr>
              <w:ind w:left="0"/>
              <w:jc w:val="both"/>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10000 m3/h - tren paralelo - con medidor</w:t>
            </w:r>
          </w:p>
        </w:tc>
        <w:tc>
          <w:tcPr>
            <w:tcW w:w="1276" w:type="dxa"/>
            <w:tcBorders>
              <w:top w:val="nil"/>
              <w:left w:val="nil"/>
              <w:bottom w:val="single" w:sz="4" w:space="0" w:color="auto"/>
              <w:right w:val="single" w:sz="4" w:space="0" w:color="auto"/>
            </w:tcBorders>
            <w:shd w:val="clear" w:color="auto" w:fill="auto"/>
            <w:noWrap/>
            <w:vAlign w:val="center"/>
          </w:tcPr>
          <w:p w:rsidR="00905336" w:rsidRPr="000513F8" w:rsidRDefault="00905336" w:rsidP="00E139B1">
            <w:pPr>
              <w:jc w:val="right"/>
              <w:rPr>
                <w:rFonts w:ascii="Bookman Old Style" w:hAnsi="Bookman Old Style" w:cs="Calibri"/>
                <w:color w:val="000000"/>
                <w:sz w:val="16"/>
                <w:szCs w:val="16"/>
                <w:lang w:val="es-CO" w:eastAsia="es-CO"/>
              </w:rPr>
            </w:pPr>
            <w:r>
              <w:rPr>
                <w:rFonts w:ascii="Bookman Old Style" w:hAnsi="Bookman Old Style" w:cs="Arial"/>
                <w:color w:val="000000"/>
                <w:sz w:val="16"/>
                <w:szCs w:val="16"/>
              </w:rPr>
              <w:t>291.555.874</w:t>
            </w:r>
          </w:p>
        </w:tc>
        <w:tc>
          <w:tcPr>
            <w:tcW w:w="1276"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c>
          <w:tcPr>
            <w:tcW w:w="1134"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r>
      <w:tr w:rsidR="00905336" w:rsidRPr="000513F8" w:rsidTr="00E139B1">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905336" w:rsidRPr="000513F8" w:rsidRDefault="00905336" w:rsidP="00E139B1">
            <w:pPr>
              <w:ind w:left="0"/>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10T4</w:t>
            </w:r>
          </w:p>
        </w:tc>
        <w:tc>
          <w:tcPr>
            <w:tcW w:w="4677" w:type="dxa"/>
            <w:tcBorders>
              <w:top w:val="nil"/>
              <w:left w:val="nil"/>
              <w:bottom w:val="single" w:sz="4" w:space="0" w:color="auto"/>
              <w:right w:val="single" w:sz="4" w:space="0" w:color="auto"/>
            </w:tcBorders>
            <w:shd w:val="clear" w:color="auto" w:fill="auto"/>
            <w:vAlign w:val="center"/>
            <w:hideMark/>
          </w:tcPr>
          <w:p w:rsidR="00905336" w:rsidRPr="000513F8" w:rsidRDefault="00905336" w:rsidP="00E139B1">
            <w:pPr>
              <w:ind w:left="0"/>
              <w:jc w:val="both"/>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10000 m3/h - tren paralelo - sin medidor</w:t>
            </w:r>
          </w:p>
        </w:tc>
        <w:tc>
          <w:tcPr>
            <w:tcW w:w="1276" w:type="dxa"/>
            <w:tcBorders>
              <w:top w:val="nil"/>
              <w:left w:val="nil"/>
              <w:bottom w:val="single" w:sz="4" w:space="0" w:color="auto"/>
              <w:right w:val="single" w:sz="4" w:space="0" w:color="auto"/>
            </w:tcBorders>
            <w:shd w:val="clear" w:color="auto" w:fill="auto"/>
            <w:noWrap/>
            <w:vAlign w:val="center"/>
          </w:tcPr>
          <w:p w:rsidR="00905336" w:rsidRPr="000513F8" w:rsidRDefault="00905336" w:rsidP="00E139B1">
            <w:pPr>
              <w:jc w:val="right"/>
              <w:rPr>
                <w:rFonts w:ascii="Bookman Old Style" w:hAnsi="Bookman Old Style" w:cs="Calibri"/>
                <w:color w:val="000000"/>
                <w:sz w:val="16"/>
                <w:szCs w:val="16"/>
                <w:lang w:val="es-CO" w:eastAsia="es-CO"/>
              </w:rPr>
            </w:pPr>
            <w:r>
              <w:rPr>
                <w:rFonts w:ascii="Bookman Old Style" w:hAnsi="Bookman Old Style" w:cs="Arial"/>
                <w:color w:val="000000"/>
                <w:sz w:val="16"/>
                <w:szCs w:val="16"/>
              </w:rPr>
              <w:t>226.932.665</w:t>
            </w:r>
          </w:p>
        </w:tc>
        <w:tc>
          <w:tcPr>
            <w:tcW w:w="1276"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c>
          <w:tcPr>
            <w:tcW w:w="1134"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r>
      <w:tr w:rsidR="00905336" w:rsidRPr="000513F8" w:rsidTr="00E139B1">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905336" w:rsidRPr="000513F8" w:rsidRDefault="00905336" w:rsidP="00E139B1">
            <w:pPr>
              <w:ind w:left="0"/>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35T1</w:t>
            </w:r>
          </w:p>
        </w:tc>
        <w:tc>
          <w:tcPr>
            <w:tcW w:w="4677" w:type="dxa"/>
            <w:tcBorders>
              <w:top w:val="nil"/>
              <w:left w:val="nil"/>
              <w:bottom w:val="single" w:sz="4" w:space="0" w:color="auto"/>
              <w:right w:val="single" w:sz="4" w:space="0" w:color="auto"/>
            </w:tcBorders>
            <w:shd w:val="clear" w:color="auto" w:fill="auto"/>
            <w:vAlign w:val="center"/>
            <w:hideMark/>
          </w:tcPr>
          <w:p w:rsidR="00905336" w:rsidRPr="000513F8" w:rsidRDefault="00905336" w:rsidP="00E139B1">
            <w:pPr>
              <w:ind w:left="0"/>
              <w:jc w:val="both"/>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35000 m3/h - tren sencillo - con medidor</w:t>
            </w:r>
          </w:p>
        </w:tc>
        <w:tc>
          <w:tcPr>
            <w:tcW w:w="1276" w:type="dxa"/>
            <w:tcBorders>
              <w:top w:val="nil"/>
              <w:left w:val="nil"/>
              <w:bottom w:val="single" w:sz="4" w:space="0" w:color="auto"/>
              <w:right w:val="single" w:sz="4" w:space="0" w:color="auto"/>
            </w:tcBorders>
            <w:shd w:val="clear" w:color="auto" w:fill="auto"/>
            <w:noWrap/>
            <w:vAlign w:val="center"/>
          </w:tcPr>
          <w:p w:rsidR="00905336" w:rsidRPr="000513F8" w:rsidRDefault="00905336" w:rsidP="00E139B1">
            <w:pPr>
              <w:jc w:val="right"/>
              <w:rPr>
                <w:rFonts w:ascii="Bookman Old Style" w:hAnsi="Bookman Old Style" w:cs="Calibri"/>
                <w:color w:val="000000"/>
                <w:sz w:val="16"/>
                <w:szCs w:val="16"/>
                <w:lang w:val="es-CO" w:eastAsia="es-CO"/>
              </w:rPr>
            </w:pPr>
            <w:r>
              <w:rPr>
                <w:rFonts w:ascii="Bookman Old Style" w:hAnsi="Bookman Old Style" w:cs="Arial"/>
                <w:color w:val="000000"/>
                <w:sz w:val="16"/>
                <w:szCs w:val="16"/>
              </w:rPr>
              <w:t>339.647.564</w:t>
            </w:r>
          </w:p>
        </w:tc>
        <w:tc>
          <w:tcPr>
            <w:tcW w:w="1276"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c>
          <w:tcPr>
            <w:tcW w:w="1134"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r>
      <w:tr w:rsidR="00905336" w:rsidRPr="000513F8" w:rsidTr="00E139B1">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905336" w:rsidRPr="000513F8" w:rsidRDefault="00905336" w:rsidP="00E139B1">
            <w:pPr>
              <w:ind w:left="0"/>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35T2</w:t>
            </w:r>
          </w:p>
        </w:tc>
        <w:tc>
          <w:tcPr>
            <w:tcW w:w="4677" w:type="dxa"/>
            <w:tcBorders>
              <w:top w:val="nil"/>
              <w:left w:val="nil"/>
              <w:bottom w:val="single" w:sz="4" w:space="0" w:color="auto"/>
              <w:right w:val="single" w:sz="4" w:space="0" w:color="auto"/>
            </w:tcBorders>
            <w:shd w:val="clear" w:color="auto" w:fill="auto"/>
            <w:vAlign w:val="center"/>
            <w:hideMark/>
          </w:tcPr>
          <w:p w:rsidR="00905336" w:rsidRPr="000513F8" w:rsidRDefault="00905336" w:rsidP="00E139B1">
            <w:pPr>
              <w:ind w:left="0"/>
              <w:jc w:val="both"/>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35000 m3/h - tren sencillo - sin medidor</w:t>
            </w:r>
          </w:p>
        </w:tc>
        <w:tc>
          <w:tcPr>
            <w:tcW w:w="1276" w:type="dxa"/>
            <w:tcBorders>
              <w:top w:val="nil"/>
              <w:left w:val="nil"/>
              <w:bottom w:val="single" w:sz="4" w:space="0" w:color="auto"/>
              <w:right w:val="single" w:sz="4" w:space="0" w:color="auto"/>
            </w:tcBorders>
            <w:shd w:val="clear" w:color="auto" w:fill="auto"/>
            <w:noWrap/>
            <w:vAlign w:val="center"/>
          </w:tcPr>
          <w:p w:rsidR="00905336" w:rsidRPr="000513F8" w:rsidRDefault="00905336" w:rsidP="00E139B1">
            <w:pPr>
              <w:jc w:val="right"/>
              <w:rPr>
                <w:rFonts w:ascii="Bookman Old Style" w:hAnsi="Bookman Old Style" w:cs="Calibri"/>
                <w:color w:val="000000"/>
                <w:sz w:val="16"/>
                <w:szCs w:val="16"/>
                <w:lang w:val="es-CO" w:eastAsia="es-CO"/>
              </w:rPr>
            </w:pPr>
            <w:r>
              <w:rPr>
                <w:rFonts w:ascii="Bookman Old Style" w:hAnsi="Bookman Old Style" w:cs="Arial"/>
                <w:color w:val="000000"/>
                <w:sz w:val="16"/>
                <w:szCs w:val="16"/>
              </w:rPr>
              <w:t>293.058.739</w:t>
            </w:r>
          </w:p>
        </w:tc>
        <w:tc>
          <w:tcPr>
            <w:tcW w:w="1276"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c>
          <w:tcPr>
            <w:tcW w:w="1134"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r>
      <w:tr w:rsidR="00905336" w:rsidRPr="000513F8" w:rsidTr="00E139B1">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905336" w:rsidRPr="000513F8" w:rsidRDefault="00905336" w:rsidP="00E139B1">
            <w:pPr>
              <w:ind w:left="0"/>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35T3</w:t>
            </w:r>
          </w:p>
        </w:tc>
        <w:tc>
          <w:tcPr>
            <w:tcW w:w="4677" w:type="dxa"/>
            <w:tcBorders>
              <w:top w:val="nil"/>
              <w:left w:val="nil"/>
              <w:bottom w:val="single" w:sz="4" w:space="0" w:color="auto"/>
              <w:right w:val="single" w:sz="4" w:space="0" w:color="auto"/>
            </w:tcBorders>
            <w:shd w:val="clear" w:color="auto" w:fill="auto"/>
            <w:vAlign w:val="center"/>
            <w:hideMark/>
          </w:tcPr>
          <w:p w:rsidR="00905336" w:rsidRPr="000513F8" w:rsidRDefault="00905336" w:rsidP="00E139B1">
            <w:pPr>
              <w:ind w:left="0"/>
              <w:jc w:val="both"/>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35000 m3/h - tren paralelo - con medidor</w:t>
            </w:r>
          </w:p>
        </w:tc>
        <w:tc>
          <w:tcPr>
            <w:tcW w:w="1276" w:type="dxa"/>
            <w:tcBorders>
              <w:top w:val="nil"/>
              <w:left w:val="nil"/>
              <w:bottom w:val="single" w:sz="4" w:space="0" w:color="auto"/>
              <w:right w:val="single" w:sz="4" w:space="0" w:color="auto"/>
            </w:tcBorders>
            <w:shd w:val="clear" w:color="auto" w:fill="auto"/>
            <w:noWrap/>
            <w:vAlign w:val="center"/>
          </w:tcPr>
          <w:p w:rsidR="00905336" w:rsidRPr="000513F8" w:rsidRDefault="00905336" w:rsidP="00E139B1">
            <w:pPr>
              <w:jc w:val="right"/>
              <w:rPr>
                <w:rFonts w:ascii="Bookman Old Style" w:hAnsi="Bookman Old Style" w:cs="Calibri"/>
                <w:color w:val="000000"/>
                <w:sz w:val="16"/>
                <w:szCs w:val="16"/>
                <w:lang w:val="es-CO" w:eastAsia="es-CO"/>
              </w:rPr>
            </w:pPr>
            <w:r>
              <w:rPr>
                <w:rFonts w:ascii="Bookman Old Style" w:hAnsi="Bookman Old Style" w:cs="Arial"/>
                <w:color w:val="000000"/>
                <w:sz w:val="16"/>
                <w:szCs w:val="16"/>
              </w:rPr>
              <w:t>476.408.309</w:t>
            </w:r>
          </w:p>
        </w:tc>
        <w:tc>
          <w:tcPr>
            <w:tcW w:w="1276"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c>
          <w:tcPr>
            <w:tcW w:w="1134"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r>
      <w:tr w:rsidR="00905336" w:rsidRPr="000513F8" w:rsidTr="00E139B1">
        <w:trPr>
          <w:trHeight w:val="3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905336" w:rsidRPr="000513F8" w:rsidRDefault="00905336" w:rsidP="00E139B1">
            <w:pPr>
              <w:ind w:left="0"/>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35T4</w:t>
            </w:r>
          </w:p>
        </w:tc>
        <w:tc>
          <w:tcPr>
            <w:tcW w:w="4677" w:type="dxa"/>
            <w:tcBorders>
              <w:top w:val="nil"/>
              <w:left w:val="nil"/>
              <w:bottom w:val="single" w:sz="4" w:space="0" w:color="auto"/>
              <w:right w:val="single" w:sz="4" w:space="0" w:color="auto"/>
            </w:tcBorders>
            <w:shd w:val="clear" w:color="auto" w:fill="auto"/>
            <w:vAlign w:val="center"/>
            <w:hideMark/>
          </w:tcPr>
          <w:p w:rsidR="00905336" w:rsidRPr="000513F8" w:rsidRDefault="00905336" w:rsidP="00E139B1">
            <w:pPr>
              <w:ind w:left="0"/>
              <w:jc w:val="both"/>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ERP 35000 m3/h - tren paralelo - sin medidor</w:t>
            </w:r>
          </w:p>
        </w:tc>
        <w:tc>
          <w:tcPr>
            <w:tcW w:w="1276" w:type="dxa"/>
            <w:tcBorders>
              <w:top w:val="nil"/>
              <w:left w:val="nil"/>
              <w:bottom w:val="single" w:sz="4" w:space="0" w:color="auto"/>
              <w:right w:val="single" w:sz="4" w:space="0" w:color="auto"/>
            </w:tcBorders>
            <w:shd w:val="clear" w:color="auto" w:fill="auto"/>
            <w:noWrap/>
            <w:vAlign w:val="center"/>
          </w:tcPr>
          <w:p w:rsidR="00905336" w:rsidRPr="000513F8" w:rsidRDefault="00905336" w:rsidP="00E139B1">
            <w:pPr>
              <w:jc w:val="right"/>
              <w:rPr>
                <w:rFonts w:ascii="Bookman Old Style" w:hAnsi="Bookman Old Style" w:cs="Calibri"/>
                <w:color w:val="000000"/>
                <w:sz w:val="16"/>
                <w:szCs w:val="16"/>
                <w:lang w:val="es-CO" w:eastAsia="es-CO"/>
              </w:rPr>
            </w:pPr>
            <w:r>
              <w:rPr>
                <w:rFonts w:ascii="Bookman Old Style" w:hAnsi="Bookman Old Style" w:cs="Arial"/>
                <w:color w:val="000000"/>
                <w:sz w:val="16"/>
                <w:szCs w:val="16"/>
              </w:rPr>
              <w:t>410.282.235</w:t>
            </w:r>
          </w:p>
        </w:tc>
        <w:tc>
          <w:tcPr>
            <w:tcW w:w="1276"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c>
          <w:tcPr>
            <w:tcW w:w="1134" w:type="dxa"/>
            <w:tcBorders>
              <w:top w:val="nil"/>
              <w:left w:val="nil"/>
              <w:bottom w:val="single" w:sz="4" w:space="0" w:color="auto"/>
              <w:right w:val="single" w:sz="4" w:space="0" w:color="auto"/>
            </w:tcBorders>
            <w:shd w:val="clear" w:color="auto" w:fill="auto"/>
            <w:noWrap/>
            <w:vAlign w:val="center"/>
            <w:hideMark/>
          </w:tcPr>
          <w:p w:rsidR="00905336" w:rsidRPr="000513F8" w:rsidRDefault="00905336" w:rsidP="00E139B1">
            <w:pPr>
              <w:ind w:left="0"/>
              <w:jc w:val="right"/>
              <w:rPr>
                <w:rFonts w:ascii="Bookman Old Style" w:hAnsi="Bookman Old Style" w:cs="Calibri"/>
                <w:color w:val="000000"/>
                <w:sz w:val="16"/>
                <w:szCs w:val="16"/>
                <w:lang w:val="es-CO" w:eastAsia="es-CO"/>
              </w:rPr>
            </w:pPr>
            <w:r w:rsidRPr="000513F8">
              <w:rPr>
                <w:rFonts w:ascii="Bookman Old Style" w:hAnsi="Bookman Old Style" w:cs="Calibri"/>
                <w:color w:val="000000"/>
                <w:sz w:val="16"/>
                <w:szCs w:val="16"/>
                <w:lang w:val="es-CO" w:eastAsia="es-CO"/>
              </w:rPr>
              <w:t>-</w:t>
            </w:r>
          </w:p>
        </w:tc>
      </w:tr>
    </w:tbl>
    <w:p w:rsidR="00905336" w:rsidRDefault="00905336" w:rsidP="0029186D">
      <w:pPr>
        <w:ind w:left="0"/>
        <w:jc w:val="both"/>
        <w:rPr>
          <w:rFonts w:ascii="Bookman Old Style" w:hAnsi="Bookman Old Style"/>
          <w:color w:val="000000"/>
          <w:sz w:val="22"/>
          <w:szCs w:val="22"/>
          <w:lang w:val="es-CO" w:eastAsia="es-CO"/>
        </w:rPr>
      </w:pPr>
    </w:p>
    <w:p w:rsidR="00905336" w:rsidRDefault="00905336" w:rsidP="0029186D">
      <w:pPr>
        <w:ind w:left="0"/>
        <w:jc w:val="both"/>
        <w:rPr>
          <w:rFonts w:ascii="Bookman Old Style" w:hAnsi="Bookman Old Style"/>
          <w:color w:val="000000"/>
          <w:sz w:val="22"/>
          <w:szCs w:val="22"/>
          <w:lang w:val="es-CO" w:eastAsia="es-CO"/>
        </w:rPr>
      </w:pPr>
      <w:r>
        <w:rPr>
          <w:rFonts w:ascii="Bookman Old Style" w:hAnsi="Bookman Old Style"/>
          <w:color w:val="000000"/>
          <w:sz w:val="22"/>
          <w:szCs w:val="22"/>
          <w:lang w:val="es-CO" w:eastAsia="es-CO"/>
        </w:rPr>
        <w:t>Nota.</w:t>
      </w:r>
    </w:p>
    <w:p w:rsidR="00905336" w:rsidRDefault="00905336" w:rsidP="0029186D">
      <w:pPr>
        <w:ind w:left="0"/>
        <w:jc w:val="both"/>
        <w:rPr>
          <w:rFonts w:ascii="Bookman Old Style" w:hAnsi="Bookman Old Style"/>
          <w:color w:val="000000"/>
          <w:sz w:val="22"/>
          <w:szCs w:val="22"/>
          <w:lang w:val="es-CO" w:eastAsia="es-CO"/>
        </w:rPr>
      </w:pPr>
    </w:p>
    <w:p w:rsidR="0029186D" w:rsidRDefault="0029186D" w:rsidP="0029186D">
      <w:pPr>
        <w:ind w:left="0"/>
        <w:jc w:val="both"/>
        <w:rPr>
          <w:rFonts w:ascii="Bookman Old Style" w:hAnsi="Bookman Old Style"/>
          <w:color w:val="000000"/>
          <w:sz w:val="22"/>
          <w:szCs w:val="22"/>
          <w:lang w:val="es-CO" w:eastAsia="es-CO"/>
        </w:rPr>
      </w:pPr>
      <w:r>
        <w:rPr>
          <w:rFonts w:ascii="Bookman Old Style" w:hAnsi="Bookman Old Style"/>
          <w:color w:val="000000"/>
          <w:sz w:val="22"/>
          <w:szCs w:val="22"/>
          <w:lang w:val="es-CO" w:eastAsia="es-CO"/>
        </w:rPr>
        <w:t>Grupo A. General, para toda Colombia.</w:t>
      </w:r>
    </w:p>
    <w:p w:rsidR="0029186D" w:rsidRDefault="0029186D" w:rsidP="0029186D">
      <w:pPr>
        <w:ind w:left="0"/>
        <w:jc w:val="both"/>
        <w:rPr>
          <w:rFonts w:ascii="Bookman Old Style" w:hAnsi="Bookman Old Style"/>
          <w:color w:val="000000"/>
          <w:sz w:val="22"/>
          <w:szCs w:val="22"/>
          <w:lang w:val="es-CO" w:eastAsia="es-CO"/>
        </w:rPr>
      </w:pPr>
      <w:r>
        <w:rPr>
          <w:rFonts w:ascii="Bookman Old Style" w:hAnsi="Bookman Old Style"/>
          <w:color w:val="000000"/>
          <w:sz w:val="22"/>
          <w:szCs w:val="22"/>
          <w:lang w:val="es-CO" w:eastAsia="es-CO"/>
        </w:rPr>
        <w:t xml:space="preserve">Grupo B. Específico, para Bogotá.  </w:t>
      </w:r>
    </w:p>
    <w:p w:rsidR="0029186D" w:rsidRDefault="0029186D" w:rsidP="0029186D">
      <w:pPr>
        <w:ind w:left="0"/>
        <w:jc w:val="both"/>
        <w:rPr>
          <w:rFonts w:ascii="Bookman Old Style" w:hAnsi="Bookman Old Style"/>
          <w:b/>
          <w:sz w:val="22"/>
          <w:szCs w:val="22"/>
          <w:lang w:val="es-CO"/>
        </w:rPr>
      </w:pPr>
      <w:r>
        <w:rPr>
          <w:rFonts w:ascii="Bookman Old Style" w:hAnsi="Bookman Old Style"/>
          <w:color w:val="000000"/>
          <w:sz w:val="22"/>
          <w:szCs w:val="22"/>
          <w:lang w:val="es-CO" w:eastAsia="es-CO"/>
        </w:rPr>
        <w:t>Grupo C. Específico, para Antioquia (Barbosa, Girardota, Copacabana, Bello, Medellín, Envigado, Itagüí, Sabaneta, La Estrella y Caldas)</w:t>
      </w:r>
    </w:p>
    <w:p w:rsidR="0029186D" w:rsidRDefault="0029186D" w:rsidP="0029186D">
      <w:pPr>
        <w:ind w:left="0"/>
        <w:jc w:val="center"/>
        <w:rPr>
          <w:rFonts w:ascii="Bookman Old Style" w:hAnsi="Bookman Old Style"/>
          <w:b/>
          <w:lang w:val="es-CO"/>
        </w:rPr>
      </w:pPr>
    </w:p>
    <w:p w:rsidR="0029186D" w:rsidRDefault="0029186D" w:rsidP="0029186D">
      <w:pPr>
        <w:ind w:left="0"/>
        <w:jc w:val="center"/>
        <w:rPr>
          <w:rFonts w:ascii="Bookman Old Style" w:hAnsi="Bookman Old Style"/>
          <w:b/>
          <w:lang w:val="es-CO"/>
        </w:rPr>
      </w:pPr>
    </w:p>
    <w:p w:rsidR="0029186D" w:rsidRDefault="0029186D" w:rsidP="0029186D">
      <w:pPr>
        <w:ind w:left="0"/>
        <w:jc w:val="center"/>
        <w:rPr>
          <w:rFonts w:ascii="Bookman Old Style" w:hAnsi="Bookman Old Style"/>
          <w:b/>
          <w:lang w:val="es-CO"/>
        </w:rPr>
      </w:pPr>
    </w:p>
    <w:p w:rsidR="0029186D" w:rsidRDefault="0029186D" w:rsidP="0029186D">
      <w:pPr>
        <w:ind w:left="0"/>
        <w:jc w:val="center"/>
        <w:rPr>
          <w:rFonts w:ascii="Bookman Old Style" w:hAnsi="Bookman Old Style"/>
          <w:b/>
          <w:lang w:val="es-CO"/>
        </w:rPr>
      </w:pPr>
    </w:p>
    <w:p w:rsidR="0029186D" w:rsidRDefault="0029186D" w:rsidP="0029186D">
      <w:pPr>
        <w:ind w:left="0"/>
        <w:jc w:val="center"/>
        <w:rPr>
          <w:rFonts w:ascii="Bookman Old Style" w:hAnsi="Bookman Old Style"/>
          <w:b/>
          <w:lang w:val="es-CO"/>
        </w:rPr>
      </w:pPr>
    </w:p>
    <w:tbl>
      <w:tblPr>
        <w:tblW w:w="9570" w:type="dxa"/>
        <w:jc w:val="right"/>
        <w:tblLayout w:type="fixed"/>
        <w:tblCellMar>
          <w:left w:w="70" w:type="dxa"/>
          <w:right w:w="70" w:type="dxa"/>
        </w:tblCellMar>
        <w:tblLook w:val="04A0" w:firstRow="1" w:lastRow="0" w:firstColumn="1" w:lastColumn="0" w:noHBand="0" w:noVBand="1"/>
      </w:tblPr>
      <w:tblGrid>
        <w:gridCol w:w="4875"/>
        <w:gridCol w:w="4695"/>
      </w:tblGrid>
      <w:tr w:rsidR="0029186D" w:rsidTr="0029186D">
        <w:trPr>
          <w:jc w:val="right"/>
        </w:trPr>
        <w:tc>
          <w:tcPr>
            <w:tcW w:w="4875" w:type="dxa"/>
            <w:hideMark/>
          </w:tcPr>
          <w:p w:rsidR="0029186D" w:rsidRDefault="0029186D" w:rsidP="0029186D">
            <w:pPr>
              <w:ind w:left="0"/>
              <w:jc w:val="center"/>
              <w:rPr>
                <w:rFonts w:ascii="Bookman Old Style" w:hAnsi="Bookman Old Style" w:cs="Arial"/>
                <w:spacing w:val="-3"/>
                <w:lang w:val="es-ES_tradnl"/>
              </w:rPr>
            </w:pPr>
            <w:r>
              <w:rPr>
                <w:rFonts w:ascii="Bookman Old Style" w:hAnsi="Bookman Old Style" w:cs="Arial"/>
                <w:b/>
                <w:color w:val="000000"/>
              </w:rPr>
              <w:t>ORLANDO CABRALES SEGOVIA</w:t>
            </w:r>
          </w:p>
        </w:tc>
        <w:tc>
          <w:tcPr>
            <w:tcW w:w="4695" w:type="dxa"/>
            <w:hideMark/>
          </w:tcPr>
          <w:p w:rsidR="0029186D" w:rsidRDefault="0029186D" w:rsidP="0029186D">
            <w:pPr>
              <w:jc w:val="center"/>
              <w:rPr>
                <w:rFonts w:ascii="Bookman Old Style" w:hAnsi="Bookman Old Style" w:cs="Arial"/>
                <w:spacing w:val="-3"/>
                <w:lang w:val="es-ES_tradnl"/>
              </w:rPr>
            </w:pPr>
            <w:r w:rsidRPr="000B65DE">
              <w:rPr>
                <w:rFonts w:ascii="Bookman Old Style" w:hAnsi="Bookman Old Style" w:cs="Arial"/>
                <w:b/>
                <w:spacing w:val="-3"/>
                <w:lang w:val="es-ES_tradnl"/>
              </w:rPr>
              <w:t>GERMÁN CASTRO FERREIRA</w:t>
            </w:r>
          </w:p>
        </w:tc>
      </w:tr>
      <w:tr w:rsidR="0029186D" w:rsidTr="0029186D">
        <w:trPr>
          <w:jc w:val="right"/>
        </w:trPr>
        <w:tc>
          <w:tcPr>
            <w:tcW w:w="4875" w:type="dxa"/>
            <w:hideMark/>
          </w:tcPr>
          <w:tbl>
            <w:tblPr>
              <w:tblW w:w="4891" w:type="dxa"/>
              <w:tblLayout w:type="fixed"/>
              <w:tblCellMar>
                <w:left w:w="0" w:type="dxa"/>
                <w:right w:w="0" w:type="dxa"/>
              </w:tblCellMar>
              <w:tblLook w:val="04A0" w:firstRow="1" w:lastRow="0" w:firstColumn="1" w:lastColumn="0" w:noHBand="0" w:noVBand="1"/>
            </w:tblPr>
            <w:tblGrid>
              <w:gridCol w:w="4891"/>
            </w:tblGrid>
            <w:tr w:rsidR="0029186D" w:rsidTr="0029186D">
              <w:tc>
                <w:tcPr>
                  <w:tcW w:w="4891" w:type="dxa"/>
                  <w:hideMark/>
                </w:tcPr>
                <w:p w:rsidR="0029186D" w:rsidRDefault="0029186D" w:rsidP="0029186D">
                  <w:pPr>
                    <w:snapToGrid w:val="0"/>
                    <w:ind w:left="0"/>
                    <w:jc w:val="center"/>
                    <w:rPr>
                      <w:rFonts w:ascii="Bookman Old Style" w:hAnsi="Bookman Old Style" w:cs="Arial"/>
                      <w:color w:val="000000"/>
                    </w:rPr>
                  </w:pPr>
                  <w:r>
                    <w:rPr>
                      <w:rFonts w:ascii="Bookman Old Style" w:hAnsi="Bookman Old Style" w:cs="Arial"/>
                      <w:color w:val="000000"/>
                    </w:rPr>
                    <w:t>Viceministro de Energía</w:t>
                  </w:r>
                </w:p>
                <w:p w:rsidR="0029186D" w:rsidRDefault="0029186D" w:rsidP="00834DA6">
                  <w:pPr>
                    <w:snapToGrid w:val="0"/>
                    <w:ind w:left="0"/>
                    <w:jc w:val="center"/>
                    <w:rPr>
                      <w:rFonts w:ascii="Bookman Old Style" w:hAnsi="Bookman Old Style" w:cs="Arial"/>
                      <w:color w:val="000000"/>
                    </w:rPr>
                  </w:pPr>
                  <w:r>
                    <w:rPr>
                      <w:rFonts w:ascii="Bookman Old Style" w:hAnsi="Bookman Old Style" w:cs="Arial"/>
                      <w:color w:val="000000"/>
                    </w:rPr>
                    <w:t>Delegado del Ministro de Minas y Energía</w:t>
                  </w:r>
                </w:p>
              </w:tc>
            </w:tr>
            <w:tr w:rsidR="0029186D" w:rsidTr="0029186D">
              <w:tc>
                <w:tcPr>
                  <w:tcW w:w="4891" w:type="dxa"/>
                  <w:hideMark/>
                </w:tcPr>
                <w:p w:rsidR="0029186D" w:rsidRDefault="0029186D" w:rsidP="0029186D">
                  <w:pPr>
                    <w:snapToGrid w:val="0"/>
                    <w:ind w:left="0"/>
                    <w:jc w:val="center"/>
                    <w:rPr>
                      <w:rFonts w:ascii="Bookman Old Style" w:hAnsi="Bookman Old Style" w:cs="Arial"/>
                      <w:color w:val="000000"/>
                    </w:rPr>
                  </w:pPr>
                  <w:r>
                    <w:rPr>
                      <w:rFonts w:ascii="Bookman Old Style" w:hAnsi="Bookman Old Style" w:cs="Arial"/>
                      <w:color w:val="000000"/>
                    </w:rPr>
                    <w:t>Presidente</w:t>
                  </w:r>
                </w:p>
              </w:tc>
            </w:tr>
          </w:tbl>
          <w:p w:rsidR="0029186D" w:rsidRDefault="0029186D" w:rsidP="0029186D">
            <w:pPr>
              <w:jc w:val="center"/>
              <w:rPr>
                <w:rFonts w:ascii="Bookman Old Style" w:hAnsi="Bookman Old Style" w:cs="Arial"/>
                <w:spacing w:val="-3"/>
              </w:rPr>
            </w:pPr>
          </w:p>
        </w:tc>
        <w:tc>
          <w:tcPr>
            <w:tcW w:w="4695" w:type="dxa"/>
          </w:tcPr>
          <w:p w:rsidR="0029186D" w:rsidRDefault="0029186D" w:rsidP="0029186D">
            <w:pPr>
              <w:jc w:val="center"/>
              <w:rPr>
                <w:rFonts w:ascii="Bookman Old Style" w:hAnsi="Bookman Old Style" w:cs="Arial"/>
                <w:spacing w:val="-3"/>
              </w:rPr>
            </w:pPr>
            <w:r w:rsidRPr="000B65DE">
              <w:rPr>
                <w:rFonts w:ascii="Bookman Old Style" w:hAnsi="Bookman Old Style" w:cs="Arial"/>
                <w:spacing w:val="-3"/>
                <w:lang w:val="es-ES_tradnl"/>
              </w:rPr>
              <w:t>Director Ejecutivo</w:t>
            </w:r>
          </w:p>
        </w:tc>
      </w:tr>
    </w:tbl>
    <w:p w:rsidR="000B65DE" w:rsidRPr="000B65DE" w:rsidRDefault="000B65DE" w:rsidP="000B65DE">
      <w:pPr>
        <w:ind w:left="0"/>
        <w:jc w:val="center"/>
        <w:rPr>
          <w:rFonts w:ascii="Bookman Old Style" w:hAnsi="Bookman Old Style"/>
          <w:b/>
          <w:lang w:val="es-CO"/>
        </w:rPr>
      </w:pPr>
    </w:p>
    <w:p w:rsidR="0029186D" w:rsidRDefault="0029186D">
      <w:pPr>
        <w:ind w:left="0"/>
        <w:rPr>
          <w:rFonts w:ascii="Bookman Old Style" w:hAnsi="Bookman Old Style"/>
          <w:b/>
          <w:lang w:val="es-CO"/>
        </w:rPr>
      </w:pPr>
      <w:r>
        <w:rPr>
          <w:rFonts w:ascii="Bookman Old Style" w:hAnsi="Bookman Old Style"/>
          <w:b/>
          <w:lang w:val="es-CO"/>
        </w:rPr>
        <w:br w:type="page"/>
      </w:r>
    </w:p>
    <w:p w:rsidR="000B65DE" w:rsidRPr="000B65DE" w:rsidRDefault="000B65DE" w:rsidP="000B65DE">
      <w:pPr>
        <w:ind w:left="0"/>
        <w:jc w:val="center"/>
        <w:rPr>
          <w:rFonts w:ascii="Bookman Old Style" w:hAnsi="Bookman Old Style"/>
          <w:b/>
          <w:lang w:val="es-CO"/>
        </w:rPr>
      </w:pPr>
    </w:p>
    <w:p w:rsidR="000B65DE" w:rsidRPr="000B65DE" w:rsidRDefault="000B65DE" w:rsidP="000B65DE">
      <w:pPr>
        <w:ind w:left="0"/>
        <w:jc w:val="center"/>
        <w:rPr>
          <w:rFonts w:ascii="Bookman Old Style" w:hAnsi="Bookman Old Style"/>
          <w:b/>
          <w:lang w:val="es-CO"/>
        </w:rPr>
      </w:pPr>
    </w:p>
    <w:p w:rsidR="000B65DE" w:rsidRPr="000B65DE" w:rsidRDefault="000B65DE" w:rsidP="008F4D9F">
      <w:pPr>
        <w:numPr>
          <w:ilvl w:val="0"/>
          <w:numId w:val="14"/>
        </w:numPr>
        <w:jc w:val="center"/>
        <w:outlineLvl w:val="0"/>
        <w:rPr>
          <w:rFonts w:ascii="Bookman Old Style" w:hAnsi="Bookman Old Style"/>
          <w:b/>
          <w:lang w:val="es-ES_tradnl"/>
        </w:rPr>
      </w:pPr>
      <w:bookmarkStart w:id="45" w:name="_Ref332815666"/>
    </w:p>
    <w:bookmarkEnd w:id="45"/>
    <w:p w:rsidR="000B65DE" w:rsidRPr="000B65DE" w:rsidRDefault="000B65DE" w:rsidP="000B65DE">
      <w:pPr>
        <w:ind w:left="0"/>
        <w:jc w:val="center"/>
        <w:outlineLvl w:val="0"/>
        <w:rPr>
          <w:rFonts w:ascii="Bookman Old Style" w:hAnsi="Bookman Old Style"/>
          <w:b/>
          <w:lang w:val="es-ES_tradnl"/>
        </w:rPr>
      </w:pPr>
      <w:r w:rsidRPr="000B65DE">
        <w:rPr>
          <w:rFonts w:ascii="Bookman Old Style" w:hAnsi="Bookman Old Style"/>
          <w:b/>
          <w:lang w:val="es-ES_tradnl"/>
        </w:rPr>
        <w:t>UNIDADES CONSTRUCTIVAS PARA LA VALORACION DE NUEVAS INVERSIONES (IPNI) - ELEMENTOS TECNICOS Y VOLUMETRIAS</w:t>
      </w:r>
    </w:p>
    <w:p w:rsidR="00AB038D" w:rsidRDefault="00AB038D" w:rsidP="00834DA6">
      <w:pPr>
        <w:ind w:left="0"/>
        <w:rPr>
          <w:rFonts w:ascii="Bookman Old Style" w:hAnsi="Bookman Old Style"/>
          <w:b/>
          <w:lang w:val="es-ES_tradnl"/>
        </w:rPr>
      </w:pPr>
      <w:bookmarkStart w:id="46" w:name="_Ref289348699"/>
      <w:bookmarkStart w:id="47" w:name="_Ref289345475"/>
      <w:bookmarkEnd w:id="43"/>
    </w:p>
    <w:p w:rsidR="00834DA6" w:rsidRDefault="00834DA6" w:rsidP="00834DA6">
      <w:pPr>
        <w:ind w:left="0"/>
        <w:rPr>
          <w:rFonts w:ascii="Bookman Old Style" w:hAnsi="Bookman Old Style"/>
          <w:b/>
          <w:lang w:val="es-ES_tradnl"/>
        </w:rPr>
      </w:pPr>
      <w:r>
        <w:rPr>
          <w:rFonts w:ascii="Bookman Old Style" w:hAnsi="Bookman Old Style"/>
          <w:b/>
          <w:lang w:val="es-ES_tradnl"/>
        </w:rPr>
        <w:t>Descripción Unidades Constructivas</w:t>
      </w:r>
    </w:p>
    <w:p w:rsidR="00834DA6" w:rsidRDefault="00834DA6" w:rsidP="00834DA6">
      <w:pPr>
        <w:ind w:left="0"/>
        <w:rPr>
          <w:rFonts w:ascii="Bookman Old Style" w:hAnsi="Bookman Old Style"/>
          <w:b/>
          <w:lang w:val="es-ES_tradnl"/>
        </w:rPr>
      </w:pPr>
    </w:p>
    <w:tbl>
      <w:tblPr>
        <w:tblW w:w="9200" w:type="dxa"/>
        <w:tblInd w:w="55" w:type="dxa"/>
        <w:tblCellMar>
          <w:left w:w="70" w:type="dxa"/>
          <w:right w:w="70" w:type="dxa"/>
        </w:tblCellMar>
        <w:tblLook w:val="04A0" w:firstRow="1" w:lastRow="0" w:firstColumn="1" w:lastColumn="0" w:noHBand="0" w:noVBand="1"/>
      </w:tblPr>
      <w:tblGrid>
        <w:gridCol w:w="1540"/>
        <w:gridCol w:w="7660"/>
      </w:tblGrid>
      <w:tr w:rsidR="00834DA6" w:rsidTr="00834DA6">
        <w:trPr>
          <w:trHeight w:val="255"/>
          <w:tblHeader/>
        </w:trPr>
        <w:tc>
          <w:tcPr>
            <w:tcW w:w="1540" w:type="dxa"/>
            <w:tcBorders>
              <w:top w:val="single" w:sz="4" w:space="0" w:color="auto"/>
              <w:left w:val="single" w:sz="4" w:space="0" w:color="auto"/>
              <w:bottom w:val="single" w:sz="4" w:space="0" w:color="auto"/>
              <w:right w:val="single" w:sz="4" w:space="0" w:color="auto"/>
            </w:tcBorders>
            <w:noWrap/>
            <w:vAlign w:val="bottom"/>
            <w:hideMark/>
          </w:tcPr>
          <w:p w:rsidR="00834DA6" w:rsidRDefault="00834DA6">
            <w:pPr>
              <w:ind w:left="0"/>
              <w:rPr>
                <w:rFonts w:ascii="Bookman Old Style" w:hAnsi="Bookman Old Style" w:cs="Arial"/>
                <w:b/>
                <w:color w:val="000000"/>
                <w:sz w:val="16"/>
                <w:szCs w:val="16"/>
                <w:lang w:val="es-CO" w:eastAsia="es-CO"/>
              </w:rPr>
            </w:pPr>
            <w:r>
              <w:rPr>
                <w:rFonts w:ascii="Bookman Old Style" w:hAnsi="Bookman Old Style" w:cs="Arial"/>
                <w:b/>
                <w:color w:val="000000"/>
                <w:sz w:val="16"/>
                <w:szCs w:val="16"/>
                <w:lang w:val="es-CO" w:eastAsia="es-CO"/>
              </w:rPr>
              <w:t>CODIGO</w:t>
            </w:r>
          </w:p>
        </w:tc>
        <w:tc>
          <w:tcPr>
            <w:tcW w:w="7660" w:type="dxa"/>
            <w:tcBorders>
              <w:top w:val="single" w:sz="4" w:space="0" w:color="auto"/>
              <w:left w:val="nil"/>
              <w:bottom w:val="single" w:sz="4" w:space="0" w:color="auto"/>
              <w:right w:val="single" w:sz="4" w:space="0" w:color="auto"/>
            </w:tcBorders>
            <w:noWrap/>
            <w:vAlign w:val="bottom"/>
            <w:hideMark/>
          </w:tcPr>
          <w:p w:rsidR="00834DA6" w:rsidRDefault="00834DA6">
            <w:pPr>
              <w:ind w:left="0"/>
              <w:rPr>
                <w:rFonts w:ascii="Bookman Old Style" w:hAnsi="Bookman Old Style" w:cs="Arial"/>
                <w:b/>
                <w:color w:val="000000"/>
                <w:sz w:val="16"/>
                <w:szCs w:val="16"/>
                <w:lang w:val="es-CO" w:eastAsia="es-CO"/>
              </w:rPr>
            </w:pPr>
            <w:r>
              <w:rPr>
                <w:rFonts w:ascii="Bookman Old Style" w:hAnsi="Bookman Old Style" w:cs="Arial"/>
                <w:b/>
                <w:color w:val="000000"/>
                <w:sz w:val="16"/>
                <w:szCs w:val="16"/>
                <w:lang w:val="es-CO" w:eastAsia="es-CO"/>
              </w:rPr>
              <w:t>DESCRIPCION</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TA2AS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2 pulg.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TA3AS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3 pulg.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TA4AS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4 pulg.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TA6AS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6 pulg.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TA8AS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8 pulg.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TA10AS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10 pulg.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TA14AS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14 pulg.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TA16AS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16 pulg.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TA20AS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20 pulg.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TA2CO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2 pulg. en Calzada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TA3CO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3 pulg. en Calzada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TA4CO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4 pulg. en Calzada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TA6CO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6 pulg. en Calzada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TA8CO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8 pulg. en Calzada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TA10CO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10 pulg. en Calzada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TA14CO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14 pulg. en Calzada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TA16CO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16 pulg. en Calzada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TA20CO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20 pulg. en Calzada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TA2DE</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2 pulg. en Destapado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TA3DE</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3 pulg. en Destapado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TA4DE</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4 pulg. en Destapado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TA6DE</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6 pulg. en Destapado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TA8DE</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8 pulg. en Destapado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TA10DE</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10 pulg. en Destapado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TA14DE</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14 pulg. en Destapado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TA16DE</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16 pulg. en Destapado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TA20DE</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Acero de 20 pulg. en Destapado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TPE1/2AS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1/2 pulg.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TPE3/4AS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3/4 pulg.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1 pulg.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TPE1-1/4AS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1-1/4 pulg.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TPE1-1/2AS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1-1/2 pulg.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TPE2AS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2 pulg.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TPE3AS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3 pulg.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TPE4AS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4 pulg.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TPE6AS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6 pulg.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TPE8AS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8 pulg.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TPE10AS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10 pulg.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TPE12AS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12 pulg.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TPE1/2CO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 xml:space="preserve">Tubería de Polietileno de 1/2 pulg. en Calzada Concreto </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TPE3/4CO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 xml:space="preserve">Tubería de Polietileno de 3/4 pulg. en Calzada Concreto </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 xml:space="preserve">Tubería de Polietileno de 1 pulg. en Calzada Concreto </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TPE1-1/4CO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 xml:space="preserve">Tubería de Polietileno de 1-1/4 pulg. en Calzada Concreto </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TPE1-1/2CO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1-1/2 pulg. en Calzada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lastRenderedPageBreak/>
              <w:t>TPE2CO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 xml:space="preserve">Tubería de Polietileno de 2 pulg. en Calzada Concreto </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TPE3CO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 xml:space="preserve">Tubería de Polietileno de 3 pulg. en Calzada Concreto </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TPE4CO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 xml:space="preserve">Tubería de Polietileno de 4 pulg. en Calzada Concreto </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TPE6CO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 xml:space="preserve">Tubería de Polietileno de 6 pulg. en Calzada Concreto </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TPE8CO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 xml:space="preserve">Tubería de Polietileno de 8 pulg. en Calzada Concreto </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10 pulg. en Calzada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TPE12CO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 xml:space="preserve">Tubería de Polietileno de 12 pulg. en Calzada Concreto </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TPE1/2ACO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1/2 pulg. en  Anden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TPE3/4ACO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 xml:space="preserve">Tubería de Polietileno de 3/4 pulg. en Anden Concreto </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TPE1ACO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 xml:space="preserve">Tubería de Polietileno de 1 pulg. en Anden Concreto </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TPE1-1/4ACO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 xml:space="preserve">Tubería de Polietileno de 1-1/4 pulg. en Anden Concreto </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TPE1-1/2ACO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 xml:space="preserve">Tubería de Polietileno de 1-1/2 pulg. en Anden Concreto </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TPE2ACO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 xml:space="preserve">Tubería de Polietileno de 2 pulg. en Anden Concreto </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TPE3ACO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 xml:space="preserve">Tubería de Polietileno de 3 pulg. en Anden Concreto </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TPE4ACO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 xml:space="preserve">Tubería de Polietileno de 4 pulg. En Anden Concreto </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TPE6ACO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6 pulg. en Anden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TPE1/2TA</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1/2 pulg. en Andén Tableta, Baldosín, Gravilla</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TPE3/4TA</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3/4 pulg. en Andén Tableta, Baldosín, Gravilla</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TPE1TA</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1 pulg. en Andén Tableta, Baldosín, Gravilla</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TPE1-1/4TA</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1-1/4 pulg. en Andén Tableta, Baldosín, Gravilla</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TPE1-1/2TA</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1-1/2 pulg. en Andén Tableta, Baldosín, Gravilla</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TPE2TA</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2 pulg. en Andén Tableta, Baldosín, Gravilla</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TPE3TA</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3 pulg. en Andén Tableta, Baldosín, Gravilla</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TPE4TA</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4 pulg. en Andén Tableta, Baldosín, Gravilla</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TPE6TA</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6 pulg. en Andén Tableta, Baldosín, Gravilla</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TPE1/2ZV</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1/2 pulg. en Zona Verde</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TPE3/4ZV</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3/4 pulg. en Zona Verde</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TPE1ZV</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1 pulg. en Zona Verde</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TPE1-1/4ZV</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1-1/4 pulg. en Zona Verde</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TPE1-1/2ZV</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1-1/2 pulg. en Zona Verde</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TPE2ZV</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2 pulg. en Zona Verde</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TPE3ZV</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3 pulg. en Zona Verde</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TPE4ZV</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4 pulg. en Zona Verde</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TPE6ZV</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6 pulg. en Zona Verde</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TPE8ZV</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8 pulg. en Zona Verde</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TPE10ZV</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10 pulg. en Zona Verde</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TPE12ZV</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12 pulg. en Zona Verde</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TPE100-63AS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63mm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TPE100-90AS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90mm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TPE100-110AS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110mm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TPE100-160AS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160mm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vAlign w:val="bottom"/>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TPE100-200AS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200 mm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TPE100-250AS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250 mm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TPE100-315AS</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315mm en Calzada Asfalto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TPE100-63CO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63mm en Calzada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TPE100-90CO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90mm en Calzada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TPE100-110CO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110mm en Calzada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TPE100-160CO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160mm en Calzada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TPE100-200CO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200mm en Calzada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TPE100-250CO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250mm en Calzada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TPE100-315CO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315mm en Calzada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TPE100-63ACO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63mm en  Anden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TPE100-90ACO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90mm en  Anden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lastRenderedPageBreak/>
              <w:t>TPE100-110ACO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110mm en  Anden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TPE100-160ACO</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160mm en  Anden Concreto</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TPE100-63TA</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63mm en Anden Tableta, Baldosín, Gravilla</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TPE100-90TA</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90mm en Andén Tableta, Baldosín, Gravilla</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TPE100-110TA</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110mm en Andén Tableta, Baldosín, Gravilla</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TPE100-160TA</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160mm en Andén Tableta, Baldosín, Gravilla</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TPE100-63ZV</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63mm en Zona Verde</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TPE100-90ZV</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90mm en Zona Verde</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TPE100-110ZV</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110mm en Zona Verde</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TPE100-160ZV</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160mm en Zona Verde</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TPE100-200ZV</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200mm en Zona Verde</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vAlign w:val="bottom"/>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TPE100-250ZV</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250mm en Zona Verde</w:t>
            </w:r>
          </w:p>
        </w:tc>
      </w:tr>
      <w:tr w:rsidR="00834DA6" w:rsidTr="00834DA6">
        <w:trPr>
          <w:trHeight w:val="255"/>
        </w:trPr>
        <w:tc>
          <w:tcPr>
            <w:tcW w:w="1540" w:type="dxa"/>
            <w:tcBorders>
              <w:top w:val="nil"/>
              <w:left w:val="single" w:sz="4" w:space="0" w:color="auto"/>
              <w:bottom w:val="single" w:sz="4" w:space="0" w:color="auto"/>
              <w:right w:val="single" w:sz="4" w:space="0" w:color="auto"/>
            </w:tcBorders>
            <w:noWrap/>
            <w:hideMark/>
          </w:tcPr>
          <w:p w:rsidR="00834DA6" w:rsidRDefault="00834DA6">
            <w:pPr>
              <w:ind w:left="0"/>
              <w:rPr>
                <w:rFonts w:ascii="Bookman Old Style" w:hAnsi="Bookman Old Style" w:cs="Arial"/>
                <w:sz w:val="16"/>
                <w:szCs w:val="16"/>
                <w:lang w:val="es-CO" w:eastAsia="es-CO"/>
              </w:rPr>
            </w:pPr>
            <w:r>
              <w:rPr>
                <w:rFonts w:ascii="Bookman Old Style" w:hAnsi="Bookman Old Style" w:cs="Arial"/>
                <w:sz w:val="16"/>
                <w:szCs w:val="16"/>
                <w:lang w:val="es-CO" w:eastAsia="es-CO"/>
              </w:rPr>
              <w:t>TPE100-315ZV</w:t>
            </w:r>
          </w:p>
        </w:tc>
        <w:tc>
          <w:tcPr>
            <w:tcW w:w="7660" w:type="dxa"/>
            <w:tcBorders>
              <w:top w:val="nil"/>
              <w:left w:val="nil"/>
              <w:bottom w:val="single" w:sz="4" w:space="0" w:color="auto"/>
              <w:right w:val="single" w:sz="4" w:space="0" w:color="auto"/>
            </w:tcBorders>
            <w:hideMark/>
          </w:tcPr>
          <w:p w:rsidR="00834DA6" w:rsidRDefault="00834DA6">
            <w:pPr>
              <w:ind w:left="0"/>
              <w:jc w:val="both"/>
              <w:rPr>
                <w:rFonts w:ascii="Bookman Old Style" w:hAnsi="Bookman Old Style" w:cs="Arial"/>
                <w:color w:val="000000"/>
                <w:sz w:val="16"/>
                <w:szCs w:val="16"/>
                <w:lang w:val="es-CO" w:eastAsia="es-CO"/>
              </w:rPr>
            </w:pPr>
            <w:r>
              <w:rPr>
                <w:rFonts w:ascii="Bookman Old Style" w:hAnsi="Bookman Old Style" w:cs="Arial"/>
                <w:color w:val="000000"/>
                <w:sz w:val="16"/>
                <w:szCs w:val="16"/>
                <w:lang w:val="es-CO" w:eastAsia="es-CO"/>
              </w:rPr>
              <w:t>Tubería de Polietileno de Alta Densidad de 315mm en Zona Verde</w:t>
            </w:r>
          </w:p>
        </w:tc>
      </w:tr>
    </w:tbl>
    <w:p w:rsidR="00834DA6" w:rsidRDefault="00834DA6" w:rsidP="00834DA6">
      <w:pPr>
        <w:ind w:left="0"/>
        <w:rPr>
          <w:rFonts w:ascii="Bookman Old Style" w:hAnsi="Bookman Old Style"/>
          <w:b/>
          <w:lang w:val="es-CO"/>
        </w:rPr>
      </w:pPr>
    </w:p>
    <w:p w:rsidR="00834DA6" w:rsidRDefault="00834DA6" w:rsidP="00834DA6">
      <w:pPr>
        <w:ind w:left="0"/>
        <w:jc w:val="both"/>
        <w:rPr>
          <w:rFonts w:ascii="Bookman Old Style" w:hAnsi="Bookman Old Style" w:cs="Arial"/>
        </w:rPr>
      </w:pPr>
      <w:r>
        <w:rPr>
          <w:rFonts w:ascii="Bookman Old Style" w:hAnsi="Bookman Old Style" w:cs="Arial"/>
          <w:b/>
        </w:rPr>
        <w:t>Grupo A.</w:t>
      </w:r>
      <w:r>
        <w:rPr>
          <w:rFonts w:ascii="Bookman Old Style" w:hAnsi="Bookman Old Style" w:cs="Arial"/>
        </w:rPr>
        <w:t xml:space="preserve"> </w:t>
      </w:r>
    </w:p>
    <w:p w:rsidR="00834DA6" w:rsidRDefault="00834DA6" w:rsidP="00834DA6">
      <w:pPr>
        <w:ind w:left="0"/>
        <w:jc w:val="both"/>
        <w:rPr>
          <w:rFonts w:ascii="Bookman Old Style" w:hAnsi="Bookman Old Style" w:cs="Arial"/>
        </w:rPr>
      </w:pPr>
    </w:p>
    <w:p w:rsidR="00834DA6" w:rsidRDefault="00834DA6" w:rsidP="00834DA6">
      <w:pPr>
        <w:ind w:left="0"/>
        <w:jc w:val="both"/>
        <w:rPr>
          <w:rFonts w:ascii="Bookman Old Style" w:hAnsi="Bookman Old Style" w:cs="Arial"/>
        </w:rPr>
      </w:pPr>
      <w:r>
        <w:rPr>
          <w:rFonts w:ascii="Bookman Old Style" w:hAnsi="Bookman Old Style" w:cs="Arial"/>
        </w:rPr>
        <w:t>Considera las características definidas en las UC de tuberías establecidas en la Resolución CREG 011 de 2003. En este grupo se clasifican las UC de tuberías de la generalidad de los municipios del país.</w:t>
      </w:r>
    </w:p>
    <w:p w:rsidR="00834DA6" w:rsidRDefault="00834DA6" w:rsidP="00834DA6">
      <w:pPr>
        <w:ind w:left="0"/>
        <w:jc w:val="both"/>
        <w:rPr>
          <w:rFonts w:ascii="Bookman Old Style" w:hAnsi="Bookman Old Style" w:cs="Arial"/>
        </w:rPr>
      </w:pPr>
    </w:p>
    <w:p w:rsidR="00834DA6" w:rsidRDefault="00834DA6" w:rsidP="00834DA6">
      <w:pPr>
        <w:ind w:left="0"/>
        <w:jc w:val="both"/>
        <w:rPr>
          <w:rFonts w:ascii="Bookman Old Style" w:hAnsi="Bookman Old Style" w:cs="Arial"/>
        </w:rPr>
      </w:pPr>
      <w:r>
        <w:rPr>
          <w:rFonts w:ascii="Bookman Old Style" w:hAnsi="Bookman Old Style" w:cs="Arial"/>
          <w:noProof/>
          <w:lang w:val="es-CO" w:eastAsia="es-CO"/>
        </w:rPr>
        <w:drawing>
          <wp:inline distT="0" distB="0" distL="0" distR="0" wp14:anchorId="39282AA0" wp14:editId="54F8107F">
            <wp:extent cx="5934075" cy="3695700"/>
            <wp:effectExtent l="0" t="0" r="9525" b="0"/>
            <wp:docPr id="4"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34075" cy="3695700"/>
                    </a:xfrm>
                    <a:prstGeom prst="rect">
                      <a:avLst/>
                    </a:prstGeom>
                    <a:noFill/>
                    <a:ln>
                      <a:noFill/>
                    </a:ln>
                  </pic:spPr>
                </pic:pic>
              </a:graphicData>
            </a:graphic>
          </wp:inline>
        </w:drawing>
      </w:r>
    </w:p>
    <w:p w:rsidR="00834DA6" w:rsidRDefault="00834DA6" w:rsidP="00834DA6">
      <w:pPr>
        <w:ind w:left="0"/>
        <w:jc w:val="both"/>
        <w:rPr>
          <w:rFonts w:ascii="Bookman Old Style" w:hAnsi="Bookman Old Style" w:cs="Arial"/>
        </w:rPr>
      </w:pPr>
    </w:p>
    <w:p w:rsidR="00834DA6" w:rsidRDefault="00834DA6" w:rsidP="00834DA6">
      <w:pPr>
        <w:ind w:left="0"/>
        <w:jc w:val="center"/>
        <w:rPr>
          <w:rFonts w:ascii="Arial" w:hAnsi="Arial" w:cs="Arial"/>
        </w:rPr>
      </w:pPr>
      <w:r>
        <w:rPr>
          <w:rFonts w:ascii="Arial" w:hAnsi="Arial" w:cs="Arial"/>
          <w:noProof/>
          <w:lang w:val="es-CO" w:eastAsia="es-CO"/>
        </w:rPr>
        <w:lastRenderedPageBreak/>
        <w:drawing>
          <wp:inline distT="0" distB="0" distL="0" distR="0" wp14:anchorId="4B9DB6D8" wp14:editId="7C7C6D15">
            <wp:extent cx="5934075" cy="3762375"/>
            <wp:effectExtent l="0" t="0" r="9525" b="9525"/>
            <wp:docPr id="5"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34075" cy="3762375"/>
                    </a:xfrm>
                    <a:prstGeom prst="rect">
                      <a:avLst/>
                    </a:prstGeom>
                    <a:noFill/>
                    <a:ln>
                      <a:noFill/>
                    </a:ln>
                  </pic:spPr>
                </pic:pic>
              </a:graphicData>
            </a:graphic>
          </wp:inline>
        </w:drawing>
      </w:r>
    </w:p>
    <w:p w:rsidR="00834DA6" w:rsidRDefault="00834DA6" w:rsidP="00834DA6">
      <w:pPr>
        <w:ind w:left="0"/>
        <w:jc w:val="center"/>
        <w:rPr>
          <w:noProof/>
          <w:lang w:val="es-CO" w:eastAsia="es-CO"/>
        </w:rPr>
      </w:pPr>
    </w:p>
    <w:p w:rsidR="00834DA6" w:rsidRDefault="00834DA6" w:rsidP="00834DA6">
      <w:pPr>
        <w:ind w:left="0"/>
        <w:jc w:val="center"/>
        <w:rPr>
          <w:rFonts w:ascii="Bookman Old Style" w:hAnsi="Bookman Old Style"/>
          <w:b/>
          <w:lang w:val="es-CO"/>
        </w:rPr>
      </w:pPr>
      <w:r>
        <w:rPr>
          <w:rFonts w:ascii="Bookman Old Style" w:hAnsi="Bookman Old Style"/>
          <w:b/>
          <w:noProof/>
          <w:lang w:val="es-CO" w:eastAsia="es-CO"/>
        </w:rPr>
        <w:drawing>
          <wp:inline distT="0" distB="0" distL="0" distR="0" wp14:anchorId="4C71BF0E" wp14:editId="42BB62AA">
            <wp:extent cx="5934075" cy="3733800"/>
            <wp:effectExtent l="0" t="0" r="9525" b="0"/>
            <wp:docPr id="6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34075" cy="3733800"/>
                    </a:xfrm>
                    <a:prstGeom prst="rect">
                      <a:avLst/>
                    </a:prstGeom>
                    <a:noFill/>
                    <a:ln>
                      <a:noFill/>
                    </a:ln>
                  </pic:spPr>
                </pic:pic>
              </a:graphicData>
            </a:graphic>
          </wp:inline>
        </w:drawing>
      </w:r>
    </w:p>
    <w:p w:rsidR="00834DA6" w:rsidRDefault="00834DA6" w:rsidP="00834DA6">
      <w:pPr>
        <w:ind w:left="0"/>
        <w:jc w:val="center"/>
        <w:rPr>
          <w:rFonts w:ascii="Bookman Old Style" w:hAnsi="Bookman Old Style"/>
          <w:b/>
          <w:lang w:val="es-CO"/>
        </w:rPr>
      </w:pPr>
    </w:p>
    <w:p w:rsidR="00834DA6" w:rsidRDefault="00834DA6" w:rsidP="00834DA6">
      <w:pPr>
        <w:ind w:left="0"/>
        <w:jc w:val="center"/>
        <w:rPr>
          <w:rFonts w:ascii="Bookman Old Style" w:hAnsi="Bookman Old Style"/>
          <w:b/>
          <w:lang w:val="es-CO"/>
        </w:rPr>
      </w:pPr>
      <w:r>
        <w:rPr>
          <w:rFonts w:ascii="Bookman Old Style" w:hAnsi="Bookman Old Style"/>
          <w:b/>
          <w:noProof/>
          <w:lang w:val="es-CO" w:eastAsia="es-CO"/>
        </w:rPr>
        <w:lastRenderedPageBreak/>
        <w:drawing>
          <wp:inline distT="0" distB="0" distL="0" distR="0" wp14:anchorId="29C4E0C9" wp14:editId="00F04E5F">
            <wp:extent cx="5943600" cy="3133725"/>
            <wp:effectExtent l="0" t="0" r="0" b="9525"/>
            <wp:docPr id="256"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43600" cy="3133725"/>
                    </a:xfrm>
                    <a:prstGeom prst="rect">
                      <a:avLst/>
                    </a:prstGeom>
                    <a:noFill/>
                    <a:ln>
                      <a:noFill/>
                    </a:ln>
                  </pic:spPr>
                </pic:pic>
              </a:graphicData>
            </a:graphic>
          </wp:inline>
        </w:drawing>
      </w:r>
    </w:p>
    <w:p w:rsidR="00834DA6" w:rsidRDefault="00834DA6" w:rsidP="00834DA6">
      <w:pPr>
        <w:ind w:left="0"/>
        <w:jc w:val="center"/>
        <w:rPr>
          <w:rFonts w:ascii="Bookman Old Style" w:hAnsi="Bookman Old Style"/>
          <w:b/>
          <w:lang w:val="es-CO"/>
        </w:rPr>
      </w:pPr>
    </w:p>
    <w:p w:rsidR="00834DA6" w:rsidRDefault="00834DA6" w:rsidP="00834DA6">
      <w:pPr>
        <w:ind w:left="0"/>
        <w:jc w:val="center"/>
        <w:rPr>
          <w:rFonts w:ascii="Bookman Old Style" w:hAnsi="Bookman Old Style"/>
          <w:b/>
          <w:lang w:val="es-CO"/>
        </w:rPr>
      </w:pPr>
      <w:r>
        <w:rPr>
          <w:rFonts w:ascii="Bookman Old Style" w:hAnsi="Bookman Old Style"/>
          <w:b/>
          <w:noProof/>
          <w:lang w:val="es-CO" w:eastAsia="es-CO"/>
        </w:rPr>
        <w:drawing>
          <wp:inline distT="0" distB="0" distL="0" distR="0" wp14:anchorId="1DFB53B4" wp14:editId="4DC6D4EB">
            <wp:extent cx="5943600" cy="2952750"/>
            <wp:effectExtent l="0" t="0" r="0" b="0"/>
            <wp:docPr id="257" name="Imagen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3600" cy="2952750"/>
                    </a:xfrm>
                    <a:prstGeom prst="rect">
                      <a:avLst/>
                    </a:prstGeom>
                    <a:noFill/>
                    <a:ln>
                      <a:noFill/>
                    </a:ln>
                  </pic:spPr>
                </pic:pic>
              </a:graphicData>
            </a:graphic>
          </wp:inline>
        </w:drawing>
      </w:r>
    </w:p>
    <w:p w:rsidR="00834DA6" w:rsidRDefault="00834DA6" w:rsidP="00834DA6">
      <w:pPr>
        <w:ind w:left="0"/>
        <w:jc w:val="center"/>
        <w:rPr>
          <w:rFonts w:ascii="Bookman Old Style" w:hAnsi="Bookman Old Style"/>
          <w:b/>
          <w:lang w:val="es-CO"/>
        </w:rPr>
      </w:pPr>
    </w:p>
    <w:p w:rsidR="00834DA6" w:rsidRDefault="00834DA6" w:rsidP="00834DA6">
      <w:pPr>
        <w:ind w:left="0"/>
        <w:jc w:val="center"/>
        <w:rPr>
          <w:rFonts w:ascii="Bookman Old Style" w:hAnsi="Bookman Old Style"/>
          <w:b/>
          <w:lang w:val="es-CO"/>
        </w:rPr>
      </w:pPr>
      <w:r>
        <w:rPr>
          <w:rFonts w:ascii="Bookman Old Style" w:hAnsi="Bookman Old Style"/>
          <w:b/>
          <w:noProof/>
          <w:lang w:val="es-CO" w:eastAsia="es-CO"/>
        </w:rPr>
        <w:lastRenderedPageBreak/>
        <w:drawing>
          <wp:inline distT="0" distB="0" distL="0" distR="0" wp14:anchorId="5FE30702" wp14:editId="2390D2D6">
            <wp:extent cx="5943600" cy="3019425"/>
            <wp:effectExtent l="0" t="0" r="0" b="9525"/>
            <wp:docPr id="258"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3019425"/>
                    </a:xfrm>
                    <a:prstGeom prst="rect">
                      <a:avLst/>
                    </a:prstGeom>
                    <a:noFill/>
                    <a:ln>
                      <a:noFill/>
                    </a:ln>
                  </pic:spPr>
                </pic:pic>
              </a:graphicData>
            </a:graphic>
          </wp:inline>
        </w:drawing>
      </w:r>
    </w:p>
    <w:p w:rsidR="00834DA6" w:rsidRDefault="00834DA6" w:rsidP="00834DA6">
      <w:pPr>
        <w:ind w:left="0"/>
        <w:jc w:val="center"/>
        <w:rPr>
          <w:rFonts w:ascii="Bookman Old Style" w:hAnsi="Bookman Old Style"/>
        </w:rPr>
      </w:pPr>
    </w:p>
    <w:p w:rsidR="00834DA6" w:rsidRDefault="00834DA6" w:rsidP="00834DA6">
      <w:pPr>
        <w:ind w:left="0"/>
        <w:jc w:val="center"/>
        <w:rPr>
          <w:rFonts w:ascii="Bookman Old Style" w:hAnsi="Bookman Old Style"/>
        </w:rPr>
      </w:pPr>
      <w:r>
        <w:rPr>
          <w:rFonts w:ascii="Bookman Old Style" w:hAnsi="Bookman Old Style"/>
          <w:noProof/>
          <w:lang w:val="es-CO" w:eastAsia="es-CO"/>
        </w:rPr>
        <w:drawing>
          <wp:inline distT="0" distB="0" distL="0" distR="0" wp14:anchorId="05F51FEE" wp14:editId="27D6AC2D">
            <wp:extent cx="5943600" cy="2847975"/>
            <wp:effectExtent l="0" t="0" r="0" b="9525"/>
            <wp:docPr id="259" name="Imagen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43600" cy="2847975"/>
                    </a:xfrm>
                    <a:prstGeom prst="rect">
                      <a:avLst/>
                    </a:prstGeom>
                    <a:noFill/>
                    <a:ln>
                      <a:noFill/>
                    </a:ln>
                  </pic:spPr>
                </pic:pic>
              </a:graphicData>
            </a:graphic>
          </wp:inline>
        </w:drawing>
      </w:r>
    </w:p>
    <w:p w:rsidR="00834DA6" w:rsidRDefault="00834DA6" w:rsidP="00834DA6">
      <w:pPr>
        <w:ind w:left="0"/>
        <w:jc w:val="center"/>
        <w:rPr>
          <w:rFonts w:ascii="Bookman Old Style" w:hAnsi="Bookman Old Style"/>
        </w:rPr>
      </w:pPr>
    </w:p>
    <w:p w:rsidR="00834DA6" w:rsidRDefault="00834DA6" w:rsidP="00834DA6">
      <w:pPr>
        <w:ind w:left="0"/>
        <w:jc w:val="center"/>
        <w:rPr>
          <w:rFonts w:ascii="Bookman Old Style" w:hAnsi="Bookman Old Style"/>
          <w:lang w:val="es-CO"/>
        </w:rPr>
      </w:pPr>
      <w:r>
        <w:rPr>
          <w:rFonts w:ascii="Bookman Old Style" w:hAnsi="Bookman Old Style"/>
          <w:noProof/>
          <w:lang w:val="es-CO" w:eastAsia="es-CO"/>
        </w:rPr>
        <w:lastRenderedPageBreak/>
        <w:drawing>
          <wp:inline distT="0" distB="0" distL="0" distR="0" wp14:anchorId="71981575" wp14:editId="727C24E8">
            <wp:extent cx="5943600" cy="3019425"/>
            <wp:effectExtent l="0" t="0" r="0" b="9525"/>
            <wp:docPr id="260" name="Imagen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3600" cy="3019425"/>
                    </a:xfrm>
                    <a:prstGeom prst="rect">
                      <a:avLst/>
                    </a:prstGeom>
                    <a:noFill/>
                    <a:ln>
                      <a:noFill/>
                    </a:ln>
                  </pic:spPr>
                </pic:pic>
              </a:graphicData>
            </a:graphic>
          </wp:inline>
        </w:drawing>
      </w:r>
    </w:p>
    <w:p w:rsidR="00834DA6" w:rsidRDefault="00834DA6" w:rsidP="00834DA6">
      <w:pPr>
        <w:ind w:left="0"/>
        <w:jc w:val="center"/>
        <w:rPr>
          <w:rFonts w:ascii="Bookman Old Style" w:hAnsi="Bookman Old Style"/>
          <w:lang w:val="es-CO"/>
        </w:rPr>
      </w:pPr>
    </w:p>
    <w:p w:rsidR="00834DA6" w:rsidRDefault="00834DA6" w:rsidP="00834DA6">
      <w:pPr>
        <w:ind w:left="0"/>
        <w:jc w:val="center"/>
        <w:rPr>
          <w:rFonts w:ascii="Bookman Old Style" w:hAnsi="Bookman Old Style"/>
          <w:lang w:val="es-CO"/>
        </w:rPr>
      </w:pPr>
      <w:r>
        <w:rPr>
          <w:rFonts w:ascii="Bookman Old Style" w:hAnsi="Bookman Old Style"/>
          <w:noProof/>
          <w:lang w:val="es-CO" w:eastAsia="es-CO"/>
        </w:rPr>
        <w:drawing>
          <wp:inline distT="0" distB="0" distL="0" distR="0" wp14:anchorId="1FA0DEC8" wp14:editId="798F53ED">
            <wp:extent cx="5943600" cy="4305300"/>
            <wp:effectExtent l="0" t="0" r="0" b="0"/>
            <wp:docPr id="261"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3600" cy="4305300"/>
                    </a:xfrm>
                    <a:prstGeom prst="rect">
                      <a:avLst/>
                    </a:prstGeom>
                    <a:noFill/>
                    <a:ln>
                      <a:noFill/>
                    </a:ln>
                  </pic:spPr>
                </pic:pic>
              </a:graphicData>
            </a:graphic>
          </wp:inline>
        </w:drawing>
      </w:r>
    </w:p>
    <w:p w:rsidR="00834DA6" w:rsidRDefault="00834DA6" w:rsidP="00834DA6">
      <w:pPr>
        <w:ind w:left="0"/>
        <w:jc w:val="center"/>
        <w:rPr>
          <w:rFonts w:ascii="Bookman Old Style" w:hAnsi="Bookman Old Style"/>
          <w:lang w:val="es-CO"/>
        </w:rPr>
      </w:pPr>
    </w:p>
    <w:p w:rsidR="00834DA6" w:rsidRDefault="00834DA6" w:rsidP="00834DA6">
      <w:pPr>
        <w:ind w:left="0"/>
        <w:jc w:val="center"/>
        <w:rPr>
          <w:rFonts w:ascii="Bookman Old Style" w:hAnsi="Bookman Old Style"/>
          <w:lang w:val="es-CO"/>
        </w:rPr>
      </w:pPr>
      <w:r>
        <w:rPr>
          <w:rFonts w:ascii="Bookman Old Style" w:hAnsi="Bookman Old Style"/>
          <w:noProof/>
          <w:lang w:val="es-CO" w:eastAsia="es-CO"/>
        </w:rPr>
        <w:lastRenderedPageBreak/>
        <w:drawing>
          <wp:inline distT="0" distB="0" distL="0" distR="0" wp14:anchorId="0A93B0EC" wp14:editId="5EF710F2">
            <wp:extent cx="5943600" cy="3019425"/>
            <wp:effectExtent l="0" t="0" r="0" b="9525"/>
            <wp:docPr id="262" name="Imagen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3600" cy="3019425"/>
                    </a:xfrm>
                    <a:prstGeom prst="rect">
                      <a:avLst/>
                    </a:prstGeom>
                    <a:noFill/>
                    <a:ln>
                      <a:noFill/>
                    </a:ln>
                  </pic:spPr>
                </pic:pic>
              </a:graphicData>
            </a:graphic>
          </wp:inline>
        </w:drawing>
      </w:r>
    </w:p>
    <w:p w:rsidR="00834DA6" w:rsidRDefault="00834DA6" w:rsidP="00834DA6">
      <w:pPr>
        <w:ind w:left="0"/>
        <w:jc w:val="center"/>
        <w:rPr>
          <w:rFonts w:ascii="Bookman Old Style" w:hAnsi="Bookman Old Style"/>
          <w:lang w:val="es-CO"/>
        </w:rPr>
      </w:pPr>
    </w:p>
    <w:p w:rsidR="00834DA6" w:rsidRDefault="00834DA6" w:rsidP="00834DA6">
      <w:pPr>
        <w:ind w:left="0"/>
        <w:jc w:val="center"/>
        <w:rPr>
          <w:rFonts w:ascii="Bookman Old Style" w:hAnsi="Bookman Old Style"/>
          <w:lang w:val="es-CO"/>
        </w:rPr>
      </w:pPr>
      <w:r>
        <w:rPr>
          <w:rFonts w:ascii="Bookman Old Style" w:hAnsi="Bookman Old Style"/>
          <w:noProof/>
          <w:lang w:val="es-CO" w:eastAsia="es-CO"/>
        </w:rPr>
        <w:drawing>
          <wp:inline distT="0" distB="0" distL="0" distR="0" wp14:anchorId="4751EB21" wp14:editId="2CB63B50">
            <wp:extent cx="5943600" cy="4305300"/>
            <wp:effectExtent l="0" t="0" r="0" b="0"/>
            <wp:docPr id="263"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3600" cy="4305300"/>
                    </a:xfrm>
                    <a:prstGeom prst="rect">
                      <a:avLst/>
                    </a:prstGeom>
                    <a:noFill/>
                    <a:ln>
                      <a:noFill/>
                    </a:ln>
                  </pic:spPr>
                </pic:pic>
              </a:graphicData>
            </a:graphic>
          </wp:inline>
        </w:drawing>
      </w:r>
    </w:p>
    <w:p w:rsidR="00834DA6" w:rsidRDefault="00834DA6" w:rsidP="00834DA6">
      <w:pPr>
        <w:ind w:left="0"/>
        <w:jc w:val="center"/>
        <w:rPr>
          <w:rFonts w:ascii="Bookman Old Style" w:hAnsi="Bookman Old Style"/>
          <w:lang w:val="es-CO"/>
        </w:rPr>
      </w:pPr>
    </w:p>
    <w:p w:rsidR="00834DA6" w:rsidRDefault="00834DA6" w:rsidP="00834DA6">
      <w:pPr>
        <w:ind w:left="0"/>
        <w:jc w:val="center"/>
        <w:rPr>
          <w:rFonts w:ascii="Bookman Old Style" w:hAnsi="Bookman Old Style"/>
          <w:lang w:val="es-CO"/>
        </w:rPr>
      </w:pPr>
      <w:r>
        <w:rPr>
          <w:rFonts w:ascii="Bookman Old Style" w:hAnsi="Bookman Old Style"/>
          <w:noProof/>
          <w:lang w:val="es-CO" w:eastAsia="es-CO"/>
        </w:rPr>
        <w:lastRenderedPageBreak/>
        <w:drawing>
          <wp:inline distT="0" distB="0" distL="0" distR="0" wp14:anchorId="660E3C3C" wp14:editId="4B29B146">
            <wp:extent cx="5943600" cy="2905125"/>
            <wp:effectExtent l="0" t="0" r="0" b="9525"/>
            <wp:docPr id="264" name="Imagen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3600" cy="2905125"/>
                    </a:xfrm>
                    <a:prstGeom prst="rect">
                      <a:avLst/>
                    </a:prstGeom>
                    <a:noFill/>
                    <a:ln>
                      <a:noFill/>
                    </a:ln>
                  </pic:spPr>
                </pic:pic>
              </a:graphicData>
            </a:graphic>
          </wp:inline>
        </w:drawing>
      </w:r>
    </w:p>
    <w:p w:rsidR="00834DA6" w:rsidRDefault="00834DA6" w:rsidP="00834DA6">
      <w:pPr>
        <w:ind w:left="0"/>
        <w:jc w:val="center"/>
        <w:rPr>
          <w:rFonts w:ascii="Bookman Old Style" w:hAnsi="Bookman Old Style"/>
          <w:lang w:val="es-CO"/>
        </w:rPr>
      </w:pPr>
    </w:p>
    <w:p w:rsidR="00834DA6" w:rsidRDefault="00834DA6" w:rsidP="00834DA6">
      <w:pPr>
        <w:ind w:left="0"/>
        <w:jc w:val="center"/>
        <w:rPr>
          <w:rFonts w:ascii="Bookman Old Style" w:hAnsi="Bookman Old Style"/>
          <w:lang w:val="es-CO"/>
        </w:rPr>
      </w:pPr>
      <w:r>
        <w:rPr>
          <w:rFonts w:ascii="Bookman Old Style" w:hAnsi="Bookman Old Style"/>
          <w:noProof/>
          <w:lang w:val="es-CO" w:eastAsia="es-CO"/>
        </w:rPr>
        <w:drawing>
          <wp:inline distT="0" distB="0" distL="0" distR="0" wp14:anchorId="19829E5A" wp14:editId="4301A6F5">
            <wp:extent cx="5943600" cy="2743200"/>
            <wp:effectExtent l="0" t="0" r="0" b="0"/>
            <wp:docPr id="265" name="Imagen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3600" cy="2743200"/>
                    </a:xfrm>
                    <a:prstGeom prst="rect">
                      <a:avLst/>
                    </a:prstGeom>
                    <a:noFill/>
                    <a:ln>
                      <a:noFill/>
                    </a:ln>
                  </pic:spPr>
                </pic:pic>
              </a:graphicData>
            </a:graphic>
          </wp:inline>
        </w:drawing>
      </w:r>
    </w:p>
    <w:p w:rsidR="00834DA6" w:rsidRDefault="00834DA6" w:rsidP="00834DA6">
      <w:pPr>
        <w:ind w:left="0"/>
        <w:jc w:val="both"/>
        <w:rPr>
          <w:rFonts w:ascii="Bookman Old Style" w:hAnsi="Bookman Old Style" w:cs="Arial"/>
          <w:b/>
        </w:rPr>
      </w:pPr>
    </w:p>
    <w:p w:rsidR="00834DA6" w:rsidRDefault="00834DA6" w:rsidP="00834DA6">
      <w:pPr>
        <w:ind w:left="0"/>
        <w:rPr>
          <w:rFonts w:ascii="Bookman Old Style" w:hAnsi="Bookman Old Style" w:cs="Arial"/>
          <w:b/>
        </w:rPr>
      </w:pPr>
      <w:r>
        <w:rPr>
          <w:rFonts w:ascii="Bookman Old Style" w:hAnsi="Bookman Old Style" w:cs="Arial"/>
          <w:b/>
        </w:rPr>
        <w:br w:type="page"/>
      </w:r>
    </w:p>
    <w:p w:rsidR="00834DA6" w:rsidRDefault="00834DA6" w:rsidP="00834DA6">
      <w:pPr>
        <w:ind w:left="0"/>
        <w:jc w:val="both"/>
        <w:rPr>
          <w:rFonts w:ascii="Bookman Old Style" w:hAnsi="Bookman Old Style" w:cs="Arial"/>
        </w:rPr>
      </w:pPr>
      <w:r>
        <w:rPr>
          <w:rFonts w:ascii="Bookman Old Style" w:hAnsi="Bookman Old Style" w:cs="Arial"/>
          <w:b/>
        </w:rPr>
        <w:lastRenderedPageBreak/>
        <w:t>Grupo B.</w:t>
      </w:r>
      <w:r>
        <w:rPr>
          <w:rFonts w:ascii="Bookman Old Style" w:hAnsi="Bookman Old Style" w:cs="Arial"/>
        </w:rPr>
        <w:t xml:space="preserve"> </w:t>
      </w:r>
    </w:p>
    <w:p w:rsidR="00834DA6" w:rsidRDefault="00834DA6" w:rsidP="00834DA6">
      <w:pPr>
        <w:ind w:left="0"/>
        <w:jc w:val="both"/>
        <w:rPr>
          <w:rFonts w:ascii="Bookman Old Style" w:hAnsi="Bookman Old Style" w:cs="Arial"/>
        </w:rPr>
      </w:pPr>
    </w:p>
    <w:p w:rsidR="00834DA6" w:rsidRDefault="00834DA6" w:rsidP="00834DA6">
      <w:pPr>
        <w:ind w:left="0"/>
        <w:jc w:val="both"/>
        <w:rPr>
          <w:rFonts w:ascii="Bookman Old Style" w:hAnsi="Bookman Old Style" w:cs="Arial"/>
        </w:rPr>
      </w:pPr>
      <w:r>
        <w:rPr>
          <w:rFonts w:ascii="Bookman Old Style" w:hAnsi="Bookman Old Style" w:cs="Arial"/>
        </w:rPr>
        <w:t>Con las siguientes características, incluye las especificaciones para el municipio de Rionegro en el departamento de Antioquia.</w:t>
      </w:r>
    </w:p>
    <w:p w:rsidR="00834DA6" w:rsidRDefault="00834DA6" w:rsidP="00834DA6">
      <w:pPr>
        <w:ind w:left="0"/>
        <w:jc w:val="both"/>
        <w:rPr>
          <w:rFonts w:ascii="Arial" w:hAnsi="Arial" w:cs="Arial"/>
        </w:rPr>
      </w:pPr>
    </w:p>
    <w:p w:rsidR="00834DA6" w:rsidRDefault="00834DA6" w:rsidP="00834DA6">
      <w:pPr>
        <w:ind w:left="0"/>
        <w:jc w:val="both"/>
        <w:rPr>
          <w:rFonts w:ascii="Arial" w:hAnsi="Arial" w:cs="Arial"/>
        </w:rPr>
      </w:pPr>
      <w:r>
        <w:rPr>
          <w:rFonts w:ascii="Arial" w:hAnsi="Arial" w:cs="Arial"/>
          <w:noProof/>
          <w:lang w:val="es-CO" w:eastAsia="es-CO"/>
        </w:rPr>
        <w:drawing>
          <wp:inline distT="0" distB="0" distL="0" distR="0" wp14:anchorId="316ECAB0" wp14:editId="026298EF">
            <wp:extent cx="5943600" cy="1162050"/>
            <wp:effectExtent l="0" t="0" r="0" b="0"/>
            <wp:docPr id="266" name="Imagen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3600" cy="1162050"/>
                    </a:xfrm>
                    <a:prstGeom prst="rect">
                      <a:avLst/>
                    </a:prstGeom>
                    <a:noFill/>
                    <a:ln>
                      <a:noFill/>
                    </a:ln>
                  </pic:spPr>
                </pic:pic>
              </a:graphicData>
            </a:graphic>
          </wp:inline>
        </w:drawing>
      </w:r>
    </w:p>
    <w:p w:rsidR="00834DA6" w:rsidRDefault="00834DA6" w:rsidP="00834DA6">
      <w:pPr>
        <w:ind w:left="0"/>
        <w:jc w:val="both"/>
        <w:rPr>
          <w:rFonts w:ascii="Arial" w:hAnsi="Arial" w:cs="Arial"/>
        </w:rPr>
      </w:pPr>
    </w:p>
    <w:p w:rsidR="00834DA6" w:rsidRDefault="00834DA6" w:rsidP="00834DA6">
      <w:pPr>
        <w:ind w:left="0"/>
        <w:jc w:val="center"/>
        <w:rPr>
          <w:rFonts w:ascii="Bookman Old Style" w:hAnsi="Bookman Old Style"/>
          <w:b/>
        </w:rPr>
      </w:pPr>
      <w:r>
        <w:rPr>
          <w:rFonts w:ascii="Bookman Old Style" w:hAnsi="Bookman Old Style"/>
          <w:b/>
          <w:noProof/>
          <w:lang w:val="es-CO" w:eastAsia="es-CO"/>
        </w:rPr>
        <w:drawing>
          <wp:inline distT="0" distB="0" distL="0" distR="0" wp14:anchorId="1B91B7E2" wp14:editId="40480F47">
            <wp:extent cx="5943600" cy="3971925"/>
            <wp:effectExtent l="0" t="0" r="0" b="9525"/>
            <wp:docPr id="267" name="Imagen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3600" cy="3971925"/>
                    </a:xfrm>
                    <a:prstGeom prst="rect">
                      <a:avLst/>
                    </a:prstGeom>
                    <a:noFill/>
                    <a:ln>
                      <a:noFill/>
                    </a:ln>
                  </pic:spPr>
                </pic:pic>
              </a:graphicData>
            </a:graphic>
          </wp:inline>
        </w:drawing>
      </w:r>
    </w:p>
    <w:p w:rsidR="00834DA6" w:rsidRDefault="00834DA6" w:rsidP="00834DA6">
      <w:pPr>
        <w:ind w:left="0"/>
        <w:jc w:val="center"/>
        <w:rPr>
          <w:rFonts w:ascii="Bookman Old Style" w:hAnsi="Bookman Old Style"/>
          <w:b/>
        </w:rPr>
      </w:pPr>
    </w:p>
    <w:p w:rsidR="00834DA6" w:rsidRDefault="00834DA6" w:rsidP="00834DA6">
      <w:pPr>
        <w:ind w:left="0"/>
        <w:jc w:val="center"/>
        <w:rPr>
          <w:rFonts w:ascii="Bookman Old Style" w:hAnsi="Bookman Old Style"/>
          <w:b/>
          <w:lang w:val="es-ES_tradnl"/>
        </w:rPr>
      </w:pPr>
      <w:r>
        <w:rPr>
          <w:rFonts w:ascii="Bookman Old Style" w:hAnsi="Bookman Old Style"/>
          <w:b/>
          <w:noProof/>
          <w:lang w:val="es-CO" w:eastAsia="es-CO"/>
        </w:rPr>
        <w:lastRenderedPageBreak/>
        <w:drawing>
          <wp:inline distT="0" distB="0" distL="0" distR="0" wp14:anchorId="277EEDC9" wp14:editId="4B750D70">
            <wp:extent cx="5934075" cy="4219575"/>
            <wp:effectExtent l="0" t="0" r="9525" b="9525"/>
            <wp:docPr id="268" name="Imagen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34075" cy="4219575"/>
                    </a:xfrm>
                    <a:prstGeom prst="rect">
                      <a:avLst/>
                    </a:prstGeom>
                    <a:noFill/>
                    <a:ln>
                      <a:noFill/>
                    </a:ln>
                  </pic:spPr>
                </pic:pic>
              </a:graphicData>
            </a:graphic>
          </wp:inline>
        </w:drawing>
      </w:r>
    </w:p>
    <w:p w:rsidR="00834DA6" w:rsidRDefault="00834DA6" w:rsidP="00834DA6">
      <w:pPr>
        <w:ind w:left="0"/>
        <w:rPr>
          <w:rFonts w:ascii="Bookman Old Style" w:hAnsi="Bookman Old Style"/>
          <w:b/>
          <w:lang w:val="es-ES_tradnl"/>
        </w:rPr>
      </w:pPr>
    </w:p>
    <w:p w:rsidR="00834DA6" w:rsidRDefault="00834DA6" w:rsidP="00834DA6">
      <w:pPr>
        <w:ind w:left="0"/>
        <w:jc w:val="center"/>
        <w:rPr>
          <w:rFonts w:ascii="Bookman Old Style" w:hAnsi="Bookman Old Style"/>
          <w:b/>
          <w:lang w:val="es-ES_tradnl"/>
        </w:rPr>
      </w:pPr>
      <w:r>
        <w:rPr>
          <w:rFonts w:ascii="Bookman Old Style" w:hAnsi="Bookman Old Style"/>
          <w:b/>
          <w:noProof/>
          <w:lang w:val="es-CO" w:eastAsia="es-CO"/>
        </w:rPr>
        <w:drawing>
          <wp:inline distT="0" distB="0" distL="0" distR="0" wp14:anchorId="64915E39" wp14:editId="37D8970F">
            <wp:extent cx="5934075" cy="4105275"/>
            <wp:effectExtent l="0" t="0" r="9525" b="9525"/>
            <wp:docPr id="269" name="Imagen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34075" cy="4105275"/>
                    </a:xfrm>
                    <a:prstGeom prst="rect">
                      <a:avLst/>
                    </a:prstGeom>
                    <a:noFill/>
                    <a:ln>
                      <a:noFill/>
                    </a:ln>
                  </pic:spPr>
                </pic:pic>
              </a:graphicData>
            </a:graphic>
          </wp:inline>
        </w:drawing>
      </w:r>
    </w:p>
    <w:p w:rsidR="00834DA6" w:rsidRDefault="00834DA6" w:rsidP="00834DA6">
      <w:pPr>
        <w:ind w:left="0"/>
        <w:rPr>
          <w:rFonts w:ascii="Bookman Old Style" w:hAnsi="Bookman Old Style"/>
          <w:b/>
          <w:lang w:val="es-ES_tradnl"/>
        </w:rPr>
      </w:pPr>
    </w:p>
    <w:p w:rsidR="00834DA6" w:rsidRDefault="00834DA6" w:rsidP="00834DA6">
      <w:pPr>
        <w:ind w:left="0"/>
        <w:rPr>
          <w:rFonts w:ascii="Bookman Old Style" w:hAnsi="Bookman Old Style"/>
          <w:b/>
          <w:lang w:val="es-ES_tradnl"/>
        </w:rPr>
      </w:pPr>
      <w:r>
        <w:rPr>
          <w:rFonts w:ascii="Bookman Old Style" w:hAnsi="Bookman Old Style"/>
          <w:b/>
          <w:noProof/>
          <w:lang w:val="es-CO" w:eastAsia="es-CO"/>
        </w:rPr>
        <w:lastRenderedPageBreak/>
        <w:drawing>
          <wp:inline distT="0" distB="0" distL="0" distR="0" wp14:anchorId="0B27F8F0" wp14:editId="1785C48A">
            <wp:extent cx="5943600" cy="1323975"/>
            <wp:effectExtent l="0" t="0" r="0" b="9525"/>
            <wp:docPr id="270" name="Imagen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43600" cy="1323975"/>
                    </a:xfrm>
                    <a:prstGeom prst="rect">
                      <a:avLst/>
                    </a:prstGeom>
                    <a:noFill/>
                    <a:ln>
                      <a:noFill/>
                    </a:ln>
                  </pic:spPr>
                </pic:pic>
              </a:graphicData>
            </a:graphic>
          </wp:inline>
        </w:drawing>
      </w:r>
    </w:p>
    <w:p w:rsidR="00834DA6" w:rsidRDefault="00834DA6" w:rsidP="00834DA6">
      <w:pPr>
        <w:ind w:left="0"/>
        <w:rPr>
          <w:rFonts w:ascii="Bookman Old Style" w:hAnsi="Bookman Old Style"/>
          <w:b/>
          <w:lang w:val="es-ES_tradnl"/>
        </w:rPr>
      </w:pPr>
    </w:p>
    <w:p w:rsidR="00834DA6" w:rsidRDefault="00834DA6" w:rsidP="00834DA6">
      <w:pPr>
        <w:ind w:left="0"/>
        <w:jc w:val="center"/>
        <w:rPr>
          <w:rFonts w:ascii="Bookman Old Style" w:hAnsi="Bookman Old Style"/>
          <w:b/>
          <w:lang w:val="es-ES_tradnl"/>
        </w:rPr>
      </w:pPr>
      <w:r>
        <w:rPr>
          <w:rFonts w:ascii="Bookman Old Style" w:hAnsi="Bookman Old Style"/>
          <w:b/>
          <w:noProof/>
          <w:lang w:val="es-CO" w:eastAsia="es-CO"/>
        </w:rPr>
        <w:drawing>
          <wp:inline distT="0" distB="0" distL="0" distR="0" wp14:anchorId="01D1A233" wp14:editId="62483D9D">
            <wp:extent cx="5343525" cy="1628775"/>
            <wp:effectExtent l="0" t="0" r="9525" b="9525"/>
            <wp:docPr id="271" name="Imagen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43525" cy="1628775"/>
                    </a:xfrm>
                    <a:prstGeom prst="rect">
                      <a:avLst/>
                    </a:prstGeom>
                    <a:noFill/>
                    <a:ln>
                      <a:noFill/>
                    </a:ln>
                  </pic:spPr>
                </pic:pic>
              </a:graphicData>
            </a:graphic>
          </wp:inline>
        </w:drawing>
      </w:r>
    </w:p>
    <w:p w:rsidR="00834DA6" w:rsidRDefault="00834DA6" w:rsidP="00834DA6">
      <w:pPr>
        <w:ind w:left="0"/>
        <w:jc w:val="center"/>
        <w:rPr>
          <w:rFonts w:ascii="Bookman Old Style" w:hAnsi="Bookman Old Style"/>
          <w:lang w:val="es-ES_tradnl"/>
        </w:rPr>
      </w:pPr>
    </w:p>
    <w:p w:rsidR="00834DA6" w:rsidRDefault="00834DA6" w:rsidP="00834DA6">
      <w:pPr>
        <w:ind w:left="0"/>
        <w:jc w:val="center"/>
        <w:rPr>
          <w:rFonts w:ascii="Bookman Old Style" w:hAnsi="Bookman Old Style"/>
          <w:lang w:val="es-ES_tradnl"/>
        </w:rPr>
      </w:pPr>
      <w:r>
        <w:rPr>
          <w:rFonts w:ascii="Bookman Old Style" w:hAnsi="Bookman Old Style"/>
          <w:noProof/>
          <w:lang w:val="es-CO" w:eastAsia="es-CO"/>
        </w:rPr>
        <w:drawing>
          <wp:inline distT="0" distB="0" distL="0" distR="0" wp14:anchorId="0870ADFF" wp14:editId="65CFC0B6">
            <wp:extent cx="5934075" cy="3219450"/>
            <wp:effectExtent l="0" t="0" r="9525" b="0"/>
            <wp:docPr id="272" name="Imagen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34075" cy="3219450"/>
                    </a:xfrm>
                    <a:prstGeom prst="rect">
                      <a:avLst/>
                    </a:prstGeom>
                    <a:noFill/>
                    <a:ln>
                      <a:noFill/>
                    </a:ln>
                  </pic:spPr>
                </pic:pic>
              </a:graphicData>
            </a:graphic>
          </wp:inline>
        </w:drawing>
      </w:r>
    </w:p>
    <w:p w:rsidR="00834DA6" w:rsidRDefault="00834DA6" w:rsidP="00834DA6">
      <w:pPr>
        <w:ind w:left="0"/>
        <w:jc w:val="center"/>
        <w:rPr>
          <w:rFonts w:ascii="Bookman Old Style" w:hAnsi="Bookman Old Style"/>
          <w:lang w:val="es-ES_tradnl"/>
        </w:rPr>
      </w:pPr>
    </w:p>
    <w:p w:rsidR="00834DA6" w:rsidRDefault="00834DA6" w:rsidP="00834DA6">
      <w:pPr>
        <w:ind w:left="0"/>
        <w:jc w:val="center"/>
        <w:rPr>
          <w:rFonts w:ascii="Bookman Old Style" w:hAnsi="Bookman Old Style"/>
          <w:lang w:val="es-ES_tradnl"/>
        </w:rPr>
      </w:pPr>
      <w:r>
        <w:rPr>
          <w:rFonts w:ascii="Bookman Old Style" w:hAnsi="Bookman Old Style"/>
          <w:noProof/>
          <w:lang w:val="es-CO" w:eastAsia="es-CO"/>
        </w:rPr>
        <w:lastRenderedPageBreak/>
        <w:drawing>
          <wp:inline distT="0" distB="0" distL="0" distR="0" wp14:anchorId="6E210558" wp14:editId="03D6EB25">
            <wp:extent cx="5934075" cy="2886075"/>
            <wp:effectExtent l="0" t="0" r="9525" b="9525"/>
            <wp:docPr id="273" name="Imagen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34075" cy="2886075"/>
                    </a:xfrm>
                    <a:prstGeom prst="rect">
                      <a:avLst/>
                    </a:prstGeom>
                    <a:noFill/>
                    <a:ln>
                      <a:noFill/>
                    </a:ln>
                  </pic:spPr>
                </pic:pic>
              </a:graphicData>
            </a:graphic>
          </wp:inline>
        </w:drawing>
      </w:r>
    </w:p>
    <w:p w:rsidR="00834DA6" w:rsidRDefault="00834DA6" w:rsidP="00834DA6">
      <w:pPr>
        <w:ind w:left="0"/>
        <w:jc w:val="center"/>
        <w:rPr>
          <w:rFonts w:ascii="Bookman Old Style" w:hAnsi="Bookman Old Style"/>
          <w:lang w:val="es-ES_tradnl"/>
        </w:rPr>
      </w:pPr>
    </w:p>
    <w:p w:rsidR="00834DA6" w:rsidRDefault="00834DA6" w:rsidP="00834DA6">
      <w:pPr>
        <w:ind w:left="0"/>
        <w:jc w:val="center"/>
        <w:rPr>
          <w:rFonts w:ascii="Bookman Old Style" w:hAnsi="Bookman Old Style"/>
          <w:lang w:val="es-ES_tradnl"/>
        </w:rPr>
      </w:pPr>
      <w:r>
        <w:rPr>
          <w:rFonts w:ascii="Bookman Old Style" w:hAnsi="Bookman Old Style"/>
          <w:noProof/>
          <w:lang w:val="es-CO" w:eastAsia="es-CO"/>
        </w:rPr>
        <w:drawing>
          <wp:inline distT="0" distB="0" distL="0" distR="0" wp14:anchorId="6707ACC0" wp14:editId="2C7B3870">
            <wp:extent cx="5934075" cy="3209925"/>
            <wp:effectExtent l="0" t="0" r="9525" b="9525"/>
            <wp:docPr id="274" name="Imagen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34075" cy="3209925"/>
                    </a:xfrm>
                    <a:prstGeom prst="rect">
                      <a:avLst/>
                    </a:prstGeom>
                    <a:noFill/>
                    <a:ln>
                      <a:noFill/>
                    </a:ln>
                  </pic:spPr>
                </pic:pic>
              </a:graphicData>
            </a:graphic>
          </wp:inline>
        </w:drawing>
      </w:r>
    </w:p>
    <w:p w:rsidR="00834DA6" w:rsidRDefault="00834DA6" w:rsidP="00834DA6">
      <w:pPr>
        <w:ind w:left="0"/>
        <w:jc w:val="center"/>
        <w:rPr>
          <w:rFonts w:ascii="Bookman Old Style" w:hAnsi="Bookman Old Style"/>
          <w:lang w:val="es-ES_tradnl"/>
        </w:rPr>
      </w:pPr>
    </w:p>
    <w:p w:rsidR="00834DA6" w:rsidRDefault="00834DA6" w:rsidP="00834DA6">
      <w:pPr>
        <w:ind w:left="0"/>
        <w:jc w:val="center"/>
        <w:rPr>
          <w:rFonts w:ascii="Bookman Old Style" w:hAnsi="Bookman Old Style"/>
          <w:lang w:val="es-ES_tradnl"/>
        </w:rPr>
      </w:pPr>
      <w:r>
        <w:rPr>
          <w:rFonts w:ascii="Bookman Old Style" w:hAnsi="Bookman Old Style"/>
          <w:noProof/>
          <w:lang w:val="es-CO" w:eastAsia="es-CO"/>
        </w:rPr>
        <w:lastRenderedPageBreak/>
        <w:drawing>
          <wp:inline distT="0" distB="0" distL="0" distR="0" wp14:anchorId="0E30EFBD" wp14:editId="0669F157">
            <wp:extent cx="5934075" cy="2886075"/>
            <wp:effectExtent l="0" t="0" r="9525" b="9525"/>
            <wp:docPr id="275" name="Imagen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34075" cy="2886075"/>
                    </a:xfrm>
                    <a:prstGeom prst="rect">
                      <a:avLst/>
                    </a:prstGeom>
                    <a:noFill/>
                    <a:ln>
                      <a:noFill/>
                    </a:ln>
                  </pic:spPr>
                </pic:pic>
              </a:graphicData>
            </a:graphic>
          </wp:inline>
        </w:drawing>
      </w:r>
    </w:p>
    <w:p w:rsidR="00834DA6" w:rsidRDefault="00834DA6" w:rsidP="00834DA6">
      <w:pPr>
        <w:ind w:left="0"/>
        <w:jc w:val="center"/>
        <w:rPr>
          <w:rFonts w:ascii="Bookman Old Style" w:hAnsi="Bookman Old Style"/>
          <w:lang w:val="es-ES_tradnl"/>
        </w:rPr>
      </w:pPr>
    </w:p>
    <w:p w:rsidR="00834DA6" w:rsidRDefault="00834DA6" w:rsidP="00834DA6">
      <w:pPr>
        <w:ind w:left="0"/>
        <w:jc w:val="center"/>
        <w:rPr>
          <w:rFonts w:ascii="Bookman Old Style" w:hAnsi="Bookman Old Style"/>
          <w:lang w:val="es-ES_tradnl"/>
        </w:rPr>
      </w:pPr>
      <w:r>
        <w:rPr>
          <w:rFonts w:ascii="Bookman Old Style" w:hAnsi="Bookman Old Style"/>
          <w:noProof/>
          <w:lang w:val="es-CO" w:eastAsia="es-CO"/>
        </w:rPr>
        <w:drawing>
          <wp:inline distT="0" distB="0" distL="0" distR="0" wp14:anchorId="295C5B9E" wp14:editId="57337B0A">
            <wp:extent cx="5934075" cy="3219450"/>
            <wp:effectExtent l="0" t="0" r="9525" b="0"/>
            <wp:docPr id="276" name="Imagen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34075" cy="3219450"/>
                    </a:xfrm>
                    <a:prstGeom prst="rect">
                      <a:avLst/>
                    </a:prstGeom>
                    <a:noFill/>
                    <a:ln>
                      <a:noFill/>
                    </a:ln>
                  </pic:spPr>
                </pic:pic>
              </a:graphicData>
            </a:graphic>
          </wp:inline>
        </w:drawing>
      </w:r>
    </w:p>
    <w:p w:rsidR="00834DA6" w:rsidRDefault="00834DA6" w:rsidP="00834DA6">
      <w:pPr>
        <w:ind w:left="0"/>
        <w:jc w:val="center"/>
        <w:rPr>
          <w:rFonts w:ascii="Bookman Old Style" w:hAnsi="Bookman Old Style"/>
          <w:lang w:val="es-ES_tradnl"/>
        </w:rPr>
      </w:pPr>
    </w:p>
    <w:p w:rsidR="00834DA6" w:rsidRDefault="00834DA6" w:rsidP="00834DA6">
      <w:pPr>
        <w:ind w:left="0"/>
        <w:jc w:val="center"/>
        <w:rPr>
          <w:rFonts w:ascii="Bookman Old Style" w:hAnsi="Bookman Old Style"/>
          <w:lang w:val="es-ES_tradnl"/>
        </w:rPr>
      </w:pPr>
      <w:r>
        <w:rPr>
          <w:rFonts w:ascii="Bookman Old Style" w:hAnsi="Bookman Old Style"/>
          <w:noProof/>
          <w:lang w:val="es-CO" w:eastAsia="es-CO"/>
        </w:rPr>
        <w:lastRenderedPageBreak/>
        <w:drawing>
          <wp:inline distT="0" distB="0" distL="0" distR="0" wp14:anchorId="6D0402C6" wp14:editId="4DEB6575">
            <wp:extent cx="5934075" cy="4286250"/>
            <wp:effectExtent l="0" t="0" r="9525" b="0"/>
            <wp:docPr id="279"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34075" cy="4286250"/>
                    </a:xfrm>
                    <a:prstGeom prst="rect">
                      <a:avLst/>
                    </a:prstGeom>
                    <a:noFill/>
                    <a:ln>
                      <a:noFill/>
                    </a:ln>
                  </pic:spPr>
                </pic:pic>
              </a:graphicData>
            </a:graphic>
          </wp:inline>
        </w:drawing>
      </w:r>
    </w:p>
    <w:p w:rsidR="00834DA6" w:rsidRDefault="00834DA6" w:rsidP="00834DA6">
      <w:pPr>
        <w:ind w:left="0"/>
        <w:jc w:val="center"/>
        <w:rPr>
          <w:rFonts w:ascii="Bookman Old Style" w:hAnsi="Bookman Old Style"/>
          <w:lang w:val="es-ES_tradnl"/>
        </w:rPr>
      </w:pPr>
    </w:p>
    <w:p w:rsidR="00834DA6" w:rsidRDefault="00834DA6" w:rsidP="00834DA6">
      <w:pPr>
        <w:ind w:left="0"/>
        <w:jc w:val="center"/>
        <w:rPr>
          <w:rFonts w:ascii="Bookman Old Style" w:hAnsi="Bookman Old Style"/>
          <w:lang w:val="es-ES_tradnl"/>
        </w:rPr>
      </w:pPr>
      <w:r>
        <w:rPr>
          <w:rFonts w:ascii="Bookman Old Style" w:hAnsi="Bookman Old Style"/>
          <w:noProof/>
          <w:lang w:val="es-CO" w:eastAsia="es-CO"/>
        </w:rPr>
        <w:drawing>
          <wp:inline distT="0" distB="0" distL="0" distR="0" wp14:anchorId="5AA01930" wp14:editId="4AF31E8E">
            <wp:extent cx="5934075" cy="3200400"/>
            <wp:effectExtent l="0" t="0" r="9525" b="0"/>
            <wp:docPr id="280" name="Imagen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34075" cy="3200400"/>
                    </a:xfrm>
                    <a:prstGeom prst="rect">
                      <a:avLst/>
                    </a:prstGeom>
                    <a:noFill/>
                    <a:ln>
                      <a:noFill/>
                    </a:ln>
                  </pic:spPr>
                </pic:pic>
              </a:graphicData>
            </a:graphic>
          </wp:inline>
        </w:drawing>
      </w:r>
    </w:p>
    <w:p w:rsidR="00834DA6" w:rsidRDefault="00834DA6" w:rsidP="00834DA6">
      <w:pPr>
        <w:ind w:left="0"/>
        <w:jc w:val="center"/>
        <w:rPr>
          <w:rFonts w:ascii="Bookman Old Style" w:hAnsi="Bookman Old Style"/>
          <w:lang w:val="es-ES_tradnl"/>
        </w:rPr>
      </w:pPr>
    </w:p>
    <w:p w:rsidR="00834DA6" w:rsidRDefault="00834DA6" w:rsidP="00834DA6">
      <w:pPr>
        <w:ind w:left="0"/>
        <w:jc w:val="center"/>
        <w:rPr>
          <w:rFonts w:ascii="Bookman Old Style" w:hAnsi="Bookman Old Style"/>
          <w:lang w:val="es-ES_tradnl"/>
        </w:rPr>
      </w:pPr>
      <w:r>
        <w:rPr>
          <w:rFonts w:ascii="Bookman Old Style" w:hAnsi="Bookman Old Style"/>
          <w:noProof/>
          <w:lang w:val="es-CO" w:eastAsia="es-CO"/>
        </w:rPr>
        <w:lastRenderedPageBreak/>
        <w:drawing>
          <wp:inline distT="0" distB="0" distL="0" distR="0" wp14:anchorId="6BE7F870" wp14:editId="3D32CC23">
            <wp:extent cx="5934075" cy="4257675"/>
            <wp:effectExtent l="0" t="0" r="9525" b="9525"/>
            <wp:docPr id="28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34075" cy="4257675"/>
                    </a:xfrm>
                    <a:prstGeom prst="rect">
                      <a:avLst/>
                    </a:prstGeom>
                    <a:noFill/>
                    <a:ln>
                      <a:noFill/>
                    </a:ln>
                  </pic:spPr>
                </pic:pic>
              </a:graphicData>
            </a:graphic>
          </wp:inline>
        </w:drawing>
      </w:r>
    </w:p>
    <w:p w:rsidR="00834DA6" w:rsidRDefault="00834DA6" w:rsidP="00834DA6">
      <w:pPr>
        <w:ind w:left="0"/>
        <w:jc w:val="center"/>
        <w:rPr>
          <w:rFonts w:ascii="Bookman Old Style" w:hAnsi="Bookman Old Style"/>
          <w:lang w:val="es-ES_tradnl"/>
        </w:rPr>
      </w:pPr>
    </w:p>
    <w:p w:rsidR="00834DA6" w:rsidRDefault="00834DA6" w:rsidP="00834DA6">
      <w:pPr>
        <w:ind w:left="0"/>
        <w:jc w:val="center"/>
        <w:rPr>
          <w:rFonts w:ascii="Bookman Old Style" w:hAnsi="Bookman Old Style"/>
          <w:lang w:val="es-ES_tradnl"/>
        </w:rPr>
      </w:pPr>
      <w:r>
        <w:rPr>
          <w:rFonts w:ascii="Bookman Old Style" w:hAnsi="Bookman Old Style"/>
          <w:noProof/>
          <w:lang w:val="es-CO" w:eastAsia="es-CO"/>
        </w:rPr>
        <w:drawing>
          <wp:inline distT="0" distB="0" distL="0" distR="0" wp14:anchorId="60CE2052" wp14:editId="5EBAE02D">
            <wp:extent cx="5934075" cy="3105150"/>
            <wp:effectExtent l="0" t="0" r="9525" b="0"/>
            <wp:docPr id="282" name="Imagen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34075" cy="3105150"/>
                    </a:xfrm>
                    <a:prstGeom prst="rect">
                      <a:avLst/>
                    </a:prstGeom>
                    <a:noFill/>
                    <a:ln>
                      <a:noFill/>
                    </a:ln>
                  </pic:spPr>
                </pic:pic>
              </a:graphicData>
            </a:graphic>
          </wp:inline>
        </w:drawing>
      </w:r>
    </w:p>
    <w:p w:rsidR="00834DA6" w:rsidRDefault="00834DA6" w:rsidP="00834DA6">
      <w:pPr>
        <w:ind w:left="0"/>
        <w:jc w:val="center"/>
        <w:rPr>
          <w:rFonts w:ascii="Bookman Old Style" w:hAnsi="Bookman Old Style"/>
          <w:lang w:val="es-ES_tradnl"/>
        </w:rPr>
      </w:pPr>
    </w:p>
    <w:p w:rsidR="00834DA6" w:rsidRDefault="00834DA6" w:rsidP="00834DA6">
      <w:pPr>
        <w:ind w:left="0"/>
        <w:jc w:val="center"/>
        <w:rPr>
          <w:rFonts w:ascii="Bookman Old Style" w:hAnsi="Bookman Old Style"/>
          <w:lang w:val="es-ES_tradnl"/>
        </w:rPr>
      </w:pPr>
      <w:r>
        <w:rPr>
          <w:rFonts w:ascii="Bookman Old Style" w:hAnsi="Bookman Old Style"/>
          <w:noProof/>
          <w:lang w:val="es-CO" w:eastAsia="es-CO"/>
        </w:rPr>
        <w:lastRenderedPageBreak/>
        <w:drawing>
          <wp:inline distT="0" distB="0" distL="0" distR="0" wp14:anchorId="4236F7E3" wp14:editId="51D09BA0">
            <wp:extent cx="5934075" cy="2781300"/>
            <wp:effectExtent l="0" t="0" r="9525" b="0"/>
            <wp:docPr id="283" name="Imagen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34075" cy="2781300"/>
                    </a:xfrm>
                    <a:prstGeom prst="rect">
                      <a:avLst/>
                    </a:prstGeom>
                    <a:noFill/>
                    <a:ln>
                      <a:noFill/>
                    </a:ln>
                  </pic:spPr>
                </pic:pic>
              </a:graphicData>
            </a:graphic>
          </wp:inline>
        </w:drawing>
      </w:r>
    </w:p>
    <w:p w:rsidR="00834DA6" w:rsidRDefault="00834DA6" w:rsidP="00834DA6">
      <w:pPr>
        <w:ind w:left="0"/>
        <w:jc w:val="center"/>
        <w:rPr>
          <w:rFonts w:ascii="Bookman Old Style" w:hAnsi="Bookman Old Style"/>
          <w:lang w:val="es-ES_tradnl"/>
        </w:rPr>
      </w:pPr>
    </w:p>
    <w:p w:rsidR="00834DA6" w:rsidRDefault="00834DA6" w:rsidP="00834DA6">
      <w:pPr>
        <w:ind w:left="0"/>
        <w:rPr>
          <w:rFonts w:ascii="Bookman Old Style" w:hAnsi="Bookman Old Style" w:cs="Arial"/>
          <w:b/>
        </w:rPr>
      </w:pPr>
      <w:r>
        <w:rPr>
          <w:rFonts w:ascii="Bookman Old Style" w:hAnsi="Bookman Old Style" w:cs="Arial"/>
          <w:b/>
        </w:rPr>
        <w:br w:type="page"/>
      </w:r>
    </w:p>
    <w:p w:rsidR="00834DA6" w:rsidRDefault="00834DA6" w:rsidP="00834DA6">
      <w:pPr>
        <w:ind w:left="142"/>
        <w:jc w:val="both"/>
        <w:rPr>
          <w:rFonts w:ascii="Bookman Old Style" w:hAnsi="Bookman Old Style" w:cs="Arial"/>
          <w:b/>
        </w:rPr>
      </w:pPr>
    </w:p>
    <w:p w:rsidR="00834DA6" w:rsidRDefault="00834DA6" w:rsidP="00834DA6">
      <w:pPr>
        <w:ind w:left="142"/>
        <w:jc w:val="both"/>
        <w:rPr>
          <w:rFonts w:ascii="Bookman Old Style" w:hAnsi="Bookman Old Style" w:cs="Arial"/>
          <w:b/>
        </w:rPr>
      </w:pPr>
      <w:r>
        <w:rPr>
          <w:rFonts w:ascii="Bookman Old Style" w:hAnsi="Bookman Old Style" w:cs="Arial"/>
          <w:b/>
        </w:rPr>
        <w:t>Grupo C.</w:t>
      </w:r>
    </w:p>
    <w:p w:rsidR="00834DA6" w:rsidRDefault="00834DA6" w:rsidP="00834DA6">
      <w:pPr>
        <w:ind w:left="142"/>
        <w:jc w:val="both"/>
        <w:rPr>
          <w:rFonts w:ascii="Bookman Old Style" w:hAnsi="Bookman Old Style" w:cs="Arial"/>
        </w:rPr>
      </w:pPr>
    </w:p>
    <w:p w:rsidR="00834DA6" w:rsidRDefault="00834DA6" w:rsidP="00834DA6">
      <w:pPr>
        <w:ind w:left="142"/>
        <w:jc w:val="both"/>
        <w:rPr>
          <w:rFonts w:ascii="Bookman Old Style" w:hAnsi="Bookman Old Style" w:cs="Arial"/>
        </w:rPr>
      </w:pPr>
      <w:r>
        <w:rPr>
          <w:rFonts w:ascii="Bookman Old Style" w:hAnsi="Bookman Old Style" w:cs="Arial"/>
        </w:rPr>
        <w:t>Con las siguientes características, incluye las especificaciones para el municipio de Floridablanca en el departamento de Santander.</w:t>
      </w:r>
    </w:p>
    <w:p w:rsidR="00834DA6" w:rsidRDefault="00834DA6" w:rsidP="00834DA6">
      <w:pPr>
        <w:ind w:left="142"/>
        <w:jc w:val="both"/>
        <w:rPr>
          <w:rFonts w:ascii="Bookman Old Style" w:hAnsi="Bookman Old Style" w:cs="Arial"/>
        </w:rPr>
      </w:pPr>
    </w:p>
    <w:p w:rsidR="00834DA6" w:rsidRDefault="00834DA6" w:rsidP="00834DA6">
      <w:pPr>
        <w:ind w:left="0"/>
        <w:jc w:val="both"/>
        <w:rPr>
          <w:rFonts w:ascii="Bookman Old Style" w:hAnsi="Bookman Old Style" w:cs="Arial"/>
        </w:rPr>
      </w:pPr>
      <w:r>
        <w:rPr>
          <w:rFonts w:ascii="Bookman Old Style" w:hAnsi="Bookman Old Style" w:cs="Arial"/>
          <w:noProof/>
          <w:lang w:val="es-CO" w:eastAsia="es-CO"/>
        </w:rPr>
        <w:drawing>
          <wp:inline distT="0" distB="0" distL="0" distR="0" wp14:anchorId="4AEF3300" wp14:editId="558453BA">
            <wp:extent cx="5943600" cy="1181100"/>
            <wp:effectExtent l="0" t="0" r="0" b="0"/>
            <wp:docPr id="284" name="Imagen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43600" cy="1181100"/>
                    </a:xfrm>
                    <a:prstGeom prst="rect">
                      <a:avLst/>
                    </a:prstGeom>
                    <a:noFill/>
                    <a:ln>
                      <a:noFill/>
                    </a:ln>
                  </pic:spPr>
                </pic:pic>
              </a:graphicData>
            </a:graphic>
          </wp:inline>
        </w:drawing>
      </w:r>
    </w:p>
    <w:p w:rsidR="00834DA6" w:rsidRDefault="00834DA6" w:rsidP="00834DA6">
      <w:pPr>
        <w:ind w:left="0"/>
        <w:rPr>
          <w:rFonts w:ascii="Bookman Old Style" w:hAnsi="Bookman Old Style"/>
        </w:rPr>
      </w:pPr>
    </w:p>
    <w:p w:rsidR="00834DA6" w:rsidRDefault="00834DA6" w:rsidP="00834DA6">
      <w:pPr>
        <w:ind w:left="0"/>
        <w:jc w:val="center"/>
        <w:rPr>
          <w:rFonts w:ascii="Bookman Old Style" w:hAnsi="Bookman Old Style"/>
        </w:rPr>
      </w:pPr>
      <w:r>
        <w:rPr>
          <w:rFonts w:ascii="Bookman Old Style" w:hAnsi="Bookman Old Style"/>
          <w:noProof/>
          <w:lang w:val="es-CO" w:eastAsia="es-CO"/>
        </w:rPr>
        <w:drawing>
          <wp:inline distT="0" distB="0" distL="0" distR="0" wp14:anchorId="508CE069" wp14:editId="4789EDD1">
            <wp:extent cx="5943600" cy="4343400"/>
            <wp:effectExtent l="0" t="0" r="0" b="0"/>
            <wp:docPr id="285"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3600" cy="4343400"/>
                    </a:xfrm>
                    <a:prstGeom prst="rect">
                      <a:avLst/>
                    </a:prstGeom>
                    <a:noFill/>
                    <a:ln>
                      <a:noFill/>
                    </a:ln>
                  </pic:spPr>
                </pic:pic>
              </a:graphicData>
            </a:graphic>
          </wp:inline>
        </w:drawing>
      </w:r>
    </w:p>
    <w:p w:rsidR="00834DA6" w:rsidRDefault="00834DA6" w:rsidP="00834DA6">
      <w:pPr>
        <w:ind w:left="0"/>
        <w:jc w:val="center"/>
        <w:rPr>
          <w:rFonts w:ascii="Bookman Old Style" w:hAnsi="Bookman Old Style"/>
        </w:rPr>
      </w:pPr>
    </w:p>
    <w:p w:rsidR="00834DA6" w:rsidRDefault="00834DA6" w:rsidP="00834DA6">
      <w:pPr>
        <w:ind w:left="0"/>
        <w:jc w:val="center"/>
        <w:rPr>
          <w:rFonts w:ascii="Bookman Old Style" w:hAnsi="Bookman Old Style"/>
        </w:rPr>
      </w:pPr>
      <w:r>
        <w:rPr>
          <w:rFonts w:ascii="Bookman Old Style" w:hAnsi="Bookman Old Style"/>
          <w:noProof/>
          <w:lang w:val="es-CO" w:eastAsia="es-CO"/>
        </w:rPr>
        <w:lastRenderedPageBreak/>
        <w:drawing>
          <wp:inline distT="0" distB="0" distL="0" distR="0" wp14:anchorId="11754452" wp14:editId="5ACAA5A6">
            <wp:extent cx="5943600" cy="4591050"/>
            <wp:effectExtent l="0" t="0" r="0" b="0"/>
            <wp:docPr id="286"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43600" cy="4591050"/>
                    </a:xfrm>
                    <a:prstGeom prst="rect">
                      <a:avLst/>
                    </a:prstGeom>
                    <a:noFill/>
                    <a:ln>
                      <a:noFill/>
                    </a:ln>
                  </pic:spPr>
                </pic:pic>
              </a:graphicData>
            </a:graphic>
          </wp:inline>
        </w:drawing>
      </w:r>
    </w:p>
    <w:p w:rsidR="00834DA6" w:rsidRDefault="00834DA6" w:rsidP="00834DA6">
      <w:pPr>
        <w:ind w:left="0"/>
        <w:jc w:val="center"/>
        <w:rPr>
          <w:rFonts w:ascii="Bookman Old Style" w:hAnsi="Bookman Old Style"/>
        </w:rPr>
      </w:pPr>
    </w:p>
    <w:p w:rsidR="00834DA6" w:rsidRDefault="00834DA6" w:rsidP="00834DA6">
      <w:pPr>
        <w:ind w:left="0"/>
        <w:jc w:val="center"/>
        <w:rPr>
          <w:rFonts w:ascii="Bookman Old Style" w:hAnsi="Bookman Old Style"/>
        </w:rPr>
      </w:pPr>
      <w:r>
        <w:rPr>
          <w:rFonts w:ascii="Bookman Old Style" w:hAnsi="Bookman Old Style"/>
          <w:noProof/>
          <w:lang w:val="es-CO" w:eastAsia="es-CO"/>
        </w:rPr>
        <w:lastRenderedPageBreak/>
        <w:drawing>
          <wp:inline distT="0" distB="0" distL="0" distR="0" wp14:anchorId="2B41C36C" wp14:editId="14F2D237">
            <wp:extent cx="5943600" cy="4467225"/>
            <wp:effectExtent l="0" t="0" r="0" b="9525"/>
            <wp:docPr id="287"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43600" cy="4467225"/>
                    </a:xfrm>
                    <a:prstGeom prst="rect">
                      <a:avLst/>
                    </a:prstGeom>
                    <a:noFill/>
                    <a:ln>
                      <a:noFill/>
                    </a:ln>
                  </pic:spPr>
                </pic:pic>
              </a:graphicData>
            </a:graphic>
          </wp:inline>
        </w:drawing>
      </w:r>
    </w:p>
    <w:p w:rsidR="00834DA6" w:rsidRDefault="00834DA6" w:rsidP="00834DA6">
      <w:pPr>
        <w:ind w:left="0"/>
        <w:rPr>
          <w:rFonts w:ascii="Bookman Old Style" w:hAnsi="Bookman Old Style"/>
        </w:rPr>
      </w:pPr>
    </w:p>
    <w:p w:rsidR="00834DA6" w:rsidRDefault="00834DA6" w:rsidP="00834DA6">
      <w:pPr>
        <w:ind w:left="0"/>
        <w:rPr>
          <w:rFonts w:ascii="Bookman Old Style" w:hAnsi="Bookman Old Style"/>
        </w:rPr>
      </w:pPr>
      <w:r>
        <w:rPr>
          <w:rFonts w:ascii="Bookman Old Style" w:hAnsi="Bookman Old Style"/>
          <w:noProof/>
          <w:lang w:val="es-CO" w:eastAsia="es-CO"/>
        </w:rPr>
        <w:drawing>
          <wp:inline distT="0" distB="0" distL="0" distR="0" wp14:anchorId="42774280" wp14:editId="743EFD04">
            <wp:extent cx="5934075" cy="1314450"/>
            <wp:effectExtent l="0" t="0" r="9525" b="0"/>
            <wp:docPr id="160" name="Imagen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34075" cy="1314450"/>
                    </a:xfrm>
                    <a:prstGeom prst="rect">
                      <a:avLst/>
                    </a:prstGeom>
                    <a:noFill/>
                    <a:ln>
                      <a:noFill/>
                    </a:ln>
                  </pic:spPr>
                </pic:pic>
              </a:graphicData>
            </a:graphic>
          </wp:inline>
        </w:drawing>
      </w:r>
    </w:p>
    <w:p w:rsidR="00834DA6" w:rsidRDefault="00834DA6" w:rsidP="00834DA6">
      <w:pPr>
        <w:ind w:left="0"/>
        <w:rPr>
          <w:rFonts w:ascii="Bookman Old Style" w:hAnsi="Bookman Old Style"/>
        </w:rPr>
      </w:pPr>
    </w:p>
    <w:p w:rsidR="00834DA6" w:rsidRDefault="00834DA6" w:rsidP="00834DA6">
      <w:pPr>
        <w:ind w:left="0"/>
        <w:jc w:val="center"/>
        <w:rPr>
          <w:rFonts w:ascii="Bookman Old Style" w:hAnsi="Bookman Old Style"/>
        </w:rPr>
      </w:pPr>
      <w:r>
        <w:rPr>
          <w:rFonts w:ascii="Bookman Old Style" w:hAnsi="Bookman Old Style"/>
          <w:noProof/>
          <w:lang w:val="es-CO" w:eastAsia="es-CO"/>
        </w:rPr>
        <w:drawing>
          <wp:inline distT="0" distB="0" distL="0" distR="0" wp14:anchorId="2F7D7E76" wp14:editId="7C694004">
            <wp:extent cx="5381625" cy="1628775"/>
            <wp:effectExtent l="0" t="0" r="9525" b="9525"/>
            <wp:docPr id="161" name="Imagen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381625" cy="1628775"/>
                    </a:xfrm>
                    <a:prstGeom prst="rect">
                      <a:avLst/>
                    </a:prstGeom>
                    <a:noFill/>
                    <a:ln>
                      <a:noFill/>
                    </a:ln>
                  </pic:spPr>
                </pic:pic>
              </a:graphicData>
            </a:graphic>
          </wp:inline>
        </w:drawing>
      </w:r>
    </w:p>
    <w:p w:rsidR="00834DA6" w:rsidRDefault="00834DA6" w:rsidP="00834DA6">
      <w:pPr>
        <w:ind w:left="0"/>
        <w:rPr>
          <w:rFonts w:ascii="Bookman Old Style" w:hAnsi="Bookman Old Style"/>
          <w:b/>
        </w:rPr>
      </w:pPr>
    </w:p>
    <w:p w:rsidR="00834DA6" w:rsidRDefault="00834DA6" w:rsidP="00834DA6">
      <w:pPr>
        <w:ind w:left="0"/>
        <w:jc w:val="center"/>
        <w:rPr>
          <w:rFonts w:ascii="Bookman Old Style" w:hAnsi="Bookman Old Style"/>
        </w:rPr>
      </w:pPr>
      <w:r>
        <w:rPr>
          <w:rFonts w:ascii="Bookman Old Style" w:hAnsi="Bookman Old Style"/>
          <w:noProof/>
          <w:lang w:val="es-CO" w:eastAsia="es-CO"/>
        </w:rPr>
        <w:lastRenderedPageBreak/>
        <w:drawing>
          <wp:inline distT="0" distB="0" distL="0" distR="0" wp14:anchorId="6CC9E0C5" wp14:editId="17C0E76B">
            <wp:extent cx="5934075" cy="3038475"/>
            <wp:effectExtent l="0" t="0" r="9525" b="9525"/>
            <wp:docPr id="162"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34075" cy="303847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drawing>
          <wp:inline distT="0" distB="0" distL="0" distR="0" wp14:anchorId="5E7AC577" wp14:editId="26F65F04">
            <wp:extent cx="5943600" cy="2714625"/>
            <wp:effectExtent l="0" t="0" r="0" b="9525"/>
            <wp:docPr id="163"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3600" cy="271462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lastRenderedPageBreak/>
        <w:drawing>
          <wp:inline distT="0" distB="0" distL="0" distR="0" wp14:anchorId="54A7EECC" wp14:editId="4980F9DA">
            <wp:extent cx="5934075" cy="3057525"/>
            <wp:effectExtent l="0" t="0" r="9525" b="9525"/>
            <wp:docPr id="164"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34075" cy="305752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drawing>
          <wp:inline distT="0" distB="0" distL="0" distR="0" wp14:anchorId="73FDEFB1" wp14:editId="6FE14EC9">
            <wp:extent cx="5943600" cy="2724150"/>
            <wp:effectExtent l="0" t="0" r="0" b="0"/>
            <wp:docPr id="165"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43600" cy="272415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lastRenderedPageBreak/>
        <w:drawing>
          <wp:inline distT="0" distB="0" distL="0" distR="0" wp14:anchorId="31986E08" wp14:editId="3FC1E9DF">
            <wp:extent cx="5934075" cy="3067050"/>
            <wp:effectExtent l="0" t="0" r="9525" b="0"/>
            <wp:docPr id="166"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34075" cy="306705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drawing>
          <wp:inline distT="0" distB="0" distL="0" distR="0" wp14:anchorId="0D35D600" wp14:editId="655F6423">
            <wp:extent cx="5943600" cy="4143375"/>
            <wp:effectExtent l="0" t="0" r="0" b="9525"/>
            <wp:docPr id="167"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43600" cy="414337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lastRenderedPageBreak/>
        <w:drawing>
          <wp:inline distT="0" distB="0" distL="0" distR="0" wp14:anchorId="17917E04" wp14:editId="439C1720">
            <wp:extent cx="5934075" cy="3067050"/>
            <wp:effectExtent l="0" t="0" r="9525" b="0"/>
            <wp:docPr id="168"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34075" cy="306705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drawing>
          <wp:inline distT="0" distB="0" distL="0" distR="0" wp14:anchorId="562FFEE4" wp14:editId="0A52499F">
            <wp:extent cx="5943600" cy="4143375"/>
            <wp:effectExtent l="0" t="0" r="0" b="9525"/>
            <wp:docPr id="169"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43600" cy="414337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lastRenderedPageBreak/>
        <w:drawing>
          <wp:inline distT="0" distB="0" distL="0" distR="0" wp14:anchorId="11DF159B" wp14:editId="364CA1AB">
            <wp:extent cx="5934075" cy="2962275"/>
            <wp:effectExtent l="0" t="0" r="9525" b="9525"/>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34075" cy="296227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drawing>
          <wp:inline distT="0" distB="0" distL="0" distR="0" wp14:anchorId="34E2E61A" wp14:editId="7FA24A22">
            <wp:extent cx="5943600" cy="2638425"/>
            <wp:effectExtent l="0" t="0" r="0" b="9525"/>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43600" cy="263842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rPr>
          <w:rFonts w:ascii="Bookman Old Style" w:hAnsi="Bookman Old Style" w:cs="Arial"/>
          <w:b/>
        </w:rPr>
      </w:pPr>
      <w:r>
        <w:rPr>
          <w:rFonts w:ascii="Bookman Old Style" w:hAnsi="Bookman Old Style" w:cs="Arial"/>
          <w:b/>
        </w:rPr>
        <w:br w:type="page"/>
      </w:r>
    </w:p>
    <w:p w:rsidR="00834DA6" w:rsidRDefault="00834DA6" w:rsidP="00834DA6">
      <w:pPr>
        <w:ind w:left="0"/>
        <w:jc w:val="both"/>
        <w:rPr>
          <w:rFonts w:ascii="Bookman Old Style" w:hAnsi="Bookman Old Style" w:cs="Arial"/>
        </w:rPr>
      </w:pPr>
      <w:r>
        <w:rPr>
          <w:rFonts w:ascii="Bookman Old Style" w:hAnsi="Bookman Old Style" w:cs="Arial"/>
          <w:b/>
        </w:rPr>
        <w:lastRenderedPageBreak/>
        <w:t>Grupo D.</w:t>
      </w:r>
      <w:r>
        <w:rPr>
          <w:rFonts w:ascii="Bookman Old Style" w:hAnsi="Bookman Old Style" w:cs="Arial"/>
        </w:rPr>
        <w:t xml:space="preserve"> </w:t>
      </w:r>
    </w:p>
    <w:p w:rsidR="00834DA6" w:rsidRDefault="00834DA6" w:rsidP="00834DA6">
      <w:pPr>
        <w:ind w:left="0"/>
        <w:jc w:val="both"/>
        <w:rPr>
          <w:rFonts w:ascii="Bookman Old Style" w:hAnsi="Bookman Old Style" w:cs="Arial"/>
        </w:rPr>
      </w:pPr>
    </w:p>
    <w:p w:rsidR="00834DA6" w:rsidRDefault="00834DA6" w:rsidP="00834DA6">
      <w:pPr>
        <w:ind w:left="0"/>
        <w:jc w:val="both"/>
        <w:rPr>
          <w:rFonts w:ascii="Bookman Old Style" w:hAnsi="Bookman Old Style" w:cs="Arial"/>
        </w:rPr>
      </w:pPr>
      <w:r>
        <w:rPr>
          <w:rFonts w:ascii="Bookman Old Style" w:hAnsi="Bookman Old Style" w:cs="Arial"/>
        </w:rPr>
        <w:t xml:space="preserve">Con las siguientes características, incluye las especificaciones para el Municipio de Santiago de Cali en el departamento del Valle del Cauca. </w:t>
      </w:r>
    </w:p>
    <w:p w:rsidR="00834DA6" w:rsidRDefault="00834DA6" w:rsidP="00834DA6">
      <w:pPr>
        <w:ind w:left="0"/>
        <w:jc w:val="both"/>
        <w:rPr>
          <w:rFonts w:ascii="Bookman Old Style" w:hAnsi="Bookman Old Style" w:cs="Arial"/>
        </w:rPr>
      </w:pPr>
    </w:p>
    <w:p w:rsidR="00834DA6" w:rsidRDefault="00834DA6" w:rsidP="00834DA6">
      <w:pPr>
        <w:ind w:left="0"/>
        <w:jc w:val="both"/>
        <w:rPr>
          <w:rFonts w:ascii="Bookman Old Style" w:hAnsi="Bookman Old Style" w:cs="Arial"/>
        </w:rPr>
      </w:pPr>
      <w:r>
        <w:rPr>
          <w:rFonts w:ascii="Bookman Old Style" w:hAnsi="Bookman Old Style" w:cs="Arial"/>
          <w:noProof/>
          <w:lang w:val="es-CO" w:eastAsia="es-CO"/>
        </w:rPr>
        <w:drawing>
          <wp:inline distT="0" distB="0" distL="0" distR="0" wp14:anchorId="100300A0" wp14:editId="5E3BC0C8">
            <wp:extent cx="5943600" cy="1114425"/>
            <wp:effectExtent l="0" t="0" r="0" b="9525"/>
            <wp:docPr id="219" name="Imagen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43600" cy="111442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drawing>
          <wp:inline distT="0" distB="0" distL="0" distR="0" wp14:anchorId="355F9D83" wp14:editId="302A70CD">
            <wp:extent cx="5934075" cy="4191000"/>
            <wp:effectExtent l="0" t="0" r="9525" b="0"/>
            <wp:docPr id="220"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34075" cy="419100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lastRenderedPageBreak/>
        <w:drawing>
          <wp:inline distT="0" distB="0" distL="0" distR="0" wp14:anchorId="67362384" wp14:editId="22FD5DE4">
            <wp:extent cx="5934075" cy="4438650"/>
            <wp:effectExtent l="0" t="0" r="9525" b="0"/>
            <wp:docPr id="221"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34075" cy="443865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drawing>
          <wp:inline distT="0" distB="0" distL="0" distR="0" wp14:anchorId="6D07AC9F" wp14:editId="5A7643D3">
            <wp:extent cx="5934075" cy="4314825"/>
            <wp:effectExtent l="0" t="0" r="9525" b="9525"/>
            <wp:docPr id="222"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34075" cy="431482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drawing>
          <wp:inline distT="0" distB="0" distL="0" distR="0" wp14:anchorId="0614DD6F" wp14:editId="697F8E63">
            <wp:extent cx="5943600" cy="1514475"/>
            <wp:effectExtent l="0" t="0" r="0" b="9525"/>
            <wp:docPr id="223" name="Imagen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43600" cy="1514475"/>
                    </a:xfrm>
                    <a:prstGeom prst="rect">
                      <a:avLst/>
                    </a:prstGeom>
                    <a:noFill/>
                    <a:ln>
                      <a:noFill/>
                    </a:ln>
                  </pic:spPr>
                </pic:pic>
              </a:graphicData>
            </a:graphic>
          </wp:inline>
        </w:drawing>
      </w:r>
    </w:p>
    <w:p w:rsidR="00834DA6" w:rsidRDefault="00834DA6" w:rsidP="00834DA6">
      <w:pPr>
        <w:ind w:left="0"/>
        <w:jc w:val="both"/>
        <w:rPr>
          <w:rFonts w:ascii="Bookman Old Style" w:hAnsi="Bookman Old Style" w:cs="Arial"/>
          <w:b/>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drawing>
          <wp:inline distT="0" distB="0" distL="0" distR="0" wp14:anchorId="5D866C77" wp14:editId="08FBFEC8">
            <wp:extent cx="4848225" cy="1628775"/>
            <wp:effectExtent l="0" t="0" r="9525" b="9525"/>
            <wp:docPr id="288" name="Imagen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848225" cy="162877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drawing>
          <wp:inline distT="0" distB="0" distL="0" distR="0" wp14:anchorId="4669E133" wp14:editId="66F13140">
            <wp:extent cx="5934075" cy="3276600"/>
            <wp:effectExtent l="0" t="0" r="9525" b="0"/>
            <wp:docPr id="289"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34075" cy="327660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lastRenderedPageBreak/>
        <w:drawing>
          <wp:inline distT="0" distB="0" distL="0" distR="0" wp14:anchorId="4DFB4847" wp14:editId="3C10B871">
            <wp:extent cx="5934075" cy="3009900"/>
            <wp:effectExtent l="0" t="0" r="9525" b="0"/>
            <wp:docPr id="290"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34075" cy="300990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drawing>
          <wp:inline distT="0" distB="0" distL="0" distR="0" wp14:anchorId="6880890F" wp14:editId="261705A1">
            <wp:extent cx="5934075" cy="3276600"/>
            <wp:effectExtent l="0" t="0" r="9525" b="0"/>
            <wp:docPr id="291"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34075" cy="327660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lastRenderedPageBreak/>
        <w:drawing>
          <wp:inline distT="0" distB="0" distL="0" distR="0" wp14:anchorId="5C3FAAA8" wp14:editId="1182DF94">
            <wp:extent cx="5934075" cy="3009900"/>
            <wp:effectExtent l="0" t="0" r="9525" b="0"/>
            <wp:docPr id="292"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34075" cy="300990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drawing>
          <wp:inline distT="0" distB="0" distL="0" distR="0" wp14:anchorId="64C7DD7F" wp14:editId="62893BD5">
            <wp:extent cx="5934075" cy="3267075"/>
            <wp:effectExtent l="0" t="0" r="9525" b="9525"/>
            <wp:docPr id="293"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34075" cy="326707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lastRenderedPageBreak/>
        <w:drawing>
          <wp:inline distT="0" distB="0" distL="0" distR="0" wp14:anchorId="45C94D65" wp14:editId="56AAEE90">
            <wp:extent cx="5848350" cy="4543425"/>
            <wp:effectExtent l="0" t="0" r="0" b="9525"/>
            <wp:docPr id="294"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848350" cy="454342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drawing>
          <wp:inline distT="0" distB="0" distL="0" distR="0" wp14:anchorId="768EE01A" wp14:editId="623844D2">
            <wp:extent cx="5934075" cy="3295650"/>
            <wp:effectExtent l="0" t="0" r="9525" b="0"/>
            <wp:docPr id="295"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34075" cy="329565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lastRenderedPageBreak/>
        <w:drawing>
          <wp:inline distT="0" distB="0" distL="0" distR="0" wp14:anchorId="23B52467" wp14:editId="77423D69">
            <wp:extent cx="5848350" cy="4581525"/>
            <wp:effectExtent l="0" t="0" r="0" b="9525"/>
            <wp:docPr id="296"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848350" cy="458152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drawing>
          <wp:inline distT="0" distB="0" distL="0" distR="0" wp14:anchorId="433AD59D" wp14:editId="4321B43D">
            <wp:extent cx="5934075" cy="3209925"/>
            <wp:effectExtent l="0" t="0" r="9525" b="9525"/>
            <wp:docPr id="297"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34075" cy="320992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lastRenderedPageBreak/>
        <w:drawing>
          <wp:inline distT="0" distB="0" distL="0" distR="0" wp14:anchorId="7F0C5795" wp14:editId="1788DDA7">
            <wp:extent cx="5934075" cy="2952750"/>
            <wp:effectExtent l="0" t="0" r="9525" b="0"/>
            <wp:docPr id="298"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34075" cy="295275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rPr>
          <w:rFonts w:ascii="Bookman Old Style" w:hAnsi="Bookman Old Style" w:cs="Arial"/>
          <w:b/>
        </w:rPr>
      </w:pPr>
      <w:r>
        <w:rPr>
          <w:rFonts w:ascii="Bookman Old Style" w:hAnsi="Bookman Old Style" w:cs="Arial"/>
          <w:b/>
        </w:rPr>
        <w:br w:type="page"/>
      </w:r>
    </w:p>
    <w:p w:rsidR="00834DA6" w:rsidRDefault="00834DA6" w:rsidP="00834DA6">
      <w:pPr>
        <w:ind w:left="0"/>
        <w:jc w:val="both"/>
        <w:rPr>
          <w:rFonts w:ascii="Bookman Old Style" w:hAnsi="Bookman Old Style" w:cs="Arial"/>
        </w:rPr>
      </w:pPr>
      <w:r>
        <w:rPr>
          <w:rFonts w:ascii="Bookman Old Style" w:hAnsi="Bookman Old Style" w:cs="Arial"/>
          <w:b/>
        </w:rPr>
        <w:lastRenderedPageBreak/>
        <w:t>Grupo E.</w:t>
      </w:r>
      <w:r>
        <w:rPr>
          <w:rFonts w:ascii="Bookman Old Style" w:hAnsi="Bookman Old Style" w:cs="Arial"/>
        </w:rPr>
        <w:t xml:space="preserve"> </w:t>
      </w:r>
    </w:p>
    <w:p w:rsidR="00834DA6" w:rsidRDefault="00834DA6" w:rsidP="00834DA6">
      <w:pPr>
        <w:ind w:left="0"/>
        <w:jc w:val="both"/>
        <w:rPr>
          <w:rFonts w:ascii="Bookman Old Style" w:hAnsi="Bookman Old Style" w:cs="Arial"/>
        </w:rPr>
      </w:pPr>
    </w:p>
    <w:p w:rsidR="00834DA6" w:rsidRDefault="00834DA6" w:rsidP="00834DA6">
      <w:pPr>
        <w:ind w:left="0"/>
        <w:jc w:val="both"/>
        <w:rPr>
          <w:rFonts w:ascii="Bookman Old Style" w:hAnsi="Bookman Old Style" w:cs="Arial"/>
        </w:rPr>
      </w:pPr>
      <w:r>
        <w:rPr>
          <w:rFonts w:ascii="Bookman Old Style" w:hAnsi="Bookman Old Style" w:cs="Arial"/>
        </w:rPr>
        <w:t>Con las siguientes características, incluye las especificaciones para los municipios que conforman el Valle del Aburrá en el departamento de Antioquia.</w:t>
      </w:r>
    </w:p>
    <w:p w:rsidR="00834DA6" w:rsidRDefault="00834DA6" w:rsidP="00834DA6">
      <w:pPr>
        <w:ind w:left="0"/>
        <w:jc w:val="both"/>
        <w:rPr>
          <w:rFonts w:ascii="Bookman Old Style" w:hAnsi="Bookman Old Style" w:cs="Arial"/>
        </w:rPr>
      </w:pPr>
    </w:p>
    <w:p w:rsidR="00834DA6" w:rsidRDefault="00834DA6" w:rsidP="00834DA6">
      <w:pPr>
        <w:ind w:left="0"/>
        <w:jc w:val="both"/>
        <w:rPr>
          <w:rFonts w:ascii="Bookman Old Style" w:hAnsi="Bookman Old Style" w:cs="Arial"/>
        </w:rPr>
      </w:pPr>
      <w:r>
        <w:rPr>
          <w:rFonts w:ascii="Bookman Old Style" w:hAnsi="Bookman Old Style" w:cs="Arial"/>
          <w:noProof/>
          <w:lang w:val="es-CO" w:eastAsia="es-CO"/>
        </w:rPr>
        <w:drawing>
          <wp:inline distT="0" distB="0" distL="0" distR="0" wp14:anchorId="78AC0025" wp14:editId="798E7948">
            <wp:extent cx="5943600" cy="1285875"/>
            <wp:effectExtent l="0" t="0" r="0" b="9525"/>
            <wp:docPr id="299" name="Imagen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943600" cy="128587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drawing>
          <wp:inline distT="0" distB="0" distL="0" distR="0" wp14:anchorId="69CFCA4C" wp14:editId="6390AB49">
            <wp:extent cx="5943600" cy="4248150"/>
            <wp:effectExtent l="0" t="0" r="0" b="0"/>
            <wp:docPr id="300"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43600" cy="424815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lastRenderedPageBreak/>
        <w:drawing>
          <wp:inline distT="0" distB="0" distL="0" distR="0" wp14:anchorId="4007FC04" wp14:editId="0D5BFFE5">
            <wp:extent cx="5943600" cy="4486275"/>
            <wp:effectExtent l="0" t="0" r="0" b="9525"/>
            <wp:docPr id="301"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43600" cy="448627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drawing>
          <wp:inline distT="0" distB="0" distL="0" distR="0" wp14:anchorId="1D74B0E3" wp14:editId="20B2ACE3">
            <wp:extent cx="5934075" cy="4333875"/>
            <wp:effectExtent l="0" t="0" r="9525" b="9525"/>
            <wp:docPr id="302"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934075" cy="433387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both"/>
        <w:rPr>
          <w:rFonts w:ascii="Bookman Old Style" w:hAnsi="Bookman Old Style" w:cs="Arial"/>
        </w:rPr>
      </w:pPr>
      <w:r>
        <w:rPr>
          <w:rFonts w:ascii="Bookman Old Style" w:hAnsi="Bookman Old Style" w:cs="Arial"/>
          <w:noProof/>
          <w:lang w:val="es-CO" w:eastAsia="es-CO"/>
        </w:rPr>
        <w:drawing>
          <wp:inline distT="0" distB="0" distL="0" distR="0" wp14:anchorId="019F51B1" wp14:editId="580DA2E1">
            <wp:extent cx="5943600" cy="1676400"/>
            <wp:effectExtent l="0" t="0" r="0" b="0"/>
            <wp:docPr id="303" name="Imagen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943600" cy="1676400"/>
                    </a:xfrm>
                    <a:prstGeom prst="rect">
                      <a:avLst/>
                    </a:prstGeom>
                    <a:noFill/>
                    <a:ln>
                      <a:noFill/>
                    </a:ln>
                  </pic:spPr>
                </pic:pic>
              </a:graphicData>
            </a:graphic>
          </wp:inline>
        </w:drawing>
      </w:r>
    </w:p>
    <w:p w:rsidR="00834DA6" w:rsidRDefault="00834DA6" w:rsidP="00834DA6">
      <w:pPr>
        <w:ind w:left="0"/>
        <w:jc w:val="both"/>
        <w:rPr>
          <w:rFonts w:ascii="Bookman Old Style" w:hAnsi="Bookman Old Style" w:cs="Arial"/>
          <w:b/>
        </w:rPr>
      </w:pPr>
    </w:p>
    <w:p w:rsidR="00834DA6" w:rsidRDefault="00834DA6" w:rsidP="00834DA6">
      <w:pPr>
        <w:ind w:left="0"/>
        <w:jc w:val="center"/>
        <w:rPr>
          <w:rFonts w:ascii="Bookman Old Style" w:hAnsi="Bookman Old Style" w:cs="Arial"/>
          <w:b/>
        </w:rPr>
      </w:pPr>
      <w:r>
        <w:rPr>
          <w:rFonts w:ascii="Bookman Old Style" w:hAnsi="Bookman Old Style" w:cs="Arial"/>
          <w:b/>
          <w:noProof/>
          <w:lang w:val="es-CO" w:eastAsia="es-CO"/>
        </w:rPr>
        <w:drawing>
          <wp:inline distT="0" distB="0" distL="0" distR="0" wp14:anchorId="1E2E78B1" wp14:editId="77D8F344">
            <wp:extent cx="4848225" cy="1628775"/>
            <wp:effectExtent l="0" t="0" r="9525" b="9525"/>
            <wp:docPr id="304" name="Imagen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848225" cy="162877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drawing>
          <wp:inline distT="0" distB="0" distL="0" distR="0" wp14:anchorId="58F97728" wp14:editId="755D1251">
            <wp:extent cx="5943600" cy="3276600"/>
            <wp:effectExtent l="0" t="0" r="0" b="0"/>
            <wp:docPr id="305"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943600" cy="327660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lastRenderedPageBreak/>
        <w:drawing>
          <wp:inline distT="0" distB="0" distL="0" distR="0" wp14:anchorId="0E94B6FF" wp14:editId="7A3D1AFE">
            <wp:extent cx="5934075" cy="2905125"/>
            <wp:effectExtent l="0" t="0" r="9525" b="9525"/>
            <wp:docPr id="306"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934075" cy="290512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drawing>
          <wp:inline distT="0" distB="0" distL="0" distR="0" wp14:anchorId="1541719F" wp14:editId="0AB09118">
            <wp:extent cx="5943600" cy="3286125"/>
            <wp:effectExtent l="0" t="0" r="0" b="9525"/>
            <wp:docPr id="307"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943600" cy="328612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lastRenderedPageBreak/>
        <w:drawing>
          <wp:inline distT="0" distB="0" distL="0" distR="0" wp14:anchorId="32BAFF44" wp14:editId="4ADF9A5C">
            <wp:extent cx="5934075" cy="2905125"/>
            <wp:effectExtent l="0" t="0" r="9525" b="9525"/>
            <wp:docPr id="30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934075" cy="290512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drawing>
          <wp:inline distT="0" distB="0" distL="0" distR="0" wp14:anchorId="7F31A046" wp14:editId="2DDE8A01">
            <wp:extent cx="5943600" cy="3267075"/>
            <wp:effectExtent l="0" t="0" r="0" b="9525"/>
            <wp:docPr id="309"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943600" cy="326707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lastRenderedPageBreak/>
        <w:drawing>
          <wp:inline distT="0" distB="0" distL="0" distR="0" wp14:anchorId="4D61037B" wp14:editId="1DCF6B97">
            <wp:extent cx="5934075" cy="4486275"/>
            <wp:effectExtent l="0" t="0" r="9525" b="9525"/>
            <wp:docPr id="31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934075" cy="448627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drawing>
          <wp:inline distT="0" distB="0" distL="0" distR="0" wp14:anchorId="395F3488" wp14:editId="146F137C">
            <wp:extent cx="5943600" cy="3267075"/>
            <wp:effectExtent l="0" t="0" r="0" b="9525"/>
            <wp:docPr id="311"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43600" cy="326707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lastRenderedPageBreak/>
        <w:drawing>
          <wp:inline distT="0" distB="0" distL="0" distR="0" wp14:anchorId="044B39DE" wp14:editId="54F7A781">
            <wp:extent cx="5934075" cy="4486275"/>
            <wp:effectExtent l="0" t="0" r="9525" b="9525"/>
            <wp:docPr id="312"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34075" cy="448627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drawing>
          <wp:inline distT="0" distB="0" distL="0" distR="0" wp14:anchorId="3BE1DFFF" wp14:editId="635B1532">
            <wp:extent cx="5943600" cy="3248025"/>
            <wp:effectExtent l="0" t="0" r="0" b="9525"/>
            <wp:docPr id="31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43600" cy="324802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jc w:val="center"/>
        <w:rPr>
          <w:rFonts w:ascii="Bookman Old Style" w:hAnsi="Bookman Old Style" w:cs="Arial"/>
        </w:rPr>
      </w:pPr>
      <w:r>
        <w:rPr>
          <w:rFonts w:ascii="Bookman Old Style" w:hAnsi="Bookman Old Style" w:cs="Arial"/>
          <w:noProof/>
          <w:lang w:val="es-CO" w:eastAsia="es-CO"/>
        </w:rPr>
        <w:lastRenderedPageBreak/>
        <w:drawing>
          <wp:inline distT="0" distB="0" distL="0" distR="0" wp14:anchorId="38491E05" wp14:editId="68116D25">
            <wp:extent cx="5934075" cy="2876550"/>
            <wp:effectExtent l="0" t="0" r="9525" b="0"/>
            <wp:docPr id="314"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6"/>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34075" cy="287655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Arial"/>
        </w:rPr>
      </w:pPr>
    </w:p>
    <w:p w:rsidR="00834DA6" w:rsidRDefault="00834DA6" w:rsidP="00834DA6">
      <w:pPr>
        <w:ind w:left="0"/>
        <w:rPr>
          <w:rFonts w:ascii="Bookman Old Style" w:hAnsi="Bookman Old Style" w:cs="Arial"/>
          <w:b/>
        </w:rPr>
      </w:pPr>
      <w:r>
        <w:rPr>
          <w:rFonts w:ascii="Bookman Old Style" w:hAnsi="Bookman Old Style" w:cs="Arial"/>
          <w:b/>
        </w:rPr>
        <w:br w:type="page"/>
      </w:r>
    </w:p>
    <w:p w:rsidR="00834DA6" w:rsidRDefault="00834DA6" w:rsidP="00834DA6">
      <w:pPr>
        <w:ind w:left="0"/>
        <w:jc w:val="both"/>
        <w:rPr>
          <w:rFonts w:ascii="Bookman Old Style" w:hAnsi="Bookman Old Style" w:cs="Arial"/>
        </w:rPr>
      </w:pPr>
      <w:r>
        <w:rPr>
          <w:rFonts w:ascii="Bookman Old Style" w:hAnsi="Bookman Old Style" w:cs="Arial"/>
          <w:b/>
        </w:rPr>
        <w:lastRenderedPageBreak/>
        <w:t>Grupo F.</w:t>
      </w:r>
      <w:r>
        <w:rPr>
          <w:rFonts w:ascii="Bookman Old Style" w:hAnsi="Bookman Old Style" w:cs="Arial"/>
        </w:rPr>
        <w:t xml:space="preserve"> </w:t>
      </w:r>
    </w:p>
    <w:p w:rsidR="00834DA6" w:rsidRDefault="00834DA6" w:rsidP="00834DA6">
      <w:pPr>
        <w:ind w:left="0"/>
        <w:jc w:val="both"/>
        <w:rPr>
          <w:rFonts w:ascii="Bookman Old Style" w:hAnsi="Bookman Old Style" w:cs="Arial"/>
        </w:rPr>
      </w:pPr>
    </w:p>
    <w:p w:rsidR="00834DA6" w:rsidRDefault="00834DA6" w:rsidP="00834DA6">
      <w:pPr>
        <w:ind w:left="0"/>
        <w:jc w:val="both"/>
        <w:rPr>
          <w:rFonts w:ascii="Bookman Old Style" w:hAnsi="Bookman Old Style" w:cs="Arial"/>
        </w:rPr>
      </w:pPr>
      <w:r>
        <w:rPr>
          <w:rFonts w:ascii="Bookman Old Style" w:hAnsi="Bookman Old Style" w:cs="Arial"/>
        </w:rPr>
        <w:t xml:space="preserve">Con las siguientes características, incluye las especificaciones para Bogotá D.C. </w:t>
      </w:r>
    </w:p>
    <w:p w:rsidR="00834DA6" w:rsidRDefault="00834DA6" w:rsidP="00834DA6">
      <w:pPr>
        <w:ind w:left="0"/>
        <w:rPr>
          <w:rFonts w:ascii="Calibri" w:hAnsi="Calibri" w:cs="Calibri"/>
          <w:sz w:val="22"/>
          <w:szCs w:val="22"/>
          <w:lang w:val="es-ES_tradnl" w:eastAsia="en-US"/>
        </w:rPr>
      </w:pPr>
    </w:p>
    <w:p w:rsidR="00834DA6" w:rsidRDefault="00834DA6" w:rsidP="00834DA6">
      <w:pPr>
        <w:ind w:left="0"/>
        <w:jc w:val="center"/>
        <w:rPr>
          <w:rFonts w:ascii="Calibri" w:hAnsi="Calibri" w:cs="Calibri"/>
          <w:sz w:val="22"/>
          <w:szCs w:val="22"/>
          <w:lang w:val="es-ES_tradnl" w:eastAsia="en-US"/>
        </w:rPr>
      </w:pPr>
      <w:r>
        <w:rPr>
          <w:rFonts w:ascii="Calibri" w:hAnsi="Calibri" w:cs="Calibri"/>
          <w:noProof/>
          <w:sz w:val="22"/>
          <w:szCs w:val="22"/>
          <w:lang w:val="es-CO" w:eastAsia="es-CO"/>
        </w:rPr>
        <w:drawing>
          <wp:inline distT="0" distB="0" distL="0" distR="0" wp14:anchorId="7F9521A5" wp14:editId="1738A4CA">
            <wp:extent cx="5848350" cy="1790700"/>
            <wp:effectExtent l="0" t="0" r="0" b="0"/>
            <wp:docPr id="315" name="Imagen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848350" cy="1790700"/>
                    </a:xfrm>
                    <a:prstGeom prst="rect">
                      <a:avLst/>
                    </a:prstGeom>
                    <a:noFill/>
                    <a:ln>
                      <a:noFill/>
                    </a:ln>
                  </pic:spPr>
                </pic:pic>
              </a:graphicData>
            </a:graphic>
          </wp:inline>
        </w:drawing>
      </w:r>
    </w:p>
    <w:p w:rsidR="00834DA6" w:rsidRDefault="00834DA6" w:rsidP="00834DA6">
      <w:pPr>
        <w:ind w:left="0"/>
        <w:rPr>
          <w:rFonts w:ascii="Bookman Old Style" w:hAnsi="Bookman Old Style" w:cs="Calibri"/>
          <w:lang w:val="es-ES_tradnl" w:eastAsia="en-US"/>
        </w:rPr>
      </w:pPr>
    </w:p>
    <w:p w:rsidR="00834DA6" w:rsidRDefault="00834DA6" w:rsidP="00834DA6">
      <w:pPr>
        <w:ind w:left="0"/>
        <w:jc w:val="center"/>
        <w:rPr>
          <w:rFonts w:ascii="Bookman Old Style" w:hAnsi="Bookman Old Style" w:cs="Calibri"/>
          <w:lang w:val="es-ES_tradnl" w:eastAsia="en-US"/>
        </w:rPr>
      </w:pPr>
      <w:r>
        <w:rPr>
          <w:rFonts w:ascii="Bookman Old Style" w:hAnsi="Bookman Old Style" w:cs="Calibri"/>
          <w:noProof/>
          <w:lang w:val="es-CO" w:eastAsia="es-CO"/>
        </w:rPr>
        <w:drawing>
          <wp:inline distT="0" distB="0" distL="0" distR="0" wp14:anchorId="731697CC" wp14:editId="44CA52B6">
            <wp:extent cx="5934075" cy="4419600"/>
            <wp:effectExtent l="0" t="0" r="9525" b="0"/>
            <wp:docPr id="316"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34075" cy="441960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Calibri"/>
          <w:lang w:val="es-ES_tradnl" w:eastAsia="en-US"/>
        </w:rPr>
      </w:pPr>
    </w:p>
    <w:p w:rsidR="00834DA6" w:rsidRDefault="00834DA6" w:rsidP="00834DA6">
      <w:pPr>
        <w:ind w:left="0"/>
        <w:jc w:val="center"/>
        <w:rPr>
          <w:rFonts w:ascii="Bookman Old Style" w:hAnsi="Bookman Old Style" w:cs="Calibri"/>
          <w:lang w:val="es-ES_tradnl" w:eastAsia="en-US"/>
        </w:rPr>
      </w:pPr>
      <w:r>
        <w:rPr>
          <w:rFonts w:ascii="Bookman Old Style" w:hAnsi="Bookman Old Style" w:cs="Calibri"/>
          <w:noProof/>
          <w:lang w:val="es-CO" w:eastAsia="es-CO"/>
        </w:rPr>
        <w:lastRenderedPageBreak/>
        <w:drawing>
          <wp:inline distT="0" distB="0" distL="0" distR="0" wp14:anchorId="20D3F5A6" wp14:editId="7E83997F">
            <wp:extent cx="5934075" cy="4552950"/>
            <wp:effectExtent l="0" t="0" r="9525" b="0"/>
            <wp:docPr id="317"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34075" cy="455295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Calibri"/>
          <w:lang w:val="es-ES_tradnl" w:eastAsia="en-US"/>
        </w:rPr>
      </w:pPr>
    </w:p>
    <w:p w:rsidR="00834DA6" w:rsidRDefault="00834DA6" w:rsidP="00834DA6">
      <w:pPr>
        <w:ind w:left="0"/>
        <w:jc w:val="center"/>
        <w:rPr>
          <w:rFonts w:ascii="Bookman Old Style" w:hAnsi="Bookman Old Style" w:cs="Calibri"/>
          <w:lang w:val="es-ES_tradnl" w:eastAsia="en-US"/>
        </w:rPr>
      </w:pPr>
      <w:r>
        <w:rPr>
          <w:rFonts w:ascii="Bookman Old Style" w:hAnsi="Bookman Old Style" w:cs="Calibri"/>
          <w:noProof/>
          <w:lang w:val="es-CO" w:eastAsia="es-CO"/>
        </w:rPr>
        <w:lastRenderedPageBreak/>
        <w:drawing>
          <wp:inline distT="0" distB="0" distL="0" distR="0" wp14:anchorId="19A4A62F" wp14:editId="5C881517">
            <wp:extent cx="5934075" cy="4419600"/>
            <wp:effectExtent l="0" t="0" r="9525" b="0"/>
            <wp:docPr id="318"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934075" cy="441960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Calibri"/>
          <w:lang w:val="es-ES_tradnl" w:eastAsia="en-US"/>
        </w:rPr>
      </w:pPr>
    </w:p>
    <w:p w:rsidR="00834DA6" w:rsidRDefault="00834DA6" w:rsidP="00834DA6">
      <w:pPr>
        <w:ind w:left="0"/>
        <w:jc w:val="center"/>
        <w:rPr>
          <w:rFonts w:ascii="Bookman Old Style" w:hAnsi="Bookman Old Style" w:cs="Calibri"/>
          <w:lang w:val="es-ES_tradnl" w:eastAsia="en-US"/>
        </w:rPr>
      </w:pPr>
      <w:r>
        <w:rPr>
          <w:rFonts w:ascii="Bookman Old Style" w:hAnsi="Bookman Old Style" w:cs="Calibri"/>
          <w:noProof/>
          <w:lang w:val="es-CO" w:eastAsia="es-CO"/>
        </w:rPr>
        <w:drawing>
          <wp:inline distT="0" distB="0" distL="0" distR="0" wp14:anchorId="6B9E0026" wp14:editId="2778A81E">
            <wp:extent cx="5943600" cy="1685925"/>
            <wp:effectExtent l="0" t="0" r="0" b="9525"/>
            <wp:docPr id="319" name="Imagen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943600" cy="168592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Calibri"/>
          <w:lang w:val="es-ES_tradnl" w:eastAsia="en-US"/>
        </w:rPr>
      </w:pPr>
    </w:p>
    <w:p w:rsidR="00834DA6" w:rsidRDefault="00834DA6" w:rsidP="00834DA6">
      <w:pPr>
        <w:ind w:left="0"/>
        <w:jc w:val="center"/>
        <w:rPr>
          <w:rFonts w:ascii="Bookman Old Style" w:hAnsi="Bookman Old Style" w:cs="Calibri"/>
          <w:lang w:val="es-ES_tradnl" w:eastAsia="en-US"/>
        </w:rPr>
      </w:pPr>
      <w:r>
        <w:rPr>
          <w:rFonts w:ascii="Bookman Old Style" w:hAnsi="Bookman Old Style" w:cs="Calibri"/>
          <w:noProof/>
          <w:lang w:val="es-CO" w:eastAsia="es-CO"/>
        </w:rPr>
        <w:drawing>
          <wp:inline distT="0" distB="0" distL="0" distR="0" wp14:anchorId="5AD6598B" wp14:editId="6C3610BF">
            <wp:extent cx="5372100" cy="1962150"/>
            <wp:effectExtent l="0" t="0" r="0" b="0"/>
            <wp:docPr id="320"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372100" cy="196215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Calibri"/>
          <w:lang w:val="es-ES_tradnl" w:eastAsia="en-US"/>
        </w:rPr>
      </w:pPr>
    </w:p>
    <w:p w:rsidR="00834DA6" w:rsidRDefault="00834DA6" w:rsidP="00834DA6">
      <w:pPr>
        <w:ind w:left="0"/>
        <w:jc w:val="center"/>
        <w:rPr>
          <w:rFonts w:ascii="Bookman Old Style" w:hAnsi="Bookman Old Style" w:cs="Calibri"/>
          <w:lang w:val="es-ES_tradnl" w:eastAsia="en-US"/>
        </w:rPr>
      </w:pPr>
      <w:r>
        <w:rPr>
          <w:rFonts w:ascii="Bookman Old Style" w:hAnsi="Bookman Old Style" w:cs="Calibri"/>
          <w:noProof/>
          <w:lang w:val="es-CO" w:eastAsia="es-CO"/>
        </w:rPr>
        <w:lastRenderedPageBreak/>
        <w:drawing>
          <wp:inline distT="0" distB="0" distL="0" distR="0" wp14:anchorId="712D54C3" wp14:editId="7319B3E6">
            <wp:extent cx="5943600" cy="3343275"/>
            <wp:effectExtent l="0" t="0" r="0" b="9525"/>
            <wp:docPr id="321"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Calibri"/>
          <w:lang w:val="es-ES_tradnl" w:eastAsia="en-US"/>
        </w:rPr>
      </w:pPr>
    </w:p>
    <w:p w:rsidR="00834DA6" w:rsidRDefault="00834DA6" w:rsidP="00834DA6">
      <w:pPr>
        <w:ind w:left="0"/>
        <w:jc w:val="center"/>
        <w:rPr>
          <w:rFonts w:ascii="Bookman Old Style" w:hAnsi="Bookman Old Style" w:cs="Calibri"/>
          <w:lang w:val="es-ES_tradnl" w:eastAsia="en-US"/>
        </w:rPr>
      </w:pPr>
      <w:r>
        <w:rPr>
          <w:rFonts w:ascii="Bookman Old Style" w:hAnsi="Bookman Old Style" w:cs="Calibri"/>
          <w:noProof/>
          <w:lang w:val="es-CO" w:eastAsia="es-CO"/>
        </w:rPr>
        <w:drawing>
          <wp:inline distT="0" distB="0" distL="0" distR="0" wp14:anchorId="3C177085" wp14:editId="6A4482CB">
            <wp:extent cx="5943600" cy="3038475"/>
            <wp:effectExtent l="0" t="0" r="0" b="9525"/>
            <wp:docPr id="322"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43600" cy="303847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Calibri"/>
          <w:lang w:val="es-ES_tradnl" w:eastAsia="en-US"/>
        </w:rPr>
      </w:pPr>
    </w:p>
    <w:p w:rsidR="00834DA6" w:rsidRDefault="00834DA6" w:rsidP="00834DA6">
      <w:pPr>
        <w:ind w:left="0"/>
        <w:jc w:val="center"/>
        <w:rPr>
          <w:rFonts w:ascii="Bookman Old Style" w:hAnsi="Bookman Old Style" w:cs="Calibri"/>
          <w:lang w:val="es-ES_tradnl" w:eastAsia="en-US"/>
        </w:rPr>
      </w:pPr>
      <w:r>
        <w:rPr>
          <w:rFonts w:ascii="Bookman Old Style" w:hAnsi="Bookman Old Style" w:cs="Calibri"/>
          <w:noProof/>
          <w:lang w:val="es-CO" w:eastAsia="es-CO"/>
        </w:rPr>
        <w:lastRenderedPageBreak/>
        <w:drawing>
          <wp:inline distT="0" distB="0" distL="0" distR="0" wp14:anchorId="615A95D6" wp14:editId="6B3328C0">
            <wp:extent cx="5943600" cy="3219450"/>
            <wp:effectExtent l="0" t="0" r="0" b="0"/>
            <wp:docPr id="323"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43600" cy="321945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Calibri"/>
          <w:lang w:val="es-ES_tradnl" w:eastAsia="en-US"/>
        </w:rPr>
      </w:pPr>
    </w:p>
    <w:p w:rsidR="00834DA6" w:rsidRDefault="00834DA6" w:rsidP="00834DA6">
      <w:pPr>
        <w:ind w:left="0"/>
        <w:jc w:val="center"/>
        <w:rPr>
          <w:rFonts w:ascii="Bookman Old Style" w:hAnsi="Bookman Old Style" w:cs="Calibri"/>
          <w:lang w:val="es-ES_tradnl" w:eastAsia="en-US"/>
        </w:rPr>
      </w:pPr>
      <w:r>
        <w:rPr>
          <w:rFonts w:ascii="Bookman Old Style" w:hAnsi="Bookman Old Style" w:cs="Calibri"/>
          <w:noProof/>
          <w:lang w:val="es-CO" w:eastAsia="es-CO"/>
        </w:rPr>
        <w:drawing>
          <wp:inline distT="0" distB="0" distL="0" distR="0" wp14:anchorId="24AF512D" wp14:editId="74C9F5C0">
            <wp:extent cx="5943600" cy="2933700"/>
            <wp:effectExtent l="0" t="0" r="0" b="0"/>
            <wp:docPr id="32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943600" cy="293370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Calibri"/>
          <w:lang w:val="es-ES_tradnl" w:eastAsia="en-US"/>
        </w:rPr>
      </w:pPr>
    </w:p>
    <w:p w:rsidR="00834DA6" w:rsidRDefault="00834DA6" w:rsidP="00834DA6">
      <w:pPr>
        <w:ind w:left="0"/>
        <w:jc w:val="center"/>
        <w:rPr>
          <w:rFonts w:ascii="Bookman Old Style" w:hAnsi="Bookman Old Style" w:cs="Calibri"/>
          <w:lang w:val="es-ES_tradnl" w:eastAsia="en-US"/>
        </w:rPr>
      </w:pPr>
      <w:r>
        <w:rPr>
          <w:rFonts w:ascii="Bookman Old Style" w:hAnsi="Bookman Old Style" w:cs="Calibri"/>
          <w:noProof/>
          <w:lang w:val="es-CO" w:eastAsia="es-CO"/>
        </w:rPr>
        <w:lastRenderedPageBreak/>
        <w:drawing>
          <wp:inline distT="0" distB="0" distL="0" distR="0" wp14:anchorId="02E5AEC1" wp14:editId="406DDA16">
            <wp:extent cx="5943600" cy="3200400"/>
            <wp:effectExtent l="0" t="0" r="0" b="0"/>
            <wp:docPr id="325"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9"/>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43600" cy="320040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Calibri"/>
          <w:lang w:val="es-ES_tradnl" w:eastAsia="en-US"/>
        </w:rPr>
      </w:pPr>
    </w:p>
    <w:p w:rsidR="00834DA6" w:rsidRDefault="00834DA6" w:rsidP="00834DA6">
      <w:pPr>
        <w:ind w:left="0"/>
        <w:jc w:val="center"/>
        <w:rPr>
          <w:rFonts w:ascii="Bookman Old Style" w:hAnsi="Bookman Old Style" w:cs="Calibri"/>
          <w:lang w:val="es-ES_tradnl" w:eastAsia="en-US"/>
        </w:rPr>
      </w:pPr>
      <w:r>
        <w:rPr>
          <w:rFonts w:ascii="Bookman Old Style" w:hAnsi="Bookman Old Style" w:cs="Calibri"/>
          <w:noProof/>
          <w:lang w:val="es-CO" w:eastAsia="es-CO"/>
        </w:rPr>
        <w:drawing>
          <wp:inline distT="0" distB="0" distL="0" distR="0" wp14:anchorId="51544BC5" wp14:editId="29EBA3E0">
            <wp:extent cx="5943600" cy="4286250"/>
            <wp:effectExtent l="0" t="0" r="0" b="0"/>
            <wp:docPr id="32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43600" cy="428625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Calibri"/>
          <w:lang w:val="es-ES_tradnl" w:eastAsia="en-US"/>
        </w:rPr>
      </w:pPr>
    </w:p>
    <w:p w:rsidR="00834DA6" w:rsidRDefault="00834DA6" w:rsidP="00834DA6">
      <w:pPr>
        <w:ind w:left="0"/>
        <w:jc w:val="center"/>
        <w:rPr>
          <w:rFonts w:ascii="Bookman Old Style" w:hAnsi="Bookman Old Style" w:cs="Calibri"/>
          <w:lang w:val="es-ES_tradnl" w:eastAsia="en-US"/>
        </w:rPr>
      </w:pPr>
      <w:r>
        <w:rPr>
          <w:rFonts w:ascii="Bookman Old Style" w:hAnsi="Bookman Old Style" w:cs="Calibri"/>
          <w:noProof/>
          <w:lang w:val="es-CO" w:eastAsia="es-CO"/>
        </w:rPr>
        <w:lastRenderedPageBreak/>
        <w:drawing>
          <wp:inline distT="0" distB="0" distL="0" distR="0" wp14:anchorId="4FFAA403" wp14:editId="5D72E68C">
            <wp:extent cx="5943600" cy="3238500"/>
            <wp:effectExtent l="0" t="0" r="0" b="0"/>
            <wp:docPr id="327"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43600" cy="323850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Calibri"/>
          <w:lang w:val="es-ES_tradnl" w:eastAsia="en-US"/>
        </w:rPr>
      </w:pPr>
    </w:p>
    <w:p w:rsidR="00834DA6" w:rsidRDefault="00834DA6" w:rsidP="00834DA6">
      <w:pPr>
        <w:ind w:left="0"/>
        <w:jc w:val="center"/>
        <w:rPr>
          <w:rFonts w:ascii="Bookman Old Style" w:hAnsi="Bookman Old Style" w:cs="Calibri"/>
          <w:lang w:val="es-ES_tradnl" w:eastAsia="en-US"/>
        </w:rPr>
      </w:pPr>
      <w:r>
        <w:rPr>
          <w:rFonts w:ascii="Bookman Old Style" w:hAnsi="Bookman Old Style" w:cs="Calibri"/>
          <w:noProof/>
          <w:lang w:val="es-CO" w:eastAsia="es-CO"/>
        </w:rPr>
        <w:drawing>
          <wp:inline distT="0" distB="0" distL="0" distR="0" wp14:anchorId="1C037270" wp14:editId="4B49E38A">
            <wp:extent cx="5943600" cy="4333875"/>
            <wp:effectExtent l="0" t="0" r="0" b="9525"/>
            <wp:docPr id="328"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43600" cy="433387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Calibri"/>
          <w:lang w:val="es-ES_tradnl" w:eastAsia="en-US"/>
        </w:rPr>
      </w:pPr>
    </w:p>
    <w:p w:rsidR="00834DA6" w:rsidRDefault="00834DA6" w:rsidP="00834DA6">
      <w:pPr>
        <w:ind w:left="0"/>
        <w:jc w:val="center"/>
        <w:rPr>
          <w:rFonts w:ascii="Bookman Old Style" w:hAnsi="Bookman Old Style" w:cs="Calibri"/>
          <w:lang w:val="es-ES_tradnl" w:eastAsia="en-US"/>
        </w:rPr>
      </w:pPr>
      <w:r>
        <w:rPr>
          <w:rFonts w:ascii="Bookman Old Style" w:hAnsi="Bookman Old Style" w:cs="Calibri"/>
          <w:noProof/>
          <w:lang w:val="es-CO" w:eastAsia="es-CO"/>
        </w:rPr>
        <w:lastRenderedPageBreak/>
        <w:drawing>
          <wp:inline distT="0" distB="0" distL="0" distR="0" wp14:anchorId="6CAB0F74" wp14:editId="797CCBAD">
            <wp:extent cx="5943600" cy="3095625"/>
            <wp:effectExtent l="0" t="0" r="0" b="9525"/>
            <wp:docPr id="329"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43600" cy="3095625"/>
                    </a:xfrm>
                    <a:prstGeom prst="rect">
                      <a:avLst/>
                    </a:prstGeom>
                    <a:noFill/>
                    <a:ln>
                      <a:noFill/>
                    </a:ln>
                  </pic:spPr>
                </pic:pic>
              </a:graphicData>
            </a:graphic>
          </wp:inline>
        </w:drawing>
      </w:r>
    </w:p>
    <w:p w:rsidR="00834DA6" w:rsidRDefault="00834DA6" w:rsidP="00834DA6">
      <w:pPr>
        <w:ind w:left="0"/>
        <w:jc w:val="center"/>
        <w:rPr>
          <w:rFonts w:ascii="Bookman Old Style" w:hAnsi="Bookman Old Style" w:cs="Calibri"/>
          <w:lang w:val="es-ES_tradnl" w:eastAsia="en-US"/>
        </w:rPr>
      </w:pPr>
    </w:p>
    <w:p w:rsidR="00834DA6" w:rsidRDefault="00834DA6" w:rsidP="00834DA6">
      <w:pPr>
        <w:ind w:left="0"/>
        <w:jc w:val="center"/>
        <w:rPr>
          <w:rFonts w:ascii="Bookman Old Style" w:hAnsi="Bookman Old Style" w:cs="Calibri"/>
          <w:lang w:val="es-ES_tradnl" w:eastAsia="en-US"/>
        </w:rPr>
      </w:pPr>
      <w:r>
        <w:rPr>
          <w:rFonts w:ascii="Bookman Old Style" w:hAnsi="Bookman Old Style" w:cs="Calibri"/>
          <w:noProof/>
          <w:lang w:val="es-CO" w:eastAsia="es-CO"/>
        </w:rPr>
        <w:drawing>
          <wp:inline distT="0" distB="0" distL="0" distR="0" wp14:anchorId="439E9353" wp14:editId="3586AB26">
            <wp:extent cx="5943600" cy="2819400"/>
            <wp:effectExtent l="0" t="0" r="0" b="0"/>
            <wp:docPr id="330"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43600" cy="2819400"/>
                    </a:xfrm>
                    <a:prstGeom prst="rect">
                      <a:avLst/>
                    </a:prstGeom>
                    <a:noFill/>
                    <a:ln>
                      <a:noFill/>
                    </a:ln>
                  </pic:spPr>
                </pic:pic>
              </a:graphicData>
            </a:graphic>
          </wp:inline>
        </w:drawing>
      </w:r>
    </w:p>
    <w:p w:rsidR="00834DA6" w:rsidRDefault="00834DA6" w:rsidP="00834DA6">
      <w:pPr>
        <w:ind w:left="0"/>
        <w:jc w:val="center"/>
        <w:rPr>
          <w:rFonts w:ascii="Bookman Old Style" w:hAnsi="Bookman Old Style" w:cs="Calibri"/>
          <w:lang w:val="es-ES_tradnl" w:eastAsia="en-US"/>
        </w:rPr>
      </w:pPr>
    </w:p>
    <w:p w:rsidR="00834DA6" w:rsidRDefault="001E3A08" w:rsidP="00834DA6">
      <w:pPr>
        <w:ind w:left="0"/>
        <w:rPr>
          <w:rFonts w:ascii="Bookman Old Style" w:hAnsi="Bookman Old Style" w:cs="Calibri"/>
          <w:lang w:val="es-ES_tradnl" w:eastAsia="en-US"/>
        </w:rPr>
      </w:pPr>
      <w:r>
        <w:rPr>
          <w:rFonts w:ascii="Bookman Old Style" w:hAnsi="Bookman Old Style" w:cs="Calibri"/>
          <w:noProof/>
          <w:lang w:val="es-CO" w:eastAsia="es-CO"/>
        </w:rPr>
        <w:drawing>
          <wp:anchor distT="0" distB="0" distL="114300" distR="114300" simplePos="0" relativeHeight="251659776" behindDoc="0" locked="0" layoutInCell="1" allowOverlap="1" wp14:anchorId="0A609C09" wp14:editId="374EC6D5">
            <wp:simplePos x="0" y="0"/>
            <wp:positionH relativeFrom="column">
              <wp:posOffset>1076181</wp:posOffset>
            </wp:positionH>
            <wp:positionV relativeFrom="paragraph">
              <wp:posOffset>199917</wp:posOffset>
            </wp:positionV>
            <wp:extent cx="3752215" cy="1949450"/>
            <wp:effectExtent l="0" t="0" r="635" b="0"/>
            <wp:wrapNone/>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752215" cy="1949450"/>
                    </a:xfrm>
                    <a:prstGeom prst="rect">
                      <a:avLst/>
                    </a:prstGeom>
                    <a:noFill/>
                    <a:ln>
                      <a:noFill/>
                    </a:ln>
                  </pic:spPr>
                </pic:pic>
              </a:graphicData>
            </a:graphic>
            <wp14:sizeRelH relativeFrom="page">
              <wp14:pctWidth>0</wp14:pctWidth>
            </wp14:sizeRelH>
            <wp14:sizeRelV relativeFrom="page">
              <wp14:pctHeight>0</wp14:pctHeight>
            </wp14:sizeRelV>
          </wp:anchor>
        </w:drawing>
      </w:r>
      <w:r w:rsidR="00834DA6">
        <w:rPr>
          <w:rFonts w:ascii="Bookman Old Style" w:hAnsi="Bookman Old Style" w:cs="Calibri"/>
          <w:lang w:val="es-ES_tradnl" w:eastAsia="en-US"/>
        </w:rPr>
        <w:br w:type="page"/>
      </w:r>
    </w:p>
    <w:p w:rsidR="00834DA6" w:rsidRDefault="00834DA6" w:rsidP="00834DA6">
      <w:pPr>
        <w:ind w:left="0"/>
        <w:rPr>
          <w:rFonts w:ascii="Bookman Old Style" w:hAnsi="Bookman Old Style" w:cs="Calibri"/>
          <w:lang w:val="es-ES_tradnl" w:eastAsia="en-US"/>
        </w:rPr>
      </w:pPr>
    </w:p>
    <w:p w:rsidR="00834DA6" w:rsidRDefault="00834DA6" w:rsidP="00834DA6">
      <w:pPr>
        <w:ind w:left="0"/>
        <w:rPr>
          <w:rFonts w:ascii="Bookman Old Style" w:hAnsi="Bookman Old Style" w:cs="Calibri"/>
          <w:lang w:val="es-ES_tradnl" w:eastAsia="en-US"/>
        </w:rPr>
      </w:pPr>
      <w:r>
        <w:rPr>
          <w:rFonts w:ascii="Bookman Old Style" w:hAnsi="Bookman Old Style" w:cs="Calibri"/>
          <w:lang w:val="es-ES_tradnl" w:eastAsia="en-US"/>
        </w:rPr>
        <w:t>Estaciones de Regulación</w:t>
      </w:r>
    </w:p>
    <w:p w:rsidR="00834DA6" w:rsidRDefault="00834DA6" w:rsidP="00834DA6">
      <w:pPr>
        <w:ind w:left="0"/>
        <w:rPr>
          <w:rFonts w:ascii="Bookman Old Style" w:hAnsi="Bookman Old Style" w:cs="Calibri"/>
          <w:lang w:val="es-ES_tradnl" w:eastAsia="en-US"/>
        </w:rPr>
      </w:pPr>
    </w:p>
    <w:p w:rsidR="00834DA6" w:rsidRDefault="00834DA6" w:rsidP="00834DA6">
      <w:pPr>
        <w:ind w:left="0"/>
        <w:rPr>
          <w:rFonts w:ascii="Calibri" w:hAnsi="Calibri" w:cs="Calibri"/>
          <w:sz w:val="22"/>
          <w:szCs w:val="22"/>
          <w:lang w:val="es-ES_tradnl" w:eastAsia="en-US"/>
        </w:rPr>
      </w:pPr>
      <w:r>
        <w:rPr>
          <w:rFonts w:ascii="Calibri" w:hAnsi="Calibri" w:cs="Calibri"/>
          <w:noProof/>
          <w:sz w:val="22"/>
          <w:szCs w:val="22"/>
          <w:lang w:val="es-CO" w:eastAsia="es-CO"/>
        </w:rPr>
        <w:drawing>
          <wp:inline distT="0" distB="0" distL="0" distR="0" wp14:anchorId="642EB0BE" wp14:editId="6E3F6148">
            <wp:extent cx="5934075" cy="2828925"/>
            <wp:effectExtent l="0" t="0" r="9525" b="9525"/>
            <wp:docPr id="33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34075" cy="2828925"/>
                    </a:xfrm>
                    <a:prstGeom prst="rect">
                      <a:avLst/>
                    </a:prstGeom>
                    <a:noFill/>
                    <a:ln>
                      <a:noFill/>
                    </a:ln>
                  </pic:spPr>
                </pic:pic>
              </a:graphicData>
            </a:graphic>
          </wp:inline>
        </w:drawing>
      </w:r>
    </w:p>
    <w:p w:rsidR="00834DA6" w:rsidRDefault="00834DA6" w:rsidP="00834DA6">
      <w:pPr>
        <w:ind w:left="0"/>
        <w:rPr>
          <w:rFonts w:ascii="Calibri" w:hAnsi="Calibri" w:cs="Calibri"/>
          <w:sz w:val="22"/>
          <w:szCs w:val="22"/>
          <w:lang w:val="es-ES_tradnl" w:eastAsia="en-US"/>
        </w:rPr>
      </w:pPr>
    </w:p>
    <w:p w:rsidR="00834DA6" w:rsidRDefault="00834DA6" w:rsidP="00834DA6">
      <w:pPr>
        <w:ind w:left="0"/>
        <w:rPr>
          <w:rFonts w:ascii="Calibri" w:hAnsi="Calibri" w:cs="Calibri"/>
          <w:sz w:val="22"/>
          <w:szCs w:val="22"/>
          <w:lang w:val="es-ES_tradnl" w:eastAsia="en-US"/>
        </w:rPr>
      </w:pPr>
      <w:r>
        <w:rPr>
          <w:rFonts w:ascii="Calibri" w:hAnsi="Calibri" w:cs="Calibri"/>
          <w:noProof/>
          <w:sz w:val="22"/>
          <w:szCs w:val="22"/>
          <w:lang w:val="es-CO" w:eastAsia="es-CO"/>
        </w:rPr>
        <w:drawing>
          <wp:inline distT="0" distB="0" distL="0" distR="0" wp14:anchorId="1083F574" wp14:editId="316C2501">
            <wp:extent cx="5943600" cy="2400300"/>
            <wp:effectExtent l="0" t="0" r="0" b="0"/>
            <wp:docPr id="3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943600" cy="2400300"/>
                    </a:xfrm>
                    <a:prstGeom prst="rect">
                      <a:avLst/>
                    </a:prstGeom>
                    <a:noFill/>
                    <a:ln>
                      <a:noFill/>
                    </a:ln>
                  </pic:spPr>
                </pic:pic>
              </a:graphicData>
            </a:graphic>
          </wp:inline>
        </w:drawing>
      </w:r>
    </w:p>
    <w:p w:rsidR="00834DA6" w:rsidRDefault="00834DA6" w:rsidP="00834DA6">
      <w:pPr>
        <w:ind w:left="0"/>
        <w:rPr>
          <w:rFonts w:ascii="Calibri" w:hAnsi="Calibri" w:cs="Calibri"/>
          <w:sz w:val="22"/>
          <w:szCs w:val="22"/>
          <w:lang w:val="es-ES_tradnl" w:eastAsia="en-US"/>
        </w:rPr>
      </w:pPr>
    </w:p>
    <w:p w:rsidR="00834DA6" w:rsidRDefault="00834DA6" w:rsidP="00834DA6">
      <w:pPr>
        <w:ind w:left="0"/>
        <w:rPr>
          <w:rFonts w:ascii="Calibri" w:hAnsi="Calibri" w:cs="Calibri"/>
          <w:sz w:val="22"/>
          <w:szCs w:val="22"/>
          <w:lang w:val="es-ES_tradnl" w:eastAsia="en-US"/>
        </w:rPr>
      </w:pPr>
    </w:p>
    <w:p w:rsidR="00834DA6" w:rsidRDefault="00834DA6" w:rsidP="00834DA6">
      <w:pPr>
        <w:ind w:left="0"/>
        <w:rPr>
          <w:rFonts w:ascii="Calibri" w:hAnsi="Calibri" w:cs="Calibri"/>
          <w:sz w:val="22"/>
          <w:szCs w:val="22"/>
          <w:lang w:val="es-ES_tradnl" w:eastAsia="en-US"/>
        </w:rPr>
      </w:pPr>
    </w:p>
    <w:p w:rsidR="00834DA6" w:rsidRDefault="00834DA6" w:rsidP="00834DA6">
      <w:pPr>
        <w:ind w:left="0"/>
        <w:rPr>
          <w:rFonts w:ascii="Calibri" w:hAnsi="Calibri" w:cs="Calibri"/>
          <w:sz w:val="22"/>
          <w:szCs w:val="22"/>
          <w:lang w:val="es-ES_tradnl" w:eastAsia="en-US"/>
        </w:rPr>
      </w:pPr>
    </w:p>
    <w:tbl>
      <w:tblPr>
        <w:tblW w:w="9570" w:type="dxa"/>
        <w:jc w:val="right"/>
        <w:tblCellMar>
          <w:left w:w="70" w:type="dxa"/>
          <w:right w:w="70" w:type="dxa"/>
        </w:tblCellMar>
        <w:tblLook w:val="04A0" w:firstRow="1" w:lastRow="0" w:firstColumn="1" w:lastColumn="0" w:noHBand="0" w:noVBand="1"/>
      </w:tblPr>
      <w:tblGrid>
        <w:gridCol w:w="5031"/>
        <w:gridCol w:w="4539"/>
      </w:tblGrid>
      <w:tr w:rsidR="00834DA6" w:rsidTr="00881242">
        <w:trPr>
          <w:jc w:val="right"/>
        </w:trPr>
        <w:tc>
          <w:tcPr>
            <w:tcW w:w="5031" w:type="dxa"/>
            <w:hideMark/>
          </w:tcPr>
          <w:p w:rsidR="00834DA6" w:rsidRDefault="00834DA6">
            <w:pPr>
              <w:ind w:left="0"/>
              <w:jc w:val="center"/>
              <w:rPr>
                <w:rFonts w:ascii="Bookman Old Style" w:hAnsi="Bookman Old Style" w:cs="Arial"/>
                <w:spacing w:val="-3"/>
                <w:lang w:val="es-ES_tradnl"/>
              </w:rPr>
            </w:pPr>
            <w:r>
              <w:rPr>
                <w:rFonts w:ascii="Bookman Old Style" w:hAnsi="Bookman Old Style" w:cs="Arial"/>
                <w:b/>
                <w:color w:val="000000"/>
              </w:rPr>
              <w:t>ORLANDO CABRALES SEGOVIA</w:t>
            </w:r>
          </w:p>
        </w:tc>
        <w:tc>
          <w:tcPr>
            <w:tcW w:w="4539" w:type="dxa"/>
            <w:hideMark/>
          </w:tcPr>
          <w:p w:rsidR="00834DA6" w:rsidRDefault="00834DA6" w:rsidP="00881242">
            <w:pPr>
              <w:jc w:val="center"/>
              <w:rPr>
                <w:rFonts w:ascii="Bookman Old Style" w:hAnsi="Bookman Old Style" w:cs="Arial"/>
                <w:spacing w:val="-3"/>
                <w:lang w:val="es-ES_tradnl"/>
              </w:rPr>
            </w:pPr>
            <w:r w:rsidRPr="000B65DE">
              <w:rPr>
                <w:rFonts w:ascii="Bookman Old Style" w:hAnsi="Bookman Old Style" w:cs="Arial"/>
                <w:b/>
                <w:spacing w:val="-3"/>
                <w:lang w:val="es-ES_tradnl"/>
              </w:rPr>
              <w:t>GERMÁN CASTRO FERREIRA</w:t>
            </w:r>
          </w:p>
        </w:tc>
      </w:tr>
      <w:tr w:rsidR="00834DA6" w:rsidTr="00881242">
        <w:trPr>
          <w:jc w:val="right"/>
        </w:trPr>
        <w:tc>
          <w:tcPr>
            <w:tcW w:w="5031" w:type="dxa"/>
            <w:hideMark/>
          </w:tcPr>
          <w:tbl>
            <w:tblPr>
              <w:tblW w:w="4891" w:type="dxa"/>
              <w:tblCellMar>
                <w:left w:w="0" w:type="dxa"/>
                <w:right w:w="0" w:type="dxa"/>
              </w:tblCellMar>
              <w:tblLook w:val="04A0" w:firstRow="1" w:lastRow="0" w:firstColumn="1" w:lastColumn="0" w:noHBand="0" w:noVBand="1"/>
            </w:tblPr>
            <w:tblGrid>
              <w:gridCol w:w="4891"/>
            </w:tblGrid>
            <w:tr w:rsidR="00834DA6" w:rsidTr="005543A8">
              <w:tc>
                <w:tcPr>
                  <w:tcW w:w="4891" w:type="dxa"/>
                  <w:hideMark/>
                </w:tcPr>
                <w:p w:rsidR="00834DA6" w:rsidRDefault="00834DA6" w:rsidP="005543A8">
                  <w:pPr>
                    <w:snapToGrid w:val="0"/>
                    <w:ind w:left="0"/>
                    <w:jc w:val="center"/>
                    <w:rPr>
                      <w:rFonts w:ascii="Bookman Old Style" w:hAnsi="Bookman Old Style" w:cs="Arial"/>
                      <w:color w:val="000000"/>
                    </w:rPr>
                  </w:pPr>
                  <w:r>
                    <w:rPr>
                      <w:rFonts w:ascii="Bookman Old Style" w:hAnsi="Bookman Old Style" w:cs="Arial"/>
                      <w:color w:val="000000"/>
                    </w:rPr>
                    <w:t>Viceministro de Energía</w:t>
                  </w:r>
                </w:p>
                <w:p w:rsidR="00834DA6" w:rsidRDefault="00834DA6" w:rsidP="005543A8">
                  <w:pPr>
                    <w:snapToGrid w:val="0"/>
                    <w:ind w:left="0"/>
                    <w:jc w:val="center"/>
                    <w:rPr>
                      <w:rFonts w:ascii="Bookman Old Style" w:hAnsi="Bookman Old Style" w:cs="Arial"/>
                      <w:color w:val="000000"/>
                    </w:rPr>
                  </w:pPr>
                  <w:r>
                    <w:rPr>
                      <w:rFonts w:ascii="Bookman Old Style" w:hAnsi="Bookman Old Style" w:cs="Arial"/>
                      <w:color w:val="000000"/>
                    </w:rPr>
                    <w:t>Delegado del Ministro de Minas y Energía</w:t>
                  </w:r>
                </w:p>
              </w:tc>
            </w:tr>
            <w:tr w:rsidR="00834DA6" w:rsidTr="005543A8">
              <w:tc>
                <w:tcPr>
                  <w:tcW w:w="4891" w:type="dxa"/>
                  <w:hideMark/>
                </w:tcPr>
                <w:p w:rsidR="00834DA6" w:rsidRDefault="00834DA6" w:rsidP="005543A8">
                  <w:pPr>
                    <w:snapToGrid w:val="0"/>
                    <w:ind w:left="0"/>
                    <w:jc w:val="center"/>
                    <w:rPr>
                      <w:rFonts w:ascii="Bookman Old Style" w:hAnsi="Bookman Old Style" w:cs="Arial"/>
                      <w:color w:val="000000"/>
                    </w:rPr>
                  </w:pPr>
                  <w:r>
                    <w:rPr>
                      <w:rFonts w:ascii="Bookman Old Style" w:hAnsi="Bookman Old Style" w:cs="Arial"/>
                      <w:color w:val="000000"/>
                    </w:rPr>
                    <w:t>Presidente</w:t>
                  </w:r>
                </w:p>
              </w:tc>
            </w:tr>
          </w:tbl>
          <w:p w:rsidR="00834DA6" w:rsidRDefault="00834DA6">
            <w:pPr>
              <w:rPr>
                <w:rFonts w:ascii="Bookman Old Style" w:hAnsi="Bookman Old Style" w:cs="Arial"/>
                <w:spacing w:val="-3"/>
              </w:rPr>
            </w:pPr>
          </w:p>
        </w:tc>
        <w:tc>
          <w:tcPr>
            <w:tcW w:w="4539" w:type="dxa"/>
          </w:tcPr>
          <w:p w:rsidR="00834DA6" w:rsidRDefault="00834DA6" w:rsidP="00881242">
            <w:pPr>
              <w:jc w:val="center"/>
              <w:rPr>
                <w:rFonts w:ascii="Bookman Old Style" w:hAnsi="Bookman Old Style" w:cs="Arial"/>
                <w:spacing w:val="-3"/>
              </w:rPr>
            </w:pPr>
            <w:r w:rsidRPr="000B65DE">
              <w:rPr>
                <w:rFonts w:ascii="Bookman Old Style" w:hAnsi="Bookman Old Style" w:cs="Arial"/>
                <w:spacing w:val="-3"/>
                <w:lang w:val="es-ES_tradnl"/>
              </w:rPr>
              <w:t>Director Ejecutivo</w:t>
            </w:r>
          </w:p>
        </w:tc>
      </w:tr>
    </w:tbl>
    <w:p w:rsidR="00834DA6" w:rsidRDefault="00834DA6" w:rsidP="00834DA6">
      <w:pPr>
        <w:ind w:left="0"/>
        <w:rPr>
          <w:rFonts w:ascii="Calibri" w:hAnsi="Calibri" w:cs="Calibri"/>
          <w:sz w:val="22"/>
          <w:szCs w:val="22"/>
          <w:lang w:val="es-ES_tradnl" w:eastAsia="en-US"/>
        </w:rPr>
      </w:pPr>
    </w:p>
    <w:p w:rsidR="00834DA6" w:rsidRDefault="00834DA6" w:rsidP="00834DA6">
      <w:pPr>
        <w:ind w:left="0"/>
        <w:rPr>
          <w:rFonts w:ascii="Calibri" w:hAnsi="Calibri" w:cs="Calibri"/>
          <w:sz w:val="22"/>
          <w:szCs w:val="22"/>
          <w:lang w:val="es-ES_tradnl" w:eastAsia="en-US"/>
        </w:rPr>
      </w:pPr>
      <w:r>
        <w:rPr>
          <w:lang w:val="es-ES_tradnl"/>
        </w:rPr>
        <w:br w:type="page"/>
      </w:r>
    </w:p>
    <w:p w:rsidR="00834DA6" w:rsidRDefault="00834DA6">
      <w:pPr>
        <w:ind w:left="0"/>
        <w:rPr>
          <w:rFonts w:ascii="Bookman Old Style" w:hAnsi="Bookman Old Style"/>
          <w:color w:val="000000"/>
          <w:sz w:val="16"/>
          <w:szCs w:val="18"/>
          <w:lang w:val="es-ES_tradnl" w:eastAsia="es-CO"/>
        </w:rPr>
      </w:pPr>
    </w:p>
    <w:p w:rsidR="000B65DE" w:rsidRPr="00834DA6" w:rsidRDefault="000B65DE" w:rsidP="000B65DE">
      <w:pPr>
        <w:ind w:left="0"/>
        <w:rPr>
          <w:rFonts w:ascii="Calibri" w:hAnsi="Calibri" w:cs="Calibri"/>
          <w:sz w:val="22"/>
          <w:szCs w:val="22"/>
          <w:lang w:val="es-ES_tradnl" w:eastAsia="en-US"/>
        </w:rPr>
      </w:pPr>
    </w:p>
    <w:p w:rsidR="000B65DE" w:rsidRPr="000B65DE" w:rsidRDefault="000B65DE" w:rsidP="008F4D9F">
      <w:pPr>
        <w:numPr>
          <w:ilvl w:val="0"/>
          <w:numId w:val="14"/>
        </w:numPr>
        <w:jc w:val="center"/>
        <w:outlineLvl w:val="0"/>
        <w:rPr>
          <w:rFonts w:ascii="Bookman Old Style" w:hAnsi="Bookman Old Style"/>
          <w:b/>
          <w:lang w:val="es-ES_tradnl"/>
        </w:rPr>
      </w:pPr>
      <w:bookmarkStart w:id="48" w:name="_Ref330910423"/>
    </w:p>
    <w:bookmarkEnd w:id="46"/>
    <w:bookmarkEnd w:id="48"/>
    <w:p w:rsidR="000B65DE" w:rsidRPr="000B65DE" w:rsidRDefault="000B65DE" w:rsidP="000B65DE">
      <w:pPr>
        <w:ind w:left="0"/>
        <w:jc w:val="both"/>
        <w:rPr>
          <w:rFonts w:ascii="Bookman Old Style" w:hAnsi="Bookman Old Style"/>
          <w:lang w:val="es-ES_tradnl"/>
        </w:rPr>
      </w:pPr>
    </w:p>
    <w:p w:rsidR="000B65DE" w:rsidRDefault="000B65DE" w:rsidP="000B65DE">
      <w:pPr>
        <w:ind w:left="0"/>
        <w:jc w:val="center"/>
        <w:outlineLvl w:val="0"/>
        <w:rPr>
          <w:rFonts w:ascii="Bookman Old Style" w:hAnsi="Bookman Old Style"/>
          <w:b/>
          <w:lang w:val="es-ES_tradnl"/>
        </w:rPr>
      </w:pPr>
      <w:r w:rsidRPr="000B65DE">
        <w:rPr>
          <w:rFonts w:ascii="Bookman Old Style" w:hAnsi="Bookman Old Style"/>
          <w:b/>
          <w:lang w:val="es-ES_tradnl"/>
        </w:rPr>
        <w:t>COSTOS DE LAS UNIDADES CONSTRUCTIVAS PARA LA VALORACIÓN DE LA INVERSIÓN DE NUEVAS INVERSIONES (IPNI)</w:t>
      </w:r>
      <w:bookmarkEnd w:id="47"/>
    </w:p>
    <w:p w:rsidR="00881242" w:rsidRDefault="00881242" w:rsidP="00881242">
      <w:pPr>
        <w:rPr>
          <w:lang w:val="es-ES_tradnl"/>
        </w:rPr>
      </w:pPr>
    </w:p>
    <w:tbl>
      <w:tblPr>
        <w:tblW w:w="9416" w:type="dxa"/>
        <w:jc w:val="center"/>
        <w:tblCellMar>
          <w:left w:w="70" w:type="dxa"/>
          <w:right w:w="70" w:type="dxa"/>
        </w:tblCellMar>
        <w:tblLook w:val="04A0" w:firstRow="1" w:lastRow="0" w:firstColumn="1" w:lastColumn="0" w:noHBand="0" w:noVBand="1"/>
      </w:tblPr>
      <w:tblGrid>
        <w:gridCol w:w="742"/>
        <w:gridCol w:w="1816"/>
        <w:gridCol w:w="1143"/>
        <w:gridCol w:w="1143"/>
        <w:gridCol w:w="1143"/>
        <w:gridCol w:w="1143"/>
        <w:gridCol w:w="1143"/>
        <w:gridCol w:w="1143"/>
      </w:tblGrid>
      <w:tr w:rsidR="00834DA6" w:rsidRPr="00834DA6" w:rsidTr="00881242">
        <w:trPr>
          <w:trHeight w:val="360"/>
          <w:jc w:val="center"/>
        </w:trPr>
        <w:tc>
          <w:tcPr>
            <w:tcW w:w="742" w:type="dxa"/>
            <w:tcBorders>
              <w:top w:val="single" w:sz="4" w:space="0" w:color="auto"/>
              <w:left w:val="single" w:sz="4" w:space="0" w:color="auto"/>
              <w:bottom w:val="single" w:sz="4" w:space="0" w:color="auto"/>
              <w:right w:val="single" w:sz="4" w:space="0" w:color="auto"/>
            </w:tcBorders>
            <w:noWrap/>
            <w:vAlign w:val="bottom"/>
            <w:hideMark/>
          </w:tcPr>
          <w:p w:rsidR="00834DA6" w:rsidRPr="00834DA6" w:rsidRDefault="00834DA6" w:rsidP="00834DA6">
            <w:pPr>
              <w:ind w:left="0"/>
              <w:rPr>
                <w:rFonts w:ascii="Bookman Old Style" w:hAnsi="Bookman Old Style" w:cs="Arial"/>
                <w:color w:val="000000"/>
                <w:sz w:val="14"/>
                <w:szCs w:val="14"/>
                <w:lang w:val="es-CO" w:eastAsia="es-CO"/>
              </w:rPr>
            </w:pPr>
            <w:r>
              <w:rPr>
                <w:lang w:val="es-ES_tradnl"/>
              </w:rPr>
              <w:br w:type="page"/>
            </w:r>
            <w:r w:rsidRPr="00834DA6">
              <w:rPr>
                <w:rFonts w:ascii="Bookman Old Style" w:hAnsi="Bookman Old Style" w:cs="Arial"/>
                <w:color w:val="000000"/>
                <w:sz w:val="14"/>
                <w:szCs w:val="14"/>
                <w:lang w:val="es-CO" w:eastAsia="es-CO"/>
              </w:rPr>
              <w:t> </w:t>
            </w:r>
          </w:p>
        </w:tc>
        <w:tc>
          <w:tcPr>
            <w:tcW w:w="1816" w:type="dxa"/>
            <w:tcBorders>
              <w:top w:val="single" w:sz="4" w:space="0" w:color="auto"/>
              <w:left w:val="nil"/>
              <w:bottom w:val="single" w:sz="4" w:space="0" w:color="auto"/>
              <w:right w:val="single" w:sz="4" w:space="0" w:color="auto"/>
            </w:tcBorders>
            <w:vAlign w:val="center"/>
            <w:hideMark/>
          </w:tcPr>
          <w:p w:rsidR="00834DA6" w:rsidRPr="00834DA6" w:rsidRDefault="00834DA6" w:rsidP="00834DA6">
            <w:pPr>
              <w:ind w:left="0"/>
              <w:jc w:val="center"/>
              <w:rPr>
                <w:rFonts w:ascii="Bookman Old Style" w:hAnsi="Bookman Old Style" w:cs="Arial"/>
                <w:b/>
                <w:bCs/>
                <w:color w:val="000000"/>
                <w:sz w:val="14"/>
                <w:szCs w:val="14"/>
                <w:lang w:val="es-CO" w:eastAsia="es-CO"/>
              </w:rPr>
            </w:pPr>
            <w:r w:rsidRPr="00834DA6">
              <w:rPr>
                <w:rFonts w:ascii="Bookman Old Style" w:hAnsi="Bookman Old Style" w:cs="Arial"/>
                <w:b/>
                <w:bCs/>
                <w:color w:val="000000"/>
                <w:sz w:val="14"/>
                <w:szCs w:val="14"/>
                <w:lang w:val="es-CO" w:eastAsia="es-CO"/>
              </w:rPr>
              <w:t>UC Nuevo Periodo Tarifario</w:t>
            </w:r>
          </w:p>
        </w:tc>
        <w:tc>
          <w:tcPr>
            <w:tcW w:w="6858" w:type="dxa"/>
            <w:gridSpan w:val="6"/>
            <w:tcBorders>
              <w:top w:val="single" w:sz="4" w:space="0" w:color="auto"/>
              <w:left w:val="nil"/>
              <w:bottom w:val="single" w:sz="4" w:space="0" w:color="auto"/>
              <w:right w:val="single" w:sz="4" w:space="0" w:color="auto"/>
            </w:tcBorders>
            <w:noWrap/>
            <w:vAlign w:val="center"/>
            <w:hideMark/>
          </w:tcPr>
          <w:p w:rsidR="00834DA6" w:rsidRPr="00834DA6" w:rsidRDefault="00834DA6" w:rsidP="00834DA6">
            <w:pPr>
              <w:ind w:left="0"/>
              <w:jc w:val="center"/>
              <w:rPr>
                <w:rFonts w:ascii="Bookman Old Style" w:hAnsi="Bookman Old Style" w:cs="Arial"/>
                <w:b/>
                <w:bCs/>
                <w:color w:val="000000"/>
                <w:sz w:val="14"/>
                <w:szCs w:val="14"/>
                <w:lang w:val="es-CO" w:eastAsia="es-CO"/>
              </w:rPr>
            </w:pPr>
            <w:r w:rsidRPr="00834DA6">
              <w:rPr>
                <w:rFonts w:ascii="Bookman Old Style" w:hAnsi="Bookman Old Style" w:cs="Arial"/>
                <w:b/>
                <w:bCs/>
                <w:color w:val="000000"/>
                <w:sz w:val="14"/>
                <w:szCs w:val="14"/>
                <w:lang w:val="es-CO" w:eastAsia="es-CO"/>
              </w:rPr>
              <w:t>COSTO A RECONOCER POR GRUPO A $ DE DICIEMBRE DE 2012</w:t>
            </w:r>
          </w:p>
        </w:tc>
      </w:tr>
      <w:tr w:rsidR="00834DA6" w:rsidRPr="00834DA6" w:rsidTr="00881242">
        <w:trPr>
          <w:trHeight w:val="180"/>
          <w:jc w:val="center"/>
        </w:trPr>
        <w:tc>
          <w:tcPr>
            <w:tcW w:w="742" w:type="dxa"/>
            <w:tcBorders>
              <w:top w:val="nil"/>
              <w:left w:val="single" w:sz="4" w:space="0" w:color="auto"/>
              <w:bottom w:val="single" w:sz="4" w:space="0" w:color="auto"/>
              <w:right w:val="single" w:sz="4" w:space="0" w:color="auto"/>
            </w:tcBorders>
            <w:noWrap/>
            <w:vAlign w:val="bottom"/>
            <w:hideMark/>
          </w:tcPr>
          <w:p w:rsidR="00834DA6" w:rsidRPr="00834DA6" w:rsidRDefault="00834DA6" w:rsidP="00834DA6">
            <w:pPr>
              <w:ind w:left="0"/>
              <w:rPr>
                <w:rFonts w:ascii="Bookman Old Style" w:hAnsi="Bookman Old Style" w:cs="Arial"/>
                <w:b/>
                <w:bCs/>
                <w:color w:val="000000"/>
                <w:sz w:val="14"/>
                <w:szCs w:val="14"/>
                <w:lang w:val="es-CO" w:eastAsia="es-CO"/>
              </w:rPr>
            </w:pPr>
            <w:r w:rsidRPr="00834DA6">
              <w:rPr>
                <w:rFonts w:ascii="Bookman Old Style" w:hAnsi="Bookman Old Style" w:cs="Arial"/>
                <w:b/>
                <w:bCs/>
                <w:color w:val="000000"/>
                <w:sz w:val="14"/>
                <w:szCs w:val="14"/>
                <w:lang w:val="es-CO" w:eastAsia="es-CO"/>
              </w:rPr>
              <w:t>CODIGO</w:t>
            </w:r>
          </w:p>
        </w:tc>
        <w:tc>
          <w:tcPr>
            <w:tcW w:w="1816" w:type="dxa"/>
            <w:tcBorders>
              <w:top w:val="nil"/>
              <w:left w:val="nil"/>
              <w:bottom w:val="single" w:sz="4" w:space="0" w:color="auto"/>
              <w:right w:val="single" w:sz="4" w:space="0" w:color="auto"/>
            </w:tcBorders>
            <w:noWrap/>
            <w:vAlign w:val="bottom"/>
            <w:hideMark/>
          </w:tcPr>
          <w:p w:rsidR="00834DA6" w:rsidRPr="00834DA6" w:rsidRDefault="00834DA6" w:rsidP="00834DA6">
            <w:pPr>
              <w:ind w:left="0"/>
              <w:rPr>
                <w:rFonts w:ascii="Bookman Old Style" w:hAnsi="Bookman Old Style" w:cs="Arial"/>
                <w:b/>
                <w:bCs/>
                <w:color w:val="000000"/>
                <w:sz w:val="14"/>
                <w:szCs w:val="14"/>
                <w:lang w:val="es-CO" w:eastAsia="es-CO"/>
              </w:rPr>
            </w:pPr>
            <w:r w:rsidRPr="00834DA6">
              <w:rPr>
                <w:rFonts w:ascii="Bookman Old Style" w:hAnsi="Bookman Old Style" w:cs="Arial"/>
                <w:b/>
                <w:bCs/>
                <w:color w:val="000000"/>
                <w:sz w:val="14"/>
                <w:szCs w:val="14"/>
                <w:lang w:val="es-CO" w:eastAsia="es-CO"/>
              </w:rPr>
              <w:t>DESCRIPCIÓN</w:t>
            </w:r>
          </w:p>
        </w:tc>
        <w:tc>
          <w:tcPr>
            <w:tcW w:w="1143" w:type="dxa"/>
            <w:tcBorders>
              <w:top w:val="nil"/>
              <w:left w:val="nil"/>
              <w:bottom w:val="single" w:sz="4" w:space="0" w:color="auto"/>
              <w:right w:val="single" w:sz="4" w:space="0" w:color="auto"/>
            </w:tcBorders>
            <w:noWrap/>
            <w:vAlign w:val="bottom"/>
            <w:hideMark/>
          </w:tcPr>
          <w:p w:rsidR="00834DA6" w:rsidRPr="00834DA6" w:rsidRDefault="00834DA6" w:rsidP="00834DA6">
            <w:pPr>
              <w:ind w:left="0"/>
              <w:jc w:val="center"/>
              <w:rPr>
                <w:rFonts w:ascii="Bookman Old Style" w:hAnsi="Bookman Old Style" w:cs="Arial"/>
                <w:b/>
                <w:bCs/>
                <w:color w:val="000000"/>
                <w:sz w:val="14"/>
                <w:szCs w:val="14"/>
                <w:lang w:val="es-CO" w:eastAsia="es-CO"/>
              </w:rPr>
            </w:pPr>
            <w:r w:rsidRPr="00834DA6">
              <w:rPr>
                <w:rFonts w:ascii="Bookman Old Style" w:hAnsi="Bookman Old Style" w:cs="Arial"/>
                <w:b/>
                <w:bCs/>
                <w:color w:val="000000"/>
                <w:sz w:val="14"/>
                <w:szCs w:val="14"/>
                <w:lang w:val="es-CO" w:eastAsia="es-CO"/>
              </w:rPr>
              <w:t>A</w:t>
            </w:r>
          </w:p>
        </w:tc>
        <w:tc>
          <w:tcPr>
            <w:tcW w:w="1143" w:type="dxa"/>
            <w:tcBorders>
              <w:top w:val="nil"/>
              <w:left w:val="nil"/>
              <w:bottom w:val="single" w:sz="4" w:space="0" w:color="auto"/>
              <w:right w:val="single" w:sz="4" w:space="0" w:color="auto"/>
            </w:tcBorders>
            <w:noWrap/>
            <w:vAlign w:val="bottom"/>
            <w:hideMark/>
          </w:tcPr>
          <w:p w:rsidR="00834DA6" w:rsidRPr="00834DA6" w:rsidRDefault="00834DA6" w:rsidP="00834DA6">
            <w:pPr>
              <w:ind w:left="0"/>
              <w:jc w:val="center"/>
              <w:rPr>
                <w:rFonts w:ascii="Bookman Old Style" w:hAnsi="Bookman Old Style" w:cs="Arial"/>
                <w:b/>
                <w:bCs/>
                <w:color w:val="000000"/>
                <w:sz w:val="14"/>
                <w:szCs w:val="14"/>
                <w:lang w:val="es-CO" w:eastAsia="es-CO"/>
              </w:rPr>
            </w:pPr>
            <w:r w:rsidRPr="00834DA6">
              <w:rPr>
                <w:rFonts w:ascii="Bookman Old Style" w:hAnsi="Bookman Old Style" w:cs="Arial"/>
                <w:b/>
                <w:bCs/>
                <w:color w:val="000000"/>
                <w:sz w:val="14"/>
                <w:szCs w:val="14"/>
                <w:lang w:val="es-CO" w:eastAsia="es-CO"/>
              </w:rPr>
              <w:t>B</w:t>
            </w:r>
          </w:p>
        </w:tc>
        <w:tc>
          <w:tcPr>
            <w:tcW w:w="1143" w:type="dxa"/>
            <w:tcBorders>
              <w:top w:val="nil"/>
              <w:left w:val="nil"/>
              <w:bottom w:val="single" w:sz="4" w:space="0" w:color="auto"/>
              <w:right w:val="single" w:sz="4" w:space="0" w:color="auto"/>
            </w:tcBorders>
            <w:noWrap/>
            <w:vAlign w:val="bottom"/>
            <w:hideMark/>
          </w:tcPr>
          <w:p w:rsidR="00834DA6" w:rsidRPr="00834DA6" w:rsidRDefault="00834DA6" w:rsidP="00834DA6">
            <w:pPr>
              <w:ind w:left="0"/>
              <w:jc w:val="center"/>
              <w:rPr>
                <w:rFonts w:ascii="Bookman Old Style" w:hAnsi="Bookman Old Style" w:cs="Arial"/>
                <w:b/>
                <w:bCs/>
                <w:color w:val="000000"/>
                <w:sz w:val="14"/>
                <w:szCs w:val="14"/>
                <w:lang w:val="es-CO" w:eastAsia="es-CO"/>
              </w:rPr>
            </w:pPr>
            <w:r w:rsidRPr="00834DA6">
              <w:rPr>
                <w:rFonts w:ascii="Bookman Old Style" w:hAnsi="Bookman Old Style" w:cs="Arial"/>
                <w:b/>
                <w:bCs/>
                <w:color w:val="000000"/>
                <w:sz w:val="14"/>
                <w:szCs w:val="14"/>
                <w:lang w:val="es-CO" w:eastAsia="es-CO"/>
              </w:rPr>
              <w:t>C</w:t>
            </w:r>
          </w:p>
        </w:tc>
        <w:tc>
          <w:tcPr>
            <w:tcW w:w="1143" w:type="dxa"/>
            <w:tcBorders>
              <w:top w:val="nil"/>
              <w:left w:val="nil"/>
              <w:bottom w:val="single" w:sz="4" w:space="0" w:color="auto"/>
              <w:right w:val="single" w:sz="4" w:space="0" w:color="auto"/>
            </w:tcBorders>
            <w:noWrap/>
            <w:vAlign w:val="bottom"/>
            <w:hideMark/>
          </w:tcPr>
          <w:p w:rsidR="00834DA6" w:rsidRPr="00834DA6" w:rsidRDefault="00834DA6" w:rsidP="00834DA6">
            <w:pPr>
              <w:ind w:left="0"/>
              <w:jc w:val="center"/>
              <w:rPr>
                <w:rFonts w:ascii="Bookman Old Style" w:hAnsi="Bookman Old Style" w:cs="Arial"/>
                <w:b/>
                <w:bCs/>
                <w:color w:val="000000"/>
                <w:sz w:val="14"/>
                <w:szCs w:val="14"/>
                <w:lang w:val="es-CO" w:eastAsia="es-CO"/>
              </w:rPr>
            </w:pPr>
            <w:r w:rsidRPr="00834DA6">
              <w:rPr>
                <w:rFonts w:ascii="Bookman Old Style" w:hAnsi="Bookman Old Style" w:cs="Arial"/>
                <w:b/>
                <w:bCs/>
                <w:color w:val="000000"/>
                <w:sz w:val="14"/>
                <w:szCs w:val="14"/>
                <w:lang w:val="es-CO" w:eastAsia="es-CO"/>
              </w:rPr>
              <w:t>D</w:t>
            </w:r>
          </w:p>
        </w:tc>
        <w:tc>
          <w:tcPr>
            <w:tcW w:w="1143" w:type="dxa"/>
            <w:tcBorders>
              <w:top w:val="nil"/>
              <w:left w:val="nil"/>
              <w:bottom w:val="single" w:sz="4" w:space="0" w:color="auto"/>
              <w:right w:val="single" w:sz="4" w:space="0" w:color="auto"/>
            </w:tcBorders>
            <w:noWrap/>
            <w:vAlign w:val="bottom"/>
            <w:hideMark/>
          </w:tcPr>
          <w:p w:rsidR="00834DA6" w:rsidRPr="00834DA6" w:rsidRDefault="00834DA6" w:rsidP="00834DA6">
            <w:pPr>
              <w:ind w:left="0"/>
              <w:jc w:val="center"/>
              <w:rPr>
                <w:rFonts w:ascii="Bookman Old Style" w:hAnsi="Bookman Old Style" w:cs="Arial"/>
                <w:b/>
                <w:bCs/>
                <w:color w:val="000000"/>
                <w:sz w:val="14"/>
                <w:szCs w:val="14"/>
                <w:lang w:val="es-CO" w:eastAsia="es-CO"/>
              </w:rPr>
            </w:pPr>
            <w:r w:rsidRPr="00834DA6">
              <w:rPr>
                <w:rFonts w:ascii="Bookman Old Style" w:hAnsi="Bookman Old Style" w:cs="Arial"/>
                <w:b/>
                <w:bCs/>
                <w:color w:val="000000"/>
                <w:sz w:val="14"/>
                <w:szCs w:val="14"/>
                <w:lang w:val="es-CO" w:eastAsia="es-CO"/>
              </w:rPr>
              <w:t>E</w:t>
            </w:r>
          </w:p>
        </w:tc>
        <w:tc>
          <w:tcPr>
            <w:tcW w:w="1143" w:type="dxa"/>
            <w:tcBorders>
              <w:top w:val="nil"/>
              <w:left w:val="nil"/>
              <w:bottom w:val="single" w:sz="4" w:space="0" w:color="auto"/>
              <w:right w:val="single" w:sz="4" w:space="0" w:color="auto"/>
            </w:tcBorders>
            <w:noWrap/>
            <w:vAlign w:val="bottom"/>
            <w:hideMark/>
          </w:tcPr>
          <w:p w:rsidR="00834DA6" w:rsidRPr="00834DA6" w:rsidRDefault="00834DA6" w:rsidP="00834DA6">
            <w:pPr>
              <w:ind w:left="0"/>
              <w:jc w:val="center"/>
              <w:rPr>
                <w:rFonts w:ascii="Bookman Old Style" w:hAnsi="Bookman Old Style" w:cs="Arial"/>
                <w:b/>
                <w:bCs/>
                <w:color w:val="000000"/>
                <w:sz w:val="14"/>
                <w:szCs w:val="14"/>
                <w:lang w:val="es-CO" w:eastAsia="es-CO"/>
              </w:rPr>
            </w:pPr>
            <w:r w:rsidRPr="00834DA6">
              <w:rPr>
                <w:rFonts w:ascii="Bookman Old Style" w:hAnsi="Bookman Old Style" w:cs="Arial"/>
                <w:b/>
                <w:bCs/>
                <w:color w:val="000000"/>
                <w:sz w:val="14"/>
                <w:szCs w:val="14"/>
                <w:lang w:val="es-CO" w:eastAsia="es-CO"/>
              </w:rPr>
              <w:t>F</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TA2AS</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2 pulg. en Calzada Asfalto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242,871,640</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271,826,114</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338,443,963</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335,466,539</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274,665,807</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555,191,657</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TA3AS</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3 pulg. en Calzada Asfalto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284,468,024</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313,756,992</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381,083,877</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378,074,763</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316,626,909</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600,750,649</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TA4AS</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4 pulg. en Calzada Asfalto</w:t>
            </w:r>
          </w:p>
        </w:tc>
        <w:tc>
          <w:tcPr>
            <w:tcW w:w="1143" w:type="dxa"/>
            <w:tcBorders>
              <w:top w:val="nil"/>
              <w:left w:val="nil"/>
              <w:bottom w:val="single" w:sz="4" w:space="0" w:color="auto"/>
              <w:right w:val="single" w:sz="4" w:space="0" w:color="auto"/>
            </w:tcBorders>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314,586,109</w:t>
            </w:r>
          </w:p>
        </w:tc>
        <w:tc>
          <w:tcPr>
            <w:tcW w:w="1143" w:type="dxa"/>
            <w:tcBorders>
              <w:top w:val="nil"/>
              <w:left w:val="nil"/>
              <w:bottom w:val="single" w:sz="4" w:space="0" w:color="auto"/>
              <w:right w:val="single" w:sz="4" w:space="0" w:color="auto"/>
            </w:tcBorders>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344,094,638</w:t>
            </w:r>
          </w:p>
        </w:tc>
        <w:tc>
          <w:tcPr>
            <w:tcW w:w="1143" w:type="dxa"/>
            <w:tcBorders>
              <w:top w:val="nil"/>
              <w:left w:val="nil"/>
              <w:bottom w:val="single" w:sz="4" w:space="0" w:color="auto"/>
              <w:right w:val="single" w:sz="4" w:space="0" w:color="auto"/>
            </w:tcBorders>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411,926,230</w:t>
            </w:r>
          </w:p>
        </w:tc>
        <w:tc>
          <w:tcPr>
            <w:tcW w:w="1143" w:type="dxa"/>
            <w:tcBorders>
              <w:top w:val="nil"/>
              <w:left w:val="nil"/>
              <w:bottom w:val="single" w:sz="4" w:space="0" w:color="auto"/>
              <w:right w:val="single" w:sz="4" w:space="0" w:color="auto"/>
            </w:tcBorders>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408,894,559</w:t>
            </w:r>
          </w:p>
        </w:tc>
        <w:tc>
          <w:tcPr>
            <w:tcW w:w="1143" w:type="dxa"/>
            <w:tcBorders>
              <w:top w:val="nil"/>
              <w:left w:val="nil"/>
              <w:bottom w:val="single" w:sz="4" w:space="0" w:color="auto"/>
              <w:right w:val="single" w:sz="4" w:space="0" w:color="auto"/>
            </w:tcBorders>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346,986,070</w:t>
            </w:r>
          </w:p>
        </w:tc>
        <w:tc>
          <w:tcPr>
            <w:tcW w:w="1143" w:type="dxa"/>
            <w:tcBorders>
              <w:top w:val="nil"/>
              <w:left w:val="nil"/>
              <w:bottom w:val="single" w:sz="4" w:space="0" w:color="auto"/>
              <w:right w:val="single" w:sz="4" w:space="0" w:color="auto"/>
            </w:tcBorders>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633,635,460</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TA6AS</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6 pulg. en Calzada Asfalto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379,897,499</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424,751,075</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477,830,103</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474,779,979</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412,494,669</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701,907,485</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TA8AS</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8 pulg. en Calzada Asfalto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524,522,425</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592,267,764</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577,070,111</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621,877,578</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558,324,398</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773,282,638</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TA10AS</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10 pulg. en Calzada Asfalto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599,272,876</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667,605,520</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652,276,114</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697,472,031</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633,367,889</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850,447,089</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TA14AS</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14 pulg. en Calzada Asfalto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927,777,216</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997,565,106</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981,909,237</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1,028,067,668</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962,598,333</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1,184,883,745</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TA16AS</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16 pulg. en Calzada Asfalto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1,034,293,186</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1,104,310,894</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1,088,603,469</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1,134,913,904</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1,069,228,972</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1,292,510,159</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TA20AS</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20 pulg. en Calzada Asfalto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1,232,266,674</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1,302,652,469</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1,286,862,469</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1,333,416,360</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1,267,386,119</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1,492,371,417</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TA2CO</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2 pulg. en Calzada Concreto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241,642,870</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270,641,792</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337,360,902</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381,788,730</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260,233,329</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603,865,366</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TA3CO</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3 pulg. en Calzada Concreto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283,232,779</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312,563,933</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379,986,818</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424,883,286</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302,045,678</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649,915,084</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TA4CO</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4 pulg. en Calzada Concreto</w:t>
            </w:r>
          </w:p>
        </w:tc>
        <w:tc>
          <w:tcPr>
            <w:tcW w:w="1143" w:type="dxa"/>
            <w:tcBorders>
              <w:top w:val="nil"/>
              <w:left w:val="nil"/>
              <w:bottom w:val="single" w:sz="4" w:space="0" w:color="auto"/>
              <w:right w:val="single" w:sz="4" w:space="0" w:color="auto"/>
            </w:tcBorders>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313,343,303</w:t>
            </w:r>
          </w:p>
        </w:tc>
        <w:tc>
          <w:tcPr>
            <w:tcW w:w="1143" w:type="dxa"/>
            <w:tcBorders>
              <w:top w:val="nil"/>
              <w:left w:val="nil"/>
              <w:bottom w:val="single" w:sz="4" w:space="0" w:color="auto"/>
              <w:right w:val="single" w:sz="4" w:space="0" w:color="auto"/>
            </w:tcBorders>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342,892,494</w:t>
            </w:r>
          </w:p>
        </w:tc>
        <w:tc>
          <w:tcPr>
            <w:tcW w:w="1143" w:type="dxa"/>
            <w:tcBorders>
              <w:top w:val="nil"/>
              <w:left w:val="nil"/>
              <w:bottom w:val="single" w:sz="4" w:space="0" w:color="auto"/>
              <w:right w:val="single" w:sz="4" w:space="0" w:color="auto"/>
            </w:tcBorders>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410,816,576</w:t>
            </w:r>
          </w:p>
        </w:tc>
        <w:tc>
          <w:tcPr>
            <w:tcW w:w="1143" w:type="dxa"/>
            <w:tcBorders>
              <w:top w:val="nil"/>
              <w:left w:val="nil"/>
              <w:bottom w:val="single" w:sz="4" w:space="0" w:color="auto"/>
              <w:right w:val="single" w:sz="4" w:space="0" w:color="auto"/>
            </w:tcBorders>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456,046,789</w:t>
            </w:r>
          </w:p>
        </w:tc>
        <w:tc>
          <w:tcPr>
            <w:tcW w:w="1143" w:type="dxa"/>
            <w:tcBorders>
              <w:top w:val="nil"/>
              <w:left w:val="nil"/>
              <w:bottom w:val="single" w:sz="4" w:space="0" w:color="auto"/>
              <w:right w:val="single" w:sz="4" w:space="0" w:color="auto"/>
            </w:tcBorders>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332,296,050</w:t>
            </w:r>
          </w:p>
        </w:tc>
        <w:tc>
          <w:tcPr>
            <w:tcW w:w="1143" w:type="dxa"/>
            <w:tcBorders>
              <w:top w:val="nil"/>
              <w:left w:val="nil"/>
              <w:bottom w:val="single" w:sz="4" w:space="0" w:color="auto"/>
              <w:right w:val="single" w:sz="4" w:space="0" w:color="auto"/>
            </w:tcBorders>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683,147,425</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TA6CO</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6 pulg. en Calzada Concreto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378,691,005</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423,606,145</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476,757,518</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522,263,009</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397,759,102</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751,765,195</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TA8CO</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8 pulg. en Calzada Concreto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522,730,957</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590,576,128</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575,356,176</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681,816,423</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551,396,849</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823,380,591</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TA10CO</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10 pulg. en Calzada Concreto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597,475,859</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665,903,921</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650,553,207</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757,928,103</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626,388,033</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900,966,121</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TA14CO</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14 pulg. en Calzada Concreto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925,963,953</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995,833,755</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980,159,610</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1,089,796,834</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955,485,290</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1,236,432,062</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TA16CO</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16 pulg. en Calzada Concreto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1,032,478,359</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1,102,575,040</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1,086,849,998</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1,196,843,234</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1,062,095,557</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1,344,218,500</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TA20CO</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20 pulg. en Calzada Concreto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1,230,449,031</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1,300,909,597</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1,285,102,924</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1,395,667,156</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1,260,219,977</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1,544,337,991</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TA2DE</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2 pulg. en Destapado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150,685,710</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145,804,719</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145,804,719</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145,804,719</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160,002,711</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138,640,094</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TA3DE</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3 pulg. en Destapado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192,044,403</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187,140,638</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187,140,638</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187,140,638</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201,483,042</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179,746,903</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TA4DE</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4 pulg. en Destapado</w:t>
            </w:r>
          </w:p>
        </w:tc>
        <w:tc>
          <w:tcPr>
            <w:tcW w:w="1143" w:type="dxa"/>
            <w:tcBorders>
              <w:top w:val="nil"/>
              <w:left w:val="nil"/>
              <w:bottom w:val="single" w:sz="4" w:space="0" w:color="auto"/>
              <w:right w:val="single" w:sz="4" w:space="0" w:color="auto"/>
            </w:tcBorders>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222,006,679</w:t>
            </w:r>
          </w:p>
        </w:tc>
        <w:tc>
          <w:tcPr>
            <w:tcW w:w="1143" w:type="dxa"/>
            <w:tcBorders>
              <w:top w:val="nil"/>
              <w:left w:val="nil"/>
              <w:bottom w:val="single" w:sz="4" w:space="0" w:color="auto"/>
              <w:right w:val="single" w:sz="4" w:space="0" w:color="auto"/>
            </w:tcBorders>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217,067,207</w:t>
            </w:r>
          </w:p>
        </w:tc>
        <w:tc>
          <w:tcPr>
            <w:tcW w:w="1143" w:type="dxa"/>
            <w:tcBorders>
              <w:top w:val="nil"/>
              <w:left w:val="nil"/>
              <w:bottom w:val="single" w:sz="4" w:space="0" w:color="auto"/>
              <w:right w:val="single" w:sz="4" w:space="0" w:color="auto"/>
            </w:tcBorders>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217,067,207</w:t>
            </w:r>
          </w:p>
        </w:tc>
        <w:tc>
          <w:tcPr>
            <w:tcW w:w="1143" w:type="dxa"/>
            <w:tcBorders>
              <w:top w:val="nil"/>
              <w:left w:val="nil"/>
              <w:bottom w:val="single" w:sz="4" w:space="0" w:color="auto"/>
              <w:right w:val="single" w:sz="4" w:space="0" w:color="auto"/>
            </w:tcBorders>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217,067,207</w:t>
            </w:r>
          </w:p>
        </w:tc>
        <w:tc>
          <w:tcPr>
            <w:tcW w:w="1143" w:type="dxa"/>
            <w:tcBorders>
              <w:top w:val="nil"/>
              <w:left w:val="nil"/>
              <w:bottom w:val="single" w:sz="4" w:space="0" w:color="auto"/>
              <w:right w:val="single" w:sz="4" w:space="0" w:color="auto"/>
            </w:tcBorders>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231,514,046</w:t>
            </w:r>
          </w:p>
        </w:tc>
        <w:tc>
          <w:tcPr>
            <w:tcW w:w="1143" w:type="dxa"/>
            <w:tcBorders>
              <w:top w:val="nil"/>
              <w:left w:val="nil"/>
              <w:bottom w:val="single" w:sz="4" w:space="0" w:color="auto"/>
              <w:right w:val="single" w:sz="4" w:space="0" w:color="auto"/>
            </w:tcBorders>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209,518,650</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TA6DE</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6 pulg. en Destapado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289,182,035</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284,193,220</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284,193,220</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284,193,220</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298,784,378</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284,193,220</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TA8DE</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8 pulg. en Destapado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385,078,267</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381,419,830</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381,419,830</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381,419,830</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403,112,637</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381,419,830</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TA10DE</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10 pulg. en Destapado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459,970,081</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456,285,347</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456,285,347</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456,285,347</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478,134,080</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456,285,347</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TA14DE</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14 pulg. en Destapado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788,652,620</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784,915,447</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784,915,447</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784,915,447</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807,075,121</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784,915,447</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TA16DE</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16 pulg. en Destapado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895,224,667</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891,481,797</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891,481,797</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891,481,797</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913,675,248</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891,481,797</w:t>
            </w:r>
          </w:p>
        </w:tc>
      </w:tr>
      <w:tr w:rsidR="00834DA6" w:rsidRPr="00834DA6" w:rsidTr="00881242">
        <w:trPr>
          <w:trHeight w:val="360"/>
          <w:jc w:val="center"/>
        </w:trPr>
        <w:tc>
          <w:tcPr>
            <w:tcW w:w="742"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TA20DE</w:t>
            </w:r>
          </w:p>
        </w:tc>
        <w:tc>
          <w:tcPr>
            <w:tcW w:w="1816"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Acero de 20 pulg. en Destapado</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1,093,286,266</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1,089,533,105</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1,089,533,105</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1,089,533,105</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1,111,787,580</w:t>
            </w:r>
          </w:p>
        </w:tc>
        <w:tc>
          <w:tcPr>
            <w:tcW w:w="1143"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1,089,533,105</w:t>
            </w:r>
          </w:p>
        </w:tc>
      </w:tr>
    </w:tbl>
    <w:p w:rsidR="00834DA6" w:rsidRPr="00834DA6" w:rsidRDefault="00834DA6" w:rsidP="00834DA6">
      <w:pPr>
        <w:ind w:left="0"/>
        <w:jc w:val="center"/>
        <w:rPr>
          <w:rFonts w:ascii="Bookman Old Style" w:hAnsi="Bookman Old Style"/>
          <w:lang w:val="es-ES_tradnl"/>
        </w:rPr>
      </w:pPr>
    </w:p>
    <w:p w:rsidR="00834DA6" w:rsidRPr="00834DA6" w:rsidRDefault="00834DA6" w:rsidP="00834DA6">
      <w:pPr>
        <w:ind w:left="0"/>
        <w:rPr>
          <w:rFonts w:ascii="Bookman Old Style" w:hAnsi="Bookman Old Style"/>
          <w:lang w:val="es-ES_tradnl"/>
        </w:rPr>
      </w:pPr>
      <w:r w:rsidRPr="00834DA6">
        <w:rPr>
          <w:rFonts w:ascii="Bookman Old Style" w:hAnsi="Bookman Old Style"/>
          <w:lang w:val="es-ES_tradnl"/>
        </w:rPr>
        <w:br w:type="page"/>
      </w:r>
    </w:p>
    <w:p w:rsidR="00834DA6" w:rsidRPr="00834DA6" w:rsidRDefault="00834DA6" w:rsidP="00834DA6">
      <w:pPr>
        <w:ind w:left="0"/>
        <w:jc w:val="center"/>
        <w:rPr>
          <w:rFonts w:ascii="Bookman Old Style" w:hAnsi="Bookman Old Style"/>
          <w:lang w:val="es-ES_tradnl"/>
        </w:rPr>
      </w:pPr>
    </w:p>
    <w:tbl>
      <w:tblPr>
        <w:tblW w:w="9266" w:type="dxa"/>
        <w:tblInd w:w="55" w:type="dxa"/>
        <w:tblCellMar>
          <w:left w:w="70" w:type="dxa"/>
          <w:right w:w="70" w:type="dxa"/>
        </w:tblCellMar>
        <w:tblLook w:val="04A0" w:firstRow="1" w:lastRow="0" w:firstColumn="1" w:lastColumn="0" w:noHBand="0" w:noVBand="1"/>
      </w:tblPr>
      <w:tblGrid>
        <w:gridCol w:w="1193"/>
        <w:gridCol w:w="2007"/>
        <w:gridCol w:w="1011"/>
        <w:gridCol w:w="1011"/>
        <w:gridCol w:w="1011"/>
        <w:gridCol w:w="1011"/>
        <w:gridCol w:w="1011"/>
        <w:gridCol w:w="1011"/>
      </w:tblGrid>
      <w:tr w:rsidR="00834DA6" w:rsidRPr="00834DA6" w:rsidTr="00834DA6">
        <w:trPr>
          <w:trHeight w:val="360"/>
          <w:tblHeader/>
        </w:trPr>
        <w:tc>
          <w:tcPr>
            <w:tcW w:w="1193" w:type="dxa"/>
            <w:tcBorders>
              <w:top w:val="single" w:sz="4" w:space="0" w:color="auto"/>
              <w:left w:val="single" w:sz="4" w:space="0" w:color="auto"/>
              <w:bottom w:val="single" w:sz="4" w:space="0" w:color="auto"/>
              <w:right w:val="single" w:sz="4" w:space="0" w:color="auto"/>
            </w:tcBorders>
            <w:noWrap/>
            <w:vAlign w:val="bottom"/>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 </w:t>
            </w:r>
          </w:p>
        </w:tc>
        <w:tc>
          <w:tcPr>
            <w:tcW w:w="2007" w:type="dxa"/>
            <w:tcBorders>
              <w:top w:val="single" w:sz="4" w:space="0" w:color="auto"/>
              <w:left w:val="nil"/>
              <w:bottom w:val="single" w:sz="4" w:space="0" w:color="auto"/>
              <w:right w:val="single" w:sz="4" w:space="0" w:color="auto"/>
            </w:tcBorders>
            <w:vAlign w:val="center"/>
            <w:hideMark/>
          </w:tcPr>
          <w:p w:rsidR="00834DA6" w:rsidRPr="00834DA6" w:rsidRDefault="00834DA6" w:rsidP="00834DA6">
            <w:pPr>
              <w:ind w:left="0"/>
              <w:jc w:val="center"/>
              <w:rPr>
                <w:rFonts w:ascii="Bookman Old Style" w:hAnsi="Bookman Old Style" w:cs="Arial"/>
                <w:b/>
                <w:bCs/>
                <w:color w:val="000000"/>
                <w:sz w:val="14"/>
                <w:szCs w:val="14"/>
                <w:lang w:val="es-CO" w:eastAsia="es-CO"/>
              </w:rPr>
            </w:pPr>
            <w:r w:rsidRPr="00834DA6">
              <w:rPr>
                <w:rFonts w:ascii="Bookman Old Style" w:hAnsi="Bookman Old Style" w:cs="Arial"/>
                <w:b/>
                <w:bCs/>
                <w:color w:val="000000"/>
                <w:sz w:val="14"/>
                <w:szCs w:val="14"/>
                <w:lang w:val="es-CO" w:eastAsia="es-CO"/>
              </w:rPr>
              <w:t>UC Nuevo Periodo Tarifario</w:t>
            </w:r>
          </w:p>
        </w:tc>
        <w:tc>
          <w:tcPr>
            <w:tcW w:w="6066" w:type="dxa"/>
            <w:gridSpan w:val="6"/>
            <w:tcBorders>
              <w:top w:val="single" w:sz="4" w:space="0" w:color="auto"/>
              <w:left w:val="nil"/>
              <w:bottom w:val="single" w:sz="4" w:space="0" w:color="auto"/>
              <w:right w:val="single" w:sz="4" w:space="0" w:color="auto"/>
            </w:tcBorders>
            <w:noWrap/>
            <w:vAlign w:val="center"/>
            <w:hideMark/>
          </w:tcPr>
          <w:p w:rsidR="00834DA6" w:rsidRPr="00834DA6" w:rsidRDefault="00834DA6" w:rsidP="00834DA6">
            <w:pPr>
              <w:ind w:left="0"/>
              <w:jc w:val="center"/>
              <w:rPr>
                <w:rFonts w:ascii="Bookman Old Style" w:hAnsi="Bookman Old Style" w:cs="Arial"/>
                <w:b/>
                <w:bCs/>
                <w:color w:val="000000"/>
                <w:sz w:val="14"/>
                <w:szCs w:val="14"/>
                <w:lang w:val="es-CO" w:eastAsia="es-CO"/>
              </w:rPr>
            </w:pPr>
            <w:r w:rsidRPr="00834DA6">
              <w:rPr>
                <w:rFonts w:ascii="Bookman Old Style" w:hAnsi="Bookman Old Style" w:cs="Arial"/>
                <w:b/>
                <w:bCs/>
                <w:color w:val="000000"/>
                <w:sz w:val="14"/>
                <w:szCs w:val="14"/>
                <w:lang w:val="es-CO" w:eastAsia="es-CO"/>
              </w:rPr>
              <w:t>COSTO A RECONOCER POR GRUPO A $ DE DICIEMBRE DE 2012</w:t>
            </w:r>
          </w:p>
        </w:tc>
      </w:tr>
      <w:tr w:rsidR="00834DA6" w:rsidRPr="00834DA6" w:rsidTr="00834DA6">
        <w:trPr>
          <w:trHeight w:val="180"/>
          <w:tblHeader/>
        </w:trPr>
        <w:tc>
          <w:tcPr>
            <w:tcW w:w="1193" w:type="dxa"/>
            <w:tcBorders>
              <w:top w:val="nil"/>
              <w:left w:val="single" w:sz="4" w:space="0" w:color="auto"/>
              <w:bottom w:val="single" w:sz="4" w:space="0" w:color="auto"/>
              <w:right w:val="single" w:sz="4" w:space="0" w:color="auto"/>
            </w:tcBorders>
            <w:noWrap/>
            <w:vAlign w:val="bottom"/>
            <w:hideMark/>
          </w:tcPr>
          <w:p w:rsidR="00834DA6" w:rsidRPr="00834DA6" w:rsidRDefault="00834DA6" w:rsidP="00834DA6">
            <w:pPr>
              <w:ind w:left="0"/>
              <w:rPr>
                <w:rFonts w:ascii="Bookman Old Style" w:hAnsi="Bookman Old Style" w:cs="Arial"/>
                <w:b/>
                <w:bCs/>
                <w:color w:val="000000"/>
                <w:sz w:val="14"/>
                <w:szCs w:val="14"/>
                <w:lang w:val="es-CO" w:eastAsia="es-CO"/>
              </w:rPr>
            </w:pPr>
            <w:r w:rsidRPr="00834DA6">
              <w:rPr>
                <w:rFonts w:ascii="Bookman Old Style" w:hAnsi="Bookman Old Style" w:cs="Arial"/>
                <w:b/>
                <w:bCs/>
                <w:color w:val="000000"/>
                <w:sz w:val="14"/>
                <w:szCs w:val="14"/>
                <w:lang w:val="es-CO" w:eastAsia="es-CO"/>
              </w:rPr>
              <w:t>CODIGO</w:t>
            </w:r>
          </w:p>
        </w:tc>
        <w:tc>
          <w:tcPr>
            <w:tcW w:w="2007" w:type="dxa"/>
            <w:tcBorders>
              <w:top w:val="nil"/>
              <w:left w:val="nil"/>
              <w:bottom w:val="single" w:sz="4" w:space="0" w:color="auto"/>
              <w:right w:val="single" w:sz="4" w:space="0" w:color="auto"/>
            </w:tcBorders>
            <w:noWrap/>
            <w:vAlign w:val="bottom"/>
            <w:hideMark/>
          </w:tcPr>
          <w:p w:rsidR="00834DA6" w:rsidRPr="00834DA6" w:rsidRDefault="00834DA6" w:rsidP="00834DA6">
            <w:pPr>
              <w:ind w:left="0"/>
              <w:rPr>
                <w:rFonts w:ascii="Bookman Old Style" w:hAnsi="Bookman Old Style" w:cs="Arial"/>
                <w:b/>
                <w:bCs/>
                <w:color w:val="000000"/>
                <w:sz w:val="14"/>
                <w:szCs w:val="14"/>
                <w:lang w:val="es-CO" w:eastAsia="es-CO"/>
              </w:rPr>
            </w:pPr>
            <w:r w:rsidRPr="00834DA6">
              <w:rPr>
                <w:rFonts w:ascii="Bookman Old Style" w:hAnsi="Bookman Old Style" w:cs="Arial"/>
                <w:b/>
                <w:bCs/>
                <w:color w:val="000000"/>
                <w:sz w:val="14"/>
                <w:szCs w:val="14"/>
                <w:lang w:val="es-CO" w:eastAsia="es-CO"/>
              </w:rPr>
              <w:t>DESCRIPCIÓN</w:t>
            </w:r>
          </w:p>
        </w:tc>
        <w:tc>
          <w:tcPr>
            <w:tcW w:w="1011" w:type="dxa"/>
            <w:tcBorders>
              <w:top w:val="nil"/>
              <w:left w:val="nil"/>
              <w:bottom w:val="single" w:sz="4" w:space="0" w:color="auto"/>
              <w:right w:val="single" w:sz="4" w:space="0" w:color="auto"/>
            </w:tcBorders>
            <w:noWrap/>
            <w:vAlign w:val="bottom"/>
            <w:hideMark/>
          </w:tcPr>
          <w:p w:rsidR="00834DA6" w:rsidRPr="00834DA6" w:rsidRDefault="00834DA6" w:rsidP="00834DA6">
            <w:pPr>
              <w:ind w:left="0"/>
              <w:jc w:val="center"/>
              <w:rPr>
                <w:rFonts w:ascii="Bookman Old Style" w:hAnsi="Bookman Old Style" w:cs="Arial"/>
                <w:b/>
                <w:bCs/>
                <w:color w:val="000000"/>
                <w:sz w:val="14"/>
                <w:szCs w:val="14"/>
                <w:lang w:val="es-CO" w:eastAsia="es-CO"/>
              </w:rPr>
            </w:pPr>
            <w:r w:rsidRPr="00834DA6">
              <w:rPr>
                <w:rFonts w:ascii="Bookman Old Style" w:hAnsi="Bookman Old Style" w:cs="Arial"/>
                <w:b/>
                <w:bCs/>
                <w:color w:val="000000"/>
                <w:sz w:val="14"/>
                <w:szCs w:val="14"/>
                <w:lang w:val="es-CO" w:eastAsia="es-CO"/>
              </w:rPr>
              <w:t>A</w:t>
            </w:r>
          </w:p>
        </w:tc>
        <w:tc>
          <w:tcPr>
            <w:tcW w:w="1011" w:type="dxa"/>
            <w:tcBorders>
              <w:top w:val="nil"/>
              <w:left w:val="nil"/>
              <w:bottom w:val="single" w:sz="4" w:space="0" w:color="auto"/>
              <w:right w:val="single" w:sz="4" w:space="0" w:color="auto"/>
            </w:tcBorders>
            <w:noWrap/>
            <w:vAlign w:val="bottom"/>
            <w:hideMark/>
          </w:tcPr>
          <w:p w:rsidR="00834DA6" w:rsidRPr="00834DA6" w:rsidRDefault="00834DA6" w:rsidP="00834DA6">
            <w:pPr>
              <w:ind w:left="0"/>
              <w:jc w:val="center"/>
              <w:rPr>
                <w:rFonts w:ascii="Bookman Old Style" w:hAnsi="Bookman Old Style" w:cs="Arial"/>
                <w:b/>
                <w:bCs/>
                <w:color w:val="000000"/>
                <w:sz w:val="14"/>
                <w:szCs w:val="14"/>
                <w:lang w:val="es-CO" w:eastAsia="es-CO"/>
              </w:rPr>
            </w:pPr>
            <w:r w:rsidRPr="00834DA6">
              <w:rPr>
                <w:rFonts w:ascii="Bookman Old Style" w:hAnsi="Bookman Old Style" w:cs="Arial"/>
                <w:b/>
                <w:bCs/>
                <w:color w:val="000000"/>
                <w:sz w:val="14"/>
                <w:szCs w:val="14"/>
                <w:lang w:val="es-CO" w:eastAsia="es-CO"/>
              </w:rPr>
              <w:t>B</w:t>
            </w:r>
          </w:p>
        </w:tc>
        <w:tc>
          <w:tcPr>
            <w:tcW w:w="1011" w:type="dxa"/>
            <w:tcBorders>
              <w:top w:val="nil"/>
              <w:left w:val="nil"/>
              <w:bottom w:val="single" w:sz="4" w:space="0" w:color="auto"/>
              <w:right w:val="single" w:sz="4" w:space="0" w:color="auto"/>
            </w:tcBorders>
            <w:noWrap/>
            <w:vAlign w:val="bottom"/>
            <w:hideMark/>
          </w:tcPr>
          <w:p w:rsidR="00834DA6" w:rsidRPr="00834DA6" w:rsidRDefault="00834DA6" w:rsidP="00834DA6">
            <w:pPr>
              <w:ind w:left="0"/>
              <w:jc w:val="center"/>
              <w:rPr>
                <w:rFonts w:ascii="Bookman Old Style" w:hAnsi="Bookman Old Style" w:cs="Arial"/>
                <w:b/>
                <w:bCs/>
                <w:color w:val="000000"/>
                <w:sz w:val="14"/>
                <w:szCs w:val="14"/>
                <w:lang w:val="es-CO" w:eastAsia="es-CO"/>
              </w:rPr>
            </w:pPr>
            <w:r w:rsidRPr="00834DA6">
              <w:rPr>
                <w:rFonts w:ascii="Bookman Old Style" w:hAnsi="Bookman Old Style" w:cs="Arial"/>
                <w:b/>
                <w:bCs/>
                <w:color w:val="000000"/>
                <w:sz w:val="14"/>
                <w:szCs w:val="14"/>
                <w:lang w:val="es-CO" w:eastAsia="es-CO"/>
              </w:rPr>
              <w:t>C</w:t>
            </w:r>
          </w:p>
        </w:tc>
        <w:tc>
          <w:tcPr>
            <w:tcW w:w="1011" w:type="dxa"/>
            <w:tcBorders>
              <w:top w:val="nil"/>
              <w:left w:val="nil"/>
              <w:bottom w:val="single" w:sz="4" w:space="0" w:color="auto"/>
              <w:right w:val="single" w:sz="4" w:space="0" w:color="auto"/>
            </w:tcBorders>
            <w:noWrap/>
            <w:vAlign w:val="bottom"/>
            <w:hideMark/>
          </w:tcPr>
          <w:p w:rsidR="00834DA6" w:rsidRPr="00834DA6" w:rsidRDefault="00834DA6" w:rsidP="00834DA6">
            <w:pPr>
              <w:ind w:left="0"/>
              <w:jc w:val="center"/>
              <w:rPr>
                <w:rFonts w:ascii="Bookman Old Style" w:hAnsi="Bookman Old Style" w:cs="Arial"/>
                <w:b/>
                <w:bCs/>
                <w:color w:val="000000"/>
                <w:sz w:val="14"/>
                <w:szCs w:val="14"/>
                <w:lang w:val="es-CO" w:eastAsia="es-CO"/>
              </w:rPr>
            </w:pPr>
            <w:r w:rsidRPr="00834DA6">
              <w:rPr>
                <w:rFonts w:ascii="Bookman Old Style" w:hAnsi="Bookman Old Style" w:cs="Arial"/>
                <w:b/>
                <w:bCs/>
                <w:color w:val="000000"/>
                <w:sz w:val="14"/>
                <w:szCs w:val="14"/>
                <w:lang w:val="es-CO" w:eastAsia="es-CO"/>
              </w:rPr>
              <w:t>D</w:t>
            </w:r>
          </w:p>
        </w:tc>
        <w:tc>
          <w:tcPr>
            <w:tcW w:w="1011" w:type="dxa"/>
            <w:tcBorders>
              <w:top w:val="nil"/>
              <w:left w:val="nil"/>
              <w:bottom w:val="single" w:sz="4" w:space="0" w:color="auto"/>
              <w:right w:val="single" w:sz="4" w:space="0" w:color="auto"/>
            </w:tcBorders>
            <w:noWrap/>
            <w:vAlign w:val="bottom"/>
            <w:hideMark/>
          </w:tcPr>
          <w:p w:rsidR="00834DA6" w:rsidRPr="00834DA6" w:rsidRDefault="00834DA6" w:rsidP="00834DA6">
            <w:pPr>
              <w:ind w:left="0"/>
              <w:jc w:val="center"/>
              <w:rPr>
                <w:rFonts w:ascii="Bookman Old Style" w:hAnsi="Bookman Old Style" w:cs="Arial"/>
                <w:b/>
                <w:bCs/>
                <w:color w:val="000000"/>
                <w:sz w:val="14"/>
                <w:szCs w:val="14"/>
                <w:lang w:val="es-CO" w:eastAsia="es-CO"/>
              </w:rPr>
            </w:pPr>
            <w:r w:rsidRPr="00834DA6">
              <w:rPr>
                <w:rFonts w:ascii="Bookman Old Style" w:hAnsi="Bookman Old Style" w:cs="Arial"/>
                <w:b/>
                <w:bCs/>
                <w:color w:val="000000"/>
                <w:sz w:val="14"/>
                <w:szCs w:val="14"/>
                <w:lang w:val="es-CO" w:eastAsia="es-CO"/>
              </w:rPr>
              <w:t>E</w:t>
            </w:r>
          </w:p>
        </w:tc>
        <w:tc>
          <w:tcPr>
            <w:tcW w:w="1011" w:type="dxa"/>
            <w:tcBorders>
              <w:top w:val="nil"/>
              <w:left w:val="nil"/>
              <w:bottom w:val="single" w:sz="4" w:space="0" w:color="auto"/>
              <w:right w:val="single" w:sz="4" w:space="0" w:color="auto"/>
            </w:tcBorders>
            <w:noWrap/>
            <w:vAlign w:val="bottom"/>
            <w:hideMark/>
          </w:tcPr>
          <w:p w:rsidR="00834DA6" w:rsidRPr="00834DA6" w:rsidRDefault="00834DA6" w:rsidP="00834DA6">
            <w:pPr>
              <w:ind w:left="0"/>
              <w:jc w:val="center"/>
              <w:rPr>
                <w:rFonts w:ascii="Bookman Old Style" w:hAnsi="Bookman Old Style" w:cs="Arial"/>
                <w:b/>
                <w:bCs/>
                <w:color w:val="000000"/>
                <w:sz w:val="14"/>
                <w:szCs w:val="14"/>
                <w:lang w:val="es-CO" w:eastAsia="es-CO"/>
              </w:rPr>
            </w:pPr>
            <w:r w:rsidRPr="00834DA6">
              <w:rPr>
                <w:rFonts w:ascii="Bookman Old Style" w:hAnsi="Bookman Old Style" w:cs="Arial"/>
                <w:b/>
                <w:bCs/>
                <w:color w:val="000000"/>
                <w:sz w:val="14"/>
                <w:szCs w:val="14"/>
                <w:lang w:val="es-CO" w:eastAsia="es-CO"/>
              </w:rPr>
              <w:t>F</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TPE1/2AS</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1/2 pulg. en Calzada Asfalto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63,181,580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80,803,875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187,443,790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136,553,851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86,677,973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237,201,032</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TPE3/4AS</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3/4 pulg. en Calzada Asfalto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63,931,093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81,518,097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188,012,471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137,156,428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87,380,432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237,806,828</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TPE1AS</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1 pulg. en Calzada Asfalto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66,161,983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83,669,651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189,751,328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139,056,991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89,505,540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239,455,117</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TPE1-1/4AS</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1-1/4 pulg. en Calzada Asfalto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69,146,145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86,560,326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192,142,898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141,651,910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92,365,053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241,712,548</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TPE1-1/2AS</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1-1/2 pulg. en Calzada Asfalto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70,642,956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88,012,724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193,393,202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142,963,805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93,802,647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242,965,296</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TPE2AS</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2 pulg. en Calzada Asfalto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72,570,201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89,886,200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195,074,408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144,667,179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95,658,200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244,743,794</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TPE3AS</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3 pulg. en Calzada Asfalto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97,166,841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114,018,372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216,645,803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167,329,958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119,635,550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265,446,855</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TPE4AS</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4 pulg. en Calzada Asfalto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115,426,725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155,150,407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233,719,055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203,176,209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137,623,850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282,356,851</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TPE6AS</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6 pulg. en Calzada Asfalto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165,628,671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204,864,179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282,220,134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251,994,224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187,411,784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330,694,668</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TPE8AS</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8 pulg. en Calzada Asfalto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215,591,668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237,277,699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314,540,509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284,197,698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237,277,699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381,976,817</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TPE10AS</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10 pulg. en Calzada Asfalto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305,493,374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327,102,019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395,432,812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374,296,495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327,102,019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473,239,036</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TPE12AS</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12 pulg. en Calzada Asfalto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334,505,934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357,764,379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411,464,116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403,514,094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355,985,829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503,627,390</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TPE1/2CO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 xml:space="preserve">Tubería de Polietileno de 1/2 pulg. en Calzada Concreto </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62,025,742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80,489,474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186,228,016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145,784,173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87,881,989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428,903,881</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TPE3/4CO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 xml:space="preserve">Tubería de Polietileno de 3/4 pulg. en Calzada Concreto </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62,725,927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81,143,492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186,678,482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146,274,925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88,517,523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428,852,549</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 xml:space="preserve">Tubería de Polietileno de 1 pulg. en Calzada Concreto </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64,851,530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83,166,590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188,174,720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147,935,529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90,499,580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429,105,363</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TPE1-1/4CO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 xml:space="preserve">Tubería de Polietileno de 1-1/4 pulg. en Calzada Concreto </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67,714,822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85,912,758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190,309,480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150,267,502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93,198,854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429,803,128</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TPE1-1/2CO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1-1/2 pulg. en Calzada Concreto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69,153,829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87,298,264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191,447,999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151,463,805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94,562,938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430,340,979</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TPE2CO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 xml:space="preserve">Tubería de Polietileno de 2 pulg. en Calzada Concreto </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74,117,560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92,105,188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195,473,689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155,716,201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99,307,080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432,507,220</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TPE3CO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 xml:space="preserve">Tubería de Polietileno de 3 pulg. en Calzada Concreto </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102,060,403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119,966,448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223,102,734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183,288,957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127,135,676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459,469,544</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TPE4CO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 xml:space="preserve">Tubería de Polietileno de 4 pulg. en Calzada Concreto </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120,311,549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159,598,664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240,180,972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219,450,169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145,095,396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474,204,291</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TPE6CO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 xml:space="preserve">Tubería de Polietileno de 6 pulg. en Calzada Concreto </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173,384,785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212,147,388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291,412,769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270,850,401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197,693,054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521,737,092</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TPE8CO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 xml:space="preserve">Tubería de Polietileno de 8 pulg. en Calzada Concreto </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230,070,851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252,246,068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332,523,515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311,769,563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254,722,179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572,147,986</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10 pulg. en Calzada Concreto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319,743,490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341,525,634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414,208,703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402,821,795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344,537,894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659,555,038</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TPE12CO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 xml:space="preserve">Tubería de Polietileno de 12 pulg. en Calzada Concreto </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347,908,908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371,980,749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430,742,883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432,767,144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372,860,860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683,835,950</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TPE1/2ACO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1/2 pulg. en  Anden Concreto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43,503,092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51,985,097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63,038,271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53,406,594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56,050,369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63,284,276</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TPE3/4ACO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 xml:space="preserve">Tubería de Polietileno de 3/4 pulg. en Anden Concreto </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44,249,592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52,710,388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63,796,767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54,128,331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56,765,496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64,147,155</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TPE1ACO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 xml:space="preserve">Tubería de Polietileno de 1 pulg. en Anden Concreto </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46,478,027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54,891,733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65,976,912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56,301,785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58,924,272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66,429,766</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TPE1-1/4ACO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 xml:space="preserve">Tubería de Polietileno de 1-1/4 pulg. en Anden Concreto </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49,458,817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57,818,718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68,893,124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59,219,752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61,825,469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69,446,829</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TPE1-1/2ACO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 xml:space="preserve">Tubería de Polietileno de 1-1/2 pulg. en Anden Concreto </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50,951,496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59,286,819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70,388,606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60,683,734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63,281,790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71,044,125</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TPE2ACO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 xml:space="preserve">Tubería de Polietileno de 2 pulg. en Anden Concreto </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56,072,534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64,335,822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75,460,508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65,720,665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68,296,268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76,315,459</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lastRenderedPageBreak/>
              <w:t>TPE3ACO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 xml:space="preserve">Tubería de Polietileno de 3 pulg. en Anden Concreto </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84,097,219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92,323,029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103,633,867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93,701,591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96,265,513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104,893,274</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TPE4ACO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 xml:space="preserve">Tubería de Polietileno de 4 pulg. En Anden Concreto </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102,557,135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123,169,139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122,100,584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124,985,859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114,584,008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123,748,941</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TPE6ACO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6 pulg. en Anden Concreto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155,971,062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176,416,910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175,598,230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178,198,769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167,767,150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178,006,642</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TPE1/2TA</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1/2 pulg. en Andén Tableta, Baldosín, Gravilla</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46,066,592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46,066,592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59,146,373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46,066,592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46,066,592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55,704,240</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TPE3/4TA</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3/4 pulg. en Andén Tableta, Baldosín, Gravilla</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46,807,119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46,807,119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59,913,814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46,807,119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46,807,119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56,532,183</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TPE1TA</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1 pulg. en Andén Tableta, Baldosín, Gravilla</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49,027,353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49,027,353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62,138,426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49,027,353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49,027,353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58,822,827</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TPE1-1/4TA</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1-1/4 pulg. en Andén Tableta, Baldosín, Gravilla</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51,996,622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51,996,622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65,104,782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51,996,622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51,996,622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61,856,628</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TPE1-1/2TA</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1-1/2 pulg. en Andén Tableta, Baldosín, Gravilla</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53,474,911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53,474,911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66,605,275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53,474,911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53,474,911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63,418,001</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TPE2TA</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2 pulg. en Andén Tableta, Baldosín, Gravilla</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58,568,718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58,568,718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71,721,524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58,568,718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58,568,718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68,660,499</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TPE3TA</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3 pulg. en Andén Tableta, Baldosín, Gravilla</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79,606,505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83,748,190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103,945,158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83,748,190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83,748,190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100,540,955</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TPE4TA</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4 pulg. en Andén Tableta, Baldosín, Gravilla</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97,803,936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112,117,666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122,238,627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112,117,666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101,996,706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119,260,123</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TPE6TA</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6 pulg. en Andén Tableta, Baldosín, Gravilla</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150,765,114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165,284,128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175,492,505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165,284,128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155,075,751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173,333,341</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TPE1/2ZV</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1/2 pulg. en Zona Verde</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15,405,582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15,405,582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22,401,896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15,405,582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20,431,172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15,405,582</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TPE3/4ZV</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3/4 pulg. en Zona Verde</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16,181,120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16,181,120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23,225,889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16,181,120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21,197,368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16,181,120</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TPE1ZV</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1 pulg. en Zona Verde</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18,432,158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18,432,158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25,509,519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18,432,158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23,428,027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18,432,158</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TPE1-1/4ZV</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1-1/4 pulg. en Zona Verde</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21,432,539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21,432,539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28,542,642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21,432,539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26,408,483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21,432,539</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TPE1-1/2ZV</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1-1/2 pulg. en Zona Verde</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22,942,149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22,942,149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30,102,441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22,942,149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27,910,613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22,942,149</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TPE2ZV</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2 pulg. en Zona Verde</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28,100,483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28,100,483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35,353,676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28,100,483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33,049,263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28,100,483</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TPE3ZV</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3 pulg. en Zona Verde</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46,387,790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46,387,790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53,836,043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46,387,790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51,305,223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46,387,790</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TPE4ZV</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4 pulg. en Zona Verde</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64,702,943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68,536,217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72,369,492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68,536,217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69,605,854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64,702,943</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TPE6ZV</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6 pulg. en Zona Verde</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113,059,535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117,120,342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121,181,150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117,120,342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117,947,090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113,059,535</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TPE8ZV</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8 pulg. en Zona Verde</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144,156,291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144,156,291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148,454,548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144,156,291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150,669,864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144,156,291</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TPE10ZV</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10 pulg. en Zona Verde</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225,713,773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225,713,773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227,980,810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225,713,773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233,035,722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225,713,773</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TPE12ZV</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12 pulg. en Zona Verde</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246,796,914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245,842,581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245,842,581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246,796,914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255,254,925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246,796,914</w:t>
            </w:r>
          </w:p>
        </w:tc>
      </w:tr>
      <w:tr w:rsidR="00834DA6" w:rsidRPr="00834DA6" w:rsidTr="00834DA6">
        <w:trPr>
          <w:trHeight w:val="54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TPE100-63AS</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63mm en Calzada Asfalto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73,938,490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91,254,490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196,571,362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146,035,468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97,026,490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246,473,852</w:t>
            </w:r>
          </w:p>
        </w:tc>
      </w:tr>
      <w:tr w:rsidR="00834DA6" w:rsidRPr="00834DA6" w:rsidTr="00834DA6">
        <w:trPr>
          <w:trHeight w:val="54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TPE100-90AS</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90mm en Calzada Asfalto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98,636,167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115,487,699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218,256,765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168,799,285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121,104,876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267,296,420</w:t>
            </w:r>
          </w:p>
        </w:tc>
      </w:tr>
      <w:tr w:rsidR="00834DA6" w:rsidRPr="00834DA6" w:rsidTr="00834DA6">
        <w:trPr>
          <w:trHeight w:val="54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TPE100-110AS</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110mm en Calzada Asfalto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143,598,437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183,364,704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261,975,937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231,390,506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165,795,561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310,747,838</w:t>
            </w:r>
          </w:p>
        </w:tc>
      </w:tr>
      <w:tr w:rsidR="00834DA6" w:rsidRPr="00834DA6" w:rsidTr="00834DA6">
        <w:trPr>
          <w:trHeight w:val="54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TPE100-160AS</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160mm en Calzada Asfalto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223,580,961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262,854,280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340,248,046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309,984,325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245,364,073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388,823,163</w:t>
            </w:r>
          </w:p>
        </w:tc>
      </w:tr>
      <w:tr w:rsidR="00834DA6" w:rsidRPr="00834DA6" w:rsidTr="00834DA6">
        <w:trPr>
          <w:trHeight w:val="540"/>
        </w:trPr>
        <w:tc>
          <w:tcPr>
            <w:tcW w:w="1193" w:type="dxa"/>
            <w:tcBorders>
              <w:top w:val="nil"/>
              <w:left w:val="single" w:sz="4" w:space="0" w:color="auto"/>
              <w:bottom w:val="single" w:sz="4" w:space="0" w:color="auto"/>
              <w:right w:val="single" w:sz="4" w:space="0" w:color="auto"/>
            </w:tcBorders>
            <w:noWrap/>
            <w:vAlign w:val="bottom"/>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TPE100-200AS</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200 mm en Calzada Asfalto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268,523,217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290,209,248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367,456,209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337,129,247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290,209,248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434,819,191</w:t>
            </w:r>
          </w:p>
        </w:tc>
      </w:tr>
      <w:tr w:rsidR="00834DA6" w:rsidRPr="00834DA6" w:rsidTr="00834DA6">
        <w:trPr>
          <w:trHeight w:val="54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TPE100-250AS</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250 mm en Calzada Asfalto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305,404,539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327,013,184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395,334,106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374,207,660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327,013,184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473,039,723</w:t>
            </w:r>
          </w:p>
        </w:tc>
      </w:tr>
      <w:tr w:rsidR="00834DA6" w:rsidRPr="00834DA6" w:rsidTr="00834DA6">
        <w:trPr>
          <w:trHeight w:val="54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lastRenderedPageBreak/>
              <w:t>TPE100-315AS</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315mm en Calzada Asfalto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334,766,142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358,014,579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411,714,315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403,774,302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356,246,037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504,162,485</w:t>
            </w:r>
          </w:p>
        </w:tc>
      </w:tr>
      <w:tr w:rsidR="00834DA6" w:rsidRPr="00834DA6" w:rsidTr="00834DA6">
        <w:trPr>
          <w:trHeight w:val="54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TPE100-63CO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63mm en Calzada Concreto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75,439,562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93,427,190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196,909,855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157,038,203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100,629,082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434,140,408</w:t>
            </w:r>
          </w:p>
        </w:tc>
      </w:tr>
      <w:tr w:rsidR="00834DA6" w:rsidRPr="00834DA6" w:rsidTr="00834DA6">
        <w:trPr>
          <w:trHeight w:val="54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TPE100-90CO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90mm en Calzada Concreto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103,512,046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121,418,092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224,682,929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184,740,601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128,587,320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461,271,588</w:t>
            </w:r>
          </w:p>
        </w:tc>
      </w:tr>
      <w:tr w:rsidR="00834DA6" w:rsidRPr="00834DA6" w:rsidTr="00834DA6">
        <w:trPr>
          <w:trHeight w:val="54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TPE100-110CO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110mm en Calzada Concreto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148,528,138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187,853,923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268,474,900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247,705,428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173,311,985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502,631,689</w:t>
            </w:r>
          </w:p>
        </w:tc>
      </w:tr>
      <w:tr w:rsidR="00834DA6" w:rsidRPr="00834DA6" w:rsidTr="00834DA6">
        <w:trPr>
          <w:trHeight w:val="54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TPE100-160CO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160mm en Calzada Concreto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231,411,635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270,208,553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349,508,249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328,911,566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255,719,904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579,951,013</w:t>
            </w:r>
          </w:p>
        </w:tc>
      </w:tr>
      <w:tr w:rsidR="00834DA6" w:rsidRPr="00834DA6" w:rsidTr="00834DA6">
        <w:trPr>
          <w:trHeight w:val="54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TPE100-200CO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200mm en Calzada Concreto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283,226,741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306,329,124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385,664,983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364,925,453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307,878,069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625,199,044</w:t>
            </w:r>
          </w:p>
        </w:tc>
      </w:tr>
      <w:tr w:rsidR="00834DA6" w:rsidRPr="00834DA6" w:rsidTr="00834DA6">
        <w:trPr>
          <w:trHeight w:val="54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TPE100-250CO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250mm en Calzada Concreto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319,662,530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342,717,915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414,118,748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402,740,835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344,456,934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659,326,958</w:t>
            </w:r>
          </w:p>
        </w:tc>
      </w:tr>
      <w:tr w:rsidR="00834DA6" w:rsidRPr="00834DA6" w:rsidTr="00834DA6">
        <w:trPr>
          <w:trHeight w:val="54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TPE100-315CO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315mm en Calzada Concreto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348,146,395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373,592,544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430,971,235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433,004,631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373,098,347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684,504,996</w:t>
            </w:r>
          </w:p>
        </w:tc>
      </w:tr>
      <w:tr w:rsidR="00834DA6" w:rsidRPr="00834DA6" w:rsidTr="00834DA6">
        <w:trPr>
          <w:trHeight w:val="54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TPE100-63ACO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63mm en  Anden Concreto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57,394,536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65,657,824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76,896,674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67,042,667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69,618,270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77,948,647</w:t>
            </w:r>
          </w:p>
        </w:tc>
      </w:tr>
      <w:tr w:rsidR="00834DA6" w:rsidRPr="00834DA6" w:rsidTr="00834DA6">
        <w:trPr>
          <w:trHeight w:val="54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TPE100-90ACO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90mm en  Anden Concreto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85,548,863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93,774,673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105,214,061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95,153,235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97,717,157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106,695,318</w:t>
            </w:r>
          </w:p>
        </w:tc>
      </w:tr>
      <w:tr w:rsidR="00834DA6" w:rsidRPr="00834DA6" w:rsidTr="00834DA6">
        <w:trPr>
          <w:trHeight w:val="54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TPE100-110ACO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110mm en  Anden Concreto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130,773,725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151,424,397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150,394,512</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153,241,117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142,800,597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152,176,339</w:t>
            </w:r>
          </w:p>
        </w:tc>
      </w:tr>
      <w:tr w:rsidR="00834DA6" w:rsidRPr="00834DA6" w:rsidTr="00834DA6">
        <w:trPr>
          <w:trHeight w:val="54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TPE100-160ACO</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160mm en  Anden Concreto</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213,997,911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234,478,075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233,693,710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236,259,934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225,794,000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236,220,563</w:t>
            </w:r>
          </w:p>
        </w:tc>
      </w:tr>
      <w:tr w:rsidR="00834DA6" w:rsidRPr="00834DA6" w:rsidTr="00834DA6">
        <w:trPr>
          <w:trHeight w:val="54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TPE100-63TA</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63mm en Anden Tableta, Baldosín, Gravilla</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65,949,321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70,040,210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90,096,427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70,040,210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70,040,210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86,488,948</w:t>
            </w:r>
          </w:p>
        </w:tc>
      </w:tr>
      <w:tr w:rsidR="00834DA6" w:rsidRPr="00834DA6" w:rsidTr="00834DA6">
        <w:trPr>
          <w:trHeight w:val="54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TPE100-90TA</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90mm en Andén Tableta, Baldosín, Gravilla</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80,973,989</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85,164,346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105,486,721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85,164,346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85,164,346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102,298,944</w:t>
            </w:r>
          </w:p>
        </w:tc>
      </w:tr>
      <w:tr w:rsidR="00834DA6" w:rsidRPr="00834DA6" w:rsidTr="00834DA6">
        <w:trPr>
          <w:trHeight w:val="54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TPE100-110TA</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110mm en Andén Tableta, Baldosín, Gravilla</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125,371,631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139,752,537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149,911,318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139,752,537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129,593,757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147,063,354</w:t>
            </w:r>
          </w:p>
        </w:tc>
      </w:tr>
      <w:tr w:rsidR="00834DA6" w:rsidRPr="00834DA6" w:rsidTr="00834DA6">
        <w:trPr>
          <w:trHeight w:val="54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TPE100-160TA</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160mm en Andén Tableta, Baldosín, Gravilla</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207,812,020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222,390,983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232,633,111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222,390,983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212,148,855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230,590,442</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TPE100-63ZV</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63mm en Zona Verde</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29,358,477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29,358,477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36,728,166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29,358,477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34,307,257</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29,358,477</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TPE100-90ZV</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90mm en Zona Verde</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47,767,031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47,767,031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55,346,223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47,767,031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52,684,464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47,767,031</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TPE100-110ZV</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110mm en Zona Verde</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91,458,085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95,331,093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99,204,101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95,331,093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96,360,996</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91,458,085</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TPE100-160ZV</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160mm en Zona Verde</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168,970,730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173,067,374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177,164,018</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173,067,374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173,858,284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168,970,730</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TPE100-200ZV</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200mm en Zona Verde</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195,430,120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195,430,120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199,713,295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195,430,120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201,943,693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195,430,120</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vAlign w:val="bottom"/>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TPE100-250ZV</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250mm en Zona Verde</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225,629,005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225,629,005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227,886,624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225,629,005</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232,950,954</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225,629,005</w:t>
            </w:r>
          </w:p>
        </w:tc>
      </w:tr>
      <w:tr w:rsidR="00834DA6" w:rsidRPr="00834DA6" w:rsidTr="00834DA6">
        <w:trPr>
          <w:trHeight w:val="360"/>
        </w:trPr>
        <w:tc>
          <w:tcPr>
            <w:tcW w:w="1193" w:type="dxa"/>
            <w:tcBorders>
              <w:top w:val="nil"/>
              <w:left w:val="single" w:sz="4" w:space="0" w:color="auto"/>
              <w:bottom w:val="single" w:sz="4" w:space="0" w:color="auto"/>
              <w:right w:val="single" w:sz="4" w:space="0" w:color="auto"/>
            </w:tcBorders>
            <w:noWrap/>
            <w:hideMark/>
          </w:tcPr>
          <w:p w:rsidR="00834DA6" w:rsidRPr="00834DA6" w:rsidRDefault="00834DA6" w:rsidP="00834DA6">
            <w:pPr>
              <w:ind w:left="0"/>
              <w:rPr>
                <w:rFonts w:ascii="Bookman Old Style" w:hAnsi="Bookman Old Style" w:cs="Arial"/>
                <w:sz w:val="14"/>
                <w:szCs w:val="14"/>
                <w:lang w:val="es-CO" w:eastAsia="es-CO"/>
              </w:rPr>
            </w:pPr>
            <w:r w:rsidRPr="00834DA6">
              <w:rPr>
                <w:rFonts w:ascii="Bookman Old Style" w:hAnsi="Bookman Old Style" w:cs="Arial"/>
                <w:sz w:val="14"/>
                <w:szCs w:val="14"/>
                <w:lang w:val="es-CO" w:eastAsia="es-CO"/>
              </w:rPr>
              <w:t>TPE100-315ZV</w:t>
            </w:r>
          </w:p>
        </w:tc>
        <w:tc>
          <w:tcPr>
            <w:tcW w:w="2007" w:type="dxa"/>
            <w:tcBorders>
              <w:top w:val="nil"/>
              <w:left w:val="nil"/>
              <w:bottom w:val="single" w:sz="4" w:space="0" w:color="auto"/>
              <w:right w:val="single" w:sz="4" w:space="0" w:color="auto"/>
            </w:tcBorders>
            <w:hideMark/>
          </w:tcPr>
          <w:p w:rsidR="00834DA6" w:rsidRPr="00834DA6" w:rsidRDefault="00834DA6" w:rsidP="00834DA6">
            <w:pPr>
              <w:ind w:left="0"/>
              <w:jc w:val="both"/>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Tubería de Polietileno de Alta Densidad de 315mm en Zona Verde</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247,046,610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246,082,673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246,082,673</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247,046,610</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255,504,621</w:t>
            </w:r>
          </w:p>
        </w:tc>
        <w:tc>
          <w:tcPr>
            <w:tcW w:w="1011" w:type="dxa"/>
            <w:tcBorders>
              <w:top w:val="nil"/>
              <w:left w:val="nil"/>
              <w:bottom w:val="single" w:sz="4" w:space="0" w:color="auto"/>
              <w:right w:val="single" w:sz="4" w:space="0" w:color="auto"/>
            </w:tcBorders>
            <w:shd w:val="clear" w:color="auto" w:fill="FFFFFF"/>
            <w:noWrap/>
            <w:vAlign w:val="center"/>
            <w:hideMark/>
          </w:tcPr>
          <w:p w:rsidR="00834DA6" w:rsidRPr="00834DA6" w:rsidRDefault="00834DA6" w:rsidP="00834DA6">
            <w:pPr>
              <w:ind w:left="0"/>
              <w:jc w:val="right"/>
              <w:rPr>
                <w:rFonts w:ascii="Bookman Old Style" w:hAnsi="Bookman Old Style" w:cs="Arial"/>
                <w:color w:val="000000"/>
                <w:sz w:val="14"/>
                <w:szCs w:val="14"/>
                <w:lang w:val="es-CO" w:eastAsia="es-CO"/>
              </w:rPr>
            </w:pPr>
            <w:r w:rsidRPr="00834DA6">
              <w:rPr>
                <w:rFonts w:ascii="Bookman Old Style" w:hAnsi="Bookman Old Style" w:cs="Arial"/>
                <w:color w:val="000000"/>
                <w:sz w:val="14"/>
                <w:szCs w:val="14"/>
                <w:lang w:val="es-CO" w:eastAsia="es-CO"/>
              </w:rPr>
              <w:t>247,046,610</w:t>
            </w:r>
          </w:p>
        </w:tc>
      </w:tr>
    </w:tbl>
    <w:p w:rsidR="00834DA6" w:rsidRPr="00834DA6" w:rsidRDefault="00834DA6" w:rsidP="00834DA6">
      <w:pPr>
        <w:ind w:left="0"/>
        <w:jc w:val="center"/>
        <w:rPr>
          <w:rFonts w:ascii="Bookman Old Style" w:hAnsi="Bookman Old Style"/>
          <w:lang w:val="es-ES_tradnl"/>
        </w:rPr>
      </w:pPr>
    </w:p>
    <w:p w:rsidR="00834DA6" w:rsidRPr="00834DA6" w:rsidRDefault="00834DA6" w:rsidP="00834DA6">
      <w:pPr>
        <w:ind w:left="0"/>
        <w:rPr>
          <w:rFonts w:ascii="Bookman Old Style" w:hAnsi="Bookman Old Style"/>
          <w:lang w:val="es-ES_tradnl"/>
        </w:rPr>
      </w:pPr>
      <w:r w:rsidRPr="00834DA6">
        <w:rPr>
          <w:rFonts w:ascii="Bookman Old Style" w:hAnsi="Bookman Old Style"/>
          <w:lang w:val="es-ES_tradnl"/>
        </w:rPr>
        <w:t>Notas.</w:t>
      </w:r>
    </w:p>
    <w:p w:rsidR="00834DA6" w:rsidRPr="00834DA6" w:rsidRDefault="00834DA6" w:rsidP="00834DA6">
      <w:pPr>
        <w:ind w:left="0"/>
        <w:rPr>
          <w:rFonts w:ascii="Bookman Old Style" w:hAnsi="Bookman Old Style"/>
          <w:sz w:val="20"/>
          <w:szCs w:val="22"/>
          <w:lang w:val="es-ES_tradnl"/>
        </w:rPr>
      </w:pPr>
    </w:p>
    <w:p w:rsidR="00834DA6" w:rsidRPr="00834DA6" w:rsidRDefault="00834DA6" w:rsidP="00834DA6">
      <w:pPr>
        <w:ind w:left="0"/>
        <w:jc w:val="both"/>
        <w:rPr>
          <w:rFonts w:ascii="Bookman Old Style" w:hAnsi="Bookman Old Style" w:cs="Arial"/>
          <w:sz w:val="22"/>
          <w:szCs w:val="22"/>
        </w:rPr>
      </w:pPr>
      <w:r w:rsidRPr="00834DA6">
        <w:rPr>
          <w:rFonts w:ascii="Bookman Old Style" w:hAnsi="Bookman Old Style" w:cs="Arial"/>
          <w:sz w:val="22"/>
          <w:szCs w:val="22"/>
        </w:rPr>
        <w:lastRenderedPageBreak/>
        <w:t>Grupo A. Considera las características definidas en las UC de tuberías establecidas en la Resolución CREG 011 de 2003. En este grupo se clasifican las UC de tuberías de la generalidad de los municipios del país.</w:t>
      </w:r>
    </w:p>
    <w:p w:rsidR="00834DA6" w:rsidRPr="00834DA6" w:rsidRDefault="00834DA6" w:rsidP="00834DA6">
      <w:pPr>
        <w:ind w:left="0"/>
        <w:jc w:val="both"/>
        <w:rPr>
          <w:rFonts w:ascii="Bookman Old Style" w:hAnsi="Bookman Old Style" w:cs="Arial"/>
          <w:sz w:val="22"/>
          <w:szCs w:val="22"/>
        </w:rPr>
      </w:pPr>
    </w:p>
    <w:p w:rsidR="00834DA6" w:rsidRPr="00834DA6" w:rsidRDefault="00834DA6" w:rsidP="00834DA6">
      <w:pPr>
        <w:ind w:left="0"/>
        <w:jc w:val="both"/>
        <w:rPr>
          <w:rFonts w:ascii="Bookman Old Style" w:hAnsi="Bookman Old Style" w:cs="Arial"/>
          <w:sz w:val="22"/>
          <w:szCs w:val="22"/>
        </w:rPr>
      </w:pPr>
      <w:r w:rsidRPr="00834DA6">
        <w:rPr>
          <w:rFonts w:ascii="Bookman Old Style" w:hAnsi="Bookman Old Style" w:cs="Arial"/>
          <w:sz w:val="22"/>
          <w:szCs w:val="22"/>
        </w:rPr>
        <w:t>Grupo B. Considera especificaciones técnicas exigidas en el municipio de R</w:t>
      </w:r>
      <w:r w:rsidR="0041355E">
        <w:rPr>
          <w:rFonts w:ascii="Bookman Old Style" w:hAnsi="Bookman Old Style" w:cs="Arial"/>
          <w:sz w:val="22"/>
          <w:szCs w:val="22"/>
        </w:rPr>
        <w:t>i</w:t>
      </w:r>
      <w:r w:rsidRPr="00834DA6">
        <w:rPr>
          <w:rFonts w:ascii="Bookman Old Style" w:hAnsi="Bookman Old Style" w:cs="Arial"/>
          <w:sz w:val="22"/>
          <w:szCs w:val="22"/>
        </w:rPr>
        <w:t>onegro en el departamento de Antioquia.</w:t>
      </w:r>
    </w:p>
    <w:p w:rsidR="00834DA6" w:rsidRPr="00834DA6" w:rsidRDefault="00834DA6" w:rsidP="00834DA6">
      <w:pPr>
        <w:ind w:left="0"/>
        <w:jc w:val="both"/>
        <w:rPr>
          <w:rFonts w:ascii="Bookman Old Style" w:hAnsi="Bookman Old Style" w:cs="Arial"/>
          <w:sz w:val="22"/>
          <w:szCs w:val="22"/>
        </w:rPr>
      </w:pPr>
    </w:p>
    <w:p w:rsidR="00834DA6" w:rsidRPr="00834DA6" w:rsidRDefault="00834DA6" w:rsidP="00834DA6">
      <w:pPr>
        <w:ind w:left="0"/>
        <w:jc w:val="both"/>
        <w:rPr>
          <w:rFonts w:ascii="Bookman Old Style" w:hAnsi="Bookman Old Style" w:cs="Arial"/>
          <w:sz w:val="22"/>
          <w:szCs w:val="22"/>
        </w:rPr>
      </w:pPr>
      <w:r w:rsidRPr="00834DA6">
        <w:rPr>
          <w:rFonts w:ascii="Bookman Old Style" w:hAnsi="Bookman Old Style" w:cs="Arial"/>
          <w:sz w:val="22"/>
          <w:szCs w:val="22"/>
        </w:rPr>
        <w:t>Grupo C. Considera especificaciones técnicas exigidas en el municipio de Floridablanca en el departamento de Santander.</w:t>
      </w:r>
    </w:p>
    <w:p w:rsidR="00834DA6" w:rsidRPr="00834DA6" w:rsidRDefault="00834DA6" w:rsidP="00834DA6">
      <w:pPr>
        <w:ind w:left="0"/>
        <w:jc w:val="both"/>
        <w:rPr>
          <w:rFonts w:ascii="Bookman Old Style" w:hAnsi="Bookman Old Style" w:cs="Arial"/>
          <w:sz w:val="22"/>
          <w:szCs w:val="22"/>
        </w:rPr>
      </w:pPr>
    </w:p>
    <w:p w:rsidR="00834DA6" w:rsidRPr="00834DA6" w:rsidRDefault="00834DA6" w:rsidP="00834DA6">
      <w:pPr>
        <w:ind w:left="0"/>
        <w:jc w:val="both"/>
        <w:rPr>
          <w:rFonts w:ascii="Bookman Old Style" w:hAnsi="Bookman Old Style" w:cs="Arial"/>
          <w:sz w:val="22"/>
          <w:szCs w:val="22"/>
        </w:rPr>
      </w:pPr>
      <w:r w:rsidRPr="00834DA6">
        <w:rPr>
          <w:rFonts w:ascii="Bookman Old Style" w:hAnsi="Bookman Old Style" w:cs="Arial"/>
          <w:sz w:val="22"/>
          <w:szCs w:val="22"/>
        </w:rPr>
        <w:t xml:space="preserve">Grupo D. Considera especificaciones técnicas exigidas en el Municipio de Santiago de Cali en el departamento del Valle del Cauca. </w:t>
      </w:r>
    </w:p>
    <w:p w:rsidR="00834DA6" w:rsidRPr="00834DA6" w:rsidRDefault="00834DA6" w:rsidP="00834DA6">
      <w:pPr>
        <w:ind w:left="0"/>
        <w:jc w:val="both"/>
        <w:rPr>
          <w:rFonts w:ascii="Bookman Old Style" w:hAnsi="Bookman Old Style" w:cs="Arial"/>
          <w:sz w:val="22"/>
          <w:szCs w:val="22"/>
        </w:rPr>
      </w:pPr>
    </w:p>
    <w:p w:rsidR="00834DA6" w:rsidRPr="00834DA6" w:rsidRDefault="00834DA6" w:rsidP="00834DA6">
      <w:pPr>
        <w:ind w:left="0"/>
        <w:jc w:val="both"/>
        <w:rPr>
          <w:rFonts w:ascii="Bookman Old Style" w:hAnsi="Bookman Old Style" w:cs="Arial"/>
          <w:sz w:val="22"/>
          <w:szCs w:val="22"/>
        </w:rPr>
      </w:pPr>
      <w:r w:rsidRPr="00834DA6">
        <w:rPr>
          <w:rFonts w:ascii="Bookman Old Style" w:hAnsi="Bookman Old Style" w:cs="Arial"/>
          <w:sz w:val="22"/>
          <w:szCs w:val="22"/>
        </w:rPr>
        <w:t>Grupo E. Considera especificaciones técnicas exigidas en los municipios que conforman el Valle de Aburrá en el departamento de Antioquia.</w:t>
      </w:r>
    </w:p>
    <w:p w:rsidR="00834DA6" w:rsidRPr="00834DA6" w:rsidRDefault="00834DA6" w:rsidP="00834DA6">
      <w:pPr>
        <w:ind w:left="0"/>
        <w:jc w:val="both"/>
        <w:rPr>
          <w:rFonts w:ascii="Bookman Old Style" w:hAnsi="Bookman Old Style" w:cs="Arial"/>
          <w:sz w:val="22"/>
          <w:szCs w:val="22"/>
        </w:rPr>
      </w:pPr>
    </w:p>
    <w:p w:rsidR="00834DA6" w:rsidRPr="00834DA6" w:rsidRDefault="00834DA6" w:rsidP="00834DA6">
      <w:pPr>
        <w:ind w:left="0"/>
        <w:jc w:val="both"/>
        <w:rPr>
          <w:lang w:val="es-ES_tradnl"/>
        </w:rPr>
      </w:pPr>
      <w:r w:rsidRPr="00834DA6">
        <w:rPr>
          <w:rFonts w:ascii="Bookman Old Style" w:hAnsi="Bookman Old Style" w:cs="Arial"/>
          <w:sz w:val="22"/>
          <w:szCs w:val="22"/>
        </w:rPr>
        <w:t>Grupo F. Considera especificaciones técnicas exigidas en el Distrito Capital de Bogotá.</w:t>
      </w:r>
      <w:r w:rsidRPr="00834DA6">
        <w:rPr>
          <w:lang w:val="es-ES_tradnl"/>
        </w:rPr>
        <w:br w:type="page"/>
      </w:r>
    </w:p>
    <w:p w:rsidR="00834DA6" w:rsidRPr="00834DA6" w:rsidRDefault="00834DA6" w:rsidP="00834DA6">
      <w:pPr>
        <w:ind w:left="0"/>
        <w:jc w:val="center"/>
        <w:rPr>
          <w:lang w:val="es-ES_tradnl"/>
        </w:rPr>
      </w:pPr>
      <w:r w:rsidRPr="00834DA6">
        <w:rPr>
          <w:noProof/>
          <w:lang w:val="es-CO" w:eastAsia="es-CO"/>
        </w:rPr>
        <w:lastRenderedPageBreak/>
        <w:drawing>
          <wp:inline distT="0" distB="0" distL="0" distR="0" wp14:anchorId="1CD4643E" wp14:editId="1B165FF0">
            <wp:extent cx="5514975" cy="7724775"/>
            <wp:effectExtent l="0" t="0" r="9525" b="9525"/>
            <wp:docPr id="33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14975" cy="7724775"/>
                    </a:xfrm>
                    <a:prstGeom prst="rect">
                      <a:avLst/>
                    </a:prstGeom>
                    <a:noFill/>
                    <a:ln>
                      <a:noFill/>
                    </a:ln>
                  </pic:spPr>
                </pic:pic>
              </a:graphicData>
            </a:graphic>
          </wp:inline>
        </w:drawing>
      </w:r>
    </w:p>
    <w:p w:rsidR="00834DA6" w:rsidRPr="00834DA6" w:rsidRDefault="00834DA6" w:rsidP="00834DA6">
      <w:pPr>
        <w:ind w:left="0"/>
      </w:pPr>
    </w:p>
    <w:p w:rsidR="00834DA6" w:rsidRPr="00834DA6" w:rsidRDefault="00834DA6" w:rsidP="00834DA6">
      <w:pPr>
        <w:ind w:left="0"/>
        <w:jc w:val="center"/>
      </w:pPr>
      <w:r w:rsidRPr="00834DA6">
        <w:rPr>
          <w:noProof/>
          <w:lang w:val="es-CO" w:eastAsia="es-CO"/>
        </w:rPr>
        <w:lastRenderedPageBreak/>
        <w:drawing>
          <wp:inline distT="0" distB="0" distL="0" distR="0" wp14:anchorId="446B439E" wp14:editId="620DDE89">
            <wp:extent cx="5553075" cy="5819775"/>
            <wp:effectExtent l="0" t="0" r="9525" b="9525"/>
            <wp:docPr id="33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553075" cy="5819775"/>
                    </a:xfrm>
                    <a:prstGeom prst="rect">
                      <a:avLst/>
                    </a:prstGeom>
                    <a:noFill/>
                    <a:ln>
                      <a:noFill/>
                    </a:ln>
                  </pic:spPr>
                </pic:pic>
              </a:graphicData>
            </a:graphic>
          </wp:inline>
        </w:drawing>
      </w:r>
    </w:p>
    <w:p w:rsidR="00834DA6" w:rsidRPr="00834DA6" w:rsidRDefault="00834DA6" w:rsidP="00834DA6">
      <w:pPr>
        <w:ind w:left="0"/>
      </w:pPr>
    </w:p>
    <w:p w:rsidR="00834DA6" w:rsidRPr="00834DA6" w:rsidRDefault="00834DA6" w:rsidP="00834DA6">
      <w:pPr>
        <w:ind w:left="0"/>
      </w:pPr>
    </w:p>
    <w:p w:rsidR="00834DA6" w:rsidRPr="00834DA6" w:rsidRDefault="00834DA6" w:rsidP="00834DA6">
      <w:pPr>
        <w:ind w:left="0"/>
      </w:pPr>
    </w:p>
    <w:p w:rsidR="00834DA6" w:rsidRPr="00834DA6" w:rsidRDefault="00834DA6" w:rsidP="00834DA6">
      <w:pPr>
        <w:ind w:left="0"/>
      </w:pPr>
    </w:p>
    <w:p w:rsidR="00834DA6" w:rsidRPr="00834DA6" w:rsidRDefault="00834DA6" w:rsidP="00834DA6">
      <w:pPr>
        <w:ind w:left="0"/>
      </w:pPr>
    </w:p>
    <w:tbl>
      <w:tblPr>
        <w:tblW w:w="9570" w:type="dxa"/>
        <w:jc w:val="right"/>
        <w:tblCellMar>
          <w:left w:w="70" w:type="dxa"/>
          <w:right w:w="70" w:type="dxa"/>
        </w:tblCellMar>
        <w:tblLook w:val="04A0" w:firstRow="1" w:lastRow="0" w:firstColumn="1" w:lastColumn="0" w:noHBand="0" w:noVBand="1"/>
      </w:tblPr>
      <w:tblGrid>
        <w:gridCol w:w="5031"/>
        <w:gridCol w:w="4539"/>
      </w:tblGrid>
      <w:tr w:rsidR="00834DA6" w:rsidRPr="00834DA6" w:rsidTr="00834DA6">
        <w:trPr>
          <w:jc w:val="right"/>
        </w:trPr>
        <w:tc>
          <w:tcPr>
            <w:tcW w:w="4875" w:type="dxa"/>
          </w:tcPr>
          <w:p w:rsidR="00834DA6" w:rsidRPr="00834DA6" w:rsidRDefault="00834DA6" w:rsidP="00834DA6">
            <w:pPr>
              <w:ind w:left="0"/>
              <w:jc w:val="center"/>
              <w:rPr>
                <w:rFonts w:ascii="Bookman Old Style" w:hAnsi="Bookman Old Style" w:cs="Arial"/>
                <w:b/>
                <w:spacing w:val="-3"/>
              </w:rPr>
            </w:pPr>
            <w:r>
              <w:rPr>
                <w:rFonts w:ascii="Bookman Old Style" w:hAnsi="Bookman Old Style" w:cs="Arial"/>
                <w:b/>
                <w:color w:val="000000"/>
              </w:rPr>
              <w:t>ORLANDO CABRALES SEGOVIA</w:t>
            </w:r>
          </w:p>
        </w:tc>
        <w:tc>
          <w:tcPr>
            <w:tcW w:w="4695" w:type="dxa"/>
          </w:tcPr>
          <w:p w:rsidR="00834DA6" w:rsidRPr="00834DA6" w:rsidRDefault="00834DA6" w:rsidP="00834DA6">
            <w:pPr>
              <w:ind w:left="161" w:right="567"/>
              <w:jc w:val="center"/>
              <w:rPr>
                <w:rFonts w:ascii="Bookman Old Style" w:hAnsi="Bookman Old Style" w:cs="Arial"/>
                <w:b/>
                <w:spacing w:val="-3"/>
                <w:lang w:val="es-ES_tradnl"/>
              </w:rPr>
            </w:pPr>
            <w:r w:rsidRPr="000B65DE">
              <w:rPr>
                <w:rFonts w:ascii="Bookman Old Style" w:hAnsi="Bookman Old Style" w:cs="Arial"/>
                <w:b/>
                <w:spacing w:val="-3"/>
                <w:lang w:val="es-ES_tradnl"/>
              </w:rPr>
              <w:t>GERMÁN CASTRO FERREIRA</w:t>
            </w:r>
          </w:p>
        </w:tc>
      </w:tr>
      <w:tr w:rsidR="00834DA6" w:rsidRPr="00834DA6" w:rsidTr="00834DA6">
        <w:trPr>
          <w:jc w:val="right"/>
        </w:trPr>
        <w:tc>
          <w:tcPr>
            <w:tcW w:w="4875" w:type="dxa"/>
            <w:hideMark/>
          </w:tcPr>
          <w:tbl>
            <w:tblPr>
              <w:tblW w:w="4891" w:type="dxa"/>
              <w:tblCellMar>
                <w:left w:w="0" w:type="dxa"/>
                <w:right w:w="0" w:type="dxa"/>
              </w:tblCellMar>
              <w:tblLook w:val="04A0" w:firstRow="1" w:lastRow="0" w:firstColumn="1" w:lastColumn="0" w:noHBand="0" w:noVBand="1"/>
            </w:tblPr>
            <w:tblGrid>
              <w:gridCol w:w="4891"/>
            </w:tblGrid>
            <w:tr w:rsidR="00834DA6" w:rsidTr="005543A8">
              <w:tc>
                <w:tcPr>
                  <w:tcW w:w="4891" w:type="dxa"/>
                  <w:hideMark/>
                </w:tcPr>
                <w:p w:rsidR="00834DA6" w:rsidRDefault="00834DA6" w:rsidP="00834DA6">
                  <w:pPr>
                    <w:snapToGrid w:val="0"/>
                    <w:ind w:left="0"/>
                    <w:jc w:val="center"/>
                    <w:rPr>
                      <w:rFonts w:ascii="Bookman Old Style" w:hAnsi="Bookman Old Style" w:cs="Arial"/>
                      <w:color w:val="000000"/>
                    </w:rPr>
                  </w:pPr>
                  <w:r>
                    <w:rPr>
                      <w:rFonts w:ascii="Bookman Old Style" w:hAnsi="Bookman Old Style" w:cs="Arial"/>
                      <w:color w:val="000000"/>
                    </w:rPr>
                    <w:t>Viceministro de Energía</w:t>
                  </w:r>
                </w:p>
                <w:p w:rsidR="00834DA6" w:rsidRDefault="00834DA6" w:rsidP="009D40B8">
                  <w:pPr>
                    <w:snapToGrid w:val="0"/>
                    <w:ind w:left="0"/>
                    <w:jc w:val="center"/>
                    <w:rPr>
                      <w:rFonts w:ascii="Bookman Old Style" w:hAnsi="Bookman Old Style" w:cs="Arial"/>
                      <w:color w:val="000000"/>
                    </w:rPr>
                  </w:pPr>
                  <w:r>
                    <w:rPr>
                      <w:rFonts w:ascii="Bookman Old Style" w:hAnsi="Bookman Old Style" w:cs="Arial"/>
                      <w:color w:val="000000"/>
                    </w:rPr>
                    <w:t>Delegado del Ministro de Minas y Energía</w:t>
                  </w:r>
                </w:p>
              </w:tc>
            </w:tr>
            <w:tr w:rsidR="00834DA6" w:rsidTr="005543A8">
              <w:tc>
                <w:tcPr>
                  <w:tcW w:w="4891" w:type="dxa"/>
                  <w:hideMark/>
                </w:tcPr>
                <w:p w:rsidR="00834DA6" w:rsidRDefault="00834DA6" w:rsidP="00834DA6">
                  <w:pPr>
                    <w:snapToGrid w:val="0"/>
                    <w:ind w:left="0"/>
                    <w:jc w:val="center"/>
                    <w:rPr>
                      <w:rFonts w:ascii="Bookman Old Style" w:hAnsi="Bookman Old Style" w:cs="Arial"/>
                      <w:color w:val="000000"/>
                    </w:rPr>
                  </w:pPr>
                  <w:r>
                    <w:rPr>
                      <w:rFonts w:ascii="Bookman Old Style" w:hAnsi="Bookman Old Style" w:cs="Arial"/>
                      <w:color w:val="000000"/>
                    </w:rPr>
                    <w:t>Presidente</w:t>
                  </w:r>
                </w:p>
              </w:tc>
            </w:tr>
          </w:tbl>
          <w:p w:rsidR="00834DA6" w:rsidRPr="00834DA6" w:rsidRDefault="00834DA6" w:rsidP="00834DA6">
            <w:pPr>
              <w:ind w:left="0"/>
              <w:jc w:val="center"/>
              <w:rPr>
                <w:rFonts w:ascii="Bookman Old Style" w:hAnsi="Bookman Old Style" w:cs="Arial"/>
                <w:spacing w:val="-3"/>
                <w:lang w:val="es-ES_tradnl"/>
              </w:rPr>
            </w:pPr>
          </w:p>
        </w:tc>
        <w:tc>
          <w:tcPr>
            <w:tcW w:w="4695" w:type="dxa"/>
            <w:hideMark/>
          </w:tcPr>
          <w:p w:rsidR="00834DA6" w:rsidRPr="00834DA6" w:rsidRDefault="00834DA6" w:rsidP="00881242">
            <w:pPr>
              <w:ind w:left="0" w:firstLine="5"/>
              <w:jc w:val="center"/>
              <w:rPr>
                <w:rFonts w:ascii="Bookman Old Style" w:hAnsi="Bookman Old Style" w:cs="Arial"/>
                <w:spacing w:val="-3"/>
                <w:lang w:val="es-ES_tradnl"/>
              </w:rPr>
            </w:pPr>
            <w:r w:rsidRPr="000B65DE">
              <w:rPr>
                <w:rFonts w:ascii="Bookman Old Style" w:hAnsi="Bookman Old Style" w:cs="Arial"/>
                <w:spacing w:val="-3"/>
                <w:lang w:val="es-ES_tradnl"/>
              </w:rPr>
              <w:t>Director Ejecutivo</w:t>
            </w:r>
          </w:p>
        </w:tc>
      </w:tr>
      <w:tr w:rsidR="00834DA6" w:rsidRPr="00834DA6" w:rsidTr="00834DA6">
        <w:trPr>
          <w:jc w:val="right"/>
        </w:trPr>
        <w:tc>
          <w:tcPr>
            <w:tcW w:w="4875" w:type="dxa"/>
          </w:tcPr>
          <w:p w:rsidR="00834DA6" w:rsidRPr="00834DA6" w:rsidRDefault="00834DA6" w:rsidP="00834DA6">
            <w:pPr>
              <w:rPr>
                <w:rFonts w:ascii="Bookman Old Style" w:hAnsi="Bookman Old Style" w:cs="Arial"/>
                <w:spacing w:val="-3"/>
              </w:rPr>
            </w:pPr>
          </w:p>
        </w:tc>
        <w:tc>
          <w:tcPr>
            <w:tcW w:w="4695" w:type="dxa"/>
          </w:tcPr>
          <w:p w:rsidR="00834DA6" w:rsidRPr="00834DA6" w:rsidRDefault="00834DA6" w:rsidP="00834DA6">
            <w:pPr>
              <w:rPr>
                <w:rFonts w:ascii="Bookman Old Style" w:hAnsi="Bookman Old Style" w:cs="Arial"/>
                <w:spacing w:val="-3"/>
              </w:rPr>
            </w:pPr>
          </w:p>
        </w:tc>
      </w:tr>
    </w:tbl>
    <w:p w:rsidR="00834DA6" w:rsidRPr="00834DA6" w:rsidRDefault="00834DA6" w:rsidP="00834DA6">
      <w:pPr>
        <w:ind w:left="0"/>
      </w:pPr>
    </w:p>
    <w:p w:rsidR="00834DA6" w:rsidRPr="00834DA6" w:rsidRDefault="00834DA6" w:rsidP="00834DA6">
      <w:pPr>
        <w:ind w:left="0"/>
      </w:pPr>
      <w:r w:rsidRPr="00834DA6">
        <w:br w:type="page"/>
      </w:r>
    </w:p>
    <w:p w:rsidR="00834DA6" w:rsidRDefault="00834DA6">
      <w:pPr>
        <w:ind w:left="0"/>
        <w:rPr>
          <w:lang w:val="es-ES_tradnl"/>
        </w:rPr>
      </w:pPr>
    </w:p>
    <w:p w:rsidR="00650B30" w:rsidRPr="000B65DE" w:rsidRDefault="00650B30" w:rsidP="00D1583F">
      <w:pPr>
        <w:rPr>
          <w:lang w:val="es-ES_tradnl"/>
        </w:rPr>
      </w:pPr>
    </w:p>
    <w:p w:rsidR="000B65DE" w:rsidRPr="000B65DE" w:rsidRDefault="000B65DE" w:rsidP="008F4D9F">
      <w:pPr>
        <w:numPr>
          <w:ilvl w:val="0"/>
          <w:numId w:val="14"/>
        </w:numPr>
        <w:jc w:val="center"/>
        <w:outlineLvl w:val="0"/>
        <w:rPr>
          <w:rFonts w:ascii="Bookman Old Style" w:hAnsi="Bookman Old Style"/>
          <w:b/>
          <w:lang w:val="es-ES_tradnl"/>
        </w:rPr>
      </w:pPr>
      <w:bookmarkStart w:id="49" w:name="_Ref320543022"/>
    </w:p>
    <w:bookmarkEnd w:id="49"/>
    <w:p w:rsidR="000B65DE" w:rsidRPr="000B65DE" w:rsidRDefault="000B65DE" w:rsidP="000B65DE">
      <w:pPr>
        <w:ind w:left="0" w:right="709"/>
        <w:jc w:val="center"/>
        <w:outlineLvl w:val="0"/>
        <w:rPr>
          <w:rFonts w:ascii="Bookman Old Style" w:hAnsi="Bookman Old Style"/>
          <w:b/>
          <w:lang w:val="es-ES_tradnl"/>
        </w:rPr>
      </w:pPr>
      <w:r w:rsidRPr="00795BDC">
        <w:rPr>
          <w:rFonts w:ascii="Bookman Old Style" w:hAnsi="Bookman Old Style"/>
          <w:b/>
          <w:lang w:val="es-ES_tradnl"/>
        </w:rPr>
        <w:t>OTROS ACTIVOS</w:t>
      </w:r>
    </w:p>
    <w:p w:rsidR="00B76CE3" w:rsidRDefault="00B76CE3" w:rsidP="00B76CE3">
      <w:pPr>
        <w:ind w:left="0"/>
        <w:jc w:val="both"/>
        <w:rPr>
          <w:rFonts w:ascii="Bookman Old Style" w:hAnsi="Bookman Old Style" w:cs="Helv"/>
          <w:color w:val="000000"/>
          <w:lang w:val="es-CO" w:eastAsia="es-CO"/>
        </w:rPr>
      </w:pPr>
    </w:p>
    <w:p w:rsidR="00B76CE3" w:rsidRPr="000B65DE" w:rsidRDefault="00B76CE3" w:rsidP="00B76CE3">
      <w:pPr>
        <w:ind w:left="0"/>
        <w:jc w:val="both"/>
        <w:rPr>
          <w:rFonts w:ascii="Bookman Old Style" w:hAnsi="Bookman Old Style"/>
          <w:lang w:val="es-CO"/>
        </w:rPr>
      </w:pPr>
      <w:r>
        <w:rPr>
          <w:rFonts w:ascii="Bookman Old Style" w:hAnsi="Bookman Old Style" w:cs="Helv"/>
          <w:color w:val="000000"/>
          <w:lang w:val="es-CO" w:eastAsia="es-CO"/>
        </w:rPr>
        <w:t xml:space="preserve">Los </w:t>
      </w:r>
      <w:r w:rsidRPr="000B65DE">
        <w:rPr>
          <w:rFonts w:ascii="Bookman Old Style" w:hAnsi="Bookman Old Style" w:cs="Helv"/>
          <w:color w:val="000000"/>
          <w:lang w:val="es-CO" w:eastAsia="es-CO"/>
        </w:rPr>
        <w:t>porcentaje</w:t>
      </w:r>
      <w:r>
        <w:rPr>
          <w:rFonts w:ascii="Bookman Old Style" w:hAnsi="Bookman Old Style" w:cs="Helv"/>
          <w:color w:val="000000"/>
          <w:lang w:val="es-CO" w:eastAsia="es-CO"/>
        </w:rPr>
        <w:t>s</w:t>
      </w:r>
      <w:r w:rsidRPr="000B65DE">
        <w:rPr>
          <w:rFonts w:ascii="Bookman Old Style" w:hAnsi="Bookman Old Style" w:cs="Helv"/>
          <w:color w:val="000000"/>
          <w:lang w:val="es-CO" w:eastAsia="es-CO"/>
        </w:rPr>
        <w:t xml:space="preserve"> </w:t>
      </w:r>
      <w:r>
        <w:rPr>
          <w:rFonts w:ascii="Bookman Old Style" w:hAnsi="Bookman Old Style" w:cs="Helv"/>
          <w:color w:val="000000"/>
          <w:lang w:val="es-CO" w:eastAsia="es-CO"/>
        </w:rPr>
        <w:t>de Otros Activos eficientes que se</w:t>
      </w:r>
      <w:r w:rsidRPr="000B65DE">
        <w:rPr>
          <w:rFonts w:ascii="Bookman Old Style" w:hAnsi="Bookman Old Style" w:cs="Helv"/>
          <w:color w:val="000000"/>
          <w:lang w:val="es-CO" w:eastAsia="es-CO"/>
        </w:rPr>
        <w:t xml:space="preserve"> reconocer</w:t>
      </w:r>
      <w:r>
        <w:rPr>
          <w:rFonts w:ascii="Bookman Old Style" w:hAnsi="Bookman Old Style" w:cs="Helv"/>
          <w:color w:val="000000"/>
          <w:lang w:val="es-CO" w:eastAsia="es-CO"/>
        </w:rPr>
        <w:t>án durante el próximo periodo tarifario</w:t>
      </w:r>
      <w:r w:rsidRPr="000B65DE">
        <w:rPr>
          <w:rFonts w:ascii="Bookman Old Style" w:hAnsi="Bookman Old Style" w:cs="Helv"/>
          <w:color w:val="000000"/>
          <w:lang w:val="es-CO" w:eastAsia="es-CO"/>
        </w:rPr>
        <w:t xml:space="preserve"> por concepto de Otros Activos, se </w:t>
      </w:r>
      <w:r>
        <w:rPr>
          <w:rFonts w:ascii="Bookman Old Style" w:hAnsi="Bookman Old Style" w:cs="Helv"/>
          <w:color w:val="000000"/>
          <w:lang w:val="es-CO" w:eastAsia="es-CO"/>
        </w:rPr>
        <w:t>determinarán a través de</w:t>
      </w:r>
      <w:r w:rsidR="00357C9C">
        <w:rPr>
          <w:rFonts w:ascii="Bookman Old Style" w:hAnsi="Bookman Old Style" w:cs="Helv"/>
          <w:color w:val="000000"/>
          <w:lang w:val="es-CO" w:eastAsia="es-CO"/>
        </w:rPr>
        <w:t xml:space="preserve"> un</w:t>
      </w:r>
      <w:r>
        <w:rPr>
          <w:rFonts w:ascii="Bookman Old Style" w:hAnsi="Bookman Old Style" w:cs="Helv"/>
          <w:color w:val="000000"/>
          <w:lang w:val="es-CO" w:eastAsia="es-CO"/>
        </w:rPr>
        <w:t xml:space="preserve"> modelo de Frontera Estocástica. De acuerdo con estos se </w:t>
      </w:r>
      <w:r w:rsidRPr="000B65DE">
        <w:rPr>
          <w:rFonts w:ascii="Bookman Old Style" w:hAnsi="Bookman Old Style" w:cs="Helv"/>
          <w:color w:val="000000"/>
          <w:lang w:val="es-CO" w:eastAsia="es-CO"/>
        </w:rPr>
        <w:t>tomará el porcentaje calculado y se aplicará conforme a lo establecido en el</w:t>
      </w:r>
      <w:r w:rsidR="00883245">
        <w:rPr>
          <w:rFonts w:ascii="Bookman Old Style" w:hAnsi="Bookman Old Style" w:cs="Helv"/>
          <w:color w:val="000000"/>
          <w:lang w:val="es-CO" w:eastAsia="es-CO"/>
        </w:rPr>
        <w:t xml:space="preserve"> </w:t>
      </w:r>
      <w:r w:rsidR="0041355E">
        <w:rPr>
          <w:rFonts w:ascii="Bookman Old Style" w:hAnsi="Bookman Old Style" w:cs="Helv"/>
          <w:color w:val="000000"/>
          <w:lang w:val="es-CO" w:eastAsia="es-CO"/>
        </w:rPr>
        <w:t xml:space="preserve">literal b) del </w:t>
      </w:r>
      <w:r w:rsidR="00883245">
        <w:rPr>
          <w:rFonts w:ascii="Bookman Old Style" w:hAnsi="Bookman Old Style" w:cs="Helv"/>
          <w:color w:val="000000"/>
          <w:lang w:val="es-CO" w:eastAsia="es-CO"/>
        </w:rPr>
        <w:t xml:space="preserve">numeral </w:t>
      </w:r>
      <w:r w:rsidR="00883245">
        <w:rPr>
          <w:rFonts w:ascii="Bookman Old Style" w:hAnsi="Bookman Old Style" w:cs="Helv"/>
          <w:color w:val="000000"/>
          <w:lang w:val="es-CO" w:eastAsia="es-CO"/>
        </w:rPr>
        <w:fldChar w:fldCharType="begin"/>
      </w:r>
      <w:r w:rsidR="00883245">
        <w:rPr>
          <w:rFonts w:ascii="Bookman Old Style" w:hAnsi="Bookman Old Style" w:cs="Helv"/>
          <w:color w:val="000000"/>
          <w:lang w:val="es-CO" w:eastAsia="es-CO"/>
        </w:rPr>
        <w:instrText xml:space="preserve"> REF _Ref375545126 \r \h </w:instrText>
      </w:r>
      <w:r w:rsidR="00883245">
        <w:rPr>
          <w:rFonts w:ascii="Bookman Old Style" w:hAnsi="Bookman Old Style" w:cs="Helv"/>
          <w:color w:val="000000"/>
          <w:lang w:val="es-CO" w:eastAsia="es-CO"/>
        </w:rPr>
      </w:r>
      <w:r w:rsidR="00883245">
        <w:rPr>
          <w:rFonts w:ascii="Bookman Old Style" w:hAnsi="Bookman Old Style" w:cs="Helv"/>
          <w:color w:val="000000"/>
          <w:lang w:val="es-CO" w:eastAsia="es-CO"/>
        </w:rPr>
        <w:fldChar w:fldCharType="separate"/>
      </w:r>
      <w:r w:rsidR="004D5C18">
        <w:rPr>
          <w:rFonts w:ascii="Bookman Old Style" w:hAnsi="Bookman Old Style" w:cs="Helv"/>
          <w:color w:val="000000"/>
          <w:lang w:val="es-CO" w:eastAsia="es-CO"/>
        </w:rPr>
        <w:t>9.4</w:t>
      </w:r>
      <w:r w:rsidR="00883245">
        <w:rPr>
          <w:rFonts w:ascii="Bookman Old Style" w:hAnsi="Bookman Old Style" w:cs="Helv"/>
          <w:color w:val="000000"/>
          <w:lang w:val="es-CO" w:eastAsia="es-CO"/>
        </w:rPr>
        <w:fldChar w:fldCharType="end"/>
      </w:r>
      <w:r w:rsidRPr="000B65DE">
        <w:rPr>
          <w:rFonts w:ascii="Bookman Old Style" w:hAnsi="Bookman Old Style" w:cs="Helv"/>
          <w:color w:val="000000"/>
          <w:lang w:val="es-CO" w:eastAsia="es-CO"/>
        </w:rPr>
        <w:t xml:space="preserve"> </w:t>
      </w:r>
      <w:r w:rsidR="0041355E">
        <w:rPr>
          <w:rFonts w:ascii="Bookman Old Style" w:hAnsi="Bookman Old Style" w:cs="Helv"/>
          <w:color w:val="000000"/>
          <w:lang w:val="es-CO" w:eastAsia="es-CO"/>
        </w:rPr>
        <w:t>del artículo 9 d</w:t>
      </w:r>
      <w:r w:rsidRPr="000B65DE">
        <w:rPr>
          <w:rFonts w:ascii="Bookman Old Style" w:hAnsi="Bookman Old Style" w:cs="Helv"/>
          <w:color w:val="000000"/>
          <w:lang w:val="es-CO" w:eastAsia="es-CO"/>
        </w:rPr>
        <w:t xml:space="preserve">e </w:t>
      </w:r>
      <w:r w:rsidR="0041355E">
        <w:rPr>
          <w:rFonts w:ascii="Bookman Old Style" w:hAnsi="Bookman Old Style" w:cs="Helv"/>
          <w:color w:val="000000"/>
          <w:lang w:val="es-CO" w:eastAsia="es-CO"/>
        </w:rPr>
        <w:t>la presente re</w:t>
      </w:r>
      <w:r w:rsidRPr="000B65DE">
        <w:rPr>
          <w:rFonts w:ascii="Bookman Old Style" w:hAnsi="Bookman Old Style" w:cs="Helv"/>
          <w:color w:val="000000"/>
          <w:lang w:val="es-CO" w:eastAsia="es-CO"/>
        </w:rPr>
        <w:t>solución.</w:t>
      </w:r>
    </w:p>
    <w:p w:rsidR="00357C9C" w:rsidRDefault="00357C9C" w:rsidP="00B76CE3">
      <w:pPr>
        <w:ind w:left="0"/>
        <w:jc w:val="both"/>
        <w:rPr>
          <w:rFonts w:ascii="Arial" w:hAnsi="Arial" w:cs="Arial"/>
          <w:sz w:val="22"/>
          <w:szCs w:val="22"/>
          <w:lang w:val="es-CO"/>
        </w:rPr>
      </w:pPr>
    </w:p>
    <w:p w:rsidR="00357C9C" w:rsidRDefault="00357C9C" w:rsidP="00B76CE3">
      <w:pPr>
        <w:ind w:left="0"/>
        <w:jc w:val="both"/>
        <w:rPr>
          <w:rFonts w:ascii="Arial" w:hAnsi="Arial" w:cs="Arial"/>
          <w:sz w:val="22"/>
          <w:szCs w:val="22"/>
          <w:lang w:val="es-CO"/>
        </w:rPr>
      </w:pPr>
    </w:p>
    <w:p w:rsidR="000B65DE" w:rsidRPr="000B65DE" w:rsidRDefault="000B65DE" w:rsidP="00357C9C">
      <w:pPr>
        <w:ind w:hanging="567"/>
        <w:jc w:val="both"/>
        <w:rPr>
          <w:rFonts w:ascii="Bookman Old Style" w:hAnsi="Bookman Old Style" w:cs="Arial"/>
          <w:b/>
          <w:lang w:val="es-ES_tradnl" w:eastAsia="es-CO"/>
        </w:rPr>
      </w:pPr>
      <w:r w:rsidRPr="000B65DE">
        <w:rPr>
          <w:rFonts w:ascii="Bookman Old Style" w:hAnsi="Bookman Old Style" w:cs="Arial"/>
          <w:b/>
          <w:lang w:val="es-ES_tradnl" w:eastAsia="es-CO"/>
        </w:rPr>
        <w:t>9.1. Porcentaje de Otros activos para Mercados Relevantes de Distribución para el Siguiente Período Tarifario conformados a partir de Mercados Existentes o Agregación de Mercados Existentes de Distribución</w:t>
      </w:r>
      <w:r w:rsidR="00930945">
        <w:rPr>
          <w:rFonts w:ascii="Bookman Old Style" w:hAnsi="Bookman Old Style" w:cs="Arial"/>
          <w:b/>
          <w:lang w:val="es-ES_tradnl" w:eastAsia="es-CO"/>
        </w:rPr>
        <w:t xml:space="preserve"> de Periodos Tarifarios Concluidos</w:t>
      </w:r>
      <w:r w:rsidRPr="000B65DE">
        <w:rPr>
          <w:rFonts w:ascii="Bookman Old Style" w:hAnsi="Bookman Old Style" w:cs="Arial"/>
          <w:b/>
          <w:lang w:val="es-ES_tradnl" w:eastAsia="es-CO"/>
        </w:rPr>
        <w:t>.</w:t>
      </w:r>
      <w:r w:rsidRPr="000B65DE" w:rsidDel="00302229">
        <w:rPr>
          <w:rFonts w:ascii="Bookman Old Style" w:hAnsi="Bookman Old Style" w:cs="Arial"/>
          <w:b/>
          <w:lang w:val="es-ES_tradnl" w:eastAsia="es-CO"/>
        </w:rPr>
        <w:t xml:space="preserve"> </w:t>
      </w:r>
    </w:p>
    <w:p w:rsidR="000B65DE" w:rsidRPr="000B65DE" w:rsidRDefault="000B65DE" w:rsidP="000B65DE">
      <w:pPr>
        <w:ind w:left="0"/>
        <w:jc w:val="both"/>
        <w:rPr>
          <w:rFonts w:ascii="Bookman Old Style" w:hAnsi="Bookman Old Style" w:cs="Arial"/>
          <w:b/>
          <w:lang w:val="es-ES_tradnl" w:eastAsia="es-CO"/>
        </w:rPr>
      </w:pPr>
    </w:p>
    <w:p w:rsidR="00B76CE3" w:rsidRDefault="00CA0643" w:rsidP="00B76CE3">
      <w:pPr>
        <w:ind w:left="0"/>
        <w:jc w:val="both"/>
        <w:rPr>
          <w:rFonts w:ascii="Bookman Old Style" w:hAnsi="Bookman Old Style"/>
        </w:rPr>
      </w:pPr>
      <w:r>
        <w:rPr>
          <w:rFonts w:ascii="Bookman Old Style" w:hAnsi="Bookman Old Style"/>
        </w:rPr>
        <w:t xml:space="preserve">Para determinar los porcentajes de Otros Activos a reconocer por Mercado Relevante de Distribución las empresas deberán enviar </w:t>
      </w:r>
      <w:r w:rsidR="005F085E">
        <w:rPr>
          <w:rFonts w:ascii="Bookman Old Style" w:hAnsi="Bookman Old Style"/>
        </w:rPr>
        <w:t xml:space="preserve">al mes siguiente de la entrada en vigencia de esta resolución, </w:t>
      </w:r>
      <w:r>
        <w:rPr>
          <w:rFonts w:ascii="Bookman Old Style" w:hAnsi="Bookman Old Style"/>
        </w:rPr>
        <w:t xml:space="preserve">la información correspondiente </w:t>
      </w:r>
      <w:r w:rsidR="00B76CE3">
        <w:rPr>
          <w:rFonts w:ascii="Bookman Old Style" w:hAnsi="Bookman Old Style"/>
        </w:rPr>
        <w:t>a</w:t>
      </w:r>
      <w:r w:rsidR="00B76CE3" w:rsidRPr="00B76CE3">
        <w:rPr>
          <w:rFonts w:ascii="Bookman Old Style" w:hAnsi="Bookman Old Style"/>
        </w:rPr>
        <w:t xml:space="preserve"> activos y otros activos</w:t>
      </w:r>
      <w:r w:rsidR="006F177A">
        <w:rPr>
          <w:rFonts w:ascii="Bookman Old Style" w:hAnsi="Bookman Old Style"/>
        </w:rPr>
        <w:t xml:space="preserve"> según</w:t>
      </w:r>
      <w:r w:rsidR="00B76CE3" w:rsidRPr="00B76CE3">
        <w:rPr>
          <w:rFonts w:ascii="Bookman Old Style" w:hAnsi="Bookman Old Style"/>
        </w:rPr>
        <w:t xml:space="preserve"> las cuentas que se </w:t>
      </w:r>
      <w:r w:rsidR="006F177A">
        <w:rPr>
          <w:rFonts w:ascii="Bookman Old Style" w:hAnsi="Bookman Old Style"/>
        </w:rPr>
        <w:t>describen a continuación. Esta información deberá ser reportada para los años 2010, 2011 y 2012.</w:t>
      </w:r>
    </w:p>
    <w:p w:rsidR="00357C9C" w:rsidRDefault="00357C9C" w:rsidP="00B76CE3">
      <w:pPr>
        <w:ind w:left="0"/>
        <w:jc w:val="both"/>
        <w:rPr>
          <w:rFonts w:ascii="Bookman Old Style" w:hAnsi="Bookman Old Style"/>
        </w:rPr>
      </w:pPr>
    </w:p>
    <w:p w:rsidR="00B76CE3" w:rsidRPr="00B76CE3" w:rsidRDefault="00B76CE3" w:rsidP="00B76CE3">
      <w:pPr>
        <w:ind w:left="0"/>
        <w:jc w:val="both"/>
        <w:rPr>
          <w:rFonts w:ascii="Arial" w:hAnsi="Arial" w:cs="Arial"/>
          <w:sz w:val="22"/>
          <w:szCs w:val="22"/>
          <w:lang w:val="es-CO"/>
        </w:rPr>
      </w:pPr>
    </w:p>
    <w:tbl>
      <w:tblPr>
        <w:tblW w:w="7000" w:type="dxa"/>
        <w:jc w:val="center"/>
        <w:tblInd w:w="55" w:type="dxa"/>
        <w:tblCellMar>
          <w:left w:w="70" w:type="dxa"/>
          <w:right w:w="70" w:type="dxa"/>
        </w:tblCellMar>
        <w:tblLook w:val="04A0" w:firstRow="1" w:lastRow="0" w:firstColumn="1" w:lastColumn="0" w:noHBand="0" w:noVBand="1"/>
      </w:tblPr>
      <w:tblGrid>
        <w:gridCol w:w="1200"/>
        <w:gridCol w:w="5800"/>
      </w:tblGrid>
      <w:tr w:rsidR="00B76CE3" w:rsidRPr="00B76CE3" w:rsidTr="00B76CE3">
        <w:trPr>
          <w:trHeight w:val="315"/>
          <w:jc w:val="center"/>
        </w:trPr>
        <w:tc>
          <w:tcPr>
            <w:tcW w:w="1200" w:type="dxa"/>
            <w:tcBorders>
              <w:top w:val="single" w:sz="8" w:space="0" w:color="auto"/>
              <w:left w:val="single" w:sz="8" w:space="0" w:color="auto"/>
              <w:bottom w:val="single" w:sz="8" w:space="0" w:color="auto"/>
              <w:right w:val="single" w:sz="4" w:space="0" w:color="auto"/>
            </w:tcBorders>
            <w:shd w:val="pct20" w:color="auto" w:fill="auto"/>
            <w:noWrap/>
            <w:vAlign w:val="bottom"/>
            <w:hideMark/>
          </w:tcPr>
          <w:p w:rsidR="00B76CE3" w:rsidRPr="00B76CE3" w:rsidRDefault="00B76CE3" w:rsidP="00B76CE3">
            <w:pPr>
              <w:spacing w:line="276" w:lineRule="auto"/>
              <w:ind w:left="0"/>
              <w:jc w:val="center"/>
              <w:rPr>
                <w:rFonts w:ascii="Bookman Old Style" w:hAnsi="Bookman Old Style" w:cs="Arial"/>
                <w:b/>
                <w:bCs/>
                <w:sz w:val="22"/>
                <w:szCs w:val="22"/>
                <w:lang w:val="es-CO" w:eastAsia="es-CO"/>
              </w:rPr>
            </w:pPr>
            <w:r w:rsidRPr="00B76CE3">
              <w:rPr>
                <w:rFonts w:ascii="Bookman Old Style" w:hAnsi="Bookman Old Style" w:cs="Arial"/>
                <w:b/>
                <w:bCs/>
                <w:sz w:val="22"/>
                <w:szCs w:val="22"/>
                <w:lang w:val="es-CO" w:eastAsia="es-CO"/>
              </w:rPr>
              <w:t>CUENTA</w:t>
            </w:r>
          </w:p>
        </w:tc>
        <w:tc>
          <w:tcPr>
            <w:tcW w:w="5800" w:type="dxa"/>
            <w:tcBorders>
              <w:top w:val="single" w:sz="8" w:space="0" w:color="auto"/>
              <w:left w:val="nil"/>
              <w:bottom w:val="single" w:sz="8" w:space="0" w:color="auto"/>
              <w:right w:val="single" w:sz="8" w:space="0" w:color="auto"/>
            </w:tcBorders>
            <w:shd w:val="pct20" w:color="auto" w:fill="auto"/>
            <w:noWrap/>
            <w:vAlign w:val="bottom"/>
            <w:hideMark/>
          </w:tcPr>
          <w:p w:rsidR="00B76CE3" w:rsidRPr="00B76CE3" w:rsidRDefault="00B76CE3" w:rsidP="00B76CE3">
            <w:pPr>
              <w:spacing w:line="276" w:lineRule="auto"/>
              <w:ind w:left="0"/>
              <w:jc w:val="center"/>
              <w:rPr>
                <w:rFonts w:ascii="Bookman Old Style" w:hAnsi="Bookman Old Style" w:cs="Arial"/>
                <w:b/>
                <w:bCs/>
                <w:sz w:val="22"/>
                <w:szCs w:val="22"/>
                <w:lang w:val="es-CO" w:eastAsia="es-CO"/>
              </w:rPr>
            </w:pPr>
            <w:r w:rsidRPr="00B76CE3">
              <w:rPr>
                <w:rFonts w:ascii="Bookman Old Style" w:hAnsi="Bookman Old Style" w:cs="Arial"/>
                <w:b/>
                <w:bCs/>
                <w:sz w:val="22"/>
                <w:szCs w:val="22"/>
                <w:lang w:val="es-CO" w:eastAsia="es-CO"/>
              </w:rPr>
              <w:t>OTROS ACTIVOS</w:t>
            </w:r>
          </w:p>
        </w:tc>
      </w:tr>
      <w:tr w:rsidR="00B76CE3" w:rsidRPr="00B76CE3" w:rsidTr="00B76CE3">
        <w:trPr>
          <w:trHeight w:val="285"/>
          <w:jc w:val="center"/>
        </w:trPr>
        <w:tc>
          <w:tcPr>
            <w:tcW w:w="1200" w:type="dxa"/>
            <w:tcBorders>
              <w:top w:val="nil"/>
              <w:left w:val="single" w:sz="8" w:space="0" w:color="auto"/>
              <w:bottom w:val="single" w:sz="4" w:space="0" w:color="auto"/>
              <w:right w:val="single" w:sz="4" w:space="0" w:color="auto"/>
            </w:tcBorders>
            <w:noWrap/>
            <w:vAlign w:val="center"/>
            <w:hideMark/>
          </w:tcPr>
          <w:p w:rsidR="00B76CE3" w:rsidRPr="00B76CE3" w:rsidRDefault="00B76CE3" w:rsidP="00B76CE3">
            <w:pPr>
              <w:spacing w:line="276" w:lineRule="auto"/>
              <w:ind w:left="0"/>
              <w:jc w:val="center"/>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1630</w:t>
            </w:r>
          </w:p>
        </w:tc>
        <w:tc>
          <w:tcPr>
            <w:tcW w:w="5800" w:type="dxa"/>
            <w:tcBorders>
              <w:top w:val="nil"/>
              <w:left w:val="nil"/>
              <w:bottom w:val="single" w:sz="4" w:space="0" w:color="auto"/>
              <w:right w:val="single" w:sz="8" w:space="0" w:color="auto"/>
            </w:tcBorders>
            <w:noWrap/>
            <w:vAlign w:val="center"/>
            <w:hideMark/>
          </w:tcPr>
          <w:p w:rsidR="00B76CE3" w:rsidRPr="00B76CE3" w:rsidRDefault="00B76CE3" w:rsidP="00B76CE3">
            <w:pPr>
              <w:spacing w:line="276" w:lineRule="auto"/>
              <w:ind w:left="0"/>
              <w:jc w:val="both"/>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Equipos y materiales en depósito</w:t>
            </w:r>
          </w:p>
        </w:tc>
      </w:tr>
      <w:tr w:rsidR="00B76CE3" w:rsidRPr="00B76CE3" w:rsidTr="00B76CE3">
        <w:trPr>
          <w:trHeight w:val="285"/>
          <w:jc w:val="center"/>
        </w:trPr>
        <w:tc>
          <w:tcPr>
            <w:tcW w:w="1200" w:type="dxa"/>
            <w:tcBorders>
              <w:top w:val="nil"/>
              <w:left w:val="single" w:sz="8" w:space="0" w:color="auto"/>
              <w:bottom w:val="single" w:sz="4" w:space="0" w:color="auto"/>
              <w:right w:val="single" w:sz="4" w:space="0" w:color="auto"/>
            </w:tcBorders>
            <w:noWrap/>
            <w:vAlign w:val="center"/>
            <w:hideMark/>
          </w:tcPr>
          <w:p w:rsidR="00B76CE3" w:rsidRPr="00B76CE3" w:rsidRDefault="00B76CE3" w:rsidP="00B76CE3">
            <w:pPr>
              <w:spacing w:line="276" w:lineRule="auto"/>
              <w:ind w:left="0"/>
              <w:jc w:val="center"/>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1635</w:t>
            </w:r>
          </w:p>
        </w:tc>
        <w:tc>
          <w:tcPr>
            <w:tcW w:w="5800" w:type="dxa"/>
            <w:tcBorders>
              <w:top w:val="nil"/>
              <w:left w:val="nil"/>
              <w:bottom w:val="single" w:sz="4" w:space="0" w:color="auto"/>
              <w:right w:val="single" w:sz="8" w:space="0" w:color="auto"/>
            </w:tcBorders>
            <w:noWrap/>
            <w:vAlign w:val="center"/>
            <w:hideMark/>
          </w:tcPr>
          <w:p w:rsidR="00B76CE3" w:rsidRPr="00B76CE3" w:rsidRDefault="00B76CE3" w:rsidP="00B76CE3">
            <w:pPr>
              <w:spacing w:line="276" w:lineRule="auto"/>
              <w:ind w:left="0"/>
              <w:jc w:val="both"/>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Bienes muebles en bodega</w:t>
            </w:r>
          </w:p>
        </w:tc>
      </w:tr>
      <w:tr w:rsidR="00B76CE3" w:rsidRPr="00B76CE3" w:rsidTr="00B76CE3">
        <w:trPr>
          <w:trHeight w:val="285"/>
          <w:jc w:val="center"/>
        </w:trPr>
        <w:tc>
          <w:tcPr>
            <w:tcW w:w="1200" w:type="dxa"/>
            <w:tcBorders>
              <w:top w:val="nil"/>
              <w:left w:val="single" w:sz="8" w:space="0" w:color="auto"/>
              <w:bottom w:val="single" w:sz="4" w:space="0" w:color="auto"/>
              <w:right w:val="single" w:sz="4" w:space="0" w:color="auto"/>
            </w:tcBorders>
            <w:noWrap/>
            <w:vAlign w:val="center"/>
            <w:hideMark/>
          </w:tcPr>
          <w:p w:rsidR="00B76CE3" w:rsidRPr="00B76CE3" w:rsidRDefault="00B76CE3" w:rsidP="00B76CE3">
            <w:pPr>
              <w:spacing w:line="276" w:lineRule="auto"/>
              <w:ind w:left="0"/>
              <w:jc w:val="center"/>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1655</w:t>
            </w:r>
          </w:p>
        </w:tc>
        <w:tc>
          <w:tcPr>
            <w:tcW w:w="5800" w:type="dxa"/>
            <w:tcBorders>
              <w:top w:val="nil"/>
              <w:left w:val="nil"/>
              <w:bottom w:val="single" w:sz="4" w:space="0" w:color="auto"/>
              <w:right w:val="single" w:sz="8" w:space="0" w:color="auto"/>
            </w:tcBorders>
            <w:noWrap/>
            <w:vAlign w:val="center"/>
            <w:hideMark/>
          </w:tcPr>
          <w:p w:rsidR="00B76CE3" w:rsidRPr="00B76CE3" w:rsidRDefault="00B76CE3" w:rsidP="00B76CE3">
            <w:pPr>
              <w:spacing w:line="276" w:lineRule="auto"/>
              <w:ind w:left="0"/>
              <w:jc w:val="both"/>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Maquinaria y equipo</w:t>
            </w:r>
          </w:p>
        </w:tc>
      </w:tr>
      <w:tr w:rsidR="00B76CE3" w:rsidRPr="00B76CE3" w:rsidTr="00B76CE3">
        <w:trPr>
          <w:trHeight w:val="285"/>
          <w:jc w:val="center"/>
        </w:trPr>
        <w:tc>
          <w:tcPr>
            <w:tcW w:w="1200" w:type="dxa"/>
            <w:tcBorders>
              <w:top w:val="nil"/>
              <w:left w:val="single" w:sz="8" w:space="0" w:color="auto"/>
              <w:bottom w:val="single" w:sz="4" w:space="0" w:color="auto"/>
              <w:right w:val="single" w:sz="4" w:space="0" w:color="auto"/>
            </w:tcBorders>
            <w:noWrap/>
            <w:vAlign w:val="center"/>
            <w:hideMark/>
          </w:tcPr>
          <w:p w:rsidR="00B76CE3" w:rsidRPr="00B76CE3" w:rsidRDefault="00B76CE3" w:rsidP="00B76CE3">
            <w:pPr>
              <w:spacing w:line="276" w:lineRule="auto"/>
              <w:ind w:left="0"/>
              <w:jc w:val="center"/>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1660</w:t>
            </w:r>
          </w:p>
        </w:tc>
        <w:tc>
          <w:tcPr>
            <w:tcW w:w="5800" w:type="dxa"/>
            <w:tcBorders>
              <w:top w:val="nil"/>
              <w:left w:val="nil"/>
              <w:bottom w:val="single" w:sz="4" w:space="0" w:color="auto"/>
              <w:right w:val="single" w:sz="8" w:space="0" w:color="auto"/>
            </w:tcBorders>
            <w:noWrap/>
            <w:vAlign w:val="center"/>
            <w:hideMark/>
          </w:tcPr>
          <w:p w:rsidR="00B76CE3" w:rsidRPr="00B76CE3" w:rsidRDefault="00B76CE3" w:rsidP="00B76CE3">
            <w:pPr>
              <w:spacing w:line="276" w:lineRule="auto"/>
              <w:ind w:left="0"/>
              <w:jc w:val="both"/>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Equipo médico y científico</w:t>
            </w:r>
          </w:p>
        </w:tc>
      </w:tr>
      <w:tr w:rsidR="00B76CE3" w:rsidRPr="00B76CE3" w:rsidTr="00B76CE3">
        <w:trPr>
          <w:trHeight w:val="285"/>
          <w:jc w:val="center"/>
        </w:trPr>
        <w:tc>
          <w:tcPr>
            <w:tcW w:w="1200" w:type="dxa"/>
            <w:tcBorders>
              <w:top w:val="nil"/>
              <w:left w:val="single" w:sz="8" w:space="0" w:color="auto"/>
              <w:bottom w:val="single" w:sz="4" w:space="0" w:color="auto"/>
              <w:right w:val="single" w:sz="4" w:space="0" w:color="auto"/>
            </w:tcBorders>
            <w:noWrap/>
            <w:vAlign w:val="center"/>
            <w:hideMark/>
          </w:tcPr>
          <w:p w:rsidR="00B76CE3" w:rsidRPr="00B76CE3" w:rsidRDefault="00B76CE3" w:rsidP="00B76CE3">
            <w:pPr>
              <w:spacing w:line="276" w:lineRule="auto"/>
              <w:ind w:left="0"/>
              <w:jc w:val="center"/>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1665</w:t>
            </w:r>
          </w:p>
        </w:tc>
        <w:tc>
          <w:tcPr>
            <w:tcW w:w="5800" w:type="dxa"/>
            <w:tcBorders>
              <w:top w:val="nil"/>
              <w:left w:val="nil"/>
              <w:bottom w:val="single" w:sz="4" w:space="0" w:color="auto"/>
              <w:right w:val="single" w:sz="8" w:space="0" w:color="auto"/>
            </w:tcBorders>
            <w:noWrap/>
            <w:vAlign w:val="center"/>
            <w:hideMark/>
          </w:tcPr>
          <w:p w:rsidR="00B76CE3" w:rsidRPr="00B76CE3" w:rsidRDefault="00B76CE3" w:rsidP="00B76CE3">
            <w:pPr>
              <w:spacing w:line="276" w:lineRule="auto"/>
              <w:ind w:left="0"/>
              <w:jc w:val="both"/>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Muebles, enseres y equipos de oficina</w:t>
            </w:r>
          </w:p>
        </w:tc>
      </w:tr>
      <w:tr w:rsidR="00B76CE3" w:rsidRPr="00B76CE3" w:rsidTr="00B76CE3">
        <w:trPr>
          <w:trHeight w:val="285"/>
          <w:jc w:val="center"/>
        </w:trPr>
        <w:tc>
          <w:tcPr>
            <w:tcW w:w="1200" w:type="dxa"/>
            <w:tcBorders>
              <w:top w:val="nil"/>
              <w:left w:val="single" w:sz="8" w:space="0" w:color="auto"/>
              <w:bottom w:val="single" w:sz="4" w:space="0" w:color="auto"/>
              <w:right w:val="single" w:sz="4" w:space="0" w:color="auto"/>
            </w:tcBorders>
            <w:noWrap/>
            <w:vAlign w:val="center"/>
            <w:hideMark/>
          </w:tcPr>
          <w:p w:rsidR="00B76CE3" w:rsidRPr="00B76CE3" w:rsidRDefault="00B76CE3" w:rsidP="00B76CE3">
            <w:pPr>
              <w:spacing w:line="276" w:lineRule="auto"/>
              <w:ind w:left="0"/>
              <w:jc w:val="center"/>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1670</w:t>
            </w:r>
          </w:p>
        </w:tc>
        <w:tc>
          <w:tcPr>
            <w:tcW w:w="5800" w:type="dxa"/>
            <w:tcBorders>
              <w:top w:val="nil"/>
              <w:left w:val="nil"/>
              <w:bottom w:val="single" w:sz="4" w:space="0" w:color="auto"/>
              <w:right w:val="single" w:sz="8" w:space="0" w:color="auto"/>
            </w:tcBorders>
            <w:noWrap/>
            <w:vAlign w:val="center"/>
            <w:hideMark/>
          </w:tcPr>
          <w:p w:rsidR="00B76CE3" w:rsidRPr="00B76CE3" w:rsidRDefault="00B76CE3" w:rsidP="00B76CE3">
            <w:pPr>
              <w:spacing w:line="276" w:lineRule="auto"/>
              <w:ind w:left="0"/>
              <w:jc w:val="both"/>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Equipos de comunicación y computación</w:t>
            </w:r>
          </w:p>
        </w:tc>
      </w:tr>
      <w:tr w:rsidR="00B76CE3" w:rsidRPr="00B76CE3" w:rsidTr="00B76CE3">
        <w:trPr>
          <w:trHeight w:val="300"/>
          <w:jc w:val="center"/>
        </w:trPr>
        <w:tc>
          <w:tcPr>
            <w:tcW w:w="1200" w:type="dxa"/>
            <w:tcBorders>
              <w:top w:val="nil"/>
              <w:left w:val="single" w:sz="8" w:space="0" w:color="auto"/>
              <w:bottom w:val="single" w:sz="8" w:space="0" w:color="auto"/>
              <w:right w:val="single" w:sz="4" w:space="0" w:color="auto"/>
            </w:tcBorders>
            <w:noWrap/>
            <w:vAlign w:val="center"/>
            <w:hideMark/>
          </w:tcPr>
          <w:p w:rsidR="00B76CE3" w:rsidRPr="00B76CE3" w:rsidRDefault="00B76CE3" w:rsidP="00B76CE3">
            <w:pPr>
              <w:spacing w:line="276" w:lineRule="auto"/>
              <w:ind w:left="0"/>
              <w:jc w:val="center"/>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1675</w:t>
            </w:r>
          </w:p>
        </w:tc>
        <w:tc>
          <w:tcPr>
            <w:tcW w:w="5800" w:type="dxa"/>
            <w:tcBorders>
              <w:top w:val="nil"/>
              <w:left w:val="nil"/>
              <w:bottom w:val="single" w:sz="8" w:space="0" w:color="auto"/>
              <w:right w:val="single" w:sz="8" w:space="0" w:color="auto"/>
            </w:tcBorders>
            <w:noWrap/>
            <w:vAlign w:val="center"/>
            <w:hideMark/>
          </w:tcPr>
          <w:p w:rsidR="00B76CE3" w:rsidRPr="00B76CE3" w:rsidRDefault="00B76CE3" w:rsidP="00B76CE3">
            <w:pPr>
              <w:spacing w:line="276" w:lineRule="auto"/>
              <w:ind w:left="0"/>
              <w:jc w:val="both"/>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Equipo de transporte, tracción y elevación</w:t>
            </w:r>
          </w:p>
        </w:tc>
      </w:tr>
      <w:tr w:rsidR="00B76CE3" w:rsidRPr="00B76CE3" w:rsidTr="00B76CE3">
        <w:trPr>
          <w:trHeight w:val="315"/>
          <w:jc w:val="center"/>
        </w:trPr>
        <w:tc>
          <w:tcPr>
            <w:tcW w:w="1200" w:type="dxa"/>
            <w:tcBorders>
              <w:top w:val="single" w:sz="8" w:space="0" w:color="auto"/>
              <w:left w:val="single" w:sz="8" w:space="0" w:color="auto"/>
              <w:bottom w:val="single" w:sz="8" w:space="0" w:color="auto"/>
              <w:right w:val="single" w:sz="4" w:space="0" w:color="auto"/>
            </w:tcBorders>
            <w:shd w:val="pct20" w:color="auto" w:fill="auto"/>
            <w:noWrap/>
            <w:vAlign w:val="bottom"/>
            <w:hideMark/>
          </w:tcPr>
          <w:p w:rsidR="00B76CE3" w:rsidRPr="00B76CE3" w:rsidRDefault="00B76CE3" w:rsidP="00B76CE3">
            <w:pPr>
              <w:spacing w:line="276" w:lineRule="auto"/>
              <w:ind w:left="0"/>
              <w:jc w:val="center"/>
              <w:rPr>
                <w:rFonts w:ascii="Bookman Old Style" w:hAnsi="Bookman Old Style" w:cs="Arial"/>
                <w:b/>
                <w:bCs/>
                <w:sz w:val="22"/>
                <w:szCs w:val="22"/>
                <w:lang w:val="es-CO" w:eastAsia="es-CO"/>
              </w:rPr>
            </w:pPr>
            <w:r w:rsidRPr="00B76CE3">
              <w:rPr>
                <w:rFonts w:ascii="Bookman Old Style" w:hAnsi="Bookman Old Style" w:cs="Arial"/>
                <w:b/>
                <w:bCs/>
                <w:sz w:val="22"/>
                <w:szCs w:val="22"/>
                <w:lang w:val="es-CO" w:eastAsia="es-CO"/>
              </w:rPr>
              <w:t>CUENTA</w:t>
            </w:r>
          </w:p>
        </w:tc>
        <w:tc>
          <w:tcPr>
            <w:tcW w:w="5800" w:type="dxa"/>
            <w:tcBorders>
              <w:top w:val="single" w:sz="8" w:space="0" w:color="auto"/>
              <w:left w:val="nil"/>
              <w:bottom w:val="single" w:sz="8" w:space="0" w:color="auto"/>
              <w:right w:val="single" w:sz="8" w:space="0" w:color="auto"/>
            </w:tcBorders>
            <w:shd w:val="pct20" w:color="auto" w:fill="auto"/>
            <w:noWrap/>
            <w:vAlign w:val="center"/>
            <w:hideMark/>
          </w:tcPr>
          <w:p w:rsidR="00B76CE3" w:rsidRPr="00B76CE3" w:rsidRDefault="00B76CE3" w:rsidP="00B76CE3">
            <w:pPr>
              <w:spacing w:line="276" w:lineRule="auto"/>
              <w:ind w:left="0"/>
              <w:jc w:val="center"/>
              <w:rPr>
                <w:rFonts w:ascii="Bookman Old Style" w:hAnsi="Bookman Old Style" w:cs="Arial"/>
                <w:b/>
                <w:bCs/>
                <w:color w:val="000000"/>
                <w:sz w:val="22"/>
                <w:szCs w:val="22"/>
                <w:lang w:val="es-CO" w:eastAsia="es-CO"/>
              </w:rPr>
            </w:pPr>
            <w:r w:rsidRPr="00B76CE3">
              <w:rPr>
                <w:rFonts w:ascii="Bookman Old Style" w:hAnsi="Bookman Old Style" w:cs="Arial"/>
                <w:b/>
                <w:bCs/>
                <w:color w:val="000000"/>
                <w:sz w:val="22"/>
                <w:szCs w:val="22"/>
                <w:lang w:val="es-CO" w:eastAsia="es-CO"/>
              </w:rPr>
              <w:t xml:space="preserve">ACTIVOS </w:t>
            </w:r>
          </w:p>
        </w:tc>
      </w:tr>
      <w:tr w:rsidR="00B76CE3" w:rsidRPr="00B76CE3" w:rsidTr="00B76CE3">
        <w:trPr>
          <w:trHeight w:val="285"/>
          <w:jc w:val="center"/>
        </w:trPr>
        <w:tc>
          <w:tcPr>
            <w:tcW w:w="1200" w:type="dxa"/>
            <w:tcBorders>
              <w:top w:val="nil"/>
              <w:left w:val="single" w:sz="8" w:space="0" w:color="auto"/>
              <w:bottom w:val="single" w:sz="4" w:space="0" w:color="auto"/>
              <w:right w:val="single" w:sz="4" w:space="0" w:color="auto"/>
            </w:tcBorders>
            <w:noWrap/>
            <w:vAlign w:val="center"/>
            <w:hideMark/>
          </w:tcPr>
          <w:p w:rsidR="00B76CE3" w:rsidRPr="00B76CE3" w:rsidRDefault="00B76CE3" w:rsidP="00B76CE3">
            <w:pPr>
              <w:spacing w:line="276" w:lineRule="auto"/>
              <w:ind w:left="0"/>
              <w:jc w:val="center"/>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1605</w:t>
            </w:r>
          </w:p>
        </w:tc>
        <w:tc>
          <w:tcPr>
            <w:tcW w:w="5800" w:type="dxa"/>
            <w:tcBorders>
              <w:top w:val="nil"/>
              <w:left w:val="nil"/>
              <w:bottom w:val="single" w:sz="4" w:space="0" w:color="auto"/>
              <w:right w:val="single" w:sz="8" w:space="0" w:color="auto"/>
            </w:tcBorders>
            <w:noWrap/>
            <w:vAlign w:val="center"/>
            <w:hideMark/>
          </w:tcPr>
          <w:p w:rsidR="00B76CE3" w:rsidRPr="00B76CE3" w:rsidRDefault="00B76CE3" w:rsidP="00B76CE3">
            <w:pPr>
              <w:spacing w:line="276" w:lineRule="auto"/>
              <w:ind w:left="0"/>
              <w:jc w:val="both"/>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Terrenos</w:t>
            </w:r>
          </w:p>
        </w:tc>
      </w:tr>
      <w:tr w:rsidR="00B76CE3" w:rsidRPr="00B76CE3" w:rsidTr="00B76CE3">
        <w:trPr>
          <w:trHeight w:val="285"/>
          <w:jc w:val="center"/>
        </w:trPr>
        <w:tc>
          <w:tcPr>
            <w:tcW w:w="1200" w:type="dxa"/>
            <w:tcBorders>
              <w:top w:val="nil"/>
              <w:left w:val="single" w:sz="8" w:space="0" w:color="auto"/>
              <w:bottom w:val="single" w:sz="4" w:space="0" w:color="auto"/>
              <w:right w:val="single" w:sz="4" w:space="0" w:color="auto"/>
            </w:tcBorders>
            <w:noWrap/>
            <w:vAlign w:val="center"/>
            <w:hideMark/>
          </w:tcPr>
          <w:p w:rsidR="00B76CE3" w:rsidRPr="00B76CE3" w:rsidRDefault="00B76CE3" w:rsidP="00B76CE3">
            <w:pPr>
              <w:spacing w:line="276" w:lineRule="auto"/>
              <w:ind w:left="0"/>
              <w:jc w:val="center"/>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1615</w:t>
            </w:r>
          </w:p>
        </w:tc>
        <w:tc>
          <w:tcPr>
            <w:tcW w:w="5800" w:type="dxa"/>
            <w:tcBorders>
              <w:top w:val="nil"/>
              <w:left w:val="nil"/>
              <w:bottom w:val="single" w:sz="4" w:space="0" w:color="auto"/>
              <w:right w:val="single" w:sz="8" w:space="0" w:color="auto"/>
            </w:tcBorders>
            <w:noWrap/>
            <w:vAlign w:val="center"/>
            <w:hideMark/>
          </w:tcPr>
          <w:p w:rsidR="00B76CE3" w:rsidRPr="00B76CE3" w:rsidRDefault="00B76CE3" w:rsidP="00B76CE3">
            <w:pPr>
              <w:spacing w:line="276" w:lineRule="auto"/>
              <w:ind w:left="0"/>
              <w:jc w:val="both"/>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Construcciones en curso</w:t>
            </w:r>
          </w:p>
        </w:tc>
      </w:tr>
      <w:tr w:rsidR="00B76CE3" w:rsidRPr="00B76CE3" w:rsidTr="00B76CE3">
        <w:trPr>
          <w:trHeight w:val="285"/>
          <w:jc w:val="center"/>
        </w:trPr>
        <w:tc>
          <w:tcPr>
            <w:tcW w:w="1200" w:type="dxa"/>
            <w:tcBorders>
              <w:top w:val="nil"/>
              <w:left w:val="single" w:sz="8" w:space="0" w:color="auto"/>
              <w:bottom w:val="single" w:sz="4" w:space="0" w:color="auto"/>
              <w:right w:val="single" w:sz="4" w:space="0" w:color="auto"/>
            </w:tcBorders>
            <w:noWrap/>
            <w:vAlign w:val="center"/>
            <w:hideMark/>
          </w:tcPr>
          <w:p w:rsidR="00B76CE3" w:rsidRPr="00B76CE3" w:rsidRDefault="00B76CE3" w:rsidP="00B76CE3">
            <w:pPr>
              <w:spacing w:line="276" w:lineRule="auto"/>
              <w:ind w:left="0"/>
              <w:jc w:val="center"/>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1620</w:t>
            </w:r>
          </w:p>
        </w:tc>
        <w:tc>
          <w:tcPr>
            <w:tcW w:w="5800" w:type="dxa"/>
            <w:tcBorders>
              <w:top w:val="nil"/>
              <w:left w:val="nil"/>
              <w:bottom w:val="single" w:sz="4" w:space="0" w:color="auto"/>
              <w:right w:val="single" w:sz="8" w:space="0" w:color="auto"/>
            </w:tcBorders>
            <w:noWrap/>
            <w:vAlign w:val="center"/>
            <w:hideMark/>
          </w:tcPr>
          <w:p w:rsidR="00B76CE3" w:rsidRPr="00B76CE3" w:rsidRDefault="00B76CE3" w:rsidP="00B76CE3">
            <w:pPr>
              <w:spacing w:line="276" w:lineRule="auto"/>
              <w:ind w:left="0"/>
              <w:jc w:val="both"/>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Maquinaria, planta y equipo en montaje</w:t>
            </w:r>
          </w:p>
        </w:tc>
      </w:tr>
      <w:tr w:rsidR="00B76CE3" w:rsidRPr="00B76CE3" w:rsidTr="00B76CE3">
        <w:trPr>
          <w:trHeight w:val="285"/>
          <w:jc w:val="center"/>
        </w:trPr>
        <w:tc>
          <w:tcPr>
            <w:tcW w:w="1200" w:type="dxa"/>
            <w:tcBorders>
              <w:top w:val="nil"/>
              <w:left w:val="single" w:sz="8" w:space="0" w:color="auto"/>
              <w:bottom w:val="single" w:sz="4" w:space="0" w:color="auto"/>
              <w:right w:val="single" w:sz="4" w:space="0" w:color="auto"/>
            </w:tcBorders>
            <w:noWrap/>
            <w:vAlign w:val="center"/>
            <w:hideMark/>
          </w:tcPr>
          <w:p w:rsidR="00B76CE3" w:rsidRPr="00B76CE3" w:rsidRDefault="00B76CE3" w:rsidP="00B76CE3">
            <w:pPr>
              <w:spacing w:line="276" w:lineRule="auto"/>
              <w:ind w:left="0"/>
              <w:jc w:val="center"/>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1625</w:t>
            </w:r>
          </w:p>
        </w:tc>
        <w:tc>
          <w:tcPr>
            <w:tcW w:w="5800" w:type="dxa"/>
            <w:tcBorders>
              <w:top w:val="nil"/>
              <w:left w:val="nil"/>
              <w:bottom w:val="single" w:sz="4" w:space="0" w:color="auto"/>
              <w:right w:val="single" w:sz="8" w:space="0" w:color="auto"/>
            </w:tcBorders>
            <w:noWrap/>
            <w:vAlign w:val="center"/>
            <w:hideMark/>
          </w:tcPr>
          <w:p w:rsidR="00B76CE3" w:rsidRPr="00B76CE3" w:rsidRDefault="00B76CE3" w:rsidP="00B76CE3">
            <w:pPr>
              <w:spacing w:line="276" w:lineRule="auto"/>
              <w:ind w:left="0"/>
              <w:jc w:val="both"/>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Propiedades, planta y equipo en tránsito</w:t>
            </w:r>
          </w:p>
        </w:tc>
      </w:tr>
      <w:tr w:rsidR="00B76CE3" w:rsidRPr="00B76CE3" w:rsidTr="00B76CE3">
        <w:trPr>
          <w:trHeight w:val="285"/>
          <w:jc w:val="center"/>
        </w:trPr>
        <w:tc>
          <w:tcPr>
            <w:tcW w:w="1200" w:type="dxa"/>
            <w:tcBorders>
              <w:top w:val="nil"/>
              <w:left w:val="single" w:sz="8" w:space="0" w:color="auto"/>
              <w:bottom w:val="single" w:sz="4" w:space="0" w:color="auto"/>
              <w:right w:val="single" w:sz="4" w:space="0" w:color="auto"/>
            </w:tcBorders>
            <w:noWrap/>
            <w:vAlign w:val="center"/>
            <w:hideMark/>
          </w:tcPr>
          <w:p w:rsidR="00B76CE3" w:rsidRPr="00B76CE3" w:rsidRDefault="00B76CE3" w:rsidP="00B76CE3">
            <w:pPr>
              <w:spacing w:line="276" w:lineRule="auto"/>
              <w:ind w:left="0"/>
              <w:jc w:val="center"/>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1636</w:t>
            </w:r>
          </w:p>
        </w:tc>
        <w:tc>
          <w:tcPr>
            <w:tcW w:w="5800" w:type="dxa"/>
            <w:tcBorders>
              <w:top w:val="nil"/>
              <w:left w:val="nil"/>
              <w:bottom w:val="single" w:sz="4" w:space="0" w:color="auto"/>
              <w:right w:val="single" w:sz="8" w:space="0" w:color="auto"/>
            </w:tcBorders>
            <w:noWrap/>
            <w:vAlign w:val="center"/>
            <w:hideMark/>
          </w:tcPr>
          <w:p w:rsidR="00B76CE3" w:rsidRPr="00B76CE3" w:rsidRDefault="00B76CE3" w:rsidP="00B76CE3">
            <w:pPr>
              <w:spacing w:line="276" w:lineRule="auto"/>
              <w:ind w:left="0"/>
              <w:jc w:val="both"/>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Propiedades, planta y equipo en mantenimiento</w:t>
            </w:r>
          </w:p>
        </w:tc>
      </w:tr>
      <w:tr w:rsidR="00B76CE3" w:rsidRPr="00B76CE3" w:rsidTr="00B76CE3">
        <w:trPr>
          <w:trHeight w:val="285"/>
          <w:jc w:val="center"/>
        </w:trPr>
        <w:tc>
          <w:tcPr>
            <w:tcW w:w="1200" w:type="dxa"/>
            <w:tcBorders>
              <w:top w:val="nil"/>
              <w:left w:val="single" w:sz="8" w:space="0" w:color="auto"/>
              <w:bottom w:val="single" w:sz="4" w:space="0" w:color="auto"/>
              <w:right w:val="single" w:sz="4" w:space="0" w:color="auto"/>
            </w:tcBorders>
            <w:noWrap/>
            <w:vAlign w:val="center"/>
            <w:hideMark/>
          </w:tcPr>
          <w:p w:rsidR="00B76CE3" w:rsidRPr="00B76CE3" w:rsidRDefault="00B76CE3" w:rsidP="00B76CE3">
            <w:pPr>
              <w:spacing w:line="276" w:lineRule="auto"/>
              <w:ind w:left="0"/>
              <w:jc w:val="center"/>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1637</w:t>
            </w:r>
          </w:p>
        </w:tc>
        <w:tc>
          <w:tcPr>
            <w:tcW w:w="5800" w:type="dxa"/>
            <w:tcBorders>
              <w:top w:val="nil"/>
              <w:left w:val="nil"/>
              <w:bottom w:val="single" w:sz="4" w:space="0" w:color="auto"/>
              <w:right w:val="single" w:sz="8" w:space="0" w:color="auto"/>
            </w:tcBorders>
            <w:noWrap/>
            <w:vAlign w:val="center"/>
            <w:hideMark/>
          </w:tcPr>
          <w:p w:rsidR="00B76CE3" w:rsidRPr="00B76CE3" w:rsidRDefault="00B76CE3" w:rsidP="00B76CE3">
            <w:pPr>
              <w:spacing w:line="276" w:lineRule="auto"/>
              <w:ind w:left="0"/>
              <w:jc w:val="both"/>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Propiedades, planta y equipo no explotados</w:t>
            </w:r>
          </w:p>
        </w:tc>
      </w:tr>
      <w:tr w:rsidR="00B76CE3" w:rsidRPr="00B76CE3" w:rsidTr="00B76CE3">
        <w:trPr>
          <w:trHeight w:val="285"/>
          <w:jc w:val="center"/>
        </w:trPr>
        <w:tc>
          <w:tcPr>
            <w:tcW w:w="1200" w:type="dxa"/>
            <w:tcBorders>
              <w:top w:val="nil"/>
              <w:left w:val="single" w:sz="8" w:space="0" w:color="auto"/>
              <w:bottom w:val="single" w:sz="4" w:space="0" w:color="auto"/>
              <w:right w:val="single" w:sz="4" w:space="0" w:color="auto"/>
            </w:tcBorders>
            <w:noWrap/>
            <w:vAlign w:val="center"/>
            <w:hideMark/>
          </w:tcPr>
          <w:p w:rsidR="00B76CE3" w:rsidRPr="00B76CE3" w:rsidRDefault="00B76CE3" w:rsidP="00B76CE3">
            <w:pPr>
              <w:spacing w:line="276" w:lineRule="auto"/>
              <w:ind w:left="0"/>
              <w:jc w:val="center"/>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1640</w:t>
            </w:r>
          </w:p>
        </w:tc>
        <w:tc>
          <w:tcPr>
            <w:tcW w:w="5800" w:type="dxa"/>
            <w:tcBorders>
              <w:top w:val="nil"/>
              <w:left w:val="nil"/>
              <w:bottom w:val="single" w:sz="4" w:space="0" w:color="auto"/>
              <w:right w:val="single" w:sz="8" w:space="0" w:color="auto"/>
            </w:tcBorders>
            <w:noWrap/>
            <w:vAlign w:val="center"/>
            <w:hideMark/>
          </w:tcPr>
          <w:p w:rsidR="00B76CE3" w:rsidRPr="00B76CE3" w:rsidRDefault="00B76CE3" w:rsidP="00B76CE3">
            <w:pPr>
              <w:spacing w:line="276" w:lineRule="auto"/>
              <w:ind w:left="0"/>
              <w:jc w:val="both"/>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Edificaciones</w:t>
            </w:r>
          </w:p>
        </w:tc>
      </w:tr>
      <w:tr w:rsidR="00B76CE3" w:rsidRPr="00B76CE3" w:rsidTr="00B76CE3">
        <w:trPr>
          <w:trHeight w:val="285"/>
          <w:jc w:val="center"/>
        </w:trPr>
        <w:tc>
          <w:tcPr>
            <w:tcW w:w="1200" w:type="dxa"/>
            <w:tcBorders>
              <w:top w:val="nil"/>
              <w:left w:val="single" w:sz="8" w:space="0" w:color="auto"/>
              <w:bottom w:val="single" w:sz="4" w:space="0" w:color="auto"/>
              <w:right w:val="single" w:sz="4" w:space="0" w:color="auto"/>
            </w:tcBorders>
            <w:noWrap/>
            <w:vAlign w:val="center"/>
            <w:hideMark/>
          </w:tcPr>
          <w:p w:rsidR="00B76CE3" w:rsidRPr="00B76CE3" w:rsidRDefault="00B76CE3" w:rsidP="00B76CE3">
            <w:pPr>
              <w:spacing w:line="276" w:lineRule="auto"/>
              <w:ind w:left="0"/>
              <w:jc w:val="center"/>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1643</w:t>
            </w:r>
          </w:p>
        </w:tc>
        <w:tc>
          <w:tcPr>
            <w:tcW w:w="5800" w:type="dxa"/>
            <w:tcBorders>
              <w:top w:val="nil"/>
              <w:left w:val="nil"/>
              <w:bottom w:val="single" w:sz="4" w:space="0" w:color="auto"/>
              <w:right w:val="single" w:sz="8" w:space="0" w:color="auto"/>
            </w:tcBorders>
            <w:noWrap/>
            <w:vAlign w:val="center"/>
            <w:hideMark/>
          </w:tcPr>
          <w:p w:rsidR="00B76CE3" w:rsidRPr="00B76CE3" w:rsidRDefault="00B76CE3" w:rsidP="00B76CE3">
            <w:pPr>
              <w:spacing w:line="276" w:lineRule="auto"/>
              <w:ind w:left="0"/>
              <w:jc w:val="both"/>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Vías de comunicación y acceso internas</w:t>
            </w:r>
          </w:p>
        </w:tc>
      </w:tr>
      <w:tr w:rsidR="00B76CE3" w:rsidRPr="00B76CE3" w:rsidTr="00B76CE3">
        <w:trPr>
          <w:trHeight w:val="285"/>
          <w:jc w:val="center"/>
        </w:trPr>
        <w:tc>
          <w:tcPr>
            <w:tcW w:w="1200" w:type="dxa"/>
            <w:tcBorders>
              <w:top w:val="nil"/>
              <w:left w:val="single" w:sz="8" w:space="0" w:color="auto"/>
              <w:bottom w:val="single" w:sz="4" w:space="0" w:color="auto"/>
              <w:right w:val="single" w:sz="4" w:space="0" w:color="auto"/>
            </w:tcBorders>
            <w:noWrap/>
            <w:vAlign w:val="center"/>
            <w:hideMark/>
          </w:tcPr>
          <w:p w:rsidR="00B76CE3" w:rsidRPr="00B76CE3" w:rsidRDefault="00B76CE3" w:rsidP="00B76CE3">
            <w:pPr>
              <w:spacing w:line="276" w:lineRule="auto"/>
              <w:ind w:left="0"/>
              <w:jc w:val="center"/>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1645</w:t>
            </w:r>
          </w:p>
        </w:tc>
        <w:tc>
          <w:tcPr>
            <w:tcW w:w="5800" w:type="dxa"/>
            <w:tcBorders>
              <w:top w:val="nil"/>
              <w:left w:val="nil"/>
              <w:bottom w:val="single" w:sz="4" w:space="0" w:color="auto"/>
              <w:right w:val="single" w:sz="8" w:space="0" w:color="auto"/>
            </w:tcBorders>
            <w:noWrap/>
            <w:vAlign w:val="center"/>
            <w:hideMark/>
          </w:tcPr>
          <w:p w:rsidR="00B76CE3" w:rsidRPr="00B76CE3" w:rsidRDefault="00B76CE3" w:rsidP="00B76CE3">
            <w:pPr>
              <w:spacing w:line="276" w:lineRule="auto"/>
              <w:ind w:left="0"/>
              <w:jc w:val="both"/>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Plantas, ductos y túneles</w:t>
            </w:r>
          </w:p>
        </w:tc>
      </w:tr>
      <w:tr w:rsidR="00B76CE3" w:rsidRPr="00B76CE3" w:rsidTr="00B76CE3">
        <w:trPr>
          <w:trHeight w:val="285"/>
          <w:jc w:val="center"/>
        </w:trPr>
        <w:tc>
          <w:tcPr>
            <w:tcW w:w="1200" w:type="dxa"/>
            <w:tcBorders>
              <w:top w:val="nil"/>
              <w:left w:val="single" w:sz="8" w:space="0" w:color="auto"/>
              <w:bottom w:val="single" w:sz="4" w:space="0" w:color="auto"/>
              <w:right w:val="single" w:sz="4" w:space="0" w:color="auto"/>
            </w:tcBorders>
            <w:noWrap/>
            <w:vAlign w:val="center"/>
            <w:hideMark/>
          </w:tcPr>
          <w:p w:rsidR="00B76CE3" w:rsidRPr="00B76CE3" w:rsidRDefault="00B76CE3" w:rsidP="00B76CE3">
            <w:pPr>
              <w:spacing w:line="276" w:lineRule="auto"/>
              <w:ind w:left="0"/>
              <w:jc w:val="center"/>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1650</w:t>
            </w:r>
          </w:p>
        </w:tc>
        <w:tc>
          <w:tcPr>
            <w:tcW w:w="5800" w:type="dxa"/>
            <w:tcBorders>
              <w:top w:val="nil"/>
              <w:left w:val="nil"/>
              <w:bottom w:val="single" w:sz="4" w:space="0" w:color="auto"/>
              <w:right w:val="single" w:sz="8" w:space="0" w:color="auto"/>
            </w:tcBorders>
            <w:noWrap/>
            <w:vAlign w:val="center"/>
            <w:hideMark/>
          </w:tcPr>
          <w:p w:rsidR="00B76CE3" w:rsidRPr="00B76CE3" w:rsidRDefault="00B76CE3" w:rsidP="00B76CE3">
            <w:pPr>
              <w:spacing w:line="276" w:lineRule="auto"/>
              <w:ind w:left="0"/>
              <w:jc w:val="both"/>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Redes, líneas y cables</w:t>
            </w:r>
          </w:p>
        </w:tc>
      </w:tr>
      <w:tr w:rsidR="00B76CE3" w:rsidRPr="00B76CE3" w:rsidTr="00B76CE3">
        <w:trPr>
          <w:trHeight w:val="300"/>
          <w:jc w:val="center"/>
        </w:trPr>
        <w:tc>
          <w:tcPr>
            <w:tcW w:w="1200" w:type="dxa"/>
            <w:tcBorders>
              <w:top w:val="nil"/>
              <w:left w:val="single" w:sz="8" w:space="0" w:color="auto"/>
              <w:bottom w:val="single" w:sz="8" w:space="0" w:color="auto"/>
              <w:right w:val="single" w:sz="4" w:space="0" w:color="auto"/>
            </w:tcBorders>
            <w:noWrap/>
            <w:vAlign w:val="center"/>
            <w:hideMark/>
          </w:tcPr>
          <w:p w:rsidR="00B76CE3" w:rsidRPr="00B76CE3" w:rsidRDefault="00B76CE3" w:rsidP="00B76CE3">
            <w:pPr>
              <w:spacing w:line="276" w:lineRule="auto"/>
              <w:ind w:left="0"/>
              <w:jc w:val="center"/>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1680</w:t>
            </w:r>
          </w:p>
        </w:tc>
        <w:tc>
          <w:tcPr>
            <w:tcW w:w="5800" w:type="dxa"/>
            <w:tcBorders>
              <w:top w:val="nil"/>
              <w:left w:val="nil"/>
              <w:bottom w:val="single" w:sz="8" w:space="0" w:color="auto"/>
              <w:right w:val="single" w:sz="8" w:space="0" w:color="auto"/>
            </w:tcBorders>
            <w:noWrap/>
            <w:vAlign w:val="center"/>
            <w:hideMark/>
          </w:tcPr>
          <w:p w:rsidR="00B76CE3" w:rsidRPr="00B76CE3" w:rsidRDefault="00B76CE3" w:rsidP="00B76CE3">
            <w:pPr>
              <w:spacing w:line="276" w:lineRule="auto"/>
              <w:ind w:left="0"/>
              <w:jc w:val="both"/>
              <w:rPr>
                <w:rFonts w:ascii="Bookman Old Style" w:hAnsi="Bookman Old Style" w:cs="Arial"/>
                <w:color w:val="000000"/>
                <w:sz w:val="22"/>
                <w:szCs w:val="22"/>
                <w:lang w:val="es-CO" w:eastAsia="es-CO"/>
              </w:rPr>
            </w:pPr>
            <w:r w:rsidRPr="00B76CE3">
              <w:rPr>
                <w:rFonts w:ascii="Bookman Old Style" w:hAnsi="Bookman Old Style" w:cs="Arial"/>
                <w:color w:val="000000"/>
                <w:sz w:val="22"/>
                <w:szCs w:val="22"/>
                <w:lang w:val="es-CO" w:eastAsia="es-CO"/>
              </w:rPr>
              <w:t>Equipos de comedor, cocina, despensa y hotelería</w:t>
            </w:r>
          </w:p>
        </w:tc>
      </w:tr>
    </w:tbl>
    <w:p w:rsidR="00B76CE3" w:rsidRPr="00B76CE3" w:rsidRDefault="00B76CE3" w:rsidP="00B76CE3">
      <w:pPr>
        <w:ind w:left="0"/>
        <w:jc w:val="both"/>
        <w:rPr>
          <w:rFonts w:ascii="Arial" w:hAnsi="Arial" w:cs="Arial"/>
          <w:sz w:val="22"/>
          <w:szCs w:val="22"/>
          <w:lang w:val="es-CO"/>
        </w:rPr>
      </w:pPr>
    </w:p>
    <w:p w:rsidR="006F177A" w:rsidRPr="006F177A" w:rsidRDefault="00B76CE3" w:rsidP="006F177A">
      <w:pPr>
        <w:ind w:left="0"/>
        <w:jc w:val="both"/>
        <w:rPr>
          <w:rFonts w:ascii="Bookman Old Style" w:hAnsi="Bookman Old Style" w:cs="Helv"/>
          <w:color w:val="000000"/>
          <w:lang w:val="es-CO" w:eastAsia="es-CO"/>
        </w:rPr>
      </w:pPr>
      <w:r w:rsidRPr="006F177A">
        <w:rPr>
          <w:rFonts w:ascii="Bookman Old Style" w:hAnsi="Bookman Old Style" w:cs="Helv"/>
          <w:color w:val="000000"/>
          <w:lang w:val="es-CO" w:eastAsia="es-CO"/>
        </w:rPr>
        <w:t xml:space="preserve">La Comisión </w:t>
      </w:r>
      <w:r w:rsidR="006F177A" w:rsidRPr="006F177A">
        <w:rPr>
          <w:rFonts w:ascii="Bookman Old Style" w:hAnsi="Bookman Old Style" w:cs="Helv"/>
          <w:color w:val="000000"/>
          <w:lang w:val="es-CO" w:eastAsia="es-CO"/>
        </w:rPr>
        <w:t>tomará</w:t>
      </w:r>
      <w:r w:rsidRPr="006F177A">
        <w:rPr>
          <w:rFonts w:ascii="Bookman Old Style" w:hAnsi="Bookman Old Style" w:cs="Helv"/>
          <w:color w:val="000000"/>
          <w:lang w:val="es-CO" w:eastAsia="es-CO"/>
        </w:rPr>
        <w:t xml:space="preserve"> la información del universo de </w:t>
      </w:r>
      <w:r w:rsidR="006F177A" w:rsidRPr="006F177A">
        <w:rPr>
          <w:rFonts w:ascii="Bookman Old Style" w:hAnsi="Bookman Old Style" w:cs="Helv"/>
          <w:color w:val="000000"/>
          <w:lang w:val="es-CO" w:eastAsia="es-CO"/>
        </w:rPr>
        <w:t>empresas</w:t>
      </w:r>
      <w:r w:rsidRPr="006F177A">
        <w:rPr>
          <w:rFonts w:ascii="Bookman Old Style" w:hAnsi="Bookman Old Style" w:cs="Helv"/>
          <w:color w:val="000000"/>
          <w:lang w:val="es-CO" w:eastAsia="es-CO"/>
        </w:rPr>
        <w:t xml:space="preserve"> y realizará u</w:t>
      </w:r>
      <w:r w:rsidR="00E42D58">
        <w:rPr>
          <w:rFonts w:ascii="Bookman Old Style" w:hAnsi="Bookman Old Style" w:cs="Helv"/>
          <w:color w:val="000000"/>
          <w:lang w:val="es-CO" w:eastAsia="es-CO"/>
        </w:rPr>
        <w:t>n análisis econométrico con ésta</w:t>
      </w:r>
      <w:r w:rsidR="00EF76D5">
        <w:rPr>
          <w:rFonts w:ascii="Bookman Old Style" w:hAnsi="Bookman Old Style" w:cs="Helv"/>
          <w:color w:val="000000"/>
          <w:lang w:val="es-CO" w:eastAsia="es-CO"/>
        </w:rPr>
        <w:t>s</w:t>
      </w:r>
      <w:r w:rsidRPr="006F177A">
        <w:rPr>
          <w:rFonts w:ascii="Bookman Old Style" w:hAnsi="Bookman Old Style" w:cs="Helv"/>
          <w:color w:val="000000"/>
          <w:lang w:val="es-CO" w:eastAsia="es-CO"/>
        </w:rPr>
        <w:t xml:space="preserve"> y otras variables  y seleccionará la función que sea más significativa estadísticamente</w:t>
      </w:r>
      <w:r w:rsidR="006F177A" w:rsidRPr="006F177A">
        <w:rPr>
          <w:rFonts w:ascii="Bookman Old Style" w:hAnsi="Bookman Old Style" w:cs="Helv"/>
          <w:color w:val="000000"/>
          <w:lang w:val="es-CO" w:eastAsia="es-CO"/>
        </w:rPr>
        <w:t xml:space="preserve"> en relación con las variables que influyen en los costos de los sistemas de distribución.</w:t>
      </w:r>
    </w:p>
    <w:p w:rsidR="006C3671" w:rsidRDefault="006C3671" w:rsidP="006C3671">
      <w:pPr>
        <w:ind w:left="0"/>
        <w:jc w:val="both"/>
        <w:rPr>
          <w:rFonts w:ascii="Bookman Old Style" w:hAnsi="Bookman Old Style" w:cs="Arial"/>
          <w:lang w:val="es-CO" w:eastAsia="es-CO"/>
        </w:rPr>
      </w:pPr>
    </w:p>
    <w:p w:rsidR="006C3671" w:rsidRDefault="006C3671" w:rsidP="006C3671">
      <w:pPr>
        <w:ind w:left="0"/>
        <w:jc w:val="both"/>
        <w:rPr>
          <w:rFonts w:ascii="Bookman Old Style" w:hAnsi="Bookman Old Style" w:cs="Arial"/>
          <w:lang w:val="es-CO" w:eastAsia="es-CO"/>
        </w:rPr>
      </w:pPr>
      <w:r w:rsidRPr="00C35BA5">
        <w:rPr>
          <w:rFonts w:ascii="Bookman Old Style" w:hAnsi="Bookman Old Style" w:cs="Arial"/>
          <w:lang w:val="es-CO" w:eastAsia="es-CO"/>
        </w:rPr>
        <w:t>La Comisión a través de</w:t>
      </w:r>
      <w:r>
        <w:rPr>
          <w:rFonts w:ascii="Bookman Old Style" w:hAnsi="Bookman Old Style" w:cs="Arial"/>
          <w:lang w:val="es-CO" w:eastAsia="es-CO"/>
        </w:rPr>
        <w:t xml:space="preserve"> circular publicará </w:t>
      </w:r>
      <w:r w:rsidRPr="00C35BA5">
        <w:rPr>
          <w:rFonts w:ascii="Bookman Old Style" w:hAnsi="Bookman Old Style" w:cs="Arial"/>
          <w:lang w:val="es-CO" w:eastAsia="es-CO"/>
        </w:rPr>
        <w:t xml:space="preserve">un documento </w:t>
      </w:r>
      <w:r w:rsidR="00EF76D5">
        <w:rPr>
          <w:rFonts w:ascii="Bookman Old Style" w:hAnsi="Bookman Old Style" w:cs="Arial"/>
          <w:lang w:val="es-CO" w:eastAsia="es-CO"/>
        </w:rPr>
        <w:t>que será</w:t>
      </w:r>
      <w:r>
        <w:rPr>
          <w:rFonts w:ascii="Bookman Old Style" w:hAnsi="Bookman Old Style" w:cs="Arial"/>
          <w:lang w:val="es-CO" w:eastAsia="es-CO"/>
        </w:rPr>
        <w:t xml:space="preserve"> </w:t>
      </w:r>
      <w:r w:rsidRPr="00C35BA5">
        <w:rPr>
          <w:rFonts w:ascii="Bookman Old Style" w:hAnsi="Bookman Old Style" w:cs="Arial"/>
          <w:lang w:val="es-CO" w:eastAsia="es-CO"/>
        </w:rPr>
        <w:t>somet</w:t>
      </w:r>
      <w:r w:rsidR="00EF76D5">
        <w:rPr>
          <w:rFonts w:ascii="Bookman Old Style" w:hAnsi="Bookman Old Style" w:cs="Arial"/>
          <w:lang w:val="es-CO" w:eastAsia="es-CO"/>
        </w:rPr>
        <w:t>ido</w:t>
      </w:r>
      <w:r w:rsidRPr="00C35BA5">
        <w:rPr>
          <w:rFonts w:ascii="Bookman Old Style" w:hAnsi="Bookman Old Style" w:cs="Arial"/>
          <w:lang w:val="es-CO" w:eastAsia="es-CO"/>
        </w:rPr>
        <w:t xml:space="preserve"> a comentario la</w:t>
      </w:r>
      <w:r>
        <w:rPr>
          <w:rFonts w:ascii="Bookman Old Style" w:hAnsi="Bookman Old Style" w:cs="Arial"/>
          <w:lang w:val="es-CO" w:eastAsia="es-CO"/>
        </w:rPr>
        <w:t xml:space="preserve"> función</w:t>
      </w:r>
      <w:r w:rsidRPr="00C35BA5">
        <w:rPr>
          <w:rFonts w:ascii="Bookman Old Style" w:hAnsi="Bookman Old Style" w:cs="Arial"/>
          <w:lang w:val="es-CO" w:eastAsia="es-CO"/>
        </w:rPr>
        <w:t xml:space="preserve"> </w:t>
      </w:r>
      <w:r>
        <w:rPr>
          <w:rFonts w:ascii="Bookman Old Style" w:hAnsi="Bookman Old Style" w:cs="Arial"/>
          <w:lang w:val="es-CO" w:eastAsia="es-CO"/>
        </w:rPr>
        <w:t>óptima que mejor estime el comportamiento de los otros activos para el siguiente periodo tarifario.</w:t>
      </w:r>
    </w:p>
    <w:p w:rsidR="006C3671" w:rsidRPr="00C35BA5" w:rsidRDefault="006C3671" w:rsidP="006C3671">
      <w:pPr>
        <w:ind w:left="720"/>
        <w:jc w:val="both"/>
        <w:rPr>
          <w:rFonts w:ascii="Bookman Old Style" w:hAnsi="Bookman Old Style" w:cs="Arial"/>
          <w:lang w:val="es-CO" w:eastAsia="es-CO"/>
        </w:rPr>
      </w:pPr>
    </w:p>
    <w:p w:rsidR="006C3671" w:rsidRDefault="006C3671" w:rsidP="006C3671">
      <w:pPr>
        <w:ind w:left="0"/>
        <w:jc w:val="both"/>
        <w:rPr>
          <w:rFonts w:ascii="Bookman Old Style" w:hAnsi="Bookman Old Style" w:cs="Arial"/>
          <w:lang w:val="es-CO" w:eastAsia="es-CO"/>
        </w:rPr>
      </w:pPr>
      <w:r>
        <w:rPr>
          <w:rFonts w:ascii="Bookman Old Style" w:hAnsi="Bookman Old Style" w:cs="Arial"/>
          <w:lang w:val="es-CO" w:eastAsia="es-CO"/>
        </w:rPr>
        <w:t>A través de  circular se publicará el documento definitivo el cual contendrá la respuesta a cada uno de los comentarios recibidos y la función óptima que mejor estime el comportamiento de los otros activos para el siguiente periodo tarifario.</w:t>
      </w:r>
    </w:p>
    <w:p w:rsidR="00B76CE3" w:rsidRPr="006F177A" w:rsidRDefault="00B76CE3" w:rsidP="00B76CE3">
      <w:pPr>
        <w:ind w:left="0"/>
        <w:jc w:val="both"/>
        <w:rPr>
          <w:rFonts w:ascii="Bookman Old Style" w:hAnsi="Bookman Old Style" w:cs="Helv"/>
          <w:color w:val="000000"/>
          <w:lang w:val="es-CO" w:eastAsia="es-CO"/>
        </w:rPr>
      </w:pPr>
    </w:p>
    <w:p w:rsidR="00B76CE3" w:rsidRPr="006F177A" w:rsidRDefault="00B76CE3" w:rsidP="00B76CE3">
      <w:pPr>
        <w:ind w:left="0"/>
        <w:jc w:val="both"/>
        <w:rPr>
          <w:rFonts w:ascii="Bookman Old Style" w:hAnsi="Bookman Old Style" w:cs="Helv"/>
          <w:color w:val="000000"/>
          <w:lang w:val="es-CO" w:eastAsia="es-CO"/>
        </w:rPr>
      </w:pPr>
      <w:r w:rsidRPr="006F177A">
        <w:rPr>
          <w:rFonts w:ascii="Bookman Old Style" w:hAnsi="Bookman Old Style" w:cs="Helv"/>
          <w:color w:val="000000"/>
          <w:lang w:val="es-CO" w:eastAsia="es-CO"/>
        </w:rPr>
        <w:t>Para determinar el porcentaje de otros activos a reconocer</w:t>
      </w:r>
      <w:r w:rsidR="00883245">
        <w:rPr>
          <w:rFonts w:ascii="Bookman Old Style" w:hAnsi="Bookman Old Style" w:cs="Helv"/>
          <w:color w:val="000000"/>
          <w:lang w:val="es-CO" w:eastAsia="es-CO"/>
        </w:rPr>
        <w:t xml:space="preserve"> a cada empresa</w:t>
      </w:r>
      <w:r w:rsidRPr="006F177A">
        <w:rPr>
          <w:rFonts w:ascii="Bookman Old Style" w:hAnsi="Bookman Old Style" w:cs="Helv"/>
          <w:color w:val="000000"/>
          <w:lang w:val="es-CO" w:eastAsia="es-CO"/>
        </w:rPr>
        <w:t>, se tomará el mínimo dato entre el valor real de los otros activos y el arrojado por el modelo seleccionado y se calcula el cociente de dicho valor sobre el total de activos reportado por la empresa. El valor calculado, representará  el porcentaje de otros activos para cada empresa que se reconocerá en el Período Tarifario</w:t>
      </w:r>
      <w:r w:rsidR="00E42D58">
        <w:rPr>
          <w:rFonts w:ascii="Bookman Old Style" w:hAnsi="Bookman Old Style" w:cs="Helv"/>
          <w:color w:val="000000"/>
          <w:lang w:val="es-CO" w:eastAsia="es-CO"/>
        </w:rPr>
        <w:t>.</w:t>
      </w:r>
    </w:p>
    <w:p w:rsidR="00B76CE3" w:rsidRPr="006F177A" w:rsidRDefault="00B76CE3" w:rsidP="00B76CE3">
      <w:pPr>
        <w:ind w:left="0"/>
        <w:jc w:val="both"/>
        <w:rPr>
          <w:rFonts w:ascii="Bookman Old Style" w:hAnsi="Bookman Old Style" w:cs="Helv"/>
          <w:color w:val="000000"/>
          <w:lang w:val="es-CO" w:eastAsia="es-CO"/>
        </w:rPr>
      </w:pPr>
    </w:p>
    <w:p w:rsidR="000B65DE" w:rsidRDefault="000B65DE" w:rsidP="000B65DE">
      <w:pPr>
        <w:ind w:left="0"/>
        <w:jc w:val="both"/>
        <w:rPr>
          <w:rFonts w:ascii="Bookman Old Style" w:hAnsi="Bookman Old Style" w:cs="Helv"/>
          <w:color w:val="000000"/>
          <w:lang w:val="es-CO" w:eastAsia="es-CO"/>
        </w:rPr>
      </w:pPr>
      <w:r w:rsidRPr="000B65DE">
        <w:rPr>
          <w:rFonts w:ascii="Bookman Old Style" w:hAnsi="Bookman Old Style" w:cs="Helv"/>
          <w:color w:val="000000"/>
          <w:lang w:val="es-CO" w:eastAsia="es-CO"/>
        </w:rPr>
        <w:t xml:space="preserve">Las empresas que </w:t>
      </w:r>
      <w:r w:rsidR="00E42D58">
        <w:rPr>
          <w:rFonts w:ascii="Bookman Old Style" w:hAnsi="Bookman Old Style" w:cs="Helv"/>
          <w:color w:val="000000"/>
          <w:lang w:val="es-CO" w:eastAsia="es-CO"/>
        </w:rPr>
        <w:t>a la fecha de entrada de vigencia de la presente resolución que estén prestando el servicio, en sus respectivos mercados relevantes, y que hayan concluido su periodo tarifario  y no se encuent</w:t>
      </w:r>
      <w:r w:rsidRPr="000B65DE">
        <w:rPr>
          <w:rFonts w:ascii="Bookman Old Style" w:hAnsi="Bookman Old Style" w:cs="Helv"/>
          <w:color w:val="000000"/>
          <w:lang w:val="es-CO" w:eastAsia="es-CO"/>
        </w:rPr>
        <w:t>r</w:t>
      </w:r>
      <w:r w:rsidR="00E42D58">
        <w:rPr>
          <w:rFonts w:ascii="Bookman Old Style" w:hAnsi="Bookman Old Style" w:cs="Helv"/>
          <w:color w:val="000000"/>
          <w:lang w:val="es-CO" w:eastAsia="es-CO"/>
        </w:rPr>
        <w:t>e</w:t>
      </w:r>
      <w:r w:rsidRPr="000B65DE">
        <w:rPr>
          <w:rFonts w:ascii="Bookman Old Style" w:hAnsi="Bookman Old Style" w:cs="Helv"/>
          <w:color w:val="000000"/>
          <w:lang w:val="es-CO" w:eastAsia="es-CO"/>
        </w:rPr>
        <w:t xml:space="preserve">n en el </w:t>
      </w:r>
      <w:r w:rsidR="00E42D58">
        <w:rPr>
          <w:rFonts w:ascii="Bookman Old Style" w:hAnsi="Bookman Old Style" w:cs="Helv"/>
          <w:color w:val="000000"/>
          <w:lang w:val="es-CO" w:eastAsia="es-CO"/>
        </w:rPr>
        <w:t>universo de empresas del inciso anterior</w:t>
      </w:r>
      <w:r w:rsidRPr="000B65DE">
        <w:rPr>
          <w:rFonts w:ascii="Bookman Old Style" w:hAnsi="Bookman Old Style" w:cs="Helv"/>
          <w:color w:val="000000"/>
          <w:lang w:val="es-CO" w:eastAsia="es-CO"/>
        </w:rPr>
        <w:t xml:space="preserve">, se les reconocerá el </w:t>
      </w:r>
      <w:r w:rsidR="00E42D58">
        <w:rPr>
          <w:rFonts w:ascii="Bookman Old Style" w:hAnsi="Bookman Old Style" w:cs="Helv"/>
          <w:color w:val="000000"/>
          <w:lang w:val="es-CO" w:eastAsia="es-CO"/>
        </w:rPr>
        <w:t xml:space="preserve">90% del </w:t>
      </w:r>
      <w:r w:rsidRPr="000B65DE">
        <w:rPr>
          <w:rFonts w:ascii="Bookman Old Style" w:hAnsi="Bookman Old Style" w:cs="Helv"/>
          <w:color w:val="000000"/>
          <w:lang w:val="es-CO" w:eastAsia="es-CO"/>
        </w:rPr>
        <w:t xml:space="preserve">porcentaje (%) </w:t>
      </w:r>
      <w:r w:rsidR="00E42D58">
        <w:rPr>
          <w:rFonts w:ascii="Bookman Old Style" w:hAnsi="Bookman Old Style" w:cs="Helv"/>
          <w:color w:val="000000"/>
          <w:lang w:val="es-CO" w:eastAsia="es-CO"/>
        </w:rPr>
        <w:t>mínimo</w:t>
      </w:r>
      <w:r w:rsidRPr="000B65DE">
        <w:rPr>
          <w:rFonts w:ascii="Bookman Old Style" w:hAnsi="Bookman Old Style" w:cs="Helv"/>
          <w:color w:val="000000"/>
          <w:lang w:val="es-CO" w:eastAsia="es-CO"/>
        </w:rPr>
        <w:t xml:space="preserve"> reconocido de Otros Activos </w:t>
      </w:r>
      <w:r w:rsidRPr="006F177A">
        <w:rPr>
          <w:rFonts w:ascii="Bookman Old Style" w:hAnsi="Bookman Old Style" w:cs="Helv"/>
          <w:color w:val="000000"/>
          <w:lang w:val="es-CO" w:eastAsia="es-CO"/>
        </w:rPr>
        <w:t>de</w:t>
      </w:r>
      <w:r w:rsidR="006F177A" w:rsidRPr="006F177A">
        <w:rPr>
          <w:rFonts w:ascii="Bookman Old Style" w:hAnsi="Bookman Old Style" w:cs="Helv"/>
          <w:color w:val="000000"/>
          <w:lang w:val="es-CO" w:eastAsia="es-CO"/>
        </w:rPr>
        <w:t xml:space="preserve"> acuerdo con los resultados obtenidos.</w:t>
      </w:r>
    </w:p>
    <w:p w:rsidR="00930945" w:rsidRPr="006F177A" w:rsidRDefault="00930945" w:rsidP="000B65DE">
      <w:pPr>
        <w:ind w:left="0"/>
        <w:jc w:val="both"/>
        <w:rPr>
          <w:rFonts w:ascii="Bookman Old Style" w:hAnsi="Bookman Old Style" w:cs="Helv"/>
          <w:color w:val="000000"/>
          <w:lang w:val="es-CO" w:eastAsia="es-CO"/>
        </w:rPr>
      </w:pPr>
    </w:p>
    <w:p w:rsidR="00930945" w:rsidRPr="000B65DE" w:rsidRDefault="00930945" w:rsidP="00357C9C">
      <w:pPr>
        <w:ind w:hanging="567"/>
        <w:jc w:val="both"/>
        <w:rPr>
          <w:rFonts w:ascii="Bookman Old Style" w:hAnsi="Bookman Old Style" w:cs="Arial"/>
          <w:b/>
          <w:lang w:val="es-ES_tradnl" w:eastAsia="es-CO"/>
        </w:rPr>
      </w:pPr>
      <w:r w:rsidRPr="000B65DE">
        <w:rPr>
          <w:rFonts w:ascii="Bookman Old Style" w:hAnsi="Bookman Old Style" w:cs="Arial"/>
          <w:b/>
          <w:lang w:val="es-ES_tradnl" w:eastAsia="es-CO"/>
        </w:rPr>
        <w:t>9.</w:t>
      </w:r>
      <w:r>
        <w:rPr>
          <w:rFonts w:ascii="Bookman Old Style" w:hAnsi="Bookman Old Style" w:cs="Arial"/>
          <w:b/>
          <w:lang w:val="es-ES_tradnl" w:eastAsia="es-CO"/>
        </w:rPr>
        <w:t>2</w:t>
      </w:r>
      <w:r w:rsidRPr="000B65DE">
        <w:rPr>
          <w:rFonts w:ascii="Bookman Old Style" w:hAnsi="Bookman Old Style" w:cs="Arial"/>
          <w:b/>
          <w:lang w:val="es-ES_tradnl" w:eastAsia="es-CO"/>
        </w:rPr>
        <w:t>. Porcentaje de Otros activos para Mercados Relevantes de Distribución para el Siguiente Período Tarifario conformados a partir de Mercados Existentes o Agregación de Mercados Existentes de Distribución</w:t>
      </w:r>
      <w:r>
        <w:rPr>
          <w:rFonts w:ascii="Bookman Old Style" w:hAnsi="Bookman Old Style" w:cs="Arial"/>
          <w:b/>
          <w:lang w:val="es-ES_tradnl" w:eastAsia="es-CO"/>
        </w:rPr>
        <w:t xml:space="preserve"> de Periodos Tarifarios No Concluidos</w:t>
      </w:r>
      <w:r w:rsidRPr="000B65DE">
        <w:rPr>
          <w:rFonts w:ascii="Bookman Old Style" w:hAnsi="Bookman Old Style" w:cs="Arial"/>
          <w:b/>
          <w:lang w:val="es-ES_tradnl" w:eastAsia="es-CO"/>
        </w:rPr>
        <w:t>.</w:t>
      </w:r>
      <w:r w:rsidRPr="000B65DE" w:rsidDel="00302229">
        <w:rPr>
          <w:rFonts w:ascii="Bookman Old Style" w:hAnsi="Bookman Old Style" w:cs="Arial"/>
          <w:b/>
          <w:lang w:val="es-ES_tradnl" w:eastAsia="es-CO"/>
        </w:rPr>
        <w:t xml:space="preserve"> </w:t>
      </w:r>
    </w:p>
    <w:p w:rsidR="000B65DE" w:rsidRPr="00930945" w:rsidRDefault="000B65DE" w:rsidP="000B65DE">
      <w:pPr>
        <w:ind w:left="720"/>
        <w:jc w:val="both"/>
        <w:rPr>
          <w:rFonts w:ascii="Bookman Old Style" w:hAnsi="Bookman Old Style"/>
          <w:lang w:val="es-ES_tradnl"/>
        </w:rPr>
      </w:pPr>
    </w:p>
    <w:p w:rsidR="00883245" w:rsidRDefault="00883245" w:rsidP="00883245">
      <w:pPr>
        <w:ind w:left="0"/>
        <w:jc w:val="both"/>
        <w:rPr>
          <w:rFonts w:ascii="Bookman Old Style" w:hAnsi="Bookman Old Style" w:cs="Arial"/>
          <w:lang w:val="es-CO" w:eastAsia="es-CO"/>
        </w:rPr>
      </w:pPr>
      <w:r w:rsidRPr="00883245">
        <w:rPr>
          <w:rFonts w:ascii="Bookman Old Style" w:hAnsi="Bookman Old Style" w:cs="Helv"/>
          <w:color w:val="000000"/>
          <w:lang w:val="es-CO" w:eastAsia="es-CO"/>
        </w:rPr>
        <w:t xml:space="preserve">Para aquellos Mercados Existentes </w:t>
      </w:r>
      <w:r>
        <w:rPr>
          <w:rFonts w:ascii="Bookman Old Style" w:hAnsi="Bookman Old Style" w:cs="Helv"/>
          <w:color w:val="000000"/>
          <w:lang w:val="es-CO" w:eastAsia="es-CO"/>
        </w:rPr>
        <w:t>donde se esté prestando el servicio por empresas que no se encuentren en el universo de empresa</w:t>
      </w:r>
      <w:r w:rsidR="005F085E">
        <w:rPr>
          <w:rFonts w:ascii="Bookman Old Style" w:hAnsi="Bookman Old Style" w:cs="Helv"/>
          <w:color w:val="000000"/>
          <w:lang w:val="es-CO" w:eastAsia="es-CO"/>
        </w:rPr>
        <w:t>s</w:t>
      </w:r>
      <w:r>
        <w:rPr>
          <w:rFonts w:ascii="Bookman Old Style" w:hAnsi="Bookman Old Style" w:cs="Helv"/>
          <w:color w:val="000000"/>
          <w:lang w:val="es-CO" w:eastAsia="es-CO"/>
        </w:rPr>
        <w:t xml:space="preserve"> </w:t>
      </w:r>
      <w:r w:rsidR="00930945">
        <w:rPr>
          <w:rFonts w:ascii="Bookman Old Style" w:hAnsi="Bookman Old Style" w:cs="Helv"/>
          <w:color w:val="000000"/>
          <w:lang w:val="es-CO" w:eastAsia="es-CO"/>
        </w:rPr>
        <w:t xml:space="preserve">del numeral 9.1. del presente anexo </w:t>
      </w:r>
      <w:r>
        <w:rPr>
          <w:rFonts w:ascii="Bookman Old Style" w:hAnsi="Bookman Old Style" w:cs="Arial"/>
          <w:lang w:val="es-CO" w:eastAsia="es-CO"/>
        </w:rPr>
        <w:t>s</w:t>
      </w:r>
      <w:r w:rsidRPr="000B65DE">
        <w:rPr>
          <w:rFonts w:ascii="Bookman Old Style" w:hAnsi="Bookman Old Style" w:cs="Arial"/>
          <w:lang w:val="es-CO" w:eastAsia="es-CO"/>
        </w:rPr>
        <w:t>e toma</w:t>
      </w:r>
      <w:r>
        <w:rPr>
          <w:rFonts w:ascii="Bookman Old Style" w:hAnsi="Bookman Old Style" w:cs="Arial"/>
          <w:lang w:val="es-CO" w:eastAsia="es-CO"/>
        </w:rPr>
        <w:t>rá</w:t>
      </w:r>
      <w:r w:rsidRPr="000B65DE">
        <w:rPr>
          <w:rFonts w:ascii="Bookman Old Style" w:hAnsi="Bookman Old Style" w:cs="Arial"/>
          <w:lang w:val="es-CO" w:eastAsia="es-CO"/>
        </w:rPr>
        <w:t xml:space="preserve"> el valor de los Otros activos reportado por la empresa en la solicitud tarifaria y se compara con el valor de los Otros activos estimado a partir de la </w:t>
      </w:r>
      <w:r>
        <w:rPr>
          <w:rFonts w:ascii="Bookman Old Style" w:hAnsi="Bookman Old Style" w:cs="Arial"/>
          <w:lang w:val="es-CO" w:eastAsia="es-CO"/>
        </w:rPr>
        <w:t>función establecida</w:t>
      </w:r>
      <w:r w:rsidRPr="000B65DE">
        <w:rPr>
          <w:rFonts w:ascii="Bookman Old Style" w:hAnsi="Bookman Old Style" w:cs="Arial"/>
          <w:lang w:val="es-CO" w:eastAsia="es-CO"/>
        </w:rPr>
        <w:t xml:space="preserve">. El valor de Otros activos eficiente que se reconocerá para la empresa será el mínimo valor entre el valor de los Otros activos estimado y el reportado. </w:t>
      </w:r>
    </w:p>
    <w:p w:rsidR="00883245" w:rsidRPr="00883245" w:rsidRDefault="00883245" w:rsidP="00883245">
      <w:pPr>
        <w:ind w:left="0"/>
        <w:jc w:val="both"/>
        <w:rPr>
          <w:rFonts w:ascii="Bookman Old Style" w:hAnsi="Bookman Old Style" w:cs="Helv"/>
          <w:color w:val="000000"/>
          <w:lang w:val="es-CO" w:eastAsia="es-CO"/>
        </w:rPr>
      </w:pPr>
    </w:p>
    <w:p w:rsidR="000B65DE" w:rsidRPr="00357C9C" w:rsidRDefault="00883245" w:rsidP="00357C9C">
      <w:pPr>
        <w:ind w:hanging="567"/>
        <w:jc w:val="both"/>
        <w:rPr>
          <w:rFonts w:ascii="Bookman Old Style" w:hAnsi="Bookman Old Style" w:cs="Arial"/>
          <w:b/>
          <w:lang w:val="es-ES_tradnl" w:eastAsia="es-CO"/>
        </w:rPr>
      </w:pPr>
      <w:r>
        <w:rPr>
          <w:rFonts w:ascii="Bookman Old Style" w:hAnsi="Bookman Old Style" w:cs="Arial"/>
          <w:b/>
          <w:lang w:val="es-ES_tradnl" w:eastAsia="es-CO"/>
        </w:rPr>
        <w:t>9.</w:t>
      </w:r>
      <w:r w:rsidR="00930945">
        <w:rPr>
          <w:rFonts w:ascii="Bookman Old Style" w:hAnsi="Bookman Old Style" w:cs="Arial"/>
          <w:b/>
          <w:lang w:val="es-ES_tradnl" w:eastAsia="es-CO"/>
        </w:rPr>
        <w:t>3</w:t>
      </w:r>
      <w:r>
        <w:rPr>
          <w:rFonts w:ascii="Bookman Old Style" w:hAnsi="Bookman Old Style" w:cs="Arial"/>
          <w:b/>
          <w:lang w:val="es-ES_tradnl" w:eastAsia="es-CO"/>
        </w:rPr>
        <w:t xml:space="preserve">. </w:t>
      </w:r>
      <w:r w:rsidR="000B65DE" w:rsidRPr="000B65DE">
        <w:rPr>
          <w:rFonts w:ascii="Bookman Old Style" w:hAnsi="Bookman Old Style" w:cs="Arial"/>
          <w:b/>
          <w:lang w:val="es-ES_tradnl" w:eastAsia="es-CO"/>
        </w:rPr>
        <w:t>Valor de Otros Activos a Reconocer en  Mercados Relevantes de Distribución para el Siguiente Período Tarifario conformados por Municipios Nuevos.</w:t>
      </w:r>
      <w:r w:rsidR="000B65DE" w:rsidRPr="000B65DE" w:rsidDel="006D7EB5">
        <w:rPr>
          <w:rFonts w:ascii="Bookman Old Style" w:hAnsi="Bookman Old Style" w:cs="Arial"/>
          <w:b/>
          <w:lang w:val="es-ES_tradnl" w:eastAsia="es-CO"/>
        </w:rPr>
        <w:t xml:space="preserve"> </w:t>
      </w:r>
    </w:p>
    <w:p w:rsidR="000B65DE" w:rsidRPr="000B65DE" w:rsidRDefault="000B65DE" w:rsidP="000B65DE">
      <w:pPr>
        <w:ind w:left="0"/>
        <w:jc w:val="both"/>
        <w:rPr>
          <w:rFonts w:ascii="Bookman Old Style" w:hAnsi="Bookman Old Style" w:cs="Arial"/>
          <w:b/>
          <w:lang w:val="es-ES_tradnl" w:eastAsia="es-CO"/>
        </w:rPr>
      </w:pPr>
    </w:p>
    <w:p w:rsidR="000B65DE" w:rsidRPr="000B65DE" w:rsidRDefault="006F177A" w:rsidP="000B65DE">
      <w:pPr>
        <w:ind w:left="0"/>
        <w:jc w:val="both"/>
        <w:rPr>
          <w:rFonts w:ascii="Bookman Old Style" w:hAnsi="Bookman Old Style" w:cs="Arial"/>
          <w:lang w:val="es-ES_tradnl" w:eastAsia="es-CO"/>
        </w:rPr>
      </w:pPr>
      <w:r>
        <w:rPr>
          <w:rFonts w:ascii="Bookman Old Style" w:hAnsi="Bookman Old Style" w:cs="Arial"/>
          <w:lang w:val="es-ES_tradnl" w:eastAsia="es-CO"/>
        </w:rPr>
        <w:t>Se estimará un</w:t>
      </w:r>
      <w:r w:rsidR="000B65DE" w:rsidRPr="000B65DE">
        <w:rPr>
          <w:rFonts w:ascii="Bookman Old Style" w:hAnsi="Bookman Old Style" w:cs="Arial"/>
          <w:lang w:val="es-ES_tradnl" w:eastAsia="es-CO"/>
        </w:rPr>
        <w:t xml:space="preserve"> valor de otros activos para los Mercados Relevantes de Distribución </w:t>
      </w:r>
      <w:r>
        <w:rPr>
          <w:rFonts w:ascii="Bookman Old Style" w:hAnsi="Bookman Old Style" w:cs="Arial"/>
          <w:lang w:val="es-ES_tradnl" w:eastAsia="es-CO"/>
        </w:rPr>
        <w:t>conformados por Municipios Nuevos de acuerdo a la funció</w:t>
      </w:r>
      <w:r w:rsidR="00E42D58">
        <w:rPr>
          <w:rFonts w:ascii="Bookman Old Style" w:hAnsi="Bookman Old Style" w:cs="Arial"/>
          <w:lang w:val="es-ES_tradnl" w:eastAsia="es-CO"/>
        </w:rPr>
        <w:t>n obtenida del numeral anterior.</w:t>
      </w:r>
    </w:p>
    <w:p w:rsidR="006F177A" w:rsidRDefault="006F177A" w:rsidP="006F177A">
      <w:pPr>
        <w:ind w:left="0"/>
        <w:jc w:val="both"/>
        <w:rPr>
          <w:rFonts w:ascii="Bookman Old Style" w:hAnsi="Bookman Old Style" w:cs="Arial"/>
          <w:lang w:val="es-ES_tradnl" w:eastAsia="es-CO"/>
        </w:rPr>
      </w:pPr>
    </w:p>
    <w:p w:rsidR="000B65DE" w:rsidRDefault="000B65DE" w:rsidP="006F177A">
      <w:pPr>
        <w:ind w:left="0"/>
        <w:jc w:val="both"/>
        <w:rPr>
          <w:rFonts w:ascii="Bookman Old Style" w:hAnsi="Bookman Old Style" w:cs="Arial"/>
          <w:lang w:val="es-CO" w:eastAsia="es-CO"/>
        </w:rPr>
      </w:pPr>
      <w:r w:rsidRPr="000B65DE">
        <w:rPr>
          <w:rFonts w:ascii="Bookman Old Style" w:hAnsi="Bookman Old Style" w:cs="Arial"/>
          <w:lang w:val="es-CO" w:eastAsia="es-CO"/>
        </w:rPr>
        <w:t>Se toma</w:t>
      </w:r>
      <w:r w:rsidR="006F177A">
        <w:rPr>
          <w:rFonts w:ascii="Bookman Old Style" w:hAnsi="Bookman Old Style" w:cs="Arial"/>
          <w:lang w:val="es-CO" w:eastAsia="es-CO"/>
        </w:rPr>
        <w:t>rá</w:t>
      </w:r>
      <w:r w:rsidRPr="000B65DE">
        <w:rPr>
          <w:rFonts w:ascii="Bookman Old Style" w:hAnsi="Bookman Old Style" w:cs="Arial"/>
          <w:lang w:val="es-CO" w:eastAsia="es-CO"/>
        </w:rPr>
        <w:t xml:space="preserve"> el valor de los Otros activos reportado por la empresa en la solicitud tarifaria y se compara con el valor de los Otros activos estimado a partir de la </w:t>
      </w:r>
      <w:r w:rsidR="006F177A">
        <w:rPr>
          <w:rFonts w:ascii="Bookman Old Style" w:hAnsi="Bookman Old Style" w:cs="Arial"/>
          <w:lang w:val="es-CO" w:eastAsia="es-CO"/>
        </w:rPr>
        <w:t>función establecida</w:t>
      </w:r>
      <w:r w:rsidRPr="000B65DE">
        <w:rPr>
          <w:rFonts w:ascii="Bookman Old Style" w:hAnsi="Bookman Old Style" w:cs="Arial"/>
          <w:lang w:val="es-CO" w:eastAsia="es-CO"/>
        </w:rPr>
        <w:t xml:space="preserve">. El valor de Otros activos eficiente que se reconocerá para la empresa será el mínimo valor entre el valor de los Otros activos estimado y el reportado. </w:t>
      </w:r>
    </w:p>
    <w:p w:rsidR="006F177A" w:rsidRDefault="006F177A" w:rsidP="006F177A">
      <w:pPr>
        <w:ind w:left="0"/>
        <w:jc w:val="both"/>
        <w:rPr>
          <w:rFonts w:ascii="Bookman Old Style" w:hAnsi="Bookman Old Style" w:cs="Arial"/>
          <w:lang w:val="es-CO" w:eastAsia="es-CO"/>
        </w:rPr>
      </w:pPr>
    </w:p>
    <w:p w:rsidR="006F177A" w:rsidRDefault="006F177A" w:rsidP="006F177A">
      <w:pPr>
        <w:ind w:left="0"/>
        <w:jc w:val="both"/>
        <w:rPr>
          <w:rFonts w:ascii="Bookman Old Style" w:hAnsi="Bookman Old Style" w:cs="Arial"/>
          <w:lang w:val="es-CO" w:eastAsia="es-CO"/>
        </w:rPr>
      </w:pPr>
    </w:p>
    <w:p w:rsidR="006F177A" w:rsidRDefault="006F177A" w:rsidP="006F177A">
      <w:pPr>
        <w:ind w:left="0"/>
        <w:jc w:val="both"/>
        <w:rPr>
          <w:rFonts w:ascii="Bookman Old Style" w:hAnsi="Bookman Old Style" w:cs="Arial"/>
          <w:lang w:val="es-CO" w:eastAsia="es-CO"/>
        </w:rPr>
      </w:pPr>
    </w:p>
    <w:p w:rsidR="006F177A" w:rsidRDefault="006F177A" w:rsidP="006F177A">
      <w:pPr>
        <w:ind w:left="0"/>
        <w:jc w:val="both"/>
        <w:rPr>
          <w:rFonts w:ascii="Bookman Old Style" w:hAnsi="Bookman Old Style" w:cs="Arial"/>
          <w:lang w:val="es-CO" w:eastAsia="es-CO"/>
        </w:rPr>
      </w:pPr>
    </w:p>
    <w:p w:rsidR="000B65DE" w:rsidRPr="000B65DE" w:rsidRDefault="000B65DE" w:rsidP="000B65DE">
      <w:pPr>
        <w:spacing w:after="200"/>
        <w:ind w:left="0"/>
        <w:jc w:val="both"/>
        <w:rPr>
          <w:rFonts w:ascii="Bookman Old Style" w:hAnsi="Bookman Old Style" w:cs="Helv"/>
          <w:color w:val="000000"/>
          <w:szCs w:val="20"/>
          <w:lang w:val="es-CO" w:eastAsia="es-CO"/>
        </w:rPr>
      </w:pPr>
      <w:bookmarkStart w:id="50" w:name="_Ref289349037"/>
    </w:p>
    <w:tbl>
      <w:tblPr>
        <w:tblW w:w="9570" w:type="dxa"/>
        <w:jc w:val="right"/>
        <w:tblLayout w:type="fixed"/>
        <w:tblCellMar>
          <w:left w:w="70" w:type="dxa"/>
          <w:right w:w="70" w:type="dxa"/>
        </w:tblCellMar>
        <w:tblLook w:val="04A0" w:firstRow="1" w:lastRow="0" w:firstColumn="1" w:lastColumn="0" w:noHBand="0" w:noVBand="1"/>
      </w:tblPr>
      <w:tblGrid>
        <w:gridCol w:w="4875"/>
        <w:gridCol w:w="4695"/>
      </w:tblGrid>
      <w:tr w:rsidR="00CA0643" w:rsidRPr="000B65DE" w:rsidTr="00CA0643">
        <w:trPr>
          <w:jc w:val="right"/>
        </w:trPr>
        <w:tc>
          <w:tcPr>
            <w:tcW w:w="4875" w:type="dxa"/>
            <w:hideMark/>
          </w:tcPr>
          <w:p w:rsidR="00CA0643" w:rsidRPr="000B65DE" w:rsidRDefault="00CA0643" w:rsidP="00B76CE3">
            <w:pPr>
              <w:ind w:left="0"/>
              <w:jc w:val="center"/>
              <w:rPr>
                <w:rFonts w:ascii="Bookman Old Style" w:hAnsi="Bookman Old Style" w:cs="Arial"/>
                <w:b/>
                <w:spacing w:val="-3"/>
                <w:lang w:val="es-ES_tradnl"/>
              </w:rPr>
            </w:pPr>
            <w:r>
              <w:rPr>
                <w:rFonts w:ascii="Bookman Old Style" w:hAnsi="Bookman Old Style" w:cs="Arial"/>
                <w:b/>
                <w:color w:val="000000"/>
              </w:rPr>
              <w:t>ORLANDO CABRALES SEGOVIA</w:t>
            </w:r>
          </w:p>
        </w:tc>
        <w:tc>
          <w:tcPr>
            <w:tcW w:w="4695" w:type="dxa"/>
            <w:hideMark/>
          </w:tcPr>
          <w:p w:rsidR="00CA0643" w:rsidRPr="000B65DE" w:rsidRDefault="00CA0643" w:rsidP="00B76CE3">
            <w:pPr>
              <w:ind w:left="161" w:right="567"/>
              <w:jc w:val="center"/>
              <w:rPr>
                <w:rFonts w:ascii="Bookman Old Style" w:hAnsi="Bookman Old Style" w:cs="Arial"/>
                <w:b/>
                <w:spacing w:val="-3"/>
                <w:lang w:val="es-ES_tradnl"/>
              </w:rPr>
            </w:pPr>
            <w:r w:rsidRPr="000B65DE">
              <w:rPr>
                <w:rFonts w:ascii="Bookman Old Style" w:hAnsi="Bookman Old Style" w:cs="Arial"/>
                <w:b/>
                <w:spacing w:val="-3"/>
                <w:lang w:val="es-ES_tradnl"/>
              </w:rPr>
              <w:t>GERMÁN CASTRO FERREIRA</w:t>
            </w:r>
          </w:p>
        </w:tc>
      </w:tr>
      <w:tr w:rsidR="00CA0643" w:rsidRPr="000B65DE" w:rsidTr="00CA0643">
        <w:trPr>
          <w:jc w:val="right"/>
        </w:trPr>
        <w:tc>
          <w:tcPr>
            <w:tcW w:w="4875" w:type="dxa"/>
            <w:hideMark/>
          </w:tcPr>
          <w:tbl>
            <w:tblPr>
              <w:tblW w:w="4891" w:type="dxa"/>
              <w:tblLayout w:type="fixed"/>
              <w:tblCellMar>
                <w:left w:w="0" w:type="dxa"/>
                <w:right w:w="0" w:type="dxa"/>
              </w:tblCellMar>
              <w:tblLook w:val="04A0" w:firstRow="1" w:lastRow="0" w:firstColumn="1" w:lastColumn="0" w:noHBand="0" w:noVBand="1"/>
            </w:tblPr>
            <w:tblGrid>
              <w:gridCol w:w="4891"/>
            </w:tblGrid>
            <w:tr w:rsidR="00CA0643" w:rsidTr="00B76CE3">
              <w:tc>
                <w:tcPr>
                  <w:tcW w:w="4891" w:type="dxa"/>
                  <w:hideMark/>
                </w:tcPr>
                <w:p w:rsidR="00CA0643" w:rsidRDefault="00CA0643" w:rsidP="00B76CE3">
                  <w:pPr>
                    <w:snapToGrid w:val="0"/>
                    <w:ind w:left="0"/>
                    <w:jc w:val="center"/>
                    <w:rPr>
                      <w:rFonts w:ascii="Bookman Old Style" w:hAnsi="Bookman Old Style" w:cs="Arial"/>
                      <w:color w:val="000000"/>
                    </w:rPr>
                  </w:pPr>
                  <w:r>
                    <w:rPr>
                      <w:rFonts w:ascii="Bookman Old Style" w:hAnsi="Bookman Old Style" w:cs="Arial"/>
                      <w:color w:val="000000"/>
                    </w:rPr>
                    <w:t>Viceministro de Energía</w:t>
                  </w:r>
                </w:p>
                <w:p w:rsidR="00CA0643" w:rsidRDefault="00CA0643" w:rsidP="00B76CE3">
                  <w:pPr>
                    <w:snapToGrid w:val="0"/>
                    <w:ind w:left="0"/>
                    <w:jc w:val="center"/>
                    <w:rPr>
                      <w:rFonts w:ascii="Bookman Old Style" w:hAnsi="Bookman Old Style" w:cs="Arial"/>
                      <w:color w:val="000000"/>
                    </w:rPr>
                  </w:pPr>
                  <w:r>
                    <w:rPr>
                      <w:rFonts w:ascii="Bookman Old Style" w:hAnsi="Bookman Old Style" w:cs="Arial"/>
                      <w:color w:val="000000"/>
                    </w:rPr>
                    <w:t>Delegado del Ministro de Minas y Energía</w:t>
                  </w:r>
                </w:p>
              </w:tc>
            </w:tr>
            <w:tr w:rsidR="00CA0643" w:rsidTr="00B76CE3">
              <w:trPr>
                <w:trHeight w:val="80"/>
              </w:trPr>
              <w:tc>
                <w:tcPr>
                  <w:tcW w:w="4891" w:type="dxa"/>
                  <w:hideMark/>
                </w:tcPr>
                <w:p w:rsidR="00CA0643" w:rsidRDefault="00CA0643" w:rsidP="00B76CE3">
                  <w:pPr>
                    <w:snapToGrid w:val="0"/>
                    <w:ind w:left="0"/>
                    <w:jc w:val="center"/>
                    <w:rPr>
                      <w:rFonts w:ascii="Bookman Old Style" w:hAnsi="Bookman Old Style" w:cs="Arial"/>
                      <w:color w:val="000000"/>
                    </w:rPr>
                  </w:pPr>
                  <w:r>
                    <w:rPr>
                      <w:rFonts w:ascii="Bookman Old Style" w:hAnsi="Bookman Old Style" w:cs="Arial"/>
                      <w:color w:val="000000"/>
                    </w:rPr>
                    <w:t>Presidente</w:t>
                  </w:r>
                </w:p>
              </w:tc>
            </w:tr>
          </w:tbl>
          <w:p w:rsidR="00CA0643" w:rsidRPr="000B65DE" w:rsidRDefault="00CA0643" w:rsidP="00B76CE3">
            <w:pPr>
              <w:ind w:left="0"/>
              <w:jc w:val="center"/>
              <w:rPr>
                <w:rFonts w:ascii="Bookman Old Style" w:hAnsi="Bookman Old Style" w:cs="Arial"/>
                <w:spacing w:val="-3"/>
                <w:lang w:val="es-ES_tradnl"/>
              </w:rPr>
            </w:pPr>
          </w:p>
        </w:tc>
        <w:tc>
          <w:tcPr>
            <w:tcW w:w="4695" w:type="dxa"/>
            <w:hideMark/>
          </w:tcPr>
          <w:p w:rsidR="00CA0643" w:rsidRPr="000B65DE" w:rsidRDefault="00CA0643" w:rsidP="00CA0643">
            <w:pPr>
              <w:ind w:left="19"/>
              <w:jc w:val="center"/>
              <w:rPr>
                <w:rFonts w:ascii="Bookman Old Style" w:hAnsi="Bookman Old Style" w:cs="Arial"/>
                <w:spacing w:val="-3"/>
                <w:lang w:val="es-ES_tradnl"/>
              </w:rPr>
            </w:pPr>
            <w:r w:rsidRPr="000B65DE">
              <w:rPr>
                <w:rFonts w:ascii="Bookman Old Style" w:hAnsi="Bookman Old Style" w:cs="Arial"/>
                <w:spacing w:val="-3"/>
                <w:lang w:val="es-ES_tradnl"/>
              </w:rPr>
              <w:t>Director Ejecutivo</w:t>
            </w:r>
          </w:p>
        </w:tc>
      </w:tr>
      <w:tr w:rsidR="00CA0643" w:rsidRPr="000B65DE" w:rsidTr="00CA0643">
        <w:trPr>
          <w:jc w:val="right"/>
        </w:trPr>
        <w:tc>
          <w:tcPr>
            <w:tcW w:w="4875" w:type="dxa"/>
          </w:tcPr>
          <w:p w:rsidR="00CA0643" w:rsidRPr="000B65DE" w:rsidRDefault="00CA0643" w:rsidP="00B76CE3">
            <w:pPr>
              <w:ind w:left="0"/>
              <w:jc w:val="center"/>
              <w:rPr>
                <w:rFonts w:ascii="Bookman Old Style" w:hAnsi="Bookman Old Style" w:cs="Arial"/>
                <w:b/>
                <w:spacing w:val="-3"/>
                <w:lang w:val="es-ES_tradnl"/>
              </w:rPr>
            </w:pPr>
          </w:p>
        </w:tc>
        <w:tc>
          <w:tcPr>
            <w:tcW w:w="4695" w:type="dxa"/>
          </w:tcPr>
          <w:p w:rsidR="00CA0643" w:rsidRPr="000B65DE" w:rsidRDefault="00CA0643" w:rsidP="00B76CE3">
            <w:pPr>
              <w:ind w:left="161" w:right="567"/>
              <w:jc w:val="center"/>
              <w:rPr>
                <w:rFonts w:ascii="Bookman Old Style" w:hAnsi="Bookman Old Style" w:cs="Arial"/>
                <w:b/>
                <w:spacing w:val="-3"/>
                <w:lang w:val="es-ES_tradnl"/>
              </w:rPr>
            </w:pPr>
          </w:p>
        </w:tc>
      </w:tr>
    </w:tbl>
    <w:p w:rsidR="000B65DE" w:rsidRPr="000B65DE" w:rsidRDefault="000B65DE" w:rsidP="000B65DE">
      <w:pPr>
        <w:spacing w:after="200"/>
        <w:ind w:left="0"/>
        <w:jc w:val="both"/>
        <w:rPr>
          <w:rFonts w:ascii="Bookman Old Style" w:eastAsia="Calibri" w:hAnsi="Bookman Old Style"/>
          <w:lang w:val="es-CO" w:eastAsia="en-US"/>
        </w:rPr>
      </w:pPr>
      <w:r w:rsidRPr="000B65DE">
        <w:rPr>
          <w:rFonts w:ascii="Bookman Old Style" w:eastAsia="Calibri" w:hAnsi="Bookman Old Style"/>
          <w:lang w:val="es-CO" w:eastAsia="en-US"/>
        </w:rPr>
        <w:br w:type="page"/>
      </w:r>
    </w:p>
    <w:p w:rsidR="000B65DE" w:rsidRPr="000B65DE" w:rsidRDefault="000B65DE" w:rsidP="000B65DE">
      <w:pPr>
        <w:ind w:left="0"/>
        <w:rPr>
          <w:rFonts w:ascii="Bookman Old Style" w:hAnsi="Bookman Old Style"/>
          <w:b/>
          <w:lang w:val="es-ES_tradnl"/>
        </w:rPr>
      </w:pPr>
    </w:p>
    <w:p w:rsidR="000B65DE" w:rsidRPr="000B65DE" w:rsidRDefault="000B65DE" w:rsidP="008F4D9F">
      <w:pPr>
        <w:numPr>
          <w:ilvl w:val="0"/>
          <w:numId w:val="14"/>
        </w:numPr>
        <w:jc w:val="center"/>
        <w:outlineLvl w:val="0"/>
        <w:rPr>
          <w:rFonts w:ascii="Bookman Old Style" w:hAnsi="Bookman Old Style"/>
          <w:b/>
          <w:lang w:val="es-ES_tradnl"/>
        </w:rPr>
      </w:pPr>
      <w:bookmarkStart w:id="51" w:name="_Ref329866842"/>
    </w:p>
    <w:bookmarkEnd w:id="50"/>
    <w:bookmarkEnd w:id="51"/>
    <w:p w:rsidR="000B65DE" w:rsidRPr="000B65DE" w:rsidRDefault="000B65DE" w:rsidP="000B65DE">
      <w:pPr>
        <w:ind w:left="0"/>
        <w:jc w:val="both"/>
        <w:rPr>
          <w:rFonts w:ascii="Bookman Old Style" w:hAnsi="Bookman Old Style" w:cs="Arial"/>
          <w:b/>
          <w:lang w:val="es-MX"/>
        </w:rPr>
      </w:pPr>
    </w:p>
    <w:p w:rsidR="000B65DE" w:rsidRPr="000B65DE" w:rsidRDefault="000B65DE" w:rsidP="000B65DE">
      <w:pPr>
        <w:ind w:left="0"/>
        <w:jc w:val="center"/>
        <w:outlineLvl w:val="0"/>
        <w:rPr>
          <w:rFonts w:ascii="Bookman Old Style" w:hAnsi="Bookman Old Style"/>
          <w:b/>
          <w:lang w:val="es-ES_tradnl"/>
        </w:rPr>
      </w:pPr>
      <w:r w:rsidRPr="000B65DE">
        <w:rPr>
          <w:rFonts w:ascii="Bookman Old Style" w:hAnsi="Bookman Old Style"/>
          <w:b/>
          <w:lang w:val="es-ES_tradnl"/>
        </w:rPr>
        <w:t>METODOLOGÍA PARA ESTABLECER EL COSTO EFICIENTE DE ADMINISTRACIÓN, OPERACIÓN Y MANTENIMIENTO –AOM- DE LA ACTIVIDAD DE DISTRIBUCIÓN DE GAS COMBUSTIBLE</w:t>
      </w:r>
    </w:p>
    <w:p w:rsidR="000B65DE" w:rsidRPr="000B65DE" w:rsidRDefault="000B65DE" w:rsidP="000B65DE">
      <w:pPr>
        <w:spacing w:before="100" w:beforeAutospacing="1" w:after="100" w:afterAutospacing="1"/>
        <w:ind w:left="0"/>
        <w:jc w:val="both"/>
        <w:rPr>
          <w:rFonts w:ascii="Bookman Old Style" w:hAnsi="Bookman Old Style" w:cs="Arial"/>
          <w:lang w:val="es-ES_tradnl" w:eastAsia="es-CO"/>
        </w:rPr>
      </w:pPr>
      <w:r w:rsidRPr="000B65DE">
        <w:rPr>
          <w:rFonts w:ascii="Bookman Old Style" w:hAnsi="Bookman Old Style" w:cs="Arial"/>
          <w:lang w:val="es-ES_tradnl" w:eastAsia="es-CO"/>
        </w:rPr>
        <w:t xml:space="preserve">Para establecer los gastos eficientes de Administración, Operación y Mantenimiento que se remunerarán en </w:t>
      </w:r>
      <w:r w:rsidR="00881242">
        <w:rPr>
          <w:rFonts w:ascii="Bookman Old Style" w:hAnsi="Bookman Old Style" w:cs="Arial"/>
          <w:lang w:val="es-ES_tradnl" w:eastAsia="es-CO"/>
        </w:rPr>
        <w:t>los C</w:t>
      </w:r>
      <w:r w:rsidRPr="000B65DE">
        <w:rPr>
          <w:rFonts w:ascii="Bookman Old Style" w:hAnsi="Bookman Old Style" w:cs="Arial"/>
          <w:lang w:val="es-ES_tradnl" w:eastAsia="es-CO"/>
        </w:rPr>
        <w:t>argo</w:t>
      </w:r>
      <w:r w:rsidR="00881242">
        <w:rPr>
          <w:rFonts w:ascii="Bookman Old Style" w:hAnsi="Bookman Old Style" w:cs="Arial"/>
          <w:lang w:val="es-ES_tradnl" w:eastAsia="es-CO"/>
        </w:rPr>
        <w:t>s de D</w:t>
      </w:r>
      <w:r w:rsidRPr="000B65DE">
        <w:rPr>
          <w:rFonts w:ascii="Bookman Old Style" w:hAnsi="Bookman Old Style" w:cs="Arial"/>
          <w:lang w:val="es-ES_tradnl" w:eastAsia="es-CO"/>
        </w:rPr>
        <w:t xml:space="preserve">istribución de gas combustible, se adoptará la metodología de </w:t>
      </w:r>
      <w:r w:rsidR="00881242">
        <w:rPr>
          <w:rFonts w:ascii="Bookman Old Style" w:hAnsi="Bookman Old Style" w:cs="Arial"/>
          <w:lang w:val="es-ES_tradnl" w:eastAsia="es-CO"/>
        </w:rPr>
        <w:t>F</w:t>
      </w:r>
      <w:r w:rsidRPr="000B65DE">
        <w:rPr>
          <w:rFonts w:ascii="Bookman Old Style" w:hAnsi="Bookman Old Style" w:cs="Arial"/>
          <w:lang w:val="es-ES_tradnl" w:eastAsia="es-CO"/>
        </w:rPr>
        <w:t xml:space="preserve">rontera </w:t>
      </w:r>
      <w:r w:rsidR="00881242">
        <w:rPr>
          <w:rFonts w:ascii="Bookman Old Style" w:hAnsi="Bookman Old Style" w:cs="Arial"/>
          <w:lang w:val="es-ES_tradnl" w:eastAsia="es-CO"/>
        </w:rPr>
        <w:t>E</w:t>
      </w:r>
      <w:r w:rsidRPr="000B65DE">
        <w:rPr>
          <w:rFonts w:ascii="Bookman Old Style" w:hAnsi="Bookman Old Style" w:cs="Arial"/>
          <w:lang w:val="es-ES_tradnl" w:eastAsia="es-CO"/>
        </w:rPr>
        <w:t xml:space="preserve">stocástica de </w:t>
      </w:r>
      <w:r w:rsidR="00881242">
        <w:rPr>
          <w:rFonts w:ascii="Bookman Old Style" w:hAnsi="Bookman Old Style" w:cs="Arial"/>
          <w:lang w:val="es-ES_tradnl" w:eastAsia="es-CO"/>
        </w:rPr>
        <w:t>C</w:t>
      </w:r>
      <w:r w:rsidRPr="000B65DE">
        <w:rPr>
          <w:rFonts w:ascii="Bookman Old Style" w:hAnsi="Bookman Old Style" w:cs="Arial"/>
          <w:lang w:val="es-ES_tradnl" w:eastAsia="es-CO"/>
        </w:rPr>
        <w:t>ostos y se aplicará de acuerdo con la conformación de los Mercado(s) Relevante(s)</w:t>
      </w:r>
      <w:r w:rsidR="00881242">
        <w:rPr>
          <w:rFonts w:ascii="Bookman Old Style" w:hAnsi="Bookman Old Style" w:cs="Arial"/>
          <w:lang w:val="es-ES_tradnl" w:eastAsia="es-CO"/>
        </w:rPr>
        <w:t xml:space="preserve"> de Distribución para el Siguiente Periodo Tarifario</w:t>
      </w:r>
      <w:r w:rsidRPr="000B65DE">
        <w:rPr>
          <w:rFonts w:ascii="Bookman Old Style" w:hAnsi="Bookman Old Style" w:cs="Arial"/>
          <w:lang w:val="es-ES_tradnl" w:eastAsia="es-CO"/>
        </w:rPr>
        <w:t xml:space="preserve">. </w:t>
      </w:r>
    </w:p>
    <w:p w:rsidR="000B65DE" w:rsidRPr="000B65DE" w:rsidRDefault="000B65DE" w:rsidP="000B65DE">
      <w:pPr>
        <w:spacing w:before="100" w:beforeAutospacing="1" w:after="100" w:afterAutospacing="1"/>
        <w:ind w:left="851" w:hanging="851"/>
        <w:jc w:val="both"/>
        <w:rPr>
          <w:rFonts w:ascii="Bookman Old Style" w:hAnsi="Bookman Old Style" w:cs="Arial"/>
          <w:lang w:val="es-ES_tradnl" w:eastAsia="es-CO"/>
        </w:rPr>
      </w:pPr>
      <w:r w:rsidRPr="000B65DE">
        <w:rPr>
          <w:rFonts w:ascii="Bookman Old Style" w:hAnsi="Bookman Old Style" w:cs="Arial"/>
          <w:b/>
          <w:lang w:val="es-ES_tradnl" w:eastAsia="es-CO"/>
        </w:rPr>
        <w:t>10.1. Determinación del AOM eficiente para Mercados Relevantes de Distribución para el Siguiente Período Tarifario conformados a partir de Mercados Existentes o Agregación de Mercados Existentes de Distribución</w:t>
      </w:r>
      <w:r w:rsidR="00930945">
        <w:rPr>
          <w:rFonts w:ascii="Bookman Old Style" w:hAnsi="Bookman Old Style" w:cs="Arial"/>
          <w:b/>
          <w:lang w:val="es-ES_tradnl" w:eastAsia="es-CO"/>
        </w:rPr>
        <w:t xml:space="preserve"> de Periodos Tarifarios Concluidos</w:t>
      </w:r>
      <w:r w:rsidRPr="000B65DE">
        <w:rPr>
          <w:rFonts w:ascii="Bookman Old Style" w:hAnsi="Bookman Old Style" w:cs="Arial"/>
          <w:b/>
          <w:lang w:val="es-ES_tradnl" w:eastAsia="es-CO"/>
        </w:rPr>
        <w:t>.</w:t>
      </w:r>
    </w:p>
    <w:p w:rsidR="000B65DE" w:rsidRPr="000B65DE" w:rsidRDefault="00881242" w:rsidP="000B65DE">
      <w:pPr>
        <w:ind w:left="0"/>
        <w:jc w:val="both"/>
        <w:rPr>
          <w:rFonts w:ascii="Bookman Old Style" w:hAnsi="Bookman Old Style" w:cs="Arial"/>
          <w:lang w:val="es-ES_tradnl" w:eastAsia="es-CO"/>
        </w:rPr>
      </w:pPr>
      <w:r>
        <w:rPr>
          <w:rFonts w:ascii="Bookman Old Style" w:hAnsi="Bookman Old Style" w:cs="Arial"/>
          <w:lang w:val="es-ES_tradnl" w:eastAsia="es-CO"/>
        </w:rPr>
        <w:t>La determinación de</w:t>
      </w:r>
      <w:r w:rsidR="000B65DE" w:rsidRPr="000B65DE">
        <w:rPr>
          <w:rFonts w:ascii="Bookman Old Style" w:hAnsi="Bookman Old Style" w:cs="Arial"/>
          <w:lang w:val="es-ES_tradnl" w:eastAsia="es-CO"/>
        </w:rPr>
        <w:t xml:space="preserve"> los gastos de </w:t>
      </w:r>
      <w:r w:rsidRPr="000B65DE">
        <w:rPr>
          <w:rFonts w:ascii="Bookman Old Style" w:hAnsi="Bookman Old Style" w:cs="Arial"/>
          <w:lang w:val="es-ES_tradnl" w:eastAsia="es-CO"/>
        </w:rPr>
        <w:t>A</w:t>
      </w:r>
      <w:r>
        <w:rPr>
          <w:rFonts w:ascii="Bookman Old Style" w:hAnsi="Bookman Old Style" w:cs="Arial"/>
          <w:lang w:val="es-ES_tradnl" w:eastAsia="es-CO"/>
        </w:rPr>
        <w:t xml:space="preserve">dministración </w:t>
      </w:r>
      <w:r w:rsidR="000B65DE" w:rsidRPr="000B65DE">
        <w:rPr>
          <w:rFonts w:ascii="Bookman Old Style" w:hAnsi="Bookman Old Style" w:cs="Arial"/>
          <w:lang w:val="es-ES_tradnl" w:eastAsia="es-CO"/>
        </w:rPr>
        <w:t>O</w:t>
      </w:r>
      <w:r>
        <w:rPr>
          <w:rFonts w:ascii="Bookman Old Style" w:hAnsi="Bookman Old Style" w:cs="Arial"/>
          <w:lang w:val="es-ES_tradnl" w:eastAsia="es-CO"/>
        </w:rPr>
        <w:t xml:space="preserve">peración y </w:t>
      </w:r>
      <w:r w:rsidR="000B65DE" w:rsidRPr="000B65DE">
        <w:rPr>
          <w:rFonts w:ascii="Bookman Old Style" w:hAnsi="Bookman Old Style" w:cs="Arial"/>
          <w:lang w:val="es-ES_tradnl" w:eastAsia="es-CO"/>
        </w:rPr>
        <w:t>M</w:t>
      </w:r>
      <w:r>
        <w:rPr>
          <w:rFonts w:ascii="Bookman Old Style" w:hAnsi="Bookman Old Style" w:cs="Arial"/>
          <w:lang w:val="es-ES_tradnl" w:eastAsia="es-CO"/>
        </w:rPr>
        <w:t>antenimiento - AOM</w:t>
      </w:r>
      <w:r w:rsidR="000B65DE" w:rsidRPr="000B65DE">
        <w:rPr>
          <w:rFonts w:ascii="Bookman Old Style" w:hAnsi="Bookman Old Style" w:cs="Arial"/>
          <w:lang w:val="es-ES_tradnl" w:eastAsia="es-CO"/>
        </w:rPr>
        <w:t xml:space="preserve"> eficientes para los Mercados </w:t>
      </w:r>
      <w:r w:rsidR="000F3A9E">
        <w:rPr>
          <w:rFonts w:ascii="Bookman Old Style" w:hAnsi="Bookman Old Style" w:cs="Arial"/>
          <w:lang w:val="es-ES_tradnl" w:eastAsia="es-CO"/>
        </w:rPr>
        <w:t xml:space="preserve">Relevantes de Distribución para el Siguiente Periodo Tarifario conformado a partir de Mercados </w:t>
      </w:r>
      <w:r w:rsidR="000B65DE" w:rsidRPr="000B65DE">
        <w:rPr>
          <w:rFonts w:ascii="Bookman Old Style" w:hAnsi="Bookman Old Style" w:cs="Arial"/>
          <w:lang w:val="es-ES_tradnl" w:eastAsia="es-CO"/>
        </w:rPr>
        <w:t>Existentes</w:t>
      </w:r>
      <w:r w:rsidR="000F3A9E">
        <w:rPr>
          <w:rFonts w:ascii="Bookman Old Style" w:hAnsi="Bookman Old Style" w:cs="Arial"/>
          <w:lang w:val="es-ES_tradnl" w:eastAsia="es-CO"/>
        </w:rPr>
        <w:t xml:space="preserve"> o Agregación de Mercados Existentes</w:t>
      </w:r>
      <w:r w:rsidR="000B65DE" w:rsidRPr="000B65DE">
        <w:rPr>
          <w:rFonts w:ascii="Bookman Old Style" w:hAnsi="Bookman Old Style" w:cs="Arial"/>
          <w:lang w:val="es-ES_tradnl" w:eastAsia="es-CO"/>
        </w:rPr>
        <w:t xml:space="preserve"> tendrá en cuenta el siguiente procedimiento:</w:t>
      </w:r>
    </w:p>
    <w:p w:rsidR="000B65DE" w:rsidRPr="000B65DE" w:rsidRDefault="000B65DE" w:rsidP="000B65DE">
      <w:pPr>
        <w:ind w:left="0"/>
        <w:jc w:val="both"/>
        <w:rPr>
          <w:rFonts w:ascii="Bookman Old Style" w:hAnsi="Bookman Old Style" w:cs="Arial"/>
          <w:lang w:val="es-ES_tradnl" w:eastAsia="es-CO"/>
        </w:rPr>
      </w:pPr>
    </w:p>
    <w:p w:rsidR="003F5BEB" w:rsidRPr="00EF76D5" w:rsidRDefault="003F5BEB" w:rsidP="008F4D9F">
      <w:pPr>
        <w:pStyle w:val="Prrafodelista"/>
        <w:numPr>
          <w:ilvl w:val="0"/>
          <w:numId w:val="40"/>
        </w:numPr>
        <w:jc w:val="both"/>
        <w:rPr>
          <w:rFonts w:ascii="Bookman Old Style" w:hAnsi="Bookman Old Style"/>
          <w:lang w:eastAsia="es-CO"/>
        </w:rPr>
      </w:pPr>
      <w:r w:rsidRPr="00EF76D5">
        <w:rPr>
          <w:rFonts w:ascii="Bookman Old Style" w:hAnsi="Bookman Old Style"/>
          <w:sz w:val="24"/>
          <w:lang w:eastAsia="es-CO"/>
        </w:rPr>
        <w:t>Las empresas distribuidoras y comercializadoras</w:t>
      </w:r>
      <w:r w:rsidR="005F085E" w:rsidRPr="00EF76D5">
        <w:rPr>
          <w:rFonts w:ascii="Bookman Old Style" w:hAnsi="Bookman Old Style"/>
          <w:sz w:val="24"/>
          <w:lang w:eastAsia="es-CO"/>
        </w:rPr>
        <w:t>, que estén prestando el servicio en estos mercados,</w:t>
      </w:r>
      <w:r w:rsidRPr="00EF76D5">
        <w:rPr>
          <w:rFonts w:ascii="Bookman Old Style" w:hAnsi="Bookman Old Style"/>
          <w:sz w:val="24"/>
          <w:lang w:eastAsia="es-CO"/>
        </w:rPr>
        <w:t xml:space="preserve"> deberán suministrar </w:t>
      </w:r>
      <w:r w:rsidR="00C35BA5" w:rsidRPr="00EF76D5">
        <w:rPr>
          <w:rFonts w:ascii="Bookman Old Style" w:hAnsi="Bookman Old Style"/>
          <w:sz w:val="24"/>
          <w:lang w:eastAsia="es-CO"/>
        </w:rPr>
        <w:t>al mes siguiente de la entrada en vigencia de esta resolución,</w:t>
      </w:r>
      <w:r w:rsidRPr="00EF76D5">
        <w:rPr>
          <w:rFonts w:ascii="Bookman Old Style" w:hAnsi="Bookman Old Style"/>
          <w:sz w:val="24"/>
          <w:lang w:eastAsia="es-CO"/>
        </w:rPr>
        <w:t xml:space="preserve"> la información correspondiente a los gastos de AOM de las actividades de distribución y comercialización</w:t>
      </w:r>
      <w:r w:rsidR="000F3A9E" w:rsidRPr="00EF76D5">
        <w:rPr>
          <w:rFonts w:ascii="Bookman Old Style" w:hAnsi="Bookman Old Style"/>
          <w:sz w:val="24"/>
          <w:lang w:eastAsia="es-CO"/>
        </w:rPr>
        <w:t xml:space="preserve"> de todos los Mercados Existentes en donde prestan servicio</w:t>
      </w:r>
      <w:r w:rsidRPr="00EF76D5">
        <w:rPr>
          <w:rFonts w:ascii="Bookman Old Style" w:hAnsi="Bookman Old Style"/>
          <w:sz w:val="24"/>
          <w:lang w:eastAsia="es-CO"/>
        </w:rPr>
        <w:t xml:space="preserve"> conforme a las cuentas establecidas</w:t>
      </w:r>
      <w:r w:rsidR="00EB0A40" w:rsidRPr="00EF76D5">
        <w:rPr>
          <w:rFonts w:ascii="Bookman Old Style" w:hAnsi="Bookman Old Style"/>
          <w:sz w:val="24"/>
          <w:lang w:eastAsia="es-CO"/>
        </w:rPr>
        <w:t xml:space="preserve"> en este anexo</w:t>
      </w:r>
      <w:r w:rsidRPr="00EF76D5">
        <w:rPr>
          <w:rFonts w:ascii="Bookman Old Style" w:hAnsi="Bookman Old Style"/>
          <w:sz w:val="24"/>
          <w:lang w:eastAsia="es-CO"/>
        </w:rPr>
        <w:t xml:space="preserve"> </w:t>
      </w:r>
      <w:r w:rsidR="000F3A9E" w:rsidRPr="00EF76D5">
        <w:rPr>
          <w:rFonts w:ascii="Bookman Old Style" w:hAnsi="Bookman Old Style"/>
          <w:sz w:val="24"/>
          <w:lang w:eastAsia="es-CO"/>
        </w:rPr>
        <w:t xml:space="preserve">y </w:t>
      </w:r>
      <w:r w:rsidRPr="00EF76D5">
        <w:rPr>
          <w:rFonts w:ascii="Bookman Old Style" w:hAnsi="Bookman Old Style"/>
          <w:sz w:val="24"/>
          <w:lang w:eastAsia="es-CO"/>
        </w:rPr>
        <w:t>para los años  2010,</w:t>
      </w:r>
      <w:r w:rsidR="00710850" w:rsidRPr="00EF76D5">
        <w:rPr>
          <w:rFonts w:ascii="Bookman Old Style" w:hAnsi="Bookman Old Style"/>
          <w:sz w:val="24"/>
          <w:lang w:eastAsia="es-CO"/>
        </w:rPr>
        <w:t xml:space="preserve"> </w:t>
      </w:r>
      <w:r w:rsidRPr="00EF76D5">
        <w:rPr>
          <w:rFonts w:ascii="Bookman Old Style" w:hAnsi="Bookman Old Style"/>
          <w:sz w:val="24"/>
          <w:lang w:eastAsia="es-CO"/>
        </w:rPr>
        <w:t>2011 y 2012</w:t>
      </w:r>
      <w:r w:rsidRPr="00EF76D5">
        <w:rPr>
          <w:rFonts w:ascii="Bookman Old Style" w:hAnsi="Bookman Old Style"/>
          <w:lang w:eastAsia="es-CO"/>
        </w:rPr>
        <w:t>.</w:t>
      </w:r>
    </w:p>
    <w:p w:rsidR="003F5BEB" w:rsidRDefault="003F5BEB" w:rsidP="009A310B">
      <w:pPr>
        <w:ind w:left="720"/>
        <w:jc w:val="both"/>
        <w:rPr>
          <w:rFonts w:ascii="Bookman Old Style" w:hAnsi="Bookman Old Style" w:cs="Arial"/>
          <w:lang w:val="es-CO" w:eastAsia="es-CO"/>
        </w:rPr>
      </w:pPr>
    </w:p>
    <w:p w:rsidR="009A310B" w:rsidRPr="00EF76D5" w:rsidRDefault="00FA5EC1" w:rsidP="008F4D9F">
      <w:pPr>
        <w:pStyle w:val="Prrafodelista"/>
        <w:numPr>
          <w:ilvl w:val="0"/>
          <w:numId w:val="40"/>
        </w:numPr>
        <w:jc w:val="both"/>
        <w:rPr>
          <w:rFonts w:ascii="Bookman Old Style" w:hAnsi="Bookman Old Style"/>
          <w:sz w:val="24"/>
          <w:lang w:eastAsia="es-CO"/>
        </w:rPr>
      </w:pPr>
      <w:r w:rsidRPr="00EF76D5">
        <w:rPr>
          <w:rFonts w:ascii="Bookman Old Style" w:hAnsi="Bookman Old Style"/>
          <w:sz w:val="24"/>
          <w:lang w:eastAsia="es-CO"/>
        </w:rPr>
        <w:t>L</w:t>
      </w:r>
      <w:r w:rsidR="00EB0A40" w:rsidRPr="00EF76D5">
        <w:rPr>
          <w:rFonts w:ascii="Bookman Old Style" w:hAnsi="Bookman Old Style"/>
          <w:sz w:val="24"/>
          <w:lang w:eastAsia="es-CO"/>
        </w:rPr>
        <w:t xml:space="preserve">as </w:t>
      </w:r>
      <w:r w:rsidRPr="00EF76D5">
        <w:rPr>
          <w:rFonts w:ascii="Bookman Old Style" w:hAnsi="Bookman Old Style"/>
          <w:sz w:val="24"/>
          <w:lang w:eastAsia="es-CO"/>
        </w:rPr>
        <w:t>empresas</w:t>
      </w:r>
      <w:r w:rsidR="009A310B" w:rsidRPr="00EF76D5">
        <w:rPr>
          <w:rFonts w:ascii="Bookman Old Style" w:hAnsi="Bookman Old Style"/>
          <w:sz w:val="24"/>
          <w:lang w:eastAsia="es-CO"/>
        </w:rPr>
        <w:t xml:space="preserve"> </w:t>
      </w:r>
      <w:r w:rsidRPr="00EF76D5">
        <w:rPr>
          <w:rFonts w:ascii="Bookman Old Style" w:hAnsi="Bookman Old Style"/>
          <w:sz w:val="24"/>
          <w:lang w:eastAsia="es-CO"/>
        </w:rPr>
        <w:t xml:space="preserve">adicionalmente deberán </w:t>
      </w:r>
      <w:r w:rsidR="009A310B" w:rsidRPr="00EF76D5">
        <w:rPr>
          <w:rFonts w:ascii="Bookman Old Style" w:hAnsi="Bookman Old Style"/>
          <w:sz w:val="24"/>
          <w:lang w:eastAsia="es-CO"/>
        </w:rPr>
        <w:t>reportar en la solicitud tarifaria el porcentaje (%) de asignación de los gastos de cada actividad, de acuerdo con lo que hayan reportado a la fecha de corte en el SUI para las unidades de negocio de distribución y comercialización de gas combustible.</w:t>
      </w:r>
    </w:p>
    <w:p w:rsidR="00523FF1" w:rsidRDefault="00523FF1" w:rsidP="009A310B">
      <w:pPr>
        <w:ind w:left="720"/>
        <w:jc w:val="both"/>
        <w:rPr>
          <w:rFonts w:ascii="Bookman Old Style" w:hAnsi="Bookman Old Style" w:cs="Arial"/>
          <w:lang w:val="es-CO" w:eastAsia="es-CO"/>
        </w:rPr>
      </w:pPr>
    </w:p>
    <w:p w:rsidR="006A5D5E" w:rsidRPr="00EF76D5" w:rsidRDefault="003F5BEB" w:rsidP="008F4D9F">
      <w:pPr>
        <w:pStyle w:val="Prrafodelista"/>
        <w:numPr>
          <w:ilvl w:val="0"/>
          <w:numId w:val="40"/>
        </w:numPr>
        <w:jc w:val="both"/>
        <w:rPr>
          <w:rFonts w:ascii="Bookman Old Style" w:hAnsi="Bookman Old Style"/>
          <w:sz w:val="24"/>
          <w:lang w:eastAsia="es-CO"/>
        </w:rPr>
      </w:pPr>
      <w:r w:rsidRPr="00EF76D5">
        <w:rPr>
          <w:rFonts w:ascii="Bookman Old Style" w:hAnsi="Bookman Old Style"/>
          <w:sz w:val="24"/>
          <w:lang w:eastAsia="es-CO"/>
        </w:rPr>
        <w:t xml:space="preserve">La Comisión tomará </w:t>
      </w:r>
      <w:r w:rsidR="004B5353" w:rsidRPr="00EF76D5">
        <w:rPr>
          <w:rFonts w:ascii="Bookman Old Style" w:hAnsi="Bookman Old Style"/>
          <w:sz w:val="24"/>
          <w:lang w:eastAsia="es-CO"/>
        </w:rPr>
        <w:t>la información de AOM d</w:t>
      </w:r>
      <w:r w:rsidRPr="00EF76D5">
        <w:rPr>
          <w:rFonts w:ascii="Bookman Old Style" w:hAnsi="Bookman Old Style"/>
          <w:sz w:val="24"/>
          <w:lang w:eastAsia="es-CO"/>
        </w:rPr>
        <w:t xml:space="preserve">el universo de empresas y </w:t>
      </w:r>
      <w:r w:rsidR="00FA5EC1" w:rsidRPr="00EF76D5">
        <w:rPr>
          <w:rFonts w:ascii="Bookman Old Style" w:hAnsi="Bookman Old Style"/>
          <w:sz w:val="24"/>
          <w:lang w:eastAsia="es-CO"/>
        </w:rPr>
        <w:t xml:space="preserve">de acuerdo </w:t>
      </w:r>
      <w:r w:rsidR="006A5D5E" w:rsidRPr="00EF76D5">
        <w:rPr>
          <w:rFonts w:ascii="Bookman Old Style" w:hAnsi="Bookman Old Style"/>
          <w:sz w:val="24"/>
          <w:lang w:eastAsia="es-CO"/>
        </w:rPr>
        <w:t xml:space="preserve">con </w:t>
      </w:r>
      <w:r w:rsidR="00FA5EC1" w:rsidRPr="00EF76D5">
        <w:rPr>
          <w:rFonts w:ascii="Bookman Old Style" w:hAnsi="Bookman Old Style"/>
          <w:sz w:val="24"/>
          <w:lang w:eastAsia="es-CO"/>
        </w:rPr>
        <w:t>el</w:t>
      </w:r>
      <w:r w:rsidR="006A5D5E" w:rsidRPr="00EF76D5">
        <w:rPr>
          <w:rFonts w:ascii="Bookman Old Style" w:hAnsi="Bookman Old Style"/>
          <w:sz w:val="24"/>
          <w:lang w:eastAsia="es-CO"/>
        </w:rPr>
        <w:t xml:space="preserve"> análisis </w:t>
      </w:r>
      <w:r w:rsidR="00FA5EC1" w:rsidRPr="00EF76D5">
        <w:rPr>
          <w:rFonts w:ascii="Bookman Old Style" w:hAnsi="Bookman Old Style"/>
          <w:sz w:val="24"/>
          <w:lang w:eastAsia="es-CO"/>
        </w:rPr>
        <w:t>de</w:t>
      </w:r>
      <w:r w:rsidR="006A5D5E" w:rsidRPr="00EF76D5">
        <w:rPr>
          <w:rFonts w:ascii="Bookman Old Style" w:hAnsi="Bookman Old Style"/>
          <w:sz w:val="24"/>
          <w:lang w:eastAsia="es-CO"/>
        </w:rPr>
        <w:t xml:space="preserve"> diferentes variables</w:t>
      </w:r>
      <w:r w:rsidR="004B5353" w:rsidRPr="00EF76D5">
        <w:rPr>
          <w:rFonts w:ascii="Bookman Old Style" w:hAnsi="Bookman Old Style"/>
          <w:sz w:val="24"/>
          <w:lang w:eastAsia="es-CO"/>
        </w:rPr>
        <w:t>,</w:t>
      </w:r>
      <w:r w:rsidR="006A5D5E" w:rsidRPr="00EF76D5">
        <w:rPr>
          <w:rFonts w:ascii="Bookman Old Style" w:hAnsi="Bookman Old Style"/>
          <w:sz w:val="24"/>
          <w:lang w:eastAsia="es-CO"/>
        </w:rPr>
        <w:t xml:space="preserve"> determinará la función óptima que mejor estime el comportamiento de los gastos AOM</w:t>
      </w:r>
      <w:r w:rsidR="004B5353" w:rsidRPr="00EF76D5">
        <w:rPr>
          <w:rFonts w:ascii="Bookman Old Style" w:hAnsi="Bookman Old Style"/>
          <w:sz w:val="24"/>
          <w:lang w:eastAsia="es-CO"/>
        </w:rPr>
        <w:t xml:space="preserve"> de las actividades de distribución y comercialización</w:t>
      </w:r>
      <w:r w:rsidR="000F3A9E" w:rsidRPr="00EF76D5">
        <w:rPr>
          <w:rFonts w:ascii="Bookman Old Style" w:hAnsi="Bookman Old Style"/>
          <w:sz w:val="24"/>
          <w:lang w:eastAsia="es-CO"/>
        </w:rPr>
        <w:t xml:space="preserve"> para el siguiente periodo tarifario</w:t>
      </w:r>
      <w:r w:rsidR="006A5D5E" w:rsidRPr="00EF76D5">
        <w:rPr>
          <w:rFonts w:ascii="Bookman Old Style" w:hAnsi="Bookman Old Style"/>
          <w:sz w:val="24"/>
          <w:lang w:eastAsia="es-CO"/>
        </w:rPr>
        <w:t>.</w:t>
      </w:r>
    </w:p>
    <w:p w:rsidR="00C35BA5" w:rsidRDefault="00C35BA5" w:rsidP="00C35BA5">
      <w:pPr>
        <w:ind w:left="720"/>
        <w:jc w:val="both"/>
        <w:rPr>
          <w:rFonts w:ascii="Bookman Old Style" w:hAnsi="Bookman Old Style" w:cs="Arial"/>
          <w:lang w:val="es-CO" w:eastAsia="es-CO"/>
        </w:rPr>
      </w:pPr>
    </w:p>
    <w:p w:rsidR="00C35BA5" w:rsidRPr="00EF76D5" w:rsidRDefault="00C35BA5" w:rsidP="008F4D9F">
      <w:pPr>
        <w:pStyle w:val="Prrafodelista"/>
        <w:numPr>
          <w:ilvl w:val="0"/>
          <w:numId w:val="40"/>
        </w:numPr>
        <w:jc w:val="both"/>
        <w:rPr>
          <w:rFonts w:ascii="Bookman Old Style" w:hAnsi="Bookman Old Style"/>
          <w:sz w:val="24"/>
          <w:lang w:eastAsia="es-CO"/>
        </w:rPr>
      </w:pPr>
      <w:r w:rsidRPr="00EF76D5">
        <w:rPr>
          <w:rFonts w:ascii="Bookman Old Style" w:hAnsi="Bookman Old Style"/>
          <w:sz w:val="24"/>
          <w:lang w:eastAsia="es-CO"/>
        </w:rPr>
        <w:t>La Comisión a través de circular publicará  un documento para  someter a comentario la función óptima que mejor estime el comportamiento de los gastos AOM de las actividades de distribución y comercialización para el siguiente periodo tarifario.</w:t>
      </w:r>
    </w:p>
    <w:p w:rsidR="00C35BA5" w:rsidRPr="00C35BA5" w:rsidRDefault="00C35BA5" w:rsidP="00C35BA5">
      <w:pPr>
        <w:ind w:left="720"/>
        <w:jc w:val="both"/>
        <w:rPr>
          <w:rFonts w:ascii="Bookman Old Style" w:hAnsi="Bookman Old Style" w:cs="Arial"/>
          <w:lang w:val="es-CO" w:eastAsia="es-CO"/>
        </w:rPr>
      </w:pPr>
    </w:p>
    <w:p w:rsidR="00C35BA5" w:rsidRPr="00EF76D5" w:rsidRDefault="00C35BA5" w:rsidP="008F4D9F">
      <w:pPr>
        <w:pStyle w:val="Prrafodelista"/>
        <w:numPr>
          <w:ilvl w:val="0"/>
          <w:numId w:val="40"/>
        </w:numPr>
        <w:jc w:val="both"/>
        <w:rPr>
          <w:rFonts w:ascii="Bookman Old Style" w:hAnsi="Bookman Old Style"/>
          <w:sz w:val="24"/>
          <w:lang w:eastAsia="es-CO"/>
        </w:rPr>
      </w:pPr>
      <w:r w:rsidRPr="00EF76D5">
        <w:rPr>
          <w:rFonts w:ascii="Bookman Old Style" w:hAnsi="Bookman Old Style"/>
          <w:sz w:val="24"/>
          <w:lang w:eastAsia="es-CO"/>
        </w:rPr>
        <w:t xml:space="preserve">A través de  circular se publicará el documento definitivo el cual contendrá la respuesta a cada uno de los comentarios recibidos y la función óptima que mejor estime el comportamiento de los gastos AOM </w:t>
      </w:r>
      <w:r w:rsidRPr="00EF76D5">
        <w:rPr>
          <w:rFonts w:ascii="Bookman Old Style" w:hAnsi="Bookman Old Style"/>
          <w:sz w:val="24"/>
          <w:lang w:eastAsia="es-CO"/>
        </w:rPr>
        <w:lastRenderedPageBreak/>
        <w:t>de las actividades de distribución y comercialización para el siguiente periodo tarifario.</w:t>
      </w:r>
    </w:p>
    <w:p w:rsidR="00D14A65" w:rsidRDefault="00D14A65" w:rsidP="00D14A65">
      <w:pPr>
        <w:ind w:left="720"/>
        <w:jc w:val="both"/>
        <w:rPr>
          <w:rFonts w:ascii="Bookman Old Style" w:hAnsi="Bookman Old Style" w:cs="Arial"/>
          <w:lang w:val="es-CO" w:eastAsia="es-CO"/>
        </w:rPr>
      </w:pPr>
    </w:p>
    <w:p w:rsidR="003F5BEB" w:rsidRPr="00EF76D5" w:rsidRDefault="00AF7DA6" w:rsidP="008F4D9F">
      <w:pPr>
        <w:pStyle w:val="Prrafodelista"/>
        <w:numPr>
          <w:ilvl w:val="0"/>
          <w:numId w:val="40"/>
        </w:numPr>
        <w:jc w:val="both"/>
        <w:rPr>
          <w:rFonts w:ascii="Bookman Old Style" w:hAnsi="Bookman Old Style"/>
          <w:sz w:val="24"/>
          <w:lang w:eastAsia="es-CO"/>
        </w:rPr>
      </w:pPr>
      <w:r w:rsidRPr="00EF76D5">
        <w:rPr>
          <w:rFonts w:ascii="Bookman Old Style" w:hAnsi="Bookman Old Style"/>
          <w:sz w:val="24"/>
          <w:lang w:eastAsia="es-CO"/>
        </w:rPr>
        <w:t xml:space="preserve">De acuerdo con la función seleccionada se asignará a cada una de las empresas </w:t>
      </w:r>
      <w:r w:rsidR="00EB0A40" w:rsidRPr="00EF76D5">
        <w:rPr>
          <w:rFonts w:ascii="Bookman Old Style" w:hAnsi="Bookman Old Style"/>
          <w:sz w:val="24"/>
          <w:lang w:eastAsia="es-CO"/>
        </w:rPr>
        <w:t xml:space="preserve">un </w:t>
      </w:r>
      <w:r w:rsidRPr="00EF76D5">
        <w:rPr>
          <w:rFonts w:ascii="Bookman Old Style" w:hAnsi="Bookman Old Style"/>
          <w:sz w:val="24"/>
          <w:lang w:eastAsia="es-CO"/>
        </w:rPr>
        <w:t xml:space="preserve">AOM </w:t>
      </w:r>
      <w:r w:rsidR="00EB0A40" w:rsidRPr="00EF76D5">
        <w:rPr>
          <w:rFonts w:ascii="Bookman Old Style" w:hAnsi="Bookman Old Style"/>
          <w:sz w:val="24"/>
          <w:lang w:eastAsia="es-CO"/>
        </w:rPr>
        <w:t>estimado.</w:t>
      </w:r>
      <w:r w:rsidR="004B5353" w:rsidRPr="00EF76D5">
        <w:rPr>
          <w:rFonts w:ascii="Bookman Old Style" w:hAnsi="Bookman Old Style"/>
          <w:sz w:val="24"/>
          <w:lang w:eastAsia="es-CO"/>
        </w:rPr>
        <w:t xml:space="preserve"> </w:t>
      </w:r>
    </w:p>
    <w:p w:rsidR="000B65DE" w:rsidRPr="00C35BA5" w:rsidRDefault="000B65DE" w:rsidP="00C35BA5">
      <w:pPr>
        <w:ind w:left="720"/>
        <w:jc w:val="both"/>
        <w:rPr>
          <w:rFonts w:ascii="Bookman Old Style" w:hAnsi="Bookman Old Style" w:cs="Arial"/>
          <w:lang w:val="es-CO" w:eastAsia="es-CO"/>
        </w:rPr>
      </w:pPr>
    </w:p>
    <w:p w:rsidR="000B65DE" w:rsidRPr="00EF76D5" w:rsidRDefault="000B65DE" w:rsidP="008F4D9F">
      <w:pPr>
        <w:pStyle w:val="Prrafodelista"/>
        <w:numPr>
          <w:ilvl w:val="0"/>
          <w:numId w:val="40"/>
        </w:numPr>
        <w:jc w:val="both"/>
        <w:rPr>
          <w:rFonts w:ascii="Bookman Old Style" w:hAnsi="Bookman Old Style"/>
          <w:sz w:val="24"/>
          <w:lang w:eastAsia="es-CO"/>
        </w:rPr>
      </w:pPr>
      <w:r w:rsidRPr="00EF76D5">
        <w:rPr>
          <w:rFonts w:ascii="Bookman Old Style" w:hAnsi="Bookman Old Style"/>
          <w:sz w:val="24"/>
          <w:lang w:eastAsia="es-CO"/>
        </w:rPr>
        <w:t xml:space="preserve">El valor de AOM </w:t>
      </w:r>
      <w:r w:rsidR="00AF7DA6" w:rsidRPr="00EF76D5">
        <w:rPr>
          <w:rFonts w:ascii="Bookman Old Style" w:hAnsi="Bookman Old Style"/>
          <w:sz w:val="24"/>
          <w:lang w:eastAsia="es-CO"/>
        </w:rPr>
        <w:t xml:space="preserve">asignado </w:t>
      </w:r>
      <w:r w:rsidRPr="00EF76D5">
        <w:rPr>
          <w:rFonts w:ascii="Bookman Old Style" w:hAnsi="Bookman Old Style"/>
          <w:sz w:val="24"/>
          <w:lang w:eastAsia="es-CO"/>
        </w:rPr>
        <w:t xml:space="preserve">por </w:t>
      </w:r>
      <w:r w:rsidR="00AF7DA6" w:rsidRPr="00EF76D5">
        <w:rPr>
          <w:rFonts w:ascii="Bookman Old Style" w:hAnsi="Bookman Old Style"/>
          <w:sz w:val="24"/>
          <w:lang w:eastAsia="es-CO"/>
        </w:rPr>
        <w:t xml:space="preserve">empresa mediante la función resultante de la frontera estocástica </w:t>
      </w:r>
      <w:r w:rsidRPr="00EF76D5">
        <w:rPr>
          <w:rFonts w:ascii="Bookman Old Style" w:hAnsi="Bookman Old Style"/>
          <w:sz w:val="24"/>
          <w:lang w:eastAsia="es-CO"/>
        </w:rPr>
        <w:t xml:space="preserve">se expresa en pesos a </w:t>
      </w:r>
      <w:r w:rsidR="00AF7DA6" w:rsidRPr="00EF76D5">
        <w:rPr>
          <w:rFonts w:ascii="Bookman Old Style" w:hAnsi="Bookman Old Style"/>
          <w:sz w:val="24"/>
          <w:lang w:eastAsia="es-CO"/>
        </w:rPr>
        <w:t xml:space="preserve">de la </w:t>
      </w:r>
      <w:r w:rsidRPr="00EF76D5">
        <w:rPr>
          <w:rFonts w:ascii="Bookman Old Style" w:hAnsi="Bookman Old Style"/>
          <w:sz w:val="24"/>
          <w:lang w:eastAsia="es-CO"/>
        </w:rPr>
        <w:t xml:space="preserve"> Fecha Base con el índice de Precios al Consumidor (IPC). </w:t>
      </w:r>
    </w:p>
    <w:p w:rsidR="000B65DE" w:rsidRPr="000B65DE" w:rsidRDefault="000B65DE" w:rsidP="000B65DE">
      <w:pPr>
        <w:ind w:left="0"/>
        <w:jc w:val="both"/>
        <w:rPr>
          <w:rFonts w:ascii="Bookman Old Style" w:hAnsi="Bookman Old Style" w:cs="Arial"/>
          <w:lang w:val="es-ES_tradnl" w:eastAsia="es-CO"/>
        </w:rPr>
      </w:pPr>
    </w:p>
    <w:p w:rsidR="00523FF1" w:rsidRPr="00EF76D5" w:rsidRDefault="00EB0A40" w:rsidP="008F4D9F">
      <w:pPr>
        <w:pStyle w:val="Prrafodelista"/>
        <w:numPr>
          <w:ilvl w:val="0"/>
          <w:numId w:val="40"/>
        </w:numPr>
        <w:jc w:val="both"/>
        <w:rPr>
          <w:rFonts w:ascii="Bookman Old Style" w:hAnsi="Bookman Old Style"/>
          <w:sz w:val="24"/>
          <w:lang w:eastAsia="es-CO"/>
        </w:rPr>
      </w:pPr>
      <w:r w:rsidRPr="00EF76D5">
        <w:rPr>
          <w:rFonts w:ascii="Bookman Old Style" w:hAnsi="Bookman Old Style"/>
          <w:sz w:val="24"/>
          <w:lang w:eastAsia="es-CO"/>
        </w:rPr>
        <w:t>E</w:t>
      </w:r>
      <w:r w:rsidR="00523FF1" w:rsidRPr="00EF76D5">
        <w:rPr>
          <w:rFonts w:ascii="Bookman Old Style" w:hAnsi="Bookman Old Style"/>
          <w:sz w:val="24"/>
          <w:lang w:eastAsia="es-CO"/>
        </w:rPr>
        <w:t xml:space="preserve">l valor eficiente de gastos AOM a reconocer </w:t>
      </w:r>
      <w:r w:rsidRPr="00EF76D5">
        <w:rPr>
          <w:rFonts w:ascii="Bookman Old Style" w:hAnsi="Bookman Old Style"/>
          <w:sz w:val="24"/>
          <w:lang w:eastAsia="es-CO"/>
        </w:rPr>
        <w:t>para</w:t>
      </w:r>
      <w:r w:rsidR="00523FF1" w:rsidRPr="00EF76D5">
        <w:rPr>
          <w:rFonts w:ascii="Bookman Old Style" w:hAnsi="Bookman Old Style"/>
          <w:sz w:val="24"/>
          <w:lang w:eastAsia="es-CO"/>
        </w:rPr>
        <w:t xml:space="preserve"> la empresa, </w:t>
      </w:r>
      <w:r w:rsidRPr="00EF76D5">
        <w:rPr>
          <w:rFonts w:ascii="Bookman Old Style" w:hAnsi="Bookman Old Style"/>
          <w:sz w:val="24"/>
          <w:lang w:eastAsia="es-CO"/>
        </w:rPr>
        <w:t xml:space="preserve">se determinará </w:t>
      </w:r>
      <w:r w:rsidR="000B65DE" w:rsidRPr="00EF76D5">
        <w:rPr>
          <w:rFonts w:ascii="Bookman Old Style" w:hAnsi="Bookman Old Style"/>
          <w:sz w:val="24"/>
          <w:lang w:eastAsia="es-CO"/>
        </w:rPr>
        <w:t xml:space="preserve"> toma</w:t>
      </w:r>
      <w:r w:rsidRPr="00EF76D5">
        <w:rPr>
          <w:rFonts w:ascii="Bookman Old Style" w:hAnsi="Bookman Old Style"/>
          <w:sz w:val="24"/>
          <w:lang w:eastAsia="es-CO"/>
        </w:rPr>
        <w:t xml:space="preserve">ndo </w:t>
      </w:r>
      <w:r w:rsidR="000B65DE" w:rsidRPr="00EF76D5">
        <w:rPr>
          <w:rFonts w:ascii="Bookman Old Style" w:hAnsi="Bookman Old Style"/>
          <w:sz w:val="24"/>
          <w:lang w:eastAsia="es-CO"/>
        </w:rPr>
        <w:t xml:space="preserve"> el AOM anual, del año de la Fecha de Corte</w:t>
      </w:r>
      <w:r w:rsidRPr="00EF76D5">
        <w:rPr>
          <w:rFonts w:ascii="Bookman Old Style" w:hAnsi="Bookman Old Style"/>
          <w:sz w:val="24"/>
          <w:lang w:eastAsia="es-CO"/>
        </w:rPr>
        <w:t>,</w:t>
      </w:r>
      <w:r w:rsidR="00AF7DA6" w:rsidRPr="00EF76D5">
        <w:rPr>
          <w:rFonts w:ascii="Bookman Old Style" w:hAnsi="Bookman Old Style"/>
          <w:sz w:val="24"/>
          <w:lang w:eastAsia="es-CO"/>
        </w:rPr>
        <w:t xml:space="preserve"> reportado por</w:t>
      </w:r>
      <w:r w:rsidR="000B65DE" w:rsidRPr="00EF76D5">
        <w:rPr>
          <w:rFonts w:ascii="Bookman Old Style" w:hAnsi="Bookman Old Style"/>
          <w:sz w:val="24"/>
          <w:lang w:eastAsia="es-CO"/>
        </w:rPr>
        <w:t xml:space="preserve"> la empresa</w:t>
      </w:r>
      <w:r w:rsidR="00523FF1" w:rsidRPr="00EF76D5">
        <w:rPr>
          <w:rFonts w:ascii="Bookman Old Style" w:hAnsi="Bookman Old Style"/>
          <w:sz w:val="24"/>
          <w:lang w:eastAsia="es-CO"/>
        </w:rPr>
        <w:t xml:space="preserve"> y</w:t>
      </w:r>
      <w:r w:rsidR="000B65DE" w:rsidRPr="00EF76D5">
        <w:rPr>
          <w:rFonts w:ascii="Bookman Old Style" w:hAnsi="Bookman Old Style"/>
          <w:sz w:val="24"/>
          <w:lang w:eastAsia="es-CO"/>
        </w:rPr>
        <w:t xml:space="preserve"> depurado por la Comisión conforme a lo reportado para la unidad de negocio de distribución y comercialización al SUI (cuentas 552 y 553)</w:t>
      </w:r>
      <w:r w:rsidR="00523FF1" w:rsidRPr="00EF76D5">
        <w:rPr>
          <w:rFonts w:ascii="Bookman Old Style" w:hAnsi="Bookman Old Style"/>
          <w:sz w:val="24"/>
          <w:lang w:eastAsia="es-CO"/>
        </w:rPr>
        <w:t xml:space="preserve"> y </w:t>
      </w:r>
      <w:r w:rsidRPr="00EF76D5">
        <w:rPr>
          <w:rFonts w:ascii="Bookman Old Style" w:hAnsi="Bookman Old Style"/>
          <w:sz w:val="24"/>
          <w:lang w:eastAsia="es-CO"/>
        </w:rPr>
        <w:t>comparado</w:t>
      </w:r>
      <w:r w:rsidR="00523FF1" w:rsidRPr="00EF76D5">
        <w:rPr>
          <w:rFonts w:ascii="Bookman Old Style" w:hAnsi="Bookman Old Style"/>
          <w:sz w:val="24"/>
          <w:lang w:eastAsia="es-CO"/>
        </w:rPr>
        <w:t xml:space="preserve"> con </w:t>
      </w:r>
      <w:r w:rsidR="009A310B" w:rsidRPr="00EF76D5">
        <w:rPr>
          <w:rFonts w:ascii="Bookman Old Style" w:hAnsi="Bookman Old Style"/>
          <w:sz w:val="24"/>
          <w:lang w:eastAsia="es-CO"/>
        </w:rPr>
        <w:t>él</w:t>
      </w:r>
      <w:r w:rsidRPr="00EF76D5">
        <w:rPr>
          <w:rFonts w:ascii="Bookman Old Style" w:hAnsi="Bookman Old Style"/>
          <w:sz w:val="24"/>
          <w:lang w:eastAsia="es-CO"/>
        </w:rPr>
        <w:t xml:space="preserve"> valor de</w:t>
      </w:r>
      <w:r w:rsidR="000B65DE" w:rsidRPr="00EF76D5">
        <w:rPr>
          <w:rFonts w:ascii="Bookman Old Style" w:hAnsi="Bookman Old Style"/>
          <w:sz w:val="24"/>
          <w:lang w:eastAsia="es-CO"/>
        </w:rPr>
        <w:t xml:space="preserve"> </w:t>
      </w:r>
      <w:r w:rsidR="00AF7DA6" w:rsidRPr="00EF76D5">
        <w:rPr>
          <w:rFonts w:ascii="Bookman Old Style" w:hAnsi="Bookman Old Style"/>
          <w:sz w:val="24"/>
          <w:lang w:eastAsia="es-CO"/>
        </w:rPr>
        <w:t xml:space="preserve">AOM </w:t>
      </w:r>
      <w:r w:rsidR="000B65DE" w:rsidRPr="00EF76D5">
        <w:rPr>
          <w:rFonts w:ascii="Bookman Old Style" w:hAnsi="Bookman Old Style"/>
          <w:sz w:val="24"/>
          <w:lang w:eastAsia="es-CO"/>
        </w:rPr>
        <w:t>estimado</w:t>
      </w:r>
      <w:r w:rsidR="00AF7DA6" w:rsidRPr="00EF76D5">
        <w:rPr>
          <w:rFonts w:ascii="Bookman Old Style" w:hAnsi="Bookman Old Style"/>
          <w:sz w:val="24"/>
          <w:lang w:eastAsia="es-CO"/>
        </w:rPr>
        <w:t xml:space="preserve"> </w:t>
      </w:r>
      <w:r w:rsidR="00523FF1" w:rsidRPr="00EF76D5">
        <w:rPr>
          <w:rFonts w:ascii="Bookman Old Style" w:hAnsi="Bookman Old Style"/>
          <w:sz w:val="24"/>
          <w:lang w:eastAsia="es-CO"/>
        </w:rPr>
        <w:t>por</w:t>
      </w:r>
      <w:r w:rsidR="00AF7DA6" w:rsidRPr="00EF76D5">
        <w:rPr>
          <w:rFonts w:ascii="Bookman Old Style" w:hAnsi="Bookman Old Style"/>
          <w:sz w:val="24"/>
          <w:lang w:eastAsia="es-CO"/>
        </w:rPr>
        <w:t xml:space="preserve"> la función definida mediante la frontera estocástica</w:t>
      </w:r>
      <w:r w:rsidRPr="00EF76D5">
        <w:rPr>
          <w:rFonts w:ascii="Bookman Old Style" w:hAnsi="Bookman Old Style"/>
          <w:sz w:val="24"/>
          <w:lang w:eastAsia="es-CO"/>
        </w:rPr>
        <w:t>. El mínimo de estos valores será seleccionado como el valor de AOM de distribución y comercialización a reconocer a la empresa</w:t>
      </w:r>
      <w:r w:rsidR="00523FF1" w:rsidRPr="00EF76D5">
        <w:rPr>
          <w:rFonts w:ascii="Bookman Old Style" w:hAnsi="Bookman Old Style"/>
          <w:sz w:val="24"/>
          <w:lang w:eastAsia="es-CO"/>
        </w:rPr>
        <w:t>:</w:t>
      </w:r>
    </w:p>
    <w:p w:rsidR="00523FF1" w:rsidRPr="000B65DE" w:rsidRDefault="00523FF1" w:rsidP="000B65DE">
      <w:pPr>
        <w:ind w:left="720"/>
        <w:jc w:val="both"/>
        <w:rPr>
          <w:rFonts w:ascii="Bookman Old Style" w:hAnsi="Bookman Old Style" w:cs="Arial"/>
          <w:lang w:val="es-CO" w:eastAsia="es-CO"/>
        </w:rPr>
      </w:pPr>
    </w:p>
    <w:p w:rsidR="00523FF1" w:rsidRPr="000F3A9E" w:rsidRDefault="00364E59" w:rsidP="00523FF1">
      <w:pPr>
        <w:ind w:left="720"/>
        <w:jc w:val="both"/>
        <w:rPr>
          <w:rFonts w:ascii="Bookman Old Style" w:hAnsi="Bookman Old Style" w:cs="Arial"/>
          <w:sz w:val="20"/>
          <w:lang w:val="es-CO" w:eastAsia="es-CO"/>
        </w:rPr>
      </w:pPr>
      <m:oMathPara>
        <m:oMath>
          <m:sSub>
            <m:sSubPr>
              <m:ctrlPr>
                <w:rPr>
                  <w:rFonts w:ascii="Cambria Math" w:hAnsi="Cambria Math" w:cs="Arial"/>
                  <w:lang w:val="es-ES_tradnl" w:eastAsia="es-CO"/>
                </w:rPr>
              </m:ctrlPr>
            </m:sSubPr>
            <m:e>
              <m:r>
                <m:rPr>
                  <m:sty m:val="p"/>
                </m:rPr>
                <w:rPr>
                  <w:rFonts w:ascii="Cambria Math" w:hAnsi="Cambria Math" w:cs="Arial"/>
                  <w:lang w:val="es-ES_tradnl" w:eastAsia="es-CO"/>
                </w:rPr>
                <m:t>AOM</m:t>
              </m:r>
            </m:e>
            <m:sub>
              <m:r>
                <m:rPr>
                  <m:sty m:val="p"/>
                </m:rPr>
                <w:rPr>
                  <w:rFonts w:ascii="Cambria Math" w:hAnsi="Cambria Math" w:cs="Arial"/>
                  <w:lang w:val="es-ES_tradnl" w:eastAsia="es-CO"/>
                </w:rPr>
                <m:t>n</m:t>
              </m:r>
            </m:sub>
          </m:sSub>
          <m:r>
            <m:rPr>
              <m:sty m:val="p"/>
            </m:rPr>
            <w:rPr>
              <w:rFonts w:ascii="Cambria Math" w:hAnsi="Cambria Math" w:cs="Arial"/>
              <w:lang w:val="es-ES_tradnl" w:eastAsia="es-CO"/>
            </w:rPr>
            <m:t xml:space="preserve"> eficiente=min</m:t>
          </m:r>
          <m:d>
            <m:dPr>
              <m:begChr m:val="["/>
              <m:endChr m:val="]"/>
              <m:ctrlPr>
                <w:rPr>
                  <w:rFonts w:ascii="Cambria Math" w:hAnsi="Cambria Math" w:cs="Arial"/>
                  <w:lang w:val="es-ES_tradnl" w:eastAsia="es-CO"/>
                </w:rPr>
              </m:ctrlPr>
            </m:dPr>
            <m:e>
              <m:sSub>
                <m:sSubPr>
                  <m:ctrlPr>
                    <w:rPr>
                      <w:rFonts w:ascii="Cambria Math" w:hAnsi="Cambria Math" w:cs="Arial"/>
                      <w:lang w:val="es-ES_tradnl" w:eastAsia="es-CO"/>
                    </w:rPr>
                  </m:ctrlPr>
                </m:sSubPr>
                <m:e>
                  <m:r>
                    <m:rPr>
                      <m:sty m:val="p"/>
                    </m:rPr>
                    <w:rPr>
                      <w:rFonts w:ascii="Cambria Math" w:hAnsi="Cambria Math" w:cs="Arial"/>
                      <w:lang w:val="es-ES_tradnl" w:eastAsia="es-CO"/>
                    </w:rPr>
                    <m:t>AOM</m:t>
                  </m:r>
                </m:e>
                <m:sub>
                  <m:r>
                    <m:rPr>
                      <m:sty m:val="p"/>
                    </m:rPr>
                    <w:rPr>
                      <w:rFonts w:ascii="Cambria Math" w:hAnsi="Cambria Math" w:cs="Arial"/>
                      <w:lang w:val="es-ES_tradnl" w:eastAsia="es-CO"/>
                    </w:rPr>
                    <m:t>n</m:t>
                  </m:r>
                </m:sub>
              </m:sSub>
              <m:r>
                <m:rPr>
                  <m:sty m:val="p"/>
                </m:rPr>
                <w:rPr>
                  <w:rFonts w:ascii="Cambria Math" w:hAnsi="Cambria Math" w:cs="Arial"/>
                  <w:lang w:val="es-ES_tradnl" w:eastAsia="es-CO"/>
                </w:rPr>
                <m:t xml:space="preserve"> estimado,  </m:t>
              </m:r>
              <m:sSub>
                <m:sSubPr>
                  <m:ctrlPr>
                    <w:rPr>
                      <w:rFonts w:ascii="Cambria Math" w:hAnsi="Cambria Math" w:cs="Arial"/>
                      <w:lang w:val="es-ES_tradnl" w:eastAsia="es-CO"/>
                    </w:rPr>
                  </m:ctrlPr>
                </m:sSubPr>
                <m:e>
                  <m:r>
                    <m:rPr>
                      <m:sty m:val="p"/>
                    </m:rPr>
                    <w:rPr>
                      <w:rFonts w:ascii="Cambria Math" w:hAnsi="Cambria Math" w:cs="Arial"/>
                      <w:lang w:val="es-ES_tradnl" w:eastAsia="es-CO"/>
                    </w:rPr>
                    <m:t>AOM</m:t>
                  </m:r>
                </m:e>
                <m:sub>
                  <m:r>
                    <m:rPr>
                      <m:sty m:val="p"/>
                    </m:rPr>
                    <w:rPr>
                      <w:rFonts w:ascii="Cambria Math" w:hAnsi="Cambria Math" w:cs="Arial"/>
                      <w:lang w:val="es-ES_tradnl" w:eastAsia="es-CO"/>
                    </w:rPr>
                    <m:t>n</m:t>
                  </m:r>
                </m:sub>
              </m:sSub>
              <m:r>
                <m:rPr>
                  <m:sty m:val="p"/>
                </m:rPr>
                <w:rPr>
                  <w:rFonts w:ascii="Cambria Math" w:hAnsi="Cambria Math" w:cs="Arial"/>
                  <w:lang w:val="es-ES_tradnl" w:eastAsia="es-CO"/>
                </w:rPr>
                <m:t xml:space="preserve"> reportado </m:t>
              </m:r>
            </m:e>
          </m:d>
        </m:oMath>
      </m:oMathPara>
    </w:p>
    <w:p w:rsidR="000B65DE" w:rsidRPr="000B65DE" w:rsidRDefault="000B65DE" w:rsidP="000B65DE">
      <w:pPr>
        <w:ind w:left="0"/>
        <w:jc w:val="both"/>
        <w:rPr>
          <w:rFonts w:ascii="Bookman Old Style" w:hAnsi="Bookman Old Style" w:cs="Arial"/>
          <w:lang w:val="es-ES_tradnl" w:eastAsia="es-CO"/>
        </w:rPr>
      </w:pPr>
    </w:p>
    <w:p w:rsidR="001D143C" w:rsidRPr="000B65DE" w:rsidRDefault="001D143C" w:rsidP="000B65DE">
      <w:pPr>
        <w:ind w:left="0"/>
        <w:jc w:val="both"/>
        <w:rPr>
          <w:rFonts w:ascii="Bookman Old Style" w:hAnsi="Bookman Old Style" w:cs="Arial"/>
          <w:lang w:val="es-CO" w:eastAsia="es-CO"/>
        </w:rPr>
      </w:pPr>
    </w:p>
    <w:p w:rsidR="000B65DE" w:rsidRPr="00EF76D5" w:rsidRDefault="000B65DE" w:rsidP="008F4D9F">
      <w:pPr>
        <w:pStyle w:val="Prrafodelista"/>
        <w:numPr>
          <w:ilvl w:val="0"/>
          <w:numId w:val="40"/>
        </w:numPr>
        <w:jc w:val="both"/>
        <w:rPr>
          <w:rFonts w:ascii="Bookman Old Style" w:hAnsi="Bookman Old Style"/>
          <w:sz w:val="24"/>
          <w:lang w:eastAsia="es-CO"/>
        </w:rPr>
      </w:pPr>
      <w:r w:rsidRPr="00EF76D5">
        <w:rPr>
          <w:rFonts w:ascii="Bookman Old Style" w:hAnsi="Bookman Old Style"/>
          <w:sz w:val="24"/>
          <w:lang w:eastAsia="es-CO"/>
        </w:rPr>
        <w:t xml:space="preserve">Una vez determinado el AOM eficiente de la empresa, se </w:t>
      </w:r>
      <w:r w:rsidR="00FA5EC1" w:rsidRPr="00EF76D5">
        <w:rPr>
          <w:rFonts w:ascii="Bookman Old Style" w:hAnsi="Bookman Old Style"/>
          <w:sz w:val="24"/>
          <w:lang w:eastAsia="es-CO"/>
        </w:rPr>
        <w:t xml:space="preserve">procederá a </w:t>
      </w:r>
      <w:r w:rsidR="00523FF1" w:rsidRPr="00EF76D5">
        <w:rPr>
          <w:rFonts w:ascii="Bookman Old Style" w:hAnsi="Bookman Old Style"/>
          <w:sz w:val="24"/>
          <w:lang w:eastAsia="es-CO"/>
        </w:rPr>
        <w:t xml:space="preserve">repartir entre las actividades de </w:t>
      </w:r>
      <w:r w:rsidRPr="00EF76D5">
        <w:rPr>
          <w:rFonts w:ascii="Bookman Old Style" w:hAnsi="Bookman Old Style"/>
          <w:sz w:val="24"/>
          <w:lang w:eastAsia="es-CO"/>
        </w:rPr>
        <w:t xml:space="preserve">distribución y comercialización </w:t>
      </w:r>
      <w:r w:rsidR="00523FF1" w:rsidRPr="00EF76D5">
        <w:rPr>
          <w:rFonts w:ascii="Bookman Old Style" w:hAnsi="Bookman Old Style"/>
          <w:sz w:val="24"/>
          <w:lang w:eastAsia="es-CO"/>
        </w:rPr>
        <w:t>conforme a los porcentajes que reporten las empresas en su solicitud tarifaria.</w:t>
      </w:r>
    </w:p>
    <w:p w:rsidR="000B65DE" w:rsidRPr="000B65DE" w:rsidRDefault="000B65DE" w:rsidP="000B65DE">
      <w:pPr>
        <w:ind w:left="720"/>
        <w:jc w:val="both"/>
        <w:rPr>
          <w:rFonts w:ascii="Bookman Old Style" w:hAnsi="Bookman Old Style" w:cs="Arial"/>
          <w:lang w:val="es-CO" w:eastAsia="es-CO"/>
        </w:rPr>
      </w:pPr>
    </w:p>
    <w:p w:rsidR="000B65DE" w:rsidRPr="000B65DE" w:rsidRDefault="000B65DE" w:rsidP="008F4D9F">
      <w:pPr>
        <w:numPr>
          <w:ilvl w:val="0"/>
          <w:numId w:val="17"/>
        </w:numPr>
        <w:ind w:left="1068"/>
        <w:jc w:val="both"/>
        <w:rPr>
          <w:rFonts w:ascii="Bookman Old Style" w:hAnsi="Bookman Old Style" w:cs="Arial"/>
          <w:lang w:val="es-CO" w:eastAsia="es-CO"/>
        </w:rPr>
      </w:pPr>
      <w:r w:rsidRPr="000B65DE">
        <w:rPr>
          <w:rFonts w:ascii="Bookman Old Style" w:hAnsi="Bookman Old Style" w:cs="Arial"/>
          <w:lang w:val="es-CO" w:eastAsia="es-CO"/>
        </w:rPr>
        <w:t xml:space="preserve">Cuando las empresas no reporten la información de AOM para cada actividad en el SUI, la Comisión le aprobará para efectos tarifarios el 90% de los gastos AOM de una empresa que sea comparable en términos de escala y densidad del mercado (número de usuarios atendidos y número de longitud de </w:t>
      </w:r>
      <w:r w:rsidR="00C35BA5">
        <w:rPr>
          <w:rFonts w:ascii="Bookman Old Style" w:hAnsi="Bookman Old Style" w:cs="Arial"/>
          <w:lang w:val="es-CO" w:eastAsia="es-CO"/>
        </w:rPr>
        <w:t xml:space="preserve">la </w:t>
      </w:r>
      <w:r w:rsidRPr="000B65DE">
        <w:rPr>
          <w:rFonts w:ascii="Bookman Old Style" w:hAnsi="Bookman Old Style" w:cs="Arial"/>
          <w:lang w:val="es-CO" w:eastAsia="es-CO"/>
        </w:rPr>
        <w:t>red del sistema de distribución).</w:t>
      </w:r>
    </w:p>
    <w:p w:rsidR="000B65DE" w:rsidRPr="000B65DE" w:rsidRDefault="000B65DE" w:rsidP="00EF76D5">
      <w:pPr>
        <w:ind w:left="348"/>
        <w:jc w:val="both"/>
        <w:rPr>
          <w:rFonts w:ascii="Bookman Old Style" w:hAnsi="Bookman Old Style" w:cs="Arial"/>
          <w:lang w:val="es-ES_tradnl" w:eastAsia="es-CO"/>
        </w:rPr>
      </w:pPr>
    </w:p>
    <w:p w:rsidR="000B65DE" w:rsidRPr="000B65DE" w:rsidRDefault="000B65DE" w:rsidP="008F4D9F">
      <w:pPr>
        <w:numPr>
          <w:ilvl w:val="0"/>
          <w:numId w:val="17"/>
        </w:numPr>
        <w:ind w:left="1068"/>
        <w:jc w:val="both"/>
        <w:rPr>
          <w:rFonts w:ascii="Bookman Old Style" w:hAnsi="Bookman Old Style" w:cs="Arial"/>
          <w:lang w:val="es-CO" w:eastAsia="es-CO"/>
        </w:rPr>
      </w:pPr>
      <w:r w:rsidRPr="000B65DE">
        <w:rPr>
          <w:rFonts w:ascii="Bookman Old Style" w:hAnsi="Bookman Old Style" w:cs="Arial"/>
          <w:lang w:val="es-CO" w:eastAsia="es-CO"/>
        </w:rPr>
        <w:t xml:space="preserve">Cuando las empresas no reporten los porcentajes (%) de AOM para las actividades de distribución y comercialización, se dividirán los gastos de AOM totales en partes iguales entre las actividades de comercialización y distribución. </w:t>
      </w:r>
    </w:p>
    <w:p w:rsidR="000B65DE" w:rsidRPr="000B65DE" w:rsidRDefault="000B65DE" w:rsidP="000B65DE">
      <w:pPr>
        <w:ind w:left="0"/>
        <w:jc w:val="both"/>
        <w:rPr>
          <w:rFonts w:ascii="Bookman Old Style" w:hAnsi="Bookman Old Style" w:cs="Arial"/>
          <w:lang w:val="es-ES_tradnl" w:eastAsia="es-CO"/>
        </w:rPr>
      </w:pPr>
    </w:p>
    <w:p w:rsidR="000B65DE" w:rsidRPr="00EF76D5" w:rsidRDefault="000B65DE" w:rsidP="008F4D9F">
      <w:pPr>
        <w:pStyle w:val="Prrafodelista"/>
        <w:numPr>
          <w:ilvl w:val="0"/>
          <w:numId w:val="40"/>
        </w:numPr>
        <w:ind w:hanging="436"/>
        <w:jc w:val="both"/>
        <w:rPr>
          <w:rFonts w:ascii="Bookman Old Style" w:hAnsi="Bookman Old Style"/>
          <w:sz w:val="24"/>
          <w:lang w:eastAsia="es-CO"/>
        </w:rPr>
      </w:pPr>
      <w:r w:rsidRPr="00EF76D5">
        <w:rPr>
          <w:rFonts w:ascii="Bookman Old Style" w:hAnsi="Bookman Old Style"/>
          <w:sz w:val="24"/>
          <w:lang w:eastAsia="es-CO"/>
        </w:rPr>
        <w:t xml:space="preserve">El AOM eficiente de la actividad de distribución se </w:t>
      </w:r>
      <w:r w:rsidR="009A310B" w:rsidRPr="00EF76D5">
        <w:rPr>
          <w:rFonts w:ascii="Bookman Old Style" w:hAnsi="Bookman Old Style"/>
          <w:sz w:val="24"/>
          <w:lang w:eastAsia="es-CO"/>
        </w:rPr>
        <w:t xml:space="preserve">asignará </w:t>
      </w:r>
      <w:r w:rsidRPr="00EF76D5">
        <w:rPr>
          <w:rFonts w:ascii="Bookman Old Style" w:hAnsi="Bookman Old Style"/>
          <w:sz w:val="24"/>
          <w:lang w:eastAsia="es-CO"/>
        </w:rPr>
        <w:t xml:space="preserve">entre </w:t>
      </w:r>
      <w:r w:rsidR="009A310B" w:rsidRPr="00EF76D5">
        <w:rPr>
          <w:rFonts w:ascii="Bookman Old Style" w:hAnsi="Bookman Old Style"/>
          <w:sz w:val="24"/>
          <w:lang w:eastAsia="es-CO"/>
        </w:rPr>
        <w:t xml:space="preserve">cada uno de </w:t>
      </w:r>
      <w:r w:rsidRPr="00EF76D5">
        <w:rPr>
          <w:rFonts w:ascii="Bookman Old Style" w:hAnsi="Bookman Old Style"/>
          <w:sz w:val="24"/>
          <w:lang w:eastAsia="es-CO"/>
        </w:rPr>
        <w:t xml:space="preserve">los mercados relevantes atendidos por la empresa </w:t>
      </w:r>
      <w:r w:rsidR="009A310B" w:rsidRPr="00EF76D5">
        <w:rPr>
          <w:rFonts w:ascii="Bookman Old Style" w:hAnsi="Bookman Old Style"/>
          <w:sz w:val="24"/>
          <w:lang w:eastAsia="es-CO"/>
        </w:rPr>
        <w:t>en forma proporcional al número de usuarios y/o kilómetros de red.</w:t>
      </w:r>
    </w:p>
    <w:p w:rsidR="000B65DE" w:rsidRPr="000B65DE" w:rsidRDefault="000B65DE" w:rsidP="000B65DE">
      <w:pPr>
        <w:ind w:left="720"/>
        <w:jc w:val="both"/>
        <w:rPr>
          <w:rFonts w:ascii="Bookman Old Style" w:hAnsi="Bookman Old Style" w:cs="Arial"/>
          <w:sz w:val="20"/>
          <w:lang w:val="es-CO" w:eastAsia="es-CO"/>
        </w:rPr>
      </w:pPr>
    </w:p>
    <w:p w:rsidR="000B65DE" w:rsidRPr="00EF76D5" w:rsidRDefault="009A310B" w:rsidP="008F4D9F">
      <w:pPr>
        <w:pStyle w:val="Prrafodelista"/>
        <w:numPr>
          <w:ilvl w:val="0"/>
          <w:numId w:val="40"/>
        </w:numPr>
        <w:ind w:hanging="436"/>
        <w:jc w:val="both"/>
        <w:rPr>
          <w:rFonts w:ascii="Bookman Old Style" w:hAnsi="Bookman Old Style"/>
          <w:sz w:val="24"/>
          <w:lang w:eastAsia="es-CO"/>
        </w:rPr>
      </w:pPr>
      <w:r w:rsidRPr="00EF76D5">
        <w:rPr>
          <w:rFonts w:ascii="Bookman Old Style" w:hAnsi="Bookman Old Style"/>
          <w:sz w:val="24"/>
          <w:lang w:eastAsia="es-CO"/>
        </w:rPr>
        <w:t xml:space="preserve">En los casos de </w:t>
      </w:r>
      <w:r w:rsidR="000B65DE" w:rsidRPr="00EF76D5">
        <w:rPr>
          <w:rFonts w:ascii="Bookman Old Style" w:hAnsi="Bookman Old Style"/>
          <w:sz w:val="24"/>
          <w:lang w:eastAsia="es-CO"/>
        </w:rPr>
        <w:t xml:space="preserve"> </w:t>
      </w:r>
      <w:r w:rsidRPr="00EF76D5">
        <w:rPr>
          <w:rFonts w:ascii="Bookman Old Style" w:hAnsi="Bookman Old Style"/>
          <w:sz w:val="24"/>
          <w:lang w:eastAsia="es-CO"/>
        </w:rPr>
        <w:t>M</w:t>
      </w:r>
      <w:r w:rsidR="000B65DE" w:rsidRPr="00EF76D5">
        <w:rPr>
          <w:rFonts w:ascii="Bookman Old Style" w:hAnsi="Bookman Old Style"/>
          <w:sz w:val="24"/>
          <w:lang w:eastAsia="es-CO"/>
        </w:rPr>
        <w:t xml:space="preserve">ercados </w:t>
      </w:r>
      <w:r w:rsidRPr="00EF76D5">
        <w:rPr>
          <w:rFonts w:ascii="Bookman Old Style" w:hAnsi="Bookman Old Style"/>
          <w:sz w:val="24"/>
          <w:lang w:eastAsia="es-CO"/>
        </w:rPr>
        <w:t>R</w:t>
      </w:r>
      <w:r w:rsidR="000B65DE" w:rsidRPr="00EF76D5">
        <w:rPr>
          <w:rFonts w:ascii="Bookman Old Style" w:hAnsi="Bookman Old Style"/>
          <w:sz w:val="24"/>
          <w:lang w:eastAsia="es-CO"/>
        </w:rPr>
        <w:t xml:space="preserve">elevantes </w:t>
      </w:r>
      <w:r w:rsidRPr="00EF76D5">
        <w:rPr>
          <w:rFonts w:ascii="Bookman Old Style" w:hAnsi="Bookman Old Style"/>
          <w:sz w:val="24"/>
          <w:lang w:eastAsia="es-CO"/>
        </w:rPr>
        <w:t xml:space="preserve">de Distribución </w:t>
      </w:r>
      <w:r w:rsidR="000B65DE" w:rsidRPr="00EF76D5">
        <w:rPr>
          <w:rFonts w:ascii="Bookman Old Style" w:hAnsi="Bookman Old Style"/>
          <w:sz w:val="24"/>
          <w:lang w:eastAsia="es-CO"/>
        </w:rPr>
        <w:t>donde preste el servicio más de un distribuidor se sumará el AOM anual eficiente de cada empresa para el mercado relevante.</w:t>
      </w:r>
    </w:p>
    <w:p w:rsidR="000B65DE" w:rsidRPr="000B65DE" w:rsidRDefault="000B65DE" w:rsidP="000B65DE">
      <w:pPr>
        <w:ind w:left="0"/>
        <w:jc w:val="both"/>
        <w:rPr>
          <w:rFonts w:ascii="Bookman Old Style" w:hAnsi="Bookman Old Style" w:cs="Arial"/>
          <w:lang w:val="es-ES_tradnl" w:eastAsia="es-CO"/>
        </w:rPr>
      </w:pPr>
    </w:p>
    <w:p w:rsidR="000B65DE" w:rsidRPr="00EF76D5" w:rsidRDefault="000B65DE" w:rsidP="008F4D9F">
      <w:pPr>
        <w:pStyle w:val="Prrafodelista"/>
        <w:numPr>
          <w:ilvl w:val="0"/>
          <w:numId w:val="40"/>
        </w:numPr>
        <w:ind w:hanging="436"/>
        <w:jc w:val="both"/>
        <w:rPr>
          <w:rFonts w:ascii="Bookman Old Style" w:hAnsi="Bookman Old Style"/>
          <w:sz w:val="24"/>
          <w:lang w:eastAsia="es-CO"/>
        </w:rPr>
      </w:pPr>
      <w:r w:rsidRPr="00EF76D5">
        <w:rPr>
          <w:rFonts w:ascii="Bookman Old Style" w:hAnsi="Bookman Old Style"/>
          <w:sz w:val="24"/>
          <w:lang w:eastAsia="es-CO"/>
        </w:rPr>
        <w:t xml:space="preserve">Las empresas deberán reportar </w:t>
      </w:r>
      <w:r w:rsidR="00D14A65" w:rsidRPr="00EF76D5">
        <w:rPr>
          <w:rFonts w:ascii="Bookman Old Style" w:hAnsi="Bookman Old Style"/>
          <w:sz w:val="24"/>
          <w:lang w:eastAsia="es-CO"/>
        </w:rPr>
        <w:t xml:space="preserve">al mes siguiente de entrada en vigencia de ésta resolución, </w:t>
      </w:r>
      <w:r w:rsidRPr="00EF76D5">
        <w:rPr>
          <w:rFonts w:ascii="Bookman Old Style" w:hAnsi="Bookman Old Style"/>
          <w:sz w:val="24"/>
          <w:lang w:eastAsia="es-CO"/>
        </w:rPr>
        <w:t>los valores de gastos y costos que se encuentran incluidos en la información reportada al SUI para la unidad del negocio de distribución</w:t>
      </w:r>
      <w:r w:rsidR="007B4771" w:rsidRPr="00EF76D5">
        <w:rPr>
          <w:rFonts w:ascii="Bookman Old Style" w:hAnsi="Bookman Old Style"/>
          <w:sz w:val="24"/>
          <w:lang w:eastAsia="es-CO"/>
        </w:rPr>
        <w:t xml:space="preserve"> y comercialización</w:t>
      </w:r>
      <w:r w:rsidRPr="00EF76D5">
        <w:rPr>
          <w:rFonts w:ascii="Bookman Old Style" w:hAnsi="Bookman Old Style"/>
          <w:sz w:val="24"/>
          <w:lang w:eastAsia="es-CO"/>
        </w:rPr>
        <w:t xml:space="preserve"> de gas a la Fecha de Corte. Las cuentas se encuentran en los cuadros 1 y 2. </w:t>
      </w:r>
    </w:p>
    <w:p w:rsidR="000B65DE" w:rsidRPr="000B65DE" w:rsidRDefault="000B65DE" w:rsidP="000B65DE">
      <w:pPr>
        <w:ind w:left="708"/>
        <w:rPr>
          <w:rFonts w:ascii="Bookman Old Style" w:hAnsi="Bookman Old Style" w:cs="Arial"/>
          <w:lang w:val="es-CO" w:eastAsia="es-CO"/>
        </w:rPr>
      </w:pPr>
    </w:p>
    <w:p w:rsidR="000B65DE" w:rsidRPr="000B65DE" w:rsidRDefault="000B65DE" w:rsidP="000B65DE">
      <w:pPr>
        <w:ind w:left="720"/>
        <w:jc w:val="both"/>
        <w:rPr>
          <w:rFonts w:ascii="Bookman Old Style" w:hAnsi="Bookman Old Style" w:cs="Arial"/>
          <w:lang w:val="es-CO" w:eastAsia="es-CO"/>
        </w:rPr>
      </w:pPr>
      <w:r w:rsidRPr="000B65DE">
        <w:rPr>
          <w:rFonts w:ascii="Bookman Old Style" w:hAnsi="Bookman Old Style" w:cs="Arial"/>
          <w:lang w:val="es-CO" w:eastAsia="es-CO"/>
        </w:rPr>
        <w:lastRenderedPageBreak/>
        <w:t>Los valores de costos y gastos</w:t>
      </w:r>
      <w:r w:rsidR="00710850">
        <w:rPr>
          <w:rFonts w:ascii="Bookman Old Style" w:hAnsi="Bookman Old Style" w:cs="Arial"/>
          <w:lang w:val="es-CO" w:eastAsia="es-CO"/>
        </w:rPr>
        <w:t xml:space="preserve"> de Administración, Operación y Mantenimiento </w:t>
      </w:r>
      <w:r w:rsidRPr="000B65DE">
        <w:rPr>
          <w:rFonts w:ascii="Bookman Old Style" w:hAnsi="Bookman Old Style" w:cs="Arial"/>
          <w:lang w:val="es-CO" w:eastAsia="es-CO"/>
        </w:rPr>
        <w:t xml:space="preserve"> se deben reportar a pesos de la Fecha Base. </w:t>
      </w:r>
    </w:p>
    <w:p w:rsidR="000B65DE" w:rsidRPr="000B65DE" w:rsidRDefault="000B65DE" w:rsidP="000B65DE">
      <w:pPr>
        <w:ind w:left="0"/>
        <w:jc w:val="both"/>
        <w:rPr>
          <w:rFonts w:ascii="Bookman Old Style" w:hAnsi="Bookman Old Style" w:cs="Arial"/>
          <w:lang w:val="es-ES_tradnl" w:eastAsia="es-CO"/>
        </w:rPr>
      </w:pPr>
    </w:p>
    <w:p w:rsidR="000B65DE" w:rsidRPr="000B65DE" w:rsidRDefault="000B65DE" w:rsidP="000B65DE">
      <w:pPr>
        <w:ind w:left="0"/>
        <w:jc w:val="both"/>
        <w:rPr>
          <w:rFonts w:ascii="Bookman Old Style" w:hAnsi="Bookman Old Style" w:cs="Arial"/>
          <w:lang w:val="es-ES_tradnl" w:eastAsia="es-CO"/>
        </w:rPr>
      </w:pPr>
    </w:p>
    <w:tbl>
      <w:tblPr>
        <w:tblW w:w="7473" w:type="dxa"/>
        <w:jc w:val="center"/>
        <w:tblInd w:w="55" w:type="dxa"/>
        <w:tblCellMar>
          <w:left w:w="70" w:type="dxa"/>
          <w:right w:w="70" w:type="dxa"/>
        </w:tblCellMar>
        <w:tblLook w:val="04A0" w:firstRow="1" w:lastRow="0" w:firstColumn="1" w:lastColumn="0" w:noHBand="0" w:noVBand="1"/>
      </w:tblPr>
      <w:tblGrid>
        <w:gridCol w:w="1033"/>
        <w:gridCol w:w="6440"/>
      </w:tblGrid>
      <w:tr w:rsidR="000B65DE" w:rsidRPr="000B65DE" w:rsidTr="00710850">
        <w:trPr>
          <w:trHeight w:val="300"/>
          <w:jc w:val="center"/>
        </w:trPr>
        <w:tc>
          <w:tcPr>
            <w:tcW w:w="74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0B65DE" w:rsidRPr="000B65DE" w:rsidRDefault="000B65DE" w:rsidP="000B65DE">
            <w:pPr>
              <w:ind w:left="0"/>
              <w:jc w:val="center"/>
              <w:rPr>
                <w:rFonts w:ascii="Bookman Old Style" w:hAnsi="Bookman Old Style" w:cs="Calibri"/>
                <w:b/>
                <w:bCs/>
                <w:color w:val="000000"/>
                <w:lang w:val="es-CO" w:eastAsia="es-CO"/>
              </w:rPr>
            </w:pPr>
            <w:r w:rsidRPr="000B65DE">
              <w:rPr>
                <w:rFonts w:ascii="Bookman Old Style" w:hAnsi="Bookman Old Style" w:cs="Calibri"/>
                <w:b/>
                <w:bCs/>
                <w:color w:val="000000"/>
                <w:lang w:val="es-CO" w:eastAsia="es-CO"/>
              </w:rPr>
              <w:t>Cuadro No. 1</w:t>
            </w:r>
          </w:p>
        </w:tc>
      </w:tr>
      <w:tr w:rsidR="000B65DE" w:rsidRPr="000B65DE" w:rsidTr="00710850">
        <w:trPr>
          <w:trHeight w:val="300"/>
          <w:jc w:val="center"/>
        </w:trPr>
        <w:tc>
          <w:tcPr>
            <w:tcW w:w="10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65DE" w:rsidRPr="000B65DE" w:rsidRDefault="000B65DE" w:rsidP="000B65DE">
            <w:pPr>
              <w:ind w:left="0"/>
              <w:jc w:val="center"/>
              <w:rPr>
                <w:rFonts w:ascii="Bookman Old Style" w:hAnsi="Bookman Old Style" w:cs="Calibri"/>
                <w:b/>
                <w:bCs/>
                <w:color w:val="000000"/>
                <w:lang w:val="es-CO" w:eastAsia="es-CO"/>
              </w:rPr>
            </w:pPr>
            <w:r w:rsidRPr="000B65DE">
              <w:rPr>
                <w:rFonts w:ascii="Bookman Old Style" w:hAnsi="Bookman Old Style" w:cs="Calibri"/>
                <w:b/>
                <w:bCs/>
                <w:color w:val="000000"/>
                <w:lang w:val="es-CO" w:eastAsia="es-CO"/>
              </w:rPr>
              <w:t>Código</w:t>
            </w:r>
          </w:p>
        </w:tc>
        <w:tc>
          <w:tcPr>
            <w:tcW w:w="6440" w:type="dxa"/>
            <w:tcBorders>
              <w:top w:val="single" w:sz="4" w:space="0" w:color="auto"/>
              <w:left w:val="nil"/>
              <w:bottom w:val="single" w:sz="4" w:space="0" w:color="auto"/>
              <w:right w:val="single" w:sz="4" w:space="0" w:color="auto"/>
            </w:tcBorders>
            <w:shd w:val="clear" w:color="auto" w:fill="auto"/>
            <w:noWrap/>
            <w:vAlign w:val="center"/>
            <w:hideMark/>
          </w:tcPr>
          <w:p w:rsidR="000B65DE" w:rsidRPr="000B65DE" w:rsidRDefault="000B65DE" w:rsidP="000B65DE">
            <w:pPr>
              <w:ind w:left="0"/>
              <w:jc w:val="center"/>
              <w:rPr>
                <w:rFonts w:ascii="Bookman Old Style" w:hAnsi="Bookman Old Style" w:cs="Calibri"/>
                <w:b/>
                <w:bCs/>
                <w:color w:val="000000"/>
                <w:lang w:val="es-CO" w:eastAsia="es-CO"/>
              </w:rPr>
            </w:pPr>
            <w:r w:rsidRPr="000B65DE">
              <w:rPr>
                <w:rFonts w:ascii="Bookman Old Style" w:hAnsi="Bookman Old Style" w:cs="Calibri"/>
                <w:b/>
                <w:bCs/>
                <w:color w:val="000000"/>
                <w:lang w:val="es-CO" w:eastAsia="es-CO"/>
              </w:rPr>
              <w:t>Descripción</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auto" w:fill="auto"/>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5</w:t>
            </w:r>
          </w:p>
        </w:tc>
        <w:tc>
          <w:tcPr>
            <w:tcW w:w="6440" w:type="dxa"/>
            <w:tcBorders>
              <w:top w:val="nil"/>
              <w:left w:val="nil"/>
              <w:bottom w:val="single" w:sz="4" w:space="0" w:color="auto"/>
              <w:right w:val="single" w:sz="4" w:space="0" w:color="auto"/>
            </w:tcBorders>
            <w:shd w:val="clear" w:color="auto" w:fill="auto"/>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Gastos</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auto" w:fill="auto"/>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512007</w:t>
            </w:r>
          </w:p>
        </w:tc>
        <w:tc>
          <w:tcPr>
            <w:tcW w:w="6440" w:type="dxa"/>
            <w:tcBorders>
              <w:top w:val="nil"/>
              <w:left w:val="nil"/>
              <w:bottom w:val="single" w:sz="4" w:space="0" w:color="auto"/>
              <w:right w:val="single" w:sz="4" w:space="0" w:color="auto"/>
            </w:tcBorders>
            <w:shd w:val="clear" w:color="auto" w:fill="auto"/>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Multas</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auto" w:fill="auto"/>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512008</w:t>
            </w:r>
          </w:p>
        </w:tc>
        <w:tc>
          <w:tcPr>
            <w:tcW w:w="6440" w:type="dxa"/>
            <w:tcBorders>
              <w:top w:val="nil"/>
              <w:left w:val="nil"/>
              <w:bottom w:val="single" w:sz="4" w:space="0" w:color="auto"/>
              <w:right w:val="single" w:sz="4" w:space="0" w:color="auto"/>
            </w:tcBorders>
            <w:shd w:val="clear" w:color="auto" w:fill="auto"/>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Sanciones</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auto" w:fill="auto"/>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512017</w:t>
            </w:r>
          </w:p>
        </w:tc>
        <w:tc>
          <w:tcPr>
            <w:tcW w:w="6440" w:type="dxa"/>
            <w:tcBorders>
              <w:top w:val="nil"/>
              <w:left w:val="nil"/>
              <w:bottom w:val="single" w:sz="4" w:space="0" w:color="auto"/>
              <w:right w:val="single" w:sz="4" w:space="0" w:color="auto"/>
            </w:tcBorders>
            <w:shd w:val="clear" w:color="auto" w:fill="auto"/>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Intereses de mora</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auto" w:fill="auto"/>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5302</w:t>
            </w:r>
          </w:p>
        </w:tc>
        <w:tc>
          <w:tcPr>
            <w:tcW w:w="6440" w:type="dxa"/>
            <w:tcBorders>
              <w:top w:val="nil"/>
              <w:left w:val="nil"/>
              <w:bottom w:val="single" w:sz="4" w:space="0" w:color="auto"/>
              <w:right w:val="single" w:sz="4" w:space="0" w:color="auto"/>
            </w:tcBorders>
            <w:shd w:val="clear" w:color="auto" w:fill="auto"/>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Provisión para protección de Inversión</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auto" w:fill="auto"/>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5304</w:t>
            </w:r>
          </w:p>
        </w:tc>
        <w:tc>
          <w:tcPr>
            <w:tcW w:w="6440" w:type="dxa"/>
            <w:tcBorders>
              <w:top w:val="nil"/>
              <w:left w:val="nil"/>
              <w:bottom w:val="single" w:sz="4" w:space="0" w:color="auto"/>
              <w:right w:val="single" w:sz="4" w:space="0" w:color="auto"/>
            </w:tcBorders>
            <w:shd w:val="clear" w:color="auto" w:fill="auto"/>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Provisión para deudores</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auto" w:fill="auto"/>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5306</w:t>
            </w:r>
          </w:p>
        </w:tc>
        <w:tc>
          <w:tcPr>
            <w:tcW w:w="6440" w:type="dxa"/>
            <w:tcBorders>
              <w:top w:val="nil"/>
              <w:left w:val="nil"/>
              <w:bottom w:val="single" w:sz="4" w:space="0" w:color="auto"/>
              <w:right w:val="single" w:sz="4" w:space="0" w:color="auto"/>
            </w:tcBorders>
            <w:shd w:val="clear" w:color="auto" w:fill="auto"/>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Provisión para protección de Inventarios</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auto" w:fill="auto"/>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5309</w:t>
            </w:r>
          </w:p>
        </w:tc>
        <w:tc>
          <w:tcPr>
            <w:tcW w:w="6440" w:type="dxa"/>
            <w:tcBorders>
              <w:top w:val="nil"/>
              <w:left w:val="nil"/>
              <w:bottom w:val="single" w:sz="4" w:space="0" w:color="auto"/>
              <w:right w:val="single" w:sz="4" w:space="0" w:color="auto"/>
            </w:tcBorders>
            <w:shd w:val="clear" w:color="auto" w:fill="auto"/>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Provisión para responsabilidades</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auto" w:fill="auto"/>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5313</w:t>
            </w:r>
          </w:p>
        </w:tc>
        <w:tc>
          <w:tcPr>
            <w:tcW w:w="6440" w:type="dxa"/>
            <w:tcBorders>
              <w:top w:val="nil"/>
              <w:left w:val="nil"/>
              <w:bottom w:val="single" w:sz="4" w:space="0" w:color="auto"/>
              <w:right w:val="single" w:sz="4" w:space="0" w:color="auto"/>
            </w:tcBorders>
            <w:shd w:val="clear" w:color="auto" w:fill="auto"/>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Provisión para obligaciones fiscales</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auto" w:fill="auto"/>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5344</w:t>
            </w:r>
          </w:p>
        </w:tc>
        <w:tc>
          <w:tcPr>
            <w:tcW w:w="6440" w:type="dxa"/>
            <w:tcBorders>
              <w:top w:val="nil"/>
              <w:left w:val="nil"/>
              <w:bottom w:val="single" w:sz="4" w:space="0" w:color="auto"/>
              <w:right w:val="single" w:sz="4" w:space="0" w:color="auto"/>
            </w:tcBorders>
            <w:shd w:val="clear" w:color="auto" w:fill="auto"/>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Amortización de bienes entregados a terceros</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auto" w:fill="auto"/>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58</w:t>
            </w:r>
          </w:p>
        </w:tc>
        <w:tc>
          <w:tcPr>
            <w:tcW w:w="6440" w:type="dxa"/>
            <w:tcBorders>
              <w:top w:val="nil"/>
              <w:left w:val="nil"/>
              <w:bottom w:val="single" w:sz="4" w:space="0" w:color="auto"/>
              <w:right w:val="single" w:sz="4" w:space="0" w:color="auto"/>
            </w:tcBorders>
            <w:shd w:val="clear" w:color="auto" w:fill="auto"/>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Otros gastos</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auto" w:fill="auto"/>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581005</w:t>
            </w:r>
          </w:p>
        </w:tc>
        <w:tc>
          <w:tcPr>
            <w:tcW w:w="6440" w:type="dxa"/>
            <w:tcBorders>
              <w:top w:val="nil"/>
              <w:left w:val="nil"/>
              <w:bottom w:val="single" w:sz="4" w:space="0" w:color="auto"/>
              <w:right w:val="single" w:sz="4" w:space="0" w:color="auto"/>
            </w:tcBorders>
            <w:shd w:val="clear" w:color="auto" w:fill="auto"/>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Gastos legales</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auto" w:fill="auto"/>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581539</w:t>
            </w:r>
          </w:p>
        </w:tc>
        <w:tc>
          <w:tcPr>
            <w:tcW w:w="6440" w:type="dxa"/>
            <w:tcBorders>
              <w:top w:val="nil"/>
              <w:left w:val="nil"/>
              <w:bottom w:val="single" w:sz="4" w:space="0" w:color="auto"/>
              <w:right w:val="single" w:sz="4" w:space="0" w:color="auto"/>
            </w:tcBorders>
            <w:shd w:val="clear" w:color="auto" w:fill="auto"/>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Depreciación de edificaciones</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auto" w:fill="auto"/>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w:t>
            </w:r>
          </w:p>
        </w:tc>
        <w:tc>
          <w:tcPr>
            <w:tcW w:w="6440" w:type="dxa"/>
            <w:tcBorders>
              <w:top w:val="nil"/>
              <w:left w:val="nil"/>
              <w:bottom w:val="single" w:sz="4" w:space="0" w:color="auto"/>
              <w:right w:val="single" w:sz="4" w:space="0" w:color="auto"/>
            </w:tcBorders>
            <w:shd w:val="clear" w:color="auto" w:fill="auto"/>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Costos de producción</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auto" w:fill="auto"/>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7515</w:t>
            </w:r>
          </w:p>
        </w:tc>
        <w:tc>
          <w:tcPr>
            <w:tcW w:w="6440" w:type="dxa"/>
            <w:tcBorders>
              <w:top w:val="nil"/>
              <w:left w:val="nil"/>
              <w:bottom w:val="single" w:sz="4" w:space="0" w:color="auto"/>
              <w:right w:val="single" w:sz="4" w:space="0" w:color="auto"/>
            </w:tcBorders>
            <w:shd w:val="clear" w:color="auto" w:fill="auto"/>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Depreciaciones</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auto" w:fill="auto"/>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751501</w:t>
            </w:r>
          </w:p>
        </w:tc>
        <w:tc>
          <w:tcPr>
            <w:tcW w:w="6440" w:type="dxa"/>
            <w:tcBorders>
              <w:top w:val="nil"/>
              <w:left w:val="nil"/>
              <w:bottom w:val="single" w:sz="4" w:space="0" w:color="auto"/>
              <w:right w:val="single" w:sz="4" w:space="0" w:color="auto"/>
            </w:tcBorders>
            <w:shd w:val="clear" w:color="auto" w:fill="auto"/>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Depreciación edificaciones</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auto" w:fill="auto"/>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751502</w:t>
            </w:r>
          </w:p>
        </w:tc>
        <w:tc>
          <w:tcPr>
            <w:tcW w:w="6440" w:type="dxa"/>
            <w:tcBorders>
              <w:top w:val="nil"/>
              <w:left w:val="nil"/>
              <w:bottom w:val="single" w:sz="4" w:space="0" w:color="auto"/>
              <w:right w:val="single" w:sz="4" w:space="0" w:color="auto"/>
            </w:tcBorders>
            <w:shd w:val="clear" w:color="auto" w:fill="auto"/>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Depreciación plantas, ductos y túneles</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000000" w:fill="FFFFFF"/>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751503</w:t>
            </w:r>
          </w:p>
        </w:tc>
        <w:tc>
          <w:tcPr>
            <w:tcW w:w="6440" w:type="dxa"/>
            <w:tcBorders>
              <w:top w:val="nil"/>
              <w:left w:val="nil"/>
              <w:bottom w:val="single" w:sz="4" w:space="0" w:color="auto"/>
              <w:right w:val="single" w:sz="4" w:space="0" w:color="auto"/>
            </w:tcBorders>
            <w:shd w:val="clear" w:color="000000" w:fill="FFFFFF"/>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Depreciación Redes, líneas, cables</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000000" w:fill="FFFFFF"/>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751504</w:t>
            </w:r>
          </w:p>
        </w:tc>
        <w:tc>
          <w:tcPr>
            <w:tcW w:w="6440" w:type="dxa"/>
            <w:tcBorders>
              <w:top w:val="nil"/>
              <w:left w:val="nil"/>
              <w:bottom w:val="single" w:sz="4" w:space="0" w:color="auto"/>
              <w:right w:val="single" w:sz="4" w:space="0" w:color="auto"/>
            </w:tcBorders>
            <w:shd w:val="clear" w:color="000000" w:fill="FFFFFF"/>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Depreciación Maquinaria y Equipo</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000000" w:fill="FFFFFF"/>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751506</w:t>
            </w:r>
          </w:p>
        </w:tc>
        <w:tc>
          <w:tcPr>
            <w:tcW w:w="6440" w:type="dxa"/>
            <w:tcBorders>
              <w:top w:val="nil"/>
              <w:left w:val="nil"/>
              <w:bottom w:val="single" w:sz="4" w:space="0" w:color="auto"/>
              <w:right w:val="single" w:sz="4" w:space="0" w:color="auto"/>
            </w:tcBorders>
            <w:shd w:val="clear" w:color="000000" w:fill="FFFFFF"/>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Depreciación Muebles, Enseres y Equipo de Oficina</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000000" w:fill="FFFFFF"/>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751507</w:t>
            </w:r>
          </w:p>
        </w:tc>
        <w:tc>
          <w:tcPr>
            <w:tcW w:w="6440" w:type="dxa"/>
            <w:tcBorders>
              <w:top w:val="nil"/>
              <w:left w:val="nil"/>
              <w:bottom w:val="single" w:sz="4" w:space="0" w:color="auto"/>
              <w:right w:val="single" w:sz="4" w:space="0" w:color="auto"/>
            </w:tcBorders>
            <w:shd w:val="clear" w:color="000000" w:fill="FFFFFF"/>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Depreciación Equipo de Comunicación y computación</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000000" w:fill="FFFFFF"/>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751508</w:t>
            </w:r>
          </w:p>
        </w:tc>
        <w:tc>
          <w:tcPr>
            <w:tcW w:w="6440" w:type="dxa"/>
            <w:tcBorders>
              <w:top w:val="nil"/>
              <w:left w:val="nil"/>
              <w:bottom w:val="single" w:sz="4" w:space="0" w:color="auto"/>
              <w:right w:val="single" w:sz="4" w:space="0" w:color="auto"/>
            </w:tcBorders>
            <w:shd w:val="clear" w:color="000000" w:fill="FFFFFF"/>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Depreciación Equipo de Centros de Control</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000000" w:fill="FFFFFF"/>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751509</w:t>
            </w:r>
          </w:p>
        </w:tc>
        <w:tc>
          <w:tcPr>
            <w:tcW w:w="6440" w:type="dxa"/>
            <w:tcBorders>
              <w:top w:val="nil"/>
              <w:left w:val="nil"/>
              <w:bottom w:val="single" w:sz="4" w:space="0" w:color="auto"/>
              <w:right w:val="single" w:sz="4" w:space="0" w:color="auto"/>
            </w:tcBorders>
            <w:shd w:val="clear" w:color="000000" w:fill="FFFFFF"/>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Depreciación Equipo de Transporte, Tracción y Elevación</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000000" w:fill="FFFFFF"/>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751511</w:t>
            </w:r>
          </w:p>
        </w:tc>
        <w:tc>
          <w:tcPr>
            <w:tcW w:w="6440" w:type="dxa"/>
            <w:tcBorders>
              <w:top w:val="nil"/>
              <w:left w:val="nil"/>
              <w:bottom w:val="single" w:sz="4" w:space="0" w:color="auto"/>
              <w:right w:val="single" w:sz="4" w:space="0" w:color="auto"/>
            </w:tcBorders>
            <w:shd w:val="clear" w:color="000000" w:fill="FFFFFF"/>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Depreciación Bienes Adquiridos en Leasing Financiero</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000000" w:fill="FFFFFF"/>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751590</w:t>
            </w:r>
          </w:p>
        </w:tc>
        <w:tc>
          <w:tcPr>
            <w:tcW w:w="6440" w:type="dxa"/>
            <w:tcBorders>
              <w:top w:val="nil"/>
              <w:left w:val="nil"/>
              <w:bottom w:val="single" w:sz="4" w:space="0" w:color="auto"/>
              <w:right w:val="single" w:sz="4" w:space="0" w:color="auto"/>
            </w:tcBorders>
            <w:shd w:val="clear" w:color="000000" w:fill="FFFFFF"/>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Otras depreciaciones</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000000" w:fill="FFFFFF"/>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7517</w:t>
            </w:r>
          </w:p>
        </w:tc>
        <w:tc>
          <w:tcPr>
            <w:tcW w:w="6440" w:type="dxa"/>
            <w:tcBorders>
              <w:top w:val="nil"/>
              <w:left w:val="nil"/>
              <w:bottom w:val="single" w:sz="4" w:space="0" w:color="auto"/>
              <w:right w:val="single" w:sz="4" w:space="0" w:color="auto"/>
            </w:tcBorders>
            <w:shd w:val="clear" w:color="000000" w:fill="FFFFFF"/>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Arrendamientos</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000000" w:fill="FFFFFF"/>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751701</w:t>
            </w:r>
          </w:p>
        </w:tc>
        <w:tc>
          <w:tcPr>
            <w:tcW w:w="6440" w:type="dxa"/>
            <w:tcBorders>
              <w:top w:val="nil"/>
              <w:left w:val="nil"/>
              <w:bottom w:val="single" w:sz="4" w:space="0" w:color="auto"/>
              <w:right w:val="single" w:sz="4" w:space="0" w:color="auto"/>
            </w:tcBorders>
            <w:shd w:val="clear" w:color="000000" w:fill="FFFFFF"/>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Terrenos</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000000" w:fill="FFFFFF"/>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751702</w:t>
            </w:r>
          </w:p>
        </w:tc>
        <w:tc>
          <w:tcPr>
            <w:tcW w:w="6440" w:type="dxa"/>
            <w:tcBorders>
              <w:top w:val="nil"/>
              <w:left w:val="nil"/>
              <w:bottom w:val="single" w:sz="4" w:space="0" w:color="auto"/>
              <w:right w:val="single" w:sz="4" w:space="0" w:color="auto"/>
            </w:tcBorders>
            <w:shd w:val="clear" w:color="000000" w:fill="FFFFFF"/>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 xml:space="preserve">Construcciones y Edificaciones </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000000" w:fill="FFFFFF"/>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751703</w:t>
            </w:r>
          </w:p>
        </w:tc>
        <w:tc>
          <w:tcPr>
            <w:tcW w:w="6440" w:type="dxa"/>
            <w:tcBorders>
              <w:top w:val="nil"/>
              <w:left w:val="nil"/>
              <w:bottom w:val="single" w:sz="4" w:space="0" w:color="auto"/>
              <w:right w:val="single" w:sz="4" w:space="0" w:color="auto"/>
            </w:tcBorders>
            <w:shd w:val="clear" w:color="000000" w:fill="FFFFFF"/>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Maquinaria y Equipo</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000000" w:fill="FFFFFF"/>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751704</w:t>
            </w:r>
          </w:p>
        </w:tc>
        <w:tc>
          <w:tcPr>
            <w:tcW w:w="6440" w:type="dxa"/>
            <w:tcBorders>
              <w:top w:val="nil"/>
              <w:left w:val="nil"/>
              <w:bottom w:val="single" w:sz="4" w:space="0" w:color="auto"/>
              <w:right w:val="single" w:sz="4" w:space="0" w:color="auto"/>
            </w:tcBorders>
            <w:shd w:val="clear" w:color="000000" w:fill="FFFFFF"/>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Equipo de Oficina</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000000" w:fill="FFFFFF"/>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751705</w:t>
            </w:r>
          </w:p>
        </w:tc>
        <w:tc>
          <w:tcPr>
            <w:tcW w:w="6440" w:type="dxa"/>
            <w:tcBorders>
              <w:top w:val="nil"/>
              <w:left w:val="nil"/>
              <w:bottom w:val="single" w:sz="4" w:space="0" w:color="auto"/>
              <w:right w:val="single" w:sz="4" w:space="0" w:color="auto"/>
            </w:tcBorders>
            <w:shd w:val="clear" w:color="000000" w:fill="FFFFFF"/>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Equipo de Computación y Comunicación</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000000" w:fill="FFFFFF"/>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751707</w:t>
            </w:r>
          </w:p>
        </w:tc>
        <w:tc>
          <w:tcPr>
            <w:tcW w:w="6440" w:type="dxa"/>
            <w:tcBorders>
              <w:top w:val="nil"/>
              <w:left w:val="nil"/>
              <w:bottom w:val="single" w:sz="4" w:space="0" w:color="auto"/>
              <w:right w:val="single" w:sz="4" w:space="0" w:color="auto"/>
            </w:tcBorders>
            <w:shd w:val="clear" w:color="000000" w:fill="FFFFFF"/>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Flota y Equipo de Transporte</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000000" w:fill="FFFFFF"/>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751790</w:t>
            </w:r>
          </w:p>
        </w:tc>
        <w:tc>
          <w:tcPr>
            <w:tcW w:w="6440" w:type="dxa"/>
            <w:tcBorders>
              <w:top w:val="nil"/>
              <w:left w:val="nil"/>
              <w:bottom w:val="single" w:sz="4" w:space="0" w:color="auto"/>
              <w:right w:val="single" w:sz="4" w:space="0" w:color="auto"/>
            </w:tcBorders>
            <w:shd w:val="clear" w:color="000000" w:fill="FFFFFF"/>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Otros</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auto" w:fill="auto"/>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752007</w:t>
            </w:r>
          </w:p>
        </w:tc>
        <w:tc>
          <w:tcPr>
            <w:tcW w:w="6440" w:type="dxa"/>
            <w:tcBorders>
              <w:top w:val="nil"/>
              <w:left w:val="nil"/>
              <w:bottom w:val="single" w:sz="4" w:space="0" w:color="auto"/>
              <w:right w:val="single" w:sz="4" w:space="0" w:color="auto"/>
            </w:tcBorders>
            <w:shd w:val="clear" w:color="auto" w:fill="auto"/>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Amortización bienes entregados a terceros</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000000" w:fill="FFFFFF"/>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752008</w:t>
            </w:r>
          </w:p>
        </w:tc>
        <w:tc>
          <w:tcPr>
            <w:tcW w:w="6440" w:type="dxa"/>
            <w:tcBorders>
              <w:top w:val="nil"/>
              <w:left w:val="nil"/>
              <w:bottom w:val="single" w:sz="4" w:space="0" w:color="auto"/>
              <w:right w:val="single" w:sz="4" w:space="0" w:color="auto"/>
            </w:tcBorders>
            <w:shd w:val="clear" w:color="000000" w:fill="FFFFFF"/>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Amortización mejoras en propiedades ajenas</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000000" w:fill="FFFFFF"/>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7530</w:t>
            </w:r>
          </w:p>
        </w:tc>
        <w:tc>
          <w:tcPr>
            <w:tcW w:w="6440" w:type="dxa"/>
            <w:tcBorders>
              <w:top w:val="nil"/>
              <w:left w:val="nil"/>
              <w:bottom w:val="single" w:sz="4" w:space="0" w:color="auto"/>
              <w:right w:val="single" w:sz="4" w:space="0" w:color="auto"/>
            </w:tcBorders>
            <w:shd w:val="clear" w:color="000000" w:fill="FFFFFF"/>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Costo de bienes y servicios públicos para la venta</w:t>
            </w:r>
          </w:p>
        </w:tc>
      </w:tr>
      <w:tr w:rsidR="000B65DE" w:rsidRPr="000B65DE" w:rsidTr="00710850">
        <w:trPr>
          <w:trHeight w:val="300"/>
          <w:jc w:val="center"/>
        </w:trPr>
        <w:tc>
          <w:tcPr>
            <w:tcW w:w="1033" w:type="dxa"/>
            <w:tcBorders>
              <w:top w:val="nil"/>
              <w:left w:val="single" w:sz="4" w:space="0" w:color="auto"/>
              <w:bottom w:val="single" w:sz="4" w:space="0" w:color="auto"/>
              <w:right w:val="single" w:sz="4" w:space="0" w:color="auto"/>
            </w:tcBorders>
            <w:shd w:val="clear" w:color="000000" w:fill="FFFFFF"/>
            <w:noWrap/>
            <w:vAlign w:val="bottom"/>
            <w:hideMark/>
          </w:tcPr>
          <w:p w:rsidR="000B65DE" w:rsidRPr="000B65DE" w:rsidRDefault="000B65DE" w:rsidP="000B65DE">
            <w:pPr>
              <w:ind w:left="0"/>
              <w:jc w:val="right"/>
              <w:rPr>
                <w:rFonts w:ascii="Bookman Old Style" w:hAnsi="Bookman Old Style" w:cs="Calibri"/>
                <w:color w:val="000000"/>
                <w:lang w:val="es-CO" w:eastAsia="es-CO"/>
              </w:rPr>
            </w:pPr>
            <w:r w:rsidRPr="000B65DE">
              <w:rPr>
                <w:rFonts w:ascii="Bookman Old Style" w:hAnsi="Bookman Old Style" w:cs="Calibri"/>
                <w:color w:val="000000"/>
                <w:lang w:val="es-CO" w:eastAsia="es-CO"/>
              </w:rPr>
              <w:t>7555</w:t>
            </w:r>
          </w:p>
        </w:tc>
        <w:tc>
          <w:tcPr>
            <w:tcW w:w="6440" w:type="dxa"/>
            <w:tcBorders>
              <w:top w:val="nil"/>
              <w:left w:val="nil"/>
              <w:bottom w:val="single" w:sz="4" w:space="0" w:color="auto"/>
              <w:right w:val="single" w:sz="4" w:space="0" w:color="auto"/>
            </w:tcBorders>
            <w:shd w:val="clear" w:color="000000" w:fill="FFFFFF"/>
            <w:noWrap/>
            <w:vAlign w:val="bottom"/>
            <w:hideMark/>
          </w:tcPr>
          <w:p w:rsidR="000B65DE" w:rsidRPr="000B65DE" w:rsidRDefault="000B65DE" w:rsidP="000B65DE">
            <w:pPr>
              <w:ind w:left="0"/>
              <w:rPr>
                <w:rFonts w:ascii="Bookman Old Style" w:hAnsi="Bookman Old Style" w:cs="Calibri"/>
                <w:color w:val="000000"/>
                <w:lang w:val="es-CO" w:eastAsia="es-CO"/>
              </w:rPr>
            </w:pPr>
            <w:r w:rsidRPr="000B65DE">
              <w:rPr>
                <w:rFonts w:ascii="Bookman Old Style" w:hAnsi="Bookman Old Style" w:cs="Calibri"/>
                <w:color w:val="000000"/>
                <w:lang w:val="es-CO" w:eastAsia="es-CO"/>
              </w:rPr>
              <w:t>Costo de pérdidas en prestación del servicio</w:t>
            </w:r>
          </w:p>
        </w:tc>
      </w:tr>
    </w:tbl>
    <w:p w:rsidR="000B65DE" w:rsidRDefault="000B65DE" w:rsidP="000B65DE">
      <w:pPr>
        <w:ind w:left="0"/>
        <w:jc w:val="both"/>
        <w:rPr>
          <w:rFonts w:ascii="Bookman Old Style" w:hAnsi="Bookman Old Style" w:cs="Arial"/>
          <w:lang w:val="es-ES_tradnl" w:eastAsia="es-CO"/>
        </w:rPr>
      </w:pPr>
    </w:p>
    <w:tbl>
      <w:tblPr>
        <w:tblStyle w:val="Tablaconcuadrcula"/>
        <w:tblW w:w="0" w:type="auto"/>
        <w:tblInd w:w="1101" w:type="dxa"/>
        <w:tblLook w:val="04A0" w:firstRow="1" w:lastRow="0" w:firstColumn="1" w:lastColumn="0" w:noHBand="0" w:noVBand="1"/>
      </w:tblPr>
      <w:tblGrid>
        <w:gridCol w:w="992"/>
        <w:gridCol w:w="6379"/>
      </w:tblGrid>
      <w:tr w:rsidR="007B4771" w:rsidTr="007B4771">
        <w:tc>
          <w:tcPr>
            <w:tcW w:w="992" w:type="dxa"/>
          </w:tcPr>
          <w:p w:rsidR="007B4771" w:rsidRDefault="007B4771" w:rsidP="000B65DE">
            <w:pPr>
              <w:ind w:left="0"/>
              <w:jc w:val="both"/>
              <w:rPr>
                <w:rFonts w:ascii="Bookman Old Style" w:hAnsi="Bookman Old Style" w:cs="Arial"/>
                <w:lang w:val="es-ES_tradnl" w:eastAsia="es-CO"/>
              </w:rPr>
            </w:pPr>
          </w:p>
        </w:tc>
        <w:tc>
          <w:tcPr>
            <w:tcW w:w="6379" w:type="dxa"/>
            <w:vAlign w:val="bottom"/>
          </w:tcPr>
          <w:p w:rsidR="007B4771" w:rsidRDefault="007B4771" w:rsidP="007B4771">
            <w:pPr>
              <w:ind w:left="0"/>
              <w:jc w:val="center"/>
              <w:rPr>
                <w:rFonts w:ascii="Bookman Old Style" w:hAnsi="Bookman Old Style" w:cs="Arial"/>
                <w:lang w:val="es-ES_tradnl" w:eastAsia="es-CO"/>
              </w:rPr>
            </w:pPr>
            <w:r w:rsidRPr="000B65DE">
              <w:rPr>
                <w:rFonts w:ascii="Bookman Old Style" w:hAnsi="Bookman Old Style" w:cs="Calibri"/>
                <w:b/>
                <w:bCs/>
                <w:lang w:val="es-CO" w:eastAsia="es-CO"/>
              </w:rPr>
              <w:t>Cuadro No. 2</w:t>
            </w:r>
          </w:p>
        </w:tc>
      </w:tr>
      <w:tr w:rsidR="007B4771" w:rsidTr="007B4771">
        <w:tc>
          <w:tcPr>
            <w:tcW w:w="992" w:type="dxa"/>
          </w:tcPr>
          <w:p w:rsidR="007B4771" w:rsidRDefault="007B4771" w:rsidP="000B65DE">
            <w:pPr>
              <w:ind w:left="0"/>
              <w:jc w:val="both"/>
              <w:rPr>
                <w:rFonts w:ascii="Bookman Old Style" w:hAnsi="Bookman Old Style" w:cs="Arial"/>
                <w:lang w:val="es-ES_tradnl" w:eastAsia="es-CO"/>
              </w:rPr>
            </w:pPr>
            <w:r>
              <w:rPr>
                <w:rFonts w:ascii="Bookman Old Style" w:hAnsi="Bookman Old Style" w:cs="Arial"/>
                <w:lang w:val="es-ES_tradnl" w:eastAsia="es-CO"/>
              </w:rPr>
              <w:t>Item</w:t>
            </w:r>
          </w:p>
        </w:tc>
        <w:tc>
          <w:tcPr>
            <w:tcW w:w="6379" w:type="dxa"/>
            <w:vAlign w:val="bottom"/>
          </w:tcPr>
          <w:p w:rsidR="007B4771" w:rsidRDefault="007B4771" w:rsidP="00D14A65">
            <w:pPr>
              <w:ind w:left="0"/>
              <w:jc w:val="center"/>
              <w:rPr>
                <w:rFonts w:ascii="Bookman Old Style" w:hAnsi="Bookman Old Style" w:cs="Arial"/>
                <w:lang w:val="es-ES_tradnl" w:eastAsia="es-CO"/>
              </w:rPr>
            </w:pPr>
            <w:r w:rsidRPr="000B65DE">
              <w:rPr>
                <w:rFonts w:ascii="Bookman Old Style" w:hAnsi="Bookman Old Style" w:cs="Calibri"/>
                <w:b/>
                <w:bCs/>
                <w:lang w:val="es-CO" w:eastAsia="es-CO"/>
              </w:rPr>
              <w:t>Otros costos y gastos</w:t>
            </w:r>
            <w:r>
              <w:rPr>
                <w:rFonts w:ascii="Bookman Old Style" w:hAnsi="Bookman Old Style" w:cs="Calibri"/>
                <w:b/>
                <w:bCs/>
                <w:lang w:val="es-CO" w:eastAsia="es-CO"/>
              </w:rPr>
              <w:t xml:space="preserve"> </w:t>
            </w:r>
            <w:r w:rsidR="00027BE5">
              <w:rPr>
                <w:rFonts w:ascii="Bookman Old Style" w:hAnsi="Bookman Old Style" w:cs="Calibri"/>
                <w:b/>
                <w:bCs/>
                <w:lang w:val="es-CO" w:eastAsia="es-CO"/>
              </w:rPr>
              <w:t xml:space="preserve">de Administración, Operación y Mantenimiento </w:t>
            </w:r>
            <w:r>
              <w:rPr>
                <w:rFonts w:ascii="Bookman Old Style" w:hAnsi="Bookman Old Style" w:cs="Calibri"/>
                <w:b/>
                <w:bCs/>
                <w:lang w:val="es-CO" w:eastAsia="es-CO"/>
              </w:rPr>
              <w:t>incluidos en las cuentas 55</w:t>
            </w:r>
            <w:r w:rsidR="00D14A65">
              <w:rPr>
                <w:rFonts w:ascii="Bookman Old Style" w:hAnsi="Bookman Old Style" w:cs="Calibri"/>
                <w:b/>
                <w:bCs/>
                <w:lang w:val="es-CO" w:eastAsia="es-CO"/>
              </w:rPr>
              <w:t>2 y 553</w:t>
            </w:r>
            <w:r w:rsidR="00027BE5">
              <w:rPr>
                <w:rFonts w:ascii="Bookman Old Style" w:hAnsi="Bookman Old Style" w:cs="Calibri"/>
                <w:b/>
                <w:bCs/>
                <w:lang w:val="es-CO" w:eastAsia="es-CO"/>
              </w:rPr>
              <w:t xml:space="preserve"> y que no estén contemplados en las cuentas del </w:t>
            </w:r>
            <w:r w:rsidR="00710850">
              <w:rPr>
                <w:rFonts w:ascii="Bookman Old Style" w:hAnsi="Bookman Old Style" w:cs="Calibri"/>
                <w:b/>
                <w:bCs/>
                <w:lang w:val="es-CO" w:eastAsia="es-CO"/>
              </w:rPr>
              <w:t>C</w:t>
            </w:r>
            <w:r w:rsidR="00027BE5">
              <w:rPr>
                <w:rFonts w:ascii="Bookman Old Style" w:hAnsi="Bookman Old Style" w:cs="Calibri"/>
                <w:b/>
                <w:bCs/>
                <w:lang w:val="es-CO" w:eastAsia="es-CO"/>
              </w:rPr>
              <w:t>uadro 1</w:t>
            </w:r>
          </w:p>
        </w:tc>
      </w:tr>
      <w:tr w:rsidR="007B4771" w:rsidTr="007B4771">
        <w:tc>
          <w:tcPr>
            <w:tcW w:w="992" w:type="dxa"/>
          </w:tcPr>
          <w:p w:rsidR="007B4771" w:rsidRDefault="007B4771" w:rsidP="000B65DE">
            <w:pPr>
              <w:ind w:left="0"/>
              <w:jc w:val="both"/>
              <w:rPr>
                <w:rFonts w:ascii="Bookman Old Style" w:hAnsi="Bookman Old Style" w:cs="Arial"/>
                <w:lang w:val="es-ES_tradnl" w:eastAsia="es-CO"/>
              </w:rPr>
            </w:pPr>
            <w:r>
              <w:rPr>
                <w:rFonts w:ascii="Bookman Old Style" w:hAnsi="Bookman Old Style" w:cs="Arial"/>
                <w:lang w:val="es-ES_tradnl" w:eastAsia="es-CO"/>
              </w:rPr>
              <w:t>1</w:t>
            </w:r>
          </w:p>
        </w:tc>
        <w:tc>
          <w:tcPr>
            <w:tcW w:w="6379" w:type="dxa"/>
            <w:vAlign w:val="bottom"/>
          </w:tcPr>
          <w:p w:rsidR="007B4771" w:rsidRDefault="007B4771" w:rsidP="000B65DE">
            <w:pPr>
              <w:ind w:left="0"/>
              <w:jc w:val="both"/>
              <w:rPr>
                <w:rFonts w:ascii="Bookman Old Style" w:hAnsi="Bookman Old Style" w:cs="Arial"/>
                <w:lang w:val="es-ES_tradnl" w:eastAsia="es-CO"/>
              </w:rPr>
            </w:pPr>
            <w:r w:rsidRPr="000B65DE">
              <w:rPr>
                <w:rFonts w:ascii="Bookman Old Style" w:hAnsi="Bookman Old Style" w:cs="Calibri"/>
                <w:lang w:val="es-CO" w:eastAsia="es-CO"/>
              </w:rPr>
              <w:t>Construcción de acometidas</w:t>
            </w:r>
          </w:p>
        </w:tc>
      </w:tr>
      <w:tr w:rsidR="007B4771" w:rsidTr="007B4771">
        <w:tc>
          <w:tcPr>
            <w:tcW w:w="992" w:type="dxa"/>
          </w:tcPr>
          <w:p w:rsidR="007B4771" w:rsidRDefault="007B4771" w:rsidP="000B65DE">
            <w:pPr>
              <w:ind w:left="0"/>
              <w:jc w:val="both"/>
              <w:rPr>
                <w:rFonts w:ascii="Bookman Old Style" w:hAnsi="Bookman Old Style" w:cs="Arial"/>
                <w:lang w:val="es-ES_tradnl" w:eastAsia="es-CO"/>
              </w:rPr>
            </w:pPr>
            <w:r>
              <w:rPr>
                <w:rFonts w:ascii="Bookman Old Style" w:hAnsi="Bookman Old Style" w:cs="Arial"/>
                <w:lang w:val="es-ES_tradnl" w:eastAsia="es-CO"/>
              </w:rPr>
              <w:t>2</w:t>
            </w:r>
          </w:p>
        </w:tc>
        <w:tc>
          <w:tcPr>
            <w:tcW w:w="6379" w:type="dxa"/>
            <w:vAlign w:val="bottom"/>
          </w:tcPr>
          <w:p w:rsidR="007B4771" w:rsidRDefault="007B4771" w:rsidP="000B65DE">
            <w:pPr>
              <w:ind w:left="0"/>
              <w:jc w:val="both"/>
              <w:rPr>
                <w:rFonts w:ascii="Bookman Old Style" w:hAnsi="Bookman Old Style" w:cs="Arial"/>
                <w:lang w:val="es-ES_tradnl" w:eastAsia="es-CO"/>
              </w:rPr>
            </w:pPr>
            <w:r w:rsidRPr="000B65DE">
              <w:rPr>
                <w:rFonts w:ascii="Bookman Old Style" w:hAnsi="Bookman Old Style" w:cs="Calibri"/>
                <w:lang w:val="es-CO" w:eastAsia="es-CO"/>
              </w:rPr>
              <w:t>Construcción instalaciones internas</w:t>
            </w:r>
          </w:p>
        </w:tc>
      </w:tr>
      <w:tr w:rsidR="007B4771" w:rsidTr="007B4771">
        <w:tc>
          <w:tcPr>
            <w:tcW w:w="992" w:type="dxa"/>
          </w:tcPr>
          <w:p w:rsidR="007B4771" w:rsidRDefault="007B4771" w:rsidP="000B65DE">
            <w:pPr>
              <w:ind w:left="0"/>
              <w:jc w:val="both"/>
              <w:rPr>
                <w:rFonts w:ascii="Bookman Old Style" w:hAnsi="Bookman Old Style" w:cs="Arial"/>
                <w:lang w:val="es-ES_tradnl" w:eastAsia="es-CO"/>
              </w:rPr>
            </w:pPr>
            <w:r>
              <w:rPr>
                <w:rFonts w:ascii="Bookman Old Style" w:hAnsi="Bookman Old Style" w:cs="Arial"/>
                <w:lang w:val="es-ES_tradnl" w:eastAsia="es-CO"/>
              </w:rPr>
              <w:t>3</w:t>
            </w:r>
          </w:p>
        </w:tc>
        <w:tc>
          <w:tcPr>
            <w:tcW w:w="6379" w:type="dxa"/>
            <w:vAlign w:val="bottom"/>
          </w:tcPr>
          <w:p w:rsidR="007B4771" w:rsidRDefault="007B4771" w:rsidP="000B65DE">
            <w:pPr>
              <w:ind w:left="0"/>
              <w:jc w:val="both"/>
              <w:rPr>
                <w:rFonts w:ascii="Bookman Old Style" w:hAnsi="Bookman Old Style" w:cs="Arial"/>
                <w:lang w:val="es-ES_tradnl" w:eastAsia="es-CO"/>
              </w:rPr>
            </w:pPr>
            <w:r w:rsidRPr="000B65DE">
              <w:rPr>
                <w:rFonts w:ascii="Bookman Old Style" w:hAnsi="Bookman Old Style" w:cs="Calibri"/>
                <w:lang w:val="es-CO" w:eastAsia="es-CO"/>
              </w:rPr>
              <w:t>Reconexiones del servicio</w:t>
            </w:r>
          </w:p>
        </w:tc>
      </w:tr>
      <w:tr w:rsidR="007B4771" w:rsidTr="007B4771">
        <w:tc>
          <w:tcPr>
            <w:tcW w:w="992" w:type="dxa"/>
          </w:tcPr>
          <w:p w:rsidR="007B4771" w:rsidRDefault="007B4771" w:rsidP="000B65DE">
            <w:pPr>
              <w:ind w:left="0"/>
              <w:jc w:val="both"/>
              <w:rPr>
                <w:rFonts w:ascii="Bookman Old Style" w:hAnsi="Bookman Old Style" w:cs="Arial"/>
                <w:lang w:val="es-ES_tradnl" w:eastAsia="es-CO"/>
              </w:rPr>
            </w:pPr>
            <w:r>
              <w:rPr>
                <w:rFonts w:ascii="Bookman Old Style" w:hAnsi="Bookman Old Style" w:cs="Arial"/>
                <w:lang w:val="es-ES_tradnl" w:eastAsia="es-CO"/>
              </w:rPr>
              <w:t>4</w:t>
            </w:r>
          </w:p>
        </w:tc>
        <w:tc>
          <w:tcPr>
            <w:tcW w:w="6379" w:type="dxa"/>
            <w:vAlign w:val="bottom"/>
          </w:tcPr>
          <w:p w:rsidR="007B4771" w:rsidRDefault="007B4771" w:rsidP="000B65DE">
            <w:pPr>
              <w:ind w:left="0"/>
              <w:jc w:val="both"/>
              <w:rPr>
                <w:rFonts w:ascii="Bookman Old Style" w:hAnsi="Bookman Old Style" w:cs="Arial"/>
                <w:lang w:val="es-ES_tradnl" w:eastAsia="es-CO"/>
              </w:rPr>
            </w:pPr>
            <w:r w:rsidRPr="000B65DE">
              <w:rPr>
                <w:rFonts w:ascii="Bookman Old Style" w:hAnsi="Bookman Old Style" w:cs="Calibri"/>
                <w:lang w:val="es-CO" w:eastAsia="es-CO"/>
              </w:rPr>
              <w:t>Corte del servicio</w:t>
            </w:r>
          </w:p>
        </w:tc>
      </w:tr>
      <w:tr w:rsidR="007B4771" w:rsidTr="007B4771">
        <w:tc>
          <w:tcPr>
            <w:tcW w:w="992" w:type="dxa"/>
          </w:tcPr>
          <w:p w:rsidR="007B4771" w:rsidRDefault="007B4771" w:rsidP="000B65DE">
            <w:pPr>
              <w:ind w:left="0"/>
              <w:jc w:val="both"/>
              <w:rPr>
                <w:rFonts w:ascii="Bookman Old Style" w:hAnsi="Bookman Old Style" w:cs="Arial"/>
                <w:lang w:val="es-ES_tradnl" w:eastAsia="es-CO"/>
              </w:rPr>
            </w:pPr>
            <w:r>
              <w:rPr>
                <w:rFonts w:ascii="Bookman Old Style" w:hAnsi="Bookman Old Style" w:cs="Arial"/>
                <w:lang w:val="es-ES_tradnl" w:eastAsia="es-CO"/>
              </w:rPr>
              <w:t>5</w:t>
            </w:r>
          </w:p>
        </w:tc>
        <w:tc>
          <w:tcPr>
            <w:tcW w:w="6379" w:type="dxa"/>
            <w:vAlign w:val="bottom"/>
          </w:tcPr>
          <w:p w:rsidR="007B4771" w:rsidRDefault="007B4771" w:rsidP="000B65DE">
            <w:pPr>
              <w:ind w:left="0"/>
              <w:jc w:val="both"/>
              <w:rPr>
                <w:rFonts w:ascii="Bookman Old Style" w:hAnsi="Bookman Old Style" w:cs="Arial"/>
                <w:lang w:val="es-ES_tradnl" w:eastAsia="es-CO"/>
              </w:rPr>
            </w:pPr>
            <w:r w:rsidRPr="000B65DE">
              <w:rPr>
                <w:rFonts w:ascii="Bookman Old Style" w:hAnsi="Bookman Old Style" w:cs="Calibri"/>
                <w:lang w:val="es-CO" w:eastAsia="es-CO"/>
              </w:rPr>
              <w:t>Calibración de medidores</w:t>
            </w:r>
          </w:p>
        </w:tc>
      </w:tr>
      <w:tr w:rsidR="00027BE5" w:rsidTr="007B4771">
        <w:tc>
          <w:tcPr>
            <w:tcW w:w="992" w:type="dxa"/>
          </w:tcPr>
          <w:p w:rsidR="00027BE5" w:rsidRDefault="00710850" w:rsidP="000B65DE">
            <w:pPr>
              <w:ind w:left="0"/>
              <w:jc w:val="both"/>
              <w:rPr>
                <w:rFonts w:ascii="Bookman Old Style" w:hAnsi="Bookman Old Style" w:cs="Arial"/>
                <w:lang w:val="es-ES_tradnl" w:eastAsia="es-CO"/>
              </w:rPr>
            </w:pPr>
            <w:r>
              <w:rPr>
                <w:rFonts w:ascii="Bookman Old Style" w:hAnsi="Bookman Old Style" w:cs="Arial"/>
                <w:lang w:val="es-ES_tradnl" w:eastAsia="es-CO"/>
              </w:rPr>
              <w:t>6</w:t>
            </w:r>
          </w:p>
        </w:tc>
        <w:tc>
          <w:tcPr>
            <w:tcW w:w="6379" w:type="dxa"/>
            <w:vAlign w:val="bottom"/>
          </w:tcPr>
          <w:p w:rsidR="00027BE5" w:rsidRPr="000B65DE" w:rsidRDefault="00027BE5" w:rsidP="007B4771">
            <w:pPr>
              <w:ind w:left="0"/>
              <w:jc w:val="both"/>
              <w:rPr>
                <w:rFonts w:ascii="Bookman Old Style" w:hAnsi="Bookman Old Style" w:cs="Calibri"/>
                <w:lang w:val="es-CO" w:eastAsia="es-CO"/>
              </w:rPr>
            </w:pPr>
            <w:r>
              <w:rPr>
                <w:rFonts w:ascii="Bookman Old Style" w:hAnsi="Bookman Old Style" w:cs="Calibri"/>
                <w:lang w:val="es-CO" w:eastAsia="es-CO"/>
              </w:rPr>
              <w:t>Gastos de atención a usuarios no regulados</w:t>
            </w:r>
          </w:p>
        </w:tc>
      </w:tr>
    </w:tbl>
    <w:p w:rsidR="00930945" w:rsidRDefault="00930945" w:rsidP="000B65DE">
      <w:pPr>
        <w:ind w:left="0"/>
        <w:jc w:val="both"/>
        <w:rPr>
          <w:rFonts w:ascii="Bookman Old Style" w:hAnsi="Bookman Old Style" w:cs="Arial"/>
          <w:b/>
          <w:lang w:eastAsia="es-CO"/>
        </w:rPr>
      </w:pPr>
    </w:p>
    <w:p w:rsidR="007B4771" w:rsidRDefault="00930945" w:rsidP="00EF76D5">
      <w:pPr>
        <w:spacing w:before="100" w:beforeAutospacing="1" w:after="100" w:afterAutospacing="1"/>
        <w:ind w:left="851" w:hanging="851"/>
        <w:jc w:val="both"/>
        <w:rPr>
          <w:rFonts w:ascii="Bookman Old Style" w:hAnsi="Bookman Old Style" w:cs="Arial"/>
          <w:b/>
          <w:lang w:val="es-ES_tradnl" w:eastAsia="es-CO"/>
        </w:rPr>
      </w:pPr>
      <w:r>
        <w:rPr>
          <w:rFonts w:ascii="Bookman Old Style" w:hAnsi="Bookman Old Style" w:cs="Arial"/>
          <w:b/>
          <w:lang w:val="es-ES_tradnl" w:eastAsia="es-CO"/>
        </w:rPr>
        <w:t xml:space="preserve">10.2. </w:t>
      </w:r>
      <w:r w:rsidRPr="000B65DE">
        <w:rPr>
          <w:rFonts w:ascii="Bookman Old Style" w:hAnsi="Bookman Old Style" w:cs="Arial"/>
          <w:b/>
          <w:lang w:val="es-ES_tradnl" w:eastAsia="es-CO"/>
        </w:rPr>
        <w:t>Determinación del AOM eficiente para Mercados Relevantes de Distribución para el Siguiente Período Tarifario conformados a partir de Mercados Existentes o Agregación de Mercados Existentes de Distribución</w:t>
      </w:r>
      <w:r>
        <w:rPr>
          <w:rFonts w:ascii="Bookman Old Style" w:hAnsi="Bookman Old Style" w:cs="Arial"/>
          <w:b/>
          <w:lang w:val="es-ES_tradnl" w:eastAsia="es-CO"/>
        </w:rPr>
        <w:t xml:space="preserve"> de Periodos Tarifarios Concluidos</w:t>
      </w:r>
      <w:r w:rsidRPr="000B65DE">
        <w:rPr>
          <w:rFonts w:ascii="Bookman Old Style" w:hAnsi="Bookman Old Style" w:cs="Arial"/>
          <w:b/>
          <w:lang w:val="es-ES_tradnl" w:eastAsia="es-CO"/>
        </w:rPr>
        <w:t>.</w:t>
      </w:r>
    </w:p>
    <w:p w:rsidR="00930945" w:rsidRPr="000B65DE" w:rsidRDefault="00930945" w:rsidP="000B65DE">
      <w:pPr>
        <w:ind w:left="0"/>
        <w:jc w:val="both"/>
        <w:rPr>
          <w:rFonts w:ascii="Bookman Old Style" w:hAnsi="Bookman Old Style" w:cs="Arial"/>
          <w:lang w:val="es-ES_tradnl" w:eastAsia="es-CO"/>
        </w:rPr>
      </w:pPr>
    </w:p>
    <w:p w:rsidR="005F085E" w:rsidRDefault="005F085E" w:rsidP="005F085E">
      <w:pPr>
        <w:ind w:left="0"/>
        <w:jc w:val="both"/>
        <w:rPr>
          <w:rFonts w:ascii="Bookman Old Style" w:hAnsi="Bookman Old Style" w:cs="Arial"/>
          <w:lang w:val="es-CO" w:eastAsia="es-CO"/>
        </w:rPr>
      </w:pPr>
      <w:r w:rsidRPr="00883245">
        <w:rPr>
          <w:rFonts w:ascii="Bookman Old Style" w:hAnsi="Bookman Old Style" w:cs="Helv"/>
          <w:color w:val="000000"/>
          <w:lang w:val="es-CO" w:eastAsia="es-CO"/>
        </w:rPr>
        <w:t xml:space="preserve">Para aquellos Mercados Existentes </w:t>
      </w:r>
      <w:r>
        <w:rPr>
          <w:rFonts w:ascii="Bookman Old Style" w:hAnsi="Bookman Old Style" w:cs="Helv"/>
          <w:color w:val="000000"/>
          <w:lang w:val="es-CO" w:eastAsia="es-CO"/>
        </w:rPr>
        <w:t xml:space="preserve">donde se esté prestando el servicio por empresas que no se encuentren en el universo de empresas </w:t>
      </w:r>
      <w:r w:rsidR="00930945">
        <w:rPr>
          <w:rFonts w:ascii="Bookman Old Style" w:hAnsi="Bookman Old Style" w:cs="Helv"/>
          <w:color w:val="000000"/>
          <w:lang w:val="es-CO" w:eastAsia="es-CO"/>
        </w:rPr>
        <w:t>del numeral 10.1. del presente anexo,</w:t>
      </w:r>
      <w:r>
        <w:rPr>
          <w:rFonts w:ascii="Bookman Old Style" w:hAnsi="Bookman Old Style" w:cs="Helv"/>
          <w:color w:val="000000"/>
          <w:lang w:val="es-CO" w:eastAsia="es-CO"/>
        </w:rPr>
        <w:t xml:space="preserve"> </w:t>
      </w:r>
      <w:r>
        <w:rPr>
          <w:rFonts w:ascii="Bookman Old Style" w:hAnsi="Bookman Old Style" w:cs="Arial"/>
          <w:lang w:val="es-CO" w:eastAsia="es-CO"/>
        </w:rPr>
        <w:t>s</w:t>
      </w:r>
      <w:r w:rsidRPr="000B65DE">
        <w:rPr>
          <w:rFonts w:ascii="Bookman Old Style" w:hAnsi="Bookman Old Style" w:cs="Arial"/>
          <w:lang w:val="es-CO" w:eastAsia="es-CO"/>
        </w:rPr>
        <w:t>e toma</w:t>
      </w:r>
      <w:r>
        <w:rPr>
          <w:rFonts w:ascii="Bookman Old Style" w:hAnsi="Bookman Old Style" w:cs="Arial"/>
          <w:lang w:val="es-CO" w:eastAsia="es-CO"/>
        </w:rPr>
        <w:t>rá</w:t>
      </w:r>
      <w:r w:rsidRPr="000B65DE">
        <w:rPr>
          <w:rFonts w:ascii="Bookman Old Style" w:hAnsi="Bookman Old Style" w:cs="Arial"/>
          <w:lang w:val="es-CO" w:eastAsia="es-CO"/>
        </w:rPr>
        <w:t xml:space="preserve"> el valor de los </w:t>
      </w:r>
      <w:r w:rsidR="00930945">
        <w:rPr>
          <w:rFonts w:ascii="Bookman Old Style" w:hAnsi="Bookman Old Style" w:cs="Arial"/>
          <w:lang w:val="es-CO" w:eastAsia="es-CO"/>
        </w:rPr>
        <w:t>AOM</w:t>
      </w:r>
      <w:r w:rsidRPr="000B65DE">
        <w:rPr>
          <w:rFonts w:ascii="Bookman Old Style" w:hAnsi="Bookman Old Style" w:cs="Arial"/>
          <w:lang w:val="es-CO" w:eastAsia="es-CO"/>
        </w:rPr>
        <w:t xml:space="preserve"> reportado</w:t>
      </w:r>
      <w:r w:rsidR="00930945">
        <w:rPr>
          <w:rFonts w:ascii="Bookman Old Style" w:hAnsi="Bookman Old Style" w:cs="Arial"/>
          <w:lang w:val="es-CO" w:eastAsia="es-CO"/>
        </w:rPr>
        <w:t>s</w:t>
      </w:r>
      <w:r w:rsidRPr="000B65DE">
        <w:rPr>
          <w:rFonts w:ascii="Bookman Old Style" w:hAnsi="Bookman Old Style" w:cs="Arial"/>
          <w:lang w:val="es-CO" w:eastAsia="es-CO"/>
        </w:rPr>
        <w:t xml:space="preserve"> por la empresa en la solicitud tarifaria y se compara con el valor de </w:t>
      </w:r>
      <w:r w:rsidR="00930945">
        <w:rPr>
          <w:rFonts w:ascii="Bookman Old Style" w:hAnsi="Bookman Old Style" w:cs="Arial"/>
          <w:lang w:val="es-CO" w:eastAsia="es-CO"/>
        </w:rPr>
        <w:t>AOM</w:t>
      </w:r>
      <w:r w:rsidRPr="000B65DE">
        <w:rPr>
          <w:rFonts w:ascii="Bookman Old Style" w:hAnsi="Bookman Old Style" w:cs="Arial"/>
          <w:lang w:val="es-CO" w:eastAsia="es-CO"/>
        </w:rPr>
        <w:t xml:space="preserve"> estimado</w:t>
      </w:r>
      <w:r w:rsidR="00930945">
        <w:rPr>
          <w:rFonts w:ascii="Bookman Old Style" w:hAnsi="Bookman Old Style" w:cs="Arial"/>
          <w:lang w:val="es-CO" w:eastAsia="es-CO"/>
        </w:rPr>
        <w:t>s</w:t>
      </w:r>
      <w:r w:rsidRPr="000B65DE">
        <w:rPr>
          <w:rFonts w:ascii="Bookman Old Style" w:hAnsi="Bookman Old Style" w:cs="Arial"/>
          <w:lang w:val="es-CO" w:eastAsia="es-CO"/>
        </w:rPr>
        <w:t xml:space="preserve"> a partir de la </w:t>
      </w:r>
      <w:r>
        <w:rPr>
          <w:rFonts w:ascii="Bookman Old Style" w:hAnsi="Bookman Old Style" w:cs="Arial"/>
          <w:lang w:val="es-CO" w:eastAsia="es-CO"/>
        </w:rPr>
        <w:t>función establecida</w:t>
      </w:r>
      <w:r w:rsidRPr="000B65DE">
        <w:rPr>
          <w:rFonts w:ascii="Bookman Old Style" w:hAnsi="Bookman Old Style" w:cs="Arial"/>
          <w:lang w:val="es-CO" w:eastAsia="es-CO"/>
        </w:rPr>
        <w:t xml:space="preserve">. El valor de </w:t>
      </w:r>
      <w:r w:rsidR="00930945">
        <w:rPr>
          <w:rFonts w:ascii="Bookman Old Style" w:hAnsi="Bookman Old Style" w:cs="Arial"/>
          <w:lang w:val="es-CO" w:eastAsia="es-CO"/>
        </w:rPr>
        <w:t>AOM</w:t>
      </w:r>
      <w:r w:rsidRPr="000B65DE">
        <w:rPr>
          <w:rFonts w:ascii="Bookman Old Style" w:hAnsi="Bookman Old Style" w:cs="Arial"/>
          <w:lang w:val="es-CO" w:eastAsia="es-CO"/>
        </w:rPr>
        <w:t xml:space="preserve"> eficiente que se reconocerá para la empresa será el mínimo valor entre </w:t>
      </w:r>
      <w:r w:rsidR="00765E20">
        <w:rPr>
          <w:rFonts w:ascii="Bookman Old Style" w:hAnsi="Bookman Old Style" w:cs="Arial"/>
          <w:lang w:val="es-CO" w:eastAsia="es-CO"/>
        </w:rPr>
        <w:t>los</w:t>
      </w:r>
      <w:r w:rsidRPr="000B65DE">
        <w:rPr>
          <w:rFonts w:ascii="Bookman Old Style" w:hAnsi="Bookman Old Style" w:cs="Arial"/>
          <w:lang w:val="es-CO" w:eastAsia="es-CO"/>
        </w:rPr>
        <w:t xml:space="preserve"> valor</w:t>
      </w:r>
      <w:r w:rsidR="00765E20">
        <w:rPr>
          <w:rFonts w:ascii="Bookman Old Style" w:hAnsi="Bookman Old Style" w:cs="Arial"/>
          <w:lang w:val="es-CO" w:eastAsia="es-CO"/>
        </w:rPr>
        <w:t>es</w:t>
      </w:r>
      <w:r w:rsidRPr="000B65DE">
        <w:rPr>
          <w:rFonts w:ascii="Bookman Old Style" w:hAnsi="Bookman Old Style" w:cs="Arial"/>
          <w:lang w:val="es-CO" w:eastAsia="es-CO"/>
        </w:rPr>
        <w:t xml:space="preserve"> de los </w:t>
      </w:r>
      <w:r w:rsidR="00930945">
        <w:rPr>
          <w:rFonts w:ascii="Bookman Old Style" w:hAnsi="Bookman Old Style" w:cs="Arial"/>
          <w:lang w:val="es-CO" w:eastAsia="es-CO"/>
        </w:rPr>
        <w:t>AOM</w:t>
      </w:r>
      <w:r w:rsidRPr="000B65DE">
        <w:rPr>
          <w:rFonts w:ascii="Bookman Old Style" w:hAnsi="Bookman Old Style" w:cs="Arial"/>
          <w:lang w:val="es-CO" w:eastAsia="es-CO"/>
        </w:rPr>
        <w:t xml:space="preserve"> estimado</w:t>
      </w:r>
      <w:r w:rsidR="00930945">
        <w:rPr>
          <w:rFonts w:ascii="Bookman Old Style" w:hAnsi="Bookman Old Style" w:cs="Arial"/>
          <w:lang w:val="es-CO" w:eastAsia="es-CO"/>
        </w:rPr>
        <w:t>s</w:t>
      </w:r>
      <w:r w:rsidR="00A26022">
        <w:rPr>
          <w:rFonts w:ascii="Bookman Old Style" w:hAnsi="Bookman Old Style" w:cs="Arial"/>
          <w:lang w:val="es-CO" w:eastAsia="es-CO"/>
        </w:rPr>
        <w:t>,</w:t>
      </w:r>
      <w:r w:rsidRPr="000B65DE">
        <w:rPr>
          <w:rFonts w:ascii="Bookman Old Style" w:hAnsi="Bookman Old Style" w:cs="Arial"/>
          <w:lang w:val="es-CO" w:eastAsia="es-CO"/>
        </w:rPr>
        <w:t xml:space="preserve">  el reportado</w:t>
      </w:r>
      <w:r w:rsidR="00C24409">
        <w:rPr>
          <w:rFonts w:ascii="Bookman Old Style" w:hAnsi="Bookman Old Style" w:cs="Arial"/>
          <w:lang w:val="es-CO" w:eastAsia="es-CO"/>
        </w:rPr>
        <w:t xml:space="preserve"> y el calculado conforme se establece en el numeral 9 del ítem 10.1 del presente anexo</w:t>
      </w:r>
      <w:r w:rsidR="00C24409" w:rsidRPr="000B65DE">
        <w:rPr>
          <w:rFonts w:ascii="Bookman Old Style" w:hAnsi="Bookman Old Style" w:cs="Arial"/>
          <w:lang w:val="es-CO" w:eastAsia="es-CO"/>
        </w:rPr>
        <w:t>.</w:t>
      </w:r>
      <w:r w:rsidRPr="000B65DE">
        <w:rPr>
          <w:rFonts w:ascii="Bookman Old Style" w:hAnsi="Bookman Old Style" w:cs="Arial"/>
          <w:lang w:val="es-CO" w:eastAsia="es-CO"/>
        </w:rPr>
        <w:t xml:space="preserve"> </w:t>
      </w:r>
    </w:p>
    <w:p w:rsidR="000B65DE" w:rsidRPr="000B65DE" w:rsidRDefault="000B65DE" w:rsidP="000B65DE">
      <w:pPr>
        <w:spacing w:before="100" w:beforeAutospacing="1" w:after="100" w:afterAutospacing="1"/>
        <w:ind w:left="851" w:hanging="851"/>
        <w:jc w:val="both"/>
        <w:rPr>
          <w:rFonts w:ascii="Bookman Old Style" w:hAnsi="Bookman Old Style" w:cs="Arial"/>
          <w:b/>
          <w:lang w:val="es-ES_tradnl" w:eastAsia="es-CO"/>
        </w:rPr>
      </w:pPr>
      <w:r w:rsidRPr="000B65DE">
        <w:rPr>
          <w:rFonts w:ascii="Bookman Old Style" w:hAnsi="Bookman Old Style" w:cs="Arial"/>
          <w:b/>
          <w:lang w:val="es-ES_tradnl" w:eastAsia="es-CO"/>
        </w:rPr>
        <w:t>10.</w:t>
      </w:r>
      <w:r w:rsidR="00930945">
        <w:rPr>
          <w:rFonts w:ascii="Bookman Old Style" w:hAnsi="Bookman Old Style" w:cs="Arial"/>
          <w:b/>
          <w:lang w:val="es-ES_tradnl" w:eastAsia="es-CO"/>
        </w:rPr>
        <w:t>3.</w:t>
      </w:r>
      <w:r w:rsidRPr="000B65DE">
        <w:rPr>
          <w:rFonts w:ascii="Bookman Old Style" w:hAnsi="Bookman Old Style" w:cs="Arial"/>
          <w:b/>
          <w:lang w:val="es-ES_tradnl" w:eastAsia="es-CO"/>
        </w:rPr>
        <w:t xml:space="preserve"> Definición de AOM Eficiente para Mercados Relevantes de Distribución para el Siguiente Período Tarifario conformados por Municipios Nuevos o conformados a partir de Anexar a Mercados Existentes de Distribución Municipios Nuevos.</w:t>
      </w:r>
    </w:p>
    <w:p w:rsidR="000B65DE" w:rsidRPr="000B65DE" w:rsidRDefault="000B65DE" w:rsidP="000B65DE">
      <w:pPr>
        <w:ind w:left="0"/>
        <w:jc w:val="both"/>
        <w:rPr>
          <w:rFonts w:ascii="Bookman Old Style" w:hAnsi="Bookman Old Style" w:cs="Arial"/>
          <w:lang w:val="es-ES_tradnl" w:eastAsia="es-CO"/>
        </w:rPr>
      </w:pPr>
      <w:r w:rsidRPr="000B65DE">
        <w:rPr>
          <w:rFonts w:ascii="Bookman Old Style" w:hAnsi="Bookman Old Style" w:cs="Arial"/>
          <w:lang w:val="es-ES_tradnl" w:eastAsia="es-CO"/>
        </w:rPr>
        <w:t xml:space="preserve">Para determinar los gastos de AOM eficientes para los Mercados Relevantes de Distribución para el Siguiente Período Tarifario se tendrá en cuenta </w:t>
      </w:r>
      <w:r w:rsidR="00C24409">
        <w:rPr>
          <w:rFonts w:ascii="Bookman Old Style" w:hAnsi="Bookman Old Style" w:cs="Arial"/>
          <w:lang w:val="es-ES_tradnl" w:eastAsia="es-CO"/>
        </w:rPr>
        <w:t>para lo</w:t>
      </w:r>
      <w:r w:rsidR="00A26022">
        <w:rPr>
          <w:rFonts w:ascii="Bookman Old Style" w:hAnsi="Bookman Old Style" w:cs="Arial"/>
          <w:lang w:val="es-ES_tradnl" w:eastAsia="es-CO"/>
        </w:rPr>
        <w:t>s</w:t>
      </w:r>
      <w:r w:rsidR="00C24409">
        <w:rPr>
          <w:rFonts w:ascii="Bookman Old Style" w:hAnsi="Bookman Old Style" w:cs="Arial"/>
          <w:lang w:val="es-ES_tradnl" w:eastAsia="es-CO"/>
        </w:rPr>
        <w:t xml:space="preserve"> </w:t>
      </w:r>
      <w:r w:rsidR="00A26022">
        <w:rPr>
          <w:rFonts w:ascii="Bookman Old Style" w:hAnsi="Bookman Old Style" w:cs="Arial"/>
          <w:lang w:val="es-ES_tradnl" w:eastAsia="es-CO"/>
        </w:rPr>
        <w:t xml:space="preserve">mercados </w:t>
      </w:r>
      <w:r w:rsidR="00C24409">
        <w:rPr>
          <w:rFonts w:ascii="Bookman Old Style" w:hAnsi="Bookman Old Style" w:cs="Arial"/>
          <w:lang w:val="es-ES_tradnl" w:eastAsia="es-CO"/>
        </w:rPr>
        <w:t>existente</w:t>
      </w:r>
      <w:r w:rsidR="00A26022">
        <w:rPr>
          <w:rFonts w:ascii="Bookman Old Style" w:hAnsi="Bookman Old Style" w:cs="Arial"/>
          <w:lang w:val="es-ES_tradnl" w:eastAsia="es-CO"/>
        </w:rPr>
        <w:t>s</w:t>
      </w:r>
      <w:r w:rsidR="00C24409">
        <w:rPr>
          <w:rFonts w:ascii="Bookman Old Style" w:hAnsi="Bookman Old Style" w:cs="Arial"/>
          <w:lang w:val="es-ES_tradnl" w:eastAsia="es-CO"/>
        </w:rPr>
        <w:t xml:space="preserve"> aplicar lo dispuesto en los ítems 10.1</w:t>
      </w:r>
      <w:r w:rsidR="00A26022">
        <w:rPr>
          <w:rFonts w:ascii="Bookman Old Style" w:hAnsi="Bookman Old Style" w:cs="Arial"/>
          <w:lang w:val="es-ES_tradnl" w:eastAsia="es-CO"/>
        </w:rPr>
        <w:t>, 10.2</w:t>
      </w:r>
      <w:r w:rsidR="00C24409">
        <w:rPr>
          <w:rFonts w:ascii="Bookman Old Style" w:hAnsi="Bookman Old Style" w:cs="Arial"/>
          <w:lang w:val="es-ES_tradnl" w:eastAsia="es-CO"/>
        </w:rPr>
        <w:t xml:space="preserve"> y 10.3 y para los Mercados o Municipios Nuevos </w:t>
      </w:r>
      <w:r w:rsidRPr="000B65DE">
        <w:rPr>
          <w:rFonts w:ascii="Bookman Old Style" w:hAnsi="Bookman Old Style" w:cs="Arial"/>
          <w:lang w:val="es-ES_tradnl" w:eastAsia="es-CO"/>
        </w:rPr>
        <w:t>el siguiente procedimiento:</w:t>
      </w:r>
    </w:p>
    <w:p w:rsidR="000B65DE" w:rsidRPr="000B65DE" w:rsidRDefault="000B65DE" w:rsidP="000B65DE">
      <w:pPr>
        <w:ind w:left="0"/>
        <w:jc w:val="both"/>
        <w:rPr>
          <w:rFonts w:ascii="Bookman Old Style" w:hAnsi="Bookman Old Style" w:cs="Arial"/>
          <w:lang w:val="es-ES_tradnl" w:eastAsia="es-CO"/>
        </w:rPr>
      </w:pPr>
    </w:p>
    <w:p w:rsidR="00472401" w:rsidRPr="000B65DE" w:rsidRDefault="00472401" w:rsidP="008F4D9F">
      <w:pPr>
        <w:numPr>
          <w:ilvl w:val="0"/>
          <w:numId w:val="38"/>
        </w:numPr>
        <w:jc w:val="both"/>
        <w:rPr>
          <w:rFonts w:ascii="Bookman Old Style" w:hAnsi="Bookman Old Style" w:cs="Arial"/>
          <w:lang w:val="es-CO" w:eastAsia="es-CO"/>
        </w:rPr>
      </w:pPr>
      <w:r w:rsidRPr="000B65DE">
        <w:rPr>
          <w:rFonts w:ascii="Bookman Old Style" w:hAnsi="Bookman Old Style" w:cs="Arial"/>
          <w:lang w:val="es-CO" w:eastAsia="es-CO"/>
        </w:rPr>
        <w:t>Las empresas deberán reportar en la solicitud tarifaria el porcentaje (%)</w:t>
      </w:r>
      <w:r>
        <w:rPr>
          <w:rFonts w:ascii="Bookman Old Style" w:hAnsi="Bookman Old Style" w:cs="Arial"/>
          <w:lang w:val="es-CO" w:eastAsia="es-CO"/>
        </w:rPr>
        <w:t xml:space="preserve"> de asignación de los gastos AOM </w:t>
      </w:r>
      <w:r w:rsidRPr="000B65DE">
        <w:rPr>
          <w:rFonts w:ascii="Bookman Old Style" w:hAnsi="Bookman Old Style" w:cs="Arial"/>
          <w:lang w:val="es-CO" w:eastAsia="es-CO"/>
        </w:rPr>
        <w:t>para las unidades de negocio de distribución y comercialización de gas combustible.</w:t>
      </w:r>
    </w:p>
    <w:p w:rsidR="00472401" w:rsidRPr="0038618E" w:rsidRDefault="00472401" w:rsidP="00653145">
      <w:pPr>
        <w:ind w:left="720"/>
        <w:jc w:val="both"/>
        <w:rPr>
          <w:rFonts w:ascii="Bookman Old Style" w:hAnsi="Bookman Old Style" w:cs="Arial"/>
          <w:sz w:val="20"/>
          <w:lang w:val="es-CO" w:eastAsia="es-CO"/>
        </w:rPr>
      </w:pPr>
    </w:p>
    <w:p w:rsidR="000B65DE" w:rsidRPr="00653145" w:rsidRDefault="00472401" w:rsidP="008F4D9F">
      <w:pPr>
        <w:numPr>
          <w:ilvl w:val="0"/>
          <w:numId w:val="38"/>
        </w:numPr>
        <w:jc w:val="both"/>
        <w:rPr>
          <w:rFonts w:ascii="Bookman Old Style" w:hAnsi="Bookman Old Style" w:cs="Arial"/>
          <w:lang w:val="es-CO" w:eastAsia="es-CO"/>
        </w:rPr>
      </w:pPr>
      <w:r>
        <w:rPr>
          <w:rFonts w:ascii="Bookman Old Style" w:hAnsi="Bookman Old Style" w:cs="Arial"/>
          <w:lang w:val="es-CO" w:eastAsia="es-CO"/>
        </w:rPr>
        <w:t>Conf</w:t>
      </w:r>
      <w:r w:rsidR="00EB0A40">
        <w:rPr>
          <w:rFonts w:ascii="Bookman Old Style" w:hAnsi="Bookman Old Style" w:cs="Arial"/>
          <w:lang w:val="es-CO" w:eastAsia="es-CO"/>
        </w:rPr>
        <w:t>orme a las proyecciones de AOM incluidas</w:t>
      </w:r>
      <w:r>
        <w:rPr>
          <w:rFonts w:ascii="Bookman Old Style" w:hAnsi="Bookman Old Style" w:cs="Arial"/>
          <w:lang w:val="es-CO" w:eastAsia="es-CO"/>
        </w:rPr>
        <w:t xml:space="preserve"> en la solicitud tarifaria, s</w:t>
      </w:r>
      <w:r w:rsidR="000B65DE" w:rsidRPr="000B65DE">
        <w:rPr>
          <w:rFonts w:ascii="Bookman Old Style" w:hAnsi="Bookman Old Style" w:cs="Arial"/>
          <w:lang w:val="es-CO" w:eastAsia="es-CO"/>
        </w:rPr>
        <w:t>e toma</w:t>
      </w:r>
      <w:r w:rsidR="005B4C46">
        <w:rPr>
          <w:rFonts w:ascii="Bookman Old Style" w:hAnsi="Bookman Old Style" w:cs="Arial"/>
          <w:lang w:val="es-CO" w:eastAsia="es-CO"/>
        </w:rPr>
        <w:t>rá</w:t>
      </w:r>
      <w:r w:rsidR="000B65DE" w:rsidRPr="000B65DE">
        <w:rPr>
          <w:rFonts w:ascii="Bookman Old Style" w:hAnsi="Bookman Old Style" w:cs="Arial"/>
          <w:lang w:val="es-CO" w:eastAsia="es-CO"/>
        </w:rPr>
        <w:t xml:space="preserve"> como AOM reportado el promedio simple de los AOM anuales proyectados para los cinco años del período tarifario de las actividades de distribución y comercialización para </w:t>
      </w:r>
      <w:r w:rsidR="000B65DE" w:rsidRPr="00653145">
        <w:rPr>
          <w:rFonts w:ascii="Bookman Old Style" w:hAnsi="Bookman Old Style" w:cs="Arial"/>
          <w:lang w:val="es-CO" w:eastAsia="es-CO"/>
        </w:rPr>
        <w:t>el Mercado Relevante de Distribución para el Siguiente Período Tarifario</w:t>
      </w:r>
      <w:r w:rsidR="000B65DE" w:rsidRPr="000B65DE">
        <w:rPr>
          <w:rFonts w:ascii="Bookman Old Style" w:hAnsi="Bookman Old Style" w:cs="Arial"/>
          <w:lang w:val="es-CO" w:eastAsia="es-CO"/>
        </w:rPr>
        <w:t xml:space="preserve"> que fueron reportados en la solicitud tarifaria; y se compara con </w:t>
      </w:r>
      <w:r w:rsidR="005B4C46">
        <w:rPr>
          <w:rFonts w:ascii="Bookman Old Style" w:hAnsi="Bookman Old Style" w:cs="Arial"/>
          <w:lang w:val="es-CO" w:eastAsia="es-CO"/>
        </w:rPr>
        <w:t xml:space="preserve">el AOM </w:t>
      </w:r>
      <w:r w:rsidR="005B4C46" w:rsidRPr="000B65DE">
        <w:rPr>
          <w:rFonts w:ascii="Bookman Old Style" w:hAnsi="Bookman Old Style" w:cs="Arial"/>
          <w:lang w:val="es-CO" w:eastAsia="es-CO"/>
        </w:rPr>
        <w:t>estimado</w:t>
      </w:r>
      <w:r w:rsidR="005B4C46">
        <w:rPr>
          <w:rFonts w:ascii="Bookman Old Style" w:hAnsi="Bookman Old Style" w:cs="Arial"/>
          <w:lang w:val="es-CO" w:eastAsia="es-CO"/>
        </w:rPr>
        <w:t xml:space="preserve"> por la función definida mediante la frontera estocástica así: </w:t>
      </w:r>
    </w:p>
    <w:p w:rsidR="000B65DE" w:rsidRDefault="000B65DE" w:rsidP="000B65DE">
      <w:pPr>
        <w:ind w:left="720"/>
        <w:jc w:val="both"/>
        <w:rPr>
          <w:rFonts w:ascii="Bookman Old Style" w:hAnsi="Bookman Old Style" w:cs="Arial"/>
          <w:sz w:val="20"/>
          <w:lang w:val="es-CO" w:eastAsia="es-CO"/>
        </w:rPr>
      </w:pPr>
    </w:p>
    <w:p w:rsidR="005B4C46" w:rsidRPr="000F3A9E" w:rsidRDefault="00364E59" w:rsidP="005B4C46">
      <w:pPr>
        <w:ind w:left="720"/>
        <w:jc w:val="both"/>
        <w:rPr>
          <w:rFonts w:ascii="Bookman Old Style" w:hAnsi="Bookman Old Style" w:cs="Arial"/>
          <w:sz w:val="20"/>
          <w:lang w:val="es-CO" w:eastAsia="es-CO"/>
        </w:rPr>
      </w:pPr>
      <m:oMathPara>
        <m:oMath>
          <m:sSub>
            <m:sSubPr>
              <m:ctrlPr>
                <w:rPr>
                  <w:rFonts w:ascii="Cambria Math" w:hAnsi="Cambria Math" w:cs="Arial"/>
                  <w:lang w:val="es-ES_tradnl" w:eastAsia="es-CO"/>
                </w:rPr>
              </m:ctrlPr>
            </m:sSubPr>
            <m:e>
              <m:r>
                <m:rPr>
                  <m:sty m:val="p"/>
                </m:rPr>
                <w:rPr>
                  <w:rFonts w:ascii="Cambria Math" w:hAnsi="Cambria Math" w:cs="Arial"/>
                  <w:lang w:val="es-ES_tradnl" w:eastAsia="es-CO"/>
                </w:rPr>
                <m:t>AOM</m:t>
              </m:r>
            </m:e>
            <m:sub>
              <m:r>
                <m:rPr>
                  <m:sty m:val="p"/>
                </m:rPr>
                <w:rPr>
                  <w:rFonts w:ascii="Cambria Math" w:hAnsi="Cambria Math" w:cs="Arial"/>
                  <w:lang w:val="es-ES_tradnl" w:eastAsia="es-CO"/>
                </w:rPr>
                <m:t>n</m:t>
              </m:r>
            </m:sub>
          </m:sSub>
          <m:r>
            <m:rPr>
              <m:sty m:val="p"/>
            </m:rPr>
            <w:rPr>
              <w:rFonts w:ascii="Cambria Math" w:hAnsi="Cambria Math" w:cs="Arial"/>
              <w:lang w:val="es-ES_tradnl" w:eastAsia="es-CO"/>
            </w:rPr>
            <m:t xml:space="preserve"> eficiente=min</m:t>
          </m:r>
          <m:d>
            <m:dPr>
              <m:begChr m:val="["/>
              <m:endChr m:val="]"/>
              <m:ctrlPr>
                <w:rPr>
                  <w:rFonts w:ascii="Cambria Math" w:hAnsi="Cambria Math" w:cs="Arial"/>
                  <w:lang w:val="es-ES_tradnl" w:eastAsia="es-CO"/>
                </w:rPr>
              </m:ctrlPr>
            </m:dPr>
            <m:e>
              <m:sSub>
                <m:sSubPr>
                  <m:ctrlPr>
                    <w:rPr>
                      <w:rFonts w:ascii="Cambria Math" w:hAnsi="Cambria Math" w:cs="Arial"/>
                      <w:lang w:val="es-ES_tradnl" w:eastAsia="es-CO"/>
                    </w:rPr>
                  </m:ctrlPr>
                </m:sSubPr>
                <m:e>
                  <m:r>
                    <m:rPr>
                      <m:sty m:val="p"/>
                    </m:rPr>
                    <w:rPr>
                      <w:rFonts w:ascii="Cambria Math" w:hAnsi="Cambria Math" w:cs="Arial"/>
                      <w:lang w:val="es-ES_tradnl" w:eastAsia="es-CO"/>
                    </w:rPr>
                    <m:t>AOM</m:t>
                  </m:r>
                </m:e>
                <m:sub>
                  <m:r>
                    <m:rPr>
                      <m:sty m:val="p"/>
                    </m:rPr>
                    <w:rPr>
                      <w:rFonts w:ascii="Cambria Math" w:hAnsi="Cambria Math" w:cs="Arial"/>
                      <w:lang w:val="es-ES_tradnl" w:eastAsia="es-CO"/>
                    </w:rPr>
                    <m:t>n</m:t>
                  </m:r>
                </m:sub>
              </m:sSub>
              <m:r>
                <m:rPr>
                  <m:sty m:val="p"/>
                </m:rPr>
                <w:rPr>
                  <w:rFonts w:ascii="Cambria Math" w:hAnsi="Cambria Math" w:cs="Arial"/>
                  <w:lang w:val="es-ES_tradnl" w:eastAsia="es-CO"/>
                </w:rPr>
                <m:t xml:space="preserve"> estimado,  </m:t>
              </m:r>
              <m:sSub>
                <m:sSubPr>
                  <m:ctrlPr>
                    <w:rPr>
                      <w:rFonts w:ascii="Cambria Math" w:hAnsi="Cambria Math" w:cs="Arial"/>
                      <w:lang w:val="es-ES_tradnl" w:eastAsia="es-CO"/>
                    </w:rPr>
                  </m:ctrlPr>
                </m:sSubPr>
                <m:e>
                  <m:r>
                    <m:rPr>
                      <m:sty m:val="p"/>
                    </m:rPr>
                    <w:rPr>
                      <w:rFonts w:ascii="Cambria Math" w:hAnsi="Cambria Math" w:cs="Arial"/>
                      <w:lang w:val="es-ES_tradnl" w:eastAsia="es-CO"/>
                    </w:rPr>
                    <m:t>AOM</m:t>
                  </m:r>
                </m:e>
                <m:sub>
                  <m:r>
                    <m:rPr>
                      <m:sty m:val="p"/>
                    </m:rPr>
                    <w:rPr>
                      <w:rFonts w:ascii="Cambria Math" w:hAnsi="Cambria Math" w:cs="Arial"/>
                      <w:lang w:val="es-ES_tradnl" w:eastAsia="es-CO"/>
                    </w:rPr>
                    <m:t>n</m:t>
                  </m:r>
                </m:sub>
              </m:sSub>
              <m:r>
                <m:rPr>
                  <m:sty m:val="p"/>
                </m:rPr>
                <w:rPr>
                  <w:rFonts w:ascii="Cambria Math" w:hAnsi="Cambria Math" w:cs="Arial"/>
                  <w:lang w:val="es-ES_tradnl" w:eastAsia="es-CO"/>
                </w:rPr>
                <m:t xml:space="preserve"> reportado </m:t>
              </m:r>
            </m:e>
          </m:d>
        </m:oMath>
      </m:oMathPara>
    </w:p>
    <w:p w:rsidR="005B4C46" w:rsidRPr="000B65DE" w:rsidRDefault="005B4C46" w:rsidP="005B4C46">
      <w:pPr>
        <w:ind w:left="0"/>
        <w:jc w:val="both"/>
        <w:rPr>
          <w:rFonts w:ascii="Bookman Old Style" w:hAnsi="Bookman Old Style" w:cs="Arial"/>
          <w:lang w:val="es-ES_tradnl" w:eastAsia="es-CO"/>
        </w:rPr>
      </w:pPr>
    </w:p>
    <w:p w:rsidR="00472401" w:rsidRPr="000B65DE" w:rsidRDefault="00472401" w:rsidP="008F4D9F">
      <w:pPr>
        <w:numPr>
          <w:ilvl w:val="0"/>
          <w:numId w:val="17"/>
        </w:numPr>
        <w:contextualSpacing/>
        <w:jc w:val="both"/>
        <w:rPr>
          <w:rFonts w:ascii="Bookman Old Style" w:hAnsi="Bookman Old Style" w:cs="Arial"/>
          <w:lang w:val="es-CO" w:eastAsia="es-CO"/>
        </w:rPr>
      </w:pPr>
      <w:r w:rsidRPr="000B65DE">
        <w:rPr>
          <w:rFonts w:ascii="Bookman Old Style" w:hAnsi="Bookman Old Style" w:cs="Arial"/>
          <w:lang w:val="es-CO" w:eastAsia="es-CO"/>
        </w:rPr>
        <w:t xml:space="preserve">Si </w:t>
      </w:r>
      <m:oMath>
        <m:sSub>
          <m:sSubPr>
            <m:ctrlPr>
              <w:rPr>
                <w:rFonts w:ascii="Cambria Math" w:hAnsi="Cambria Math" w:cs="Arial"/>
                <w:lang w:val="es-ES_tradnl" w:eastAsia="es-CO"/>
              </w:rPr>
            </m:ctrlPr>
          </m:sSubPr>
          <m:e>
            <m:r>
              <m:rPr>
                <m:sty m:val="p"/>
              </m:rPr>
              <w:rPr>
                <w:rFonts w:ascii="Cambria Math" w:hAnsi="Cambria Math" w:cs="Arial"/>
                <w:lang w:val="es-ES_tradnl" w:eastAsia="es-CO"/>
              </w:rPr>
              <m:t>AOM</m:t>
            </m:r>
          </m:e>
          <m:sub>
            <m:r>
              <m:rPr>
                <m:sty m:val="p"/>
              </m:rPr>
              <w:rPr>
                <w:rFonts w:ascii="Cambria Math" w:hAnsi="Cambria Math" w:cs="Arial"/>
                <w:lang w:val="es-CO" w:eastAsia="es-CO"/>
              </w:rPr>
              <m:t>k</m:t>
            </m:r>
          </m:sub>
        </m:sSub>
        <m:r>
          <m:rPr>
            <m:sty m:val="p"/>
          </m:rPr>
          <w:rPr>
            <w:rFonts w:ascii="Cambria Math" w:hAnsi="Cambria Math" w:cs="Arial"/>
            <w:lang w:val="es-CO" w:eastAsia="es-CO"/>
          </w:rPr>
          <m:t xml:space="preserve">eficiente= </m:t>
        </m:r>
        <m:sSub>
          <m:sSubPr>
            <m:ctrlPr>
              <w:rPr>
                <w:rFonts w:ascii="Cambria Math" w:hAnsi="Cambria Math" w:cs="Arial"/>
                <w:lang w:val="es-CO" w:eastAsia="es-CO"/>
              </w:rPr>
            </m:ctrlPr>
          </m:sSubPr>
          <m:e>
            <m:r>
              <m:rPr>
                <m:sty m:val="p"/>
              </m:rPr>
              <w:rPr>
                <w:rFonts w:ascii="Cambria Math" w:hAnsi="Cambria Math" w:cs="Arial"/>
                <w:lang w:val="es-CO" w:eastAsia="es-CO"/>
              </w:rPr>
              <m:t>AOM</m:t>
            </m:r>
          </m:e>
          <m:sub>
            <m:r>
              <m:rPr>
                <m:sty m:val="p"/>
              </m:rPr>
              <w:rPr>
                <w:rFonts w:ascii="Cambria Math" w:hAnsi="Cambria Math" w:cs="Arial"/>
                <w:lang w:val="es-CO" w:eastAsia="es-CO"/>
              </w:rPr>
              <m:t>k</m:t>
            </m:r>
          </m:sub>
        </m:sSub>
        <m:r>
          <m:rPr>
            <m:sty m:val="p"/>
          </m:rPr>
          <w:rPr>
            <w:rFonts w:ascii="Cambria Math" w:hAnsi="Cambria Math" w:cs="Arial"/>
            <w:lang w:val="es-CO" w:eastAsia="es-CO"/>
          </w:rPr>
          <m:t>reportado</m:t>
        </m:r>
        <m:r>
          <w:rPr>
            <w:rFonts w:ascii="Cambria Math" w:hAnsi="Cambria Math" w:cs="Arial"/>
            <w:lang w:val="es-CO" w:eastAsia="es-CO"/>
          </w:rPr>
          <m:t xml:space="preserve"> </m:t>
        </m:r>
      </m:oMath>
      <w:r w:rsidRPr="000B65DE">
        <w:rPr>
          <w:rFonts w:ascii="Bookman Old Style" w:hAnsi="Bookman Old Style" w:cs="Arial"/>
          <w:lang w:val="es-CO" w:eastAsia="es-CO"/>
        </w:rPr>
        <w:t xml:space="preserve">, se reconocerá el 100% de los gastos de AOM de la actividad de distribución reportado </w:t>
      </w:r>
      <w:r>
        <w:rPr>
          <w:rFonts w:ascii="Bookman Old Style" w:hAnsi="Bookman Old Style" w:cs="Arial"/>
          <w:lang w:val="es-CO" w:eastAsia="es-CO"/>
        </w:rPr>
        <w:t xml:space="preserve"> y proyectado </w:t>
      </w:r>
      <w:r w:rsidRPr="000B65DE">
        <w:rPr>
          <w:rFonts w:ascii="Bookman Old Style" w:hAnsi="Bookman Old Style" w:cs="Arial"/>
          <w:lang w:val="es-CO" w:eastAsia="es-CO"/>
        </w:rPr>
        <w:t>para el mercado relevante o municipios nuevos.</w:t>
      </w:r>
    </w:p>
    <w:p w:rsidR="00472401" w:rsidRPr="000B65DE" w:rsidRDefault="00472401" w:rsidP="00472401">
      <w:pPr>
        <w:ind w:left="720"/>
        <w:contextualSpacing/>
        <w:jc w:val="both"/>
        <w:rPr>
          <w:rFonts w:ascii="Bookman Old Style" w:hAnsi="Bookman Old Style" w:cs="Arial"/>
          <w:lang w:val="es-CO" w:eastAsia="es-CO"/>
        </w:rPr>
      </w:pPr>
    </w:p>
    <w:p w:rsidR="00472401" w:rsidRPr="000B65DE" w:rsidRDefault="00472401" w:rsidP="008F4D9F">
      <w:pPr>
        <w:numPr>
          <w:ilvl w:val="0"/>
          <w:numId w:val="17"/>
        </w:numPr>
        <w:contextualSpacing/>
        <w:jc w:val="both"/>
        <w:rPr>
          <w:rFonts w:ascii="Bookman Old Style" w:hAnsi="Bookman Old Style" w:cs="Arial"/>
          <w:lang w:val="es-CO" w:eastAsia="es-CO"/>
        </w:rPr>
      </w:pPr>
      <w:r w:rsidRPr="000B65DE">
        <w:rPr>
          <w:rFonts w:ascii="Bookman Old Style" w:hAnsi="Bookman Old Style" w:cs="Arial"/>
          <w:lang w:val="es-CO" w:eastAsia="es-CO"/>
        </w:rPr>
        <w:t xml:space="preserve">Si </w:t>
      </w:r>
      <m:oMath>
        <m:sSub>
          <m:sSubPr>
            <m:ctrlPr>
              <w:rPr>
                <w:rFonts w:ascii="Cambria Math" w:hAnsi="Cambria Math" w:cs="Arial"/>
                <w:lang w:val="es-ES_tradnl" w:eastAsia="es-CO"/>
              </w:rPr>
            </m:ctrlPr>
          </m:sSubPr>
          <m:e>
            <m:r>
              <m:rPr>
                <m:sty m:val="p"/>
              </m:rPr>
              <w:rPr>
                <w:rFonts w:ascii="Cambria Math" w:hAnsi="Cambria Math" w:cs="Arial"/>
                <w:lang w:val="es-ES_tradnl" w:eastAsia="es-CO"/>
              </w:rPr>
              <m:t>AOM</m:t>
            </m:r>
          </m:e>
          <m:sub>
            <m:r>
              <m:rPr>
                <m:sty m:val="p"/>
              </m:rPr>
              <w:rPr>
                <w:rFonts w:ascii="Cambria Math" w:hAnsi="Cambria Math" w:cs="Arial"/>
                <w:lang w:val="es-CO" w:eastAsia="es-CO"/>
              </w:rPr>
              <m:t>k</m:t>
            </m:r>
          </m:sub>
        </m:sSub>
        <m:r>
          <m:rPr>
            <m:sty m:val="p"/>
          </m:rPr>
          <w:rPr>
            <w:rFonts w:ascii="Cambria Math" w:hAnsi="Cambria Math" w:cs="Arial"/>
            <w:lang w:val="es-CO" w:eastAsia="es-CO"/>
          </w:rPr>
          <m:t xml:space="preserve">eficiente= </m:t>
        </m:r>
        <m:sSub>
          <m:sSubPr>
            <m:ctrlPr>
              <w:rPr>
                <w:rFonts w:ascii="Cambria Math" w:hAnsi="Cambria Math" w:cs="Arial"/>
                <w:lang w:val="es-CO" w:eastAsia="es-CO"/>
              </w:rPr>
            </m:ctrlPr>
          </m:sSubPr>
          <m:e>
            <m:r>
              <m:rPr>
                <m:sty m:val="p"/>
              </m:rPr>
              <w:rPr>
                <w:rFonts w:ascii="Cambria Math" w:hAnsi="Cambria Math" w:cs="Arial"/>
                <w:lang w:val="es-CO" w:eastAsia="es-CO"/>
              </w:rPr>
              <m:t>AOM</m:t>
            </m:r>
          </m:e>
          <m:sub>
            <m:r>
              <m:rPr>
                <m:sty m:val="p"/>
              </m:rPr>
              <w:rPr>
                <w:rFonts w:ascii="Cambria Math" w:hAnsi="Cambria Math" w:cs="Arial"/>
                <w:lang w:val="es-CO" w:eastAsia="es-CO"/>
              </w:rPr>
              <m:t>k</m:t>
            </m:r>
          </m:sub>
        </m:sSub>
        <m:r>
          <m:rPr>
            <m:sty m:val="p"/>
          </m:rPr>
          <w:rPr>
            <w:rFonts w:ascii="Cambria Math" w:hAnsi="Cambria Math" w:cs="Arial"/>
            <w:lang w:val="es-CO" w:eastAsia="es-CO"/>
          </w:rPr>
          <m:t>estimado</m:t>
        </m:r>
        <m:r>
          <w:rPr>
            <w:rFonts w:ascii="Cambria Math" w:hAnsi="Cambria Math" w:cs="Arial"/>
            <w:lang w:val="es-CO" w:eastAsia="es-CO"/>
          </w:rPr>
          <m:t xml:space="preserve"> </m:t>
        </m:r>
      </m:oMath>
      <w:r w:rsidRPr="000B65DE">
        <w:rPr>
          <w:rFonts w:ascii="Bookman Old Style" w:hAnsi="Bookman Old Style" w:cs="Arial"/>
          <w:lang w:val="es-CO" w:eastAsia="es-CO"/>
        </w:rPr>
        <w:t>, el porcentaje (%) de gastos AOM que se le reconocerá para efectos tarifarios será la relación entre el AOM eficiente y el AOM reportado por la empresa.</w:t>
      </w:r>
    </w:p>
    <w:p w:rsidR="005B4C46" w:rsidRPr="000B65DE" w:rsidRDefault="005B4C46" w:rsidP="000B65DE">
      <w:pPr>
        <w:ind w:left="720"/>
        <w:jc w:val="both"/>
        <w:rPr>
          <w:rFonts w:ascii="Bookman Old Style" w:hAnsi="Bookman Old Style" w:cs="Arial"/>
          <w:sz w:val="20"/>
          <w:lang w:val="es-CO" w:eastAsia="es-CO"/>
        </w:rPr>
      </w:pPr>
    </w:p>
    <w:p w:rsidR="00472401" w:rsidRPr="00653145" w:rsidRDefault="00472401" w:rsidP="008F4D9F">
      <w:pPr>
        <w:numPr>
          <w:ilvl w:val="0"/>
          <w:numId w:val="38"/>
        </w:numPr>
        <w:jc w:val="both"/>
        <w:rPr>
          <w:rFonts w:ascii="Bookman Old Style" w:hAnsi="Bookman Old Style" w:cs="Arial"/>
          <w:lang w:val="es-CO" w:eastAsia="es-CO"/>
        </w:rPr>
      </w:pPr>
      <w:r w:rsidRPr="000B65DE">
        <w:rPr>
          <w:rFonts w:ascii="Bookman Old Style" w:hAnsi="Bookman Old Style" w:cs="Arial"/>
          <w:lang w:val="es-CO" w:eastAsia="es-CO"/>
        </w:rPr>
        <w:t>Una vez determinado el AOM eficiente, se establecerá el porcentaje (%) correspondiente a las actividades de distribución y comercialización de acuerdo con la asignación de los gastos de las actividades de distribución y comercialización que reporten las empresas en la solicitud tarifaria.</w:t>
      </w:r>
    </w:p>
    <w:p w:rsidR="000B65DE" w:rsidRPr="000B65DE" w:rsidRDefault="000B65DE" w:rsidP="000B65DE">
      <w:pPr>
        <w:ind w:left="720"/>
        <w:contextualSpacing/>
        <w:jc w:val="both"/>
        <w:rPr>
          <w:rFonts w:ascii="Bookman Old Style" w:hAnsi="Bookman Old Style" w:cs="Arial"/>
          <w:sz w:val="20"/>
          <w:lang w:val="es-CO" w:eastAsia="es-CO"/>
        </w:rPr>
      </w:pPr>
    </w:p>
    <w:p w:rsidR="000B65DE" w:rsidRDefault="000B65DE" w:rsidP="008F4D9F">
      <w:pPr>
        <w:numPr>
          <w:ilvl w:val="0"/>
          <w:numId w:val="38"/>
        </w:numPr>
        <w:jc w:val="both"/>
        <w:rPr>
          <w:rFonts w:ascii="Bookman Old Style" w:hAnsi="Bookman Old Style" w:cs="Arial"/>
          <w:lang w:val="es-CO" w:eastAsia="es-CO"/>
        </w:rPr>
      </w:pPr>
      <w:r w:rsidRPr="000B65DE">
        <w:rPr>
          <w:rFonts w:ascii="Bookman Old Style" w:hAnsi="Bookman Old Style" w:cs="Arial"/>
          <w:lang w:val="es-CO" w:eastAsia="es-CO"/>
        </w:rPr>
        <w:t xml:space="preserve">Para efecto del cálculo tarifario del Artículo 9 de esta Resolución. El porcentaje (%) de eficiencia obtenido conforme a lo establecido en el numeral </w:t>
      </w:r>
      <w:r w:rsidR="00C24409">
        <w:rPr>
          <w:rFonts w:ascii="Bookman Old Style" w:hAnsi="Bookman Old Style" w:cs="Arial"/>
          <w:lang w:val="es-CO" w:eastAsia="es-CO"/>
        </w:rPr>
        <w:t>2 del presente ítem</w:t>
      </w:r>
      <w:r w:rsidRPr="000B65DE">
        <w:rPr>
          <w:rFonts w:ascii="Bookman Old Style" w:hAnsi="Bookman Old Style" w:cs="Arial"/>
          <w:lang w:val="es-CO" w:eastAsia="es-CO"/>
        </w:rPr>
        <w:t>, se aplicará al Horizonte de Proyección de veinte (20) años para los gastos de AOM de la actividad de distribución que reporten las empresas en la solicitud tarifaria.</w:t>
      </w:r>
    </w:p>
    <w:p w:rsidR="00472401" w:rsidRPr="000B65DE" w:rsidRDefault="00472401" w:rsidP="00653145">
      <w:pPr>
        <w:ind w:left="720"/>
        <w:contextualSpacing/>
        <w:jc w:val="both"/>
        <w:rPr>
          <w:rFonts w:ascii="Bookman Old Style" w:hAnsi="Bookman Old Style" w:cs="Arial"/>
          <w:lang w:val="es-CO" w:eastAsia="es-CO"/>
        </w:rPr>
      </w:pPr>
    </w:p>
    <w:p w:rsidR="000B65DE" w:rsidRPr="000B65DE" w:rsidRDefault="000B65DE" w:rsidP="000B65DE">
      <w:pPr>
        <w:spacing w:before="100" w:beforeAutospacing="1" w:after="100" w:afterAutospacing="1"/>
        <w:ind w:left="851" w:hanging="851"/>
        <w:jc w:val="both"/>
        <w:rPr>
          <w:rFonts w:ascii="Bookman Old Style" w:hAnsi="Bookman Old Style" w:cs="Arial"/>
          <w:b/>
          <w:lang w:val="es-ES_tradnl" w:eastAsia="es-CO"/>
        </w:rPr>
      </w:pPr>
      <w:bookmarkStart w:id="52" w:name="_Toc259985313"/>
      <w:r w:rsidRPr="000B65DE">
        <w:rPr>
          <w:rFonts w:ascii="Bookman Old Style" w:hAnsi="Bookman Old Style" w:cs="Arial"/>
          <w:b/>
          <w:lang w:val="es-ES_tradnl" w:eastAsia="es-CO"/>
        </w:rPr>
        <w:t>10.</w:t>
      </w:r>
      <w:r w:rsidR="00C24409">
        <w:rPr>
          <w:rFonts w:ascii="Bookman Old Style" w:hAnsi="Bookman Old Style" w:cs="Arial"/>
          <w:b/>
          <w:lang w:val="es-ES_tradnl" w:eastAsia="es-CO"/>
        </w:rPr>
        <w:t>4</w:t>
      </w:r>
      <w:r w:rsidRPr="000B65DE">
        <w:rPr>
          <w:rFonts w:ascii="Bookman Old Style" w:hAnsi="Bookman Old Style" w:cs="Arial"/>
          <w:b/>
          <w:lang w:val="es-ES_tradnl" w:eastAsia="es-CO"/>
        </w:rPr>
        <w:t xml:space="preserve">. Otros Gastos de Administración, Operación y Mantenimiento (AOM) </w:t>
      </w:r>
    </w:p>
    <w:p w:rsidR="000B65DE" w:rsidRPr="000B65DE" w:rsidRDefault="000B65DE" w:rsidP="000B65DE">
      <w:pPr>
        <w:ind w:left="0"/>
        <w:jc w:val="both"/>
        <w:rPr>
          <w:rFonts w:ascii="Bookman Old Style" w:hAnsi="Bookman Old Style" w:cs="Arial"/>
        </w:rPr>
      </w:pPr>
      <w:r w:rsidRPr="000B65DE">
        <w:rPr>
          <w:rFonts w:ascii="Bookman Old Style" w:hAnsi="Bookman Old Style" w:cs="Arial"/>
        </w:rPr>
        <w:t>Al valor de AOM eficiente para la actividad de distribución determinado conforme a los numerales 10.1 y 10.2 de este ANEXO, se le sumarán los valores que corresponden a los siguientes conceptos:</w:t>
      </w:r>
    </w:p>
    <w:p w:rsidR="000B65DE" w:rsidRPr="000B65DE" w:rsidRDefault="000B65DE" w:rsidP="000B65DE">
      <w:pPr>
        <w:ind w:left="0"/>
        <w:jc w:val="both"/>
        <w:rPr>
          <w:rFonts w:ascii="Bookman Old Style" w:hAnsi="Bookman Old Style" w:cs="Arial"/>
        </w:rPr>
      </w:pPr>
    </w:p>
    <w:p w:rsidR="000B65DE" w:rsidRPr="000B65DE" w:rsidRDefault="000B65DE" w:rsidP="008F4D9F">
      <w:pPr>
        <w:numPr>
          <w:ilvl w:val="0"/>
          <w:numId w:val="29"/>
        </w:numPr>
        <w:ind w:left="709"/>
        <w:contextualSpacing/>
        <w:jc w:val="both"/>
        <w:rPr>
          <w:rFonts w:ascii="Bookman Old Style" w:hAnsi="Bookman Old Style" w:cs="Arial"/>
          <w:b/>
          <w:lang w:val="es-CO"/>
        </w:rPr>
      </w:pPr>
      <w:r w:rsidRPr="000B65DE">
        <w:rPr>
          <w:rFonts w:ascii="Bookman Old Style" w:hAnsi="Bookman Old Style" w:cs="Arial"/>
          <w:lang w:val="es-CO"/>
        </w:rPr>
        <w:t>Los gastos de AOM por concepto de los terrenos, servidumbres e inmuebles conforme a los establecido en el literal d) del numeral 9.</w:t>
      </w:r>
      <w:r w:rsidR="00F173B2">
        <w:rPr>
          <w:rFonts w:ascii="Bookman Old Style" w:hAnsi="Bookman Old Style" w:cs="Arial"/>
          <w:lang w:val="es-CO"/>
        </w:rPr>
        <w:t>4</w:t>
      </w:r>
      <w:r w:rsidRPr="000B65DE">
        <w:rPr>
          <w:rFonts w:ascii="Bookman Old Style" w:hAnsi="Bookman Old Style" w:cs="Arial"/>
          <w:lang w:val="es-CO"/>
        </w:rPr>
        <w:t xml:space="preserve"> del Artículo 9 de esta resolución.</w:t>
      </w:r>
    </w:p>
    <w:p w:rsidR="000B65DE" w:rsidRPr="00F173B2" w:rsidRDefault="000B65DE" w:rsidP="000B65DE">
      <w:pPr>
        <w:ind w:left="349"/>
        <w:contextualSpacing/>
        <w:jc w:val="both"/>
        <w:rPr>
          <w:rFonts w:ascii="Bookman Old Style" w:hAnsi="Bookman Old Style" w:cs="Arial"/>
          <w:b/>
          <w:lang w:val="es-CO"/>
        </w:rPr>
      </w:pPr>
    </w:p>
    <w:p w:rsidR="000B65DE" w:rsidRPr="000B65DE" w:rsidRDefault="000B65DE" w:rsidP="008F4D9F">
      <w:pPr>
        <w:numPr>
          <w:ilvl w:val="0"/>
          <w:numId w:val="29"/>
        </w:numPr>
        <w:ind w:left="709"/>
        <w:contextualSpacing/>
        <w:jc w:val="both"/>
        <w:rPr>
          <w:rFonts w:ascii="Bookman Old Style" w:hAnsi="Bookman Old Style" w:cs="Arial"/>
          <w:b/>
          <w:lang w:val="es-CO"/>
        </w:rPr>
      </w:pPr>
      <w:r w:rsidRPr="000B65DE">
        <w:rPr>
          <w:rFonts w:ascii="Bookman Old Style" w:hAnsi="Bookman Old Style" w:cs="Arial"/>
        </w:rPr>
        <w:t>Los gastos de AOM eficientes para la infraestructura de confiabilidad de acuerdo a lo establecido en el parágrafo 1 del numeral 9.</w:t>
      </w:r>
      <w:r w:rsidR="00CF004A">
        <w:rPr>
          <w:rFonts w:ascii="Bookman Old Style" w:hAnsi="Bookman Old Style" w:cs="Arial"/>
        </w:rPr>
        <w:t>7</w:t>
      </w:r>
      <w:r w:rsidRPr="000B65DE">
        <w:rPr>
          <w:rFonts w:ascii="Bookman Old Style" w:hAnsi="Bookman Old Style" w:cs="Arial"/>
        </w:rPr>
        <w:t xml:space="preserve"> del Artículo 9  de esta resolución.</w:t>
      </w:r>
    </w:p>
    <w:p w:rsidR="000B65DE" w:rsidRPr="000B65DE" w:rsidRDefault="000B65DE" w:rsidP="000B65DE">
      <w:pPr>
        <w:ind w:left="708"/>
        <w:rPr>
          <w:rFonts w:ascii="Bookman Old Style" w:hAnsi="Bookman Old Style" w:cs="Arial"/>
          <w:b/>
          <w:lang w:val="es-CO"/>
        </w:rPr>
      </w:pPr>
    </w:p>
    <w:p w:rsidR="000B65DE" w:rsidRPr="00E528F6" w:rsidRDefault="000B65DE" w:rsidP="008F4D9F">
      <w:pPr>
        <w:numPr>
          <w:ilvl w:val="0"/>
          <w:numId w:val="29"/>
        </w:numPr>
        <w:ind w:left="709"/>
        <w:contextualSpacing/>
        <w:jc w:val="both"/>
        <w:rPr>
          <w:rFonts w:ascii="Bookman Old Style" w:hAnsi="Bookman Old Style" w:cs="Arial"/>
          <w:b/>
          <w:lang w:val="es-CO"/>
        </w:rPr>
      </w:pPr>
      <w:r w:rsidRPr="000B65DE">
        <w:rPr>
          <w:rFonts w:ascii="Bookman Old Style" w:hAnsi="Bookman Old Style" w:cs="Arial"/>
        </w:rPr>
        <w:t>Los gastos de AOM eficientes para la actividad de revisiones periódicas que establezca la CREG conforme a las obligaciones establecidas a las empresas distribuidoras en la Resolución CREG 059 de 2012 de acuerdo a lo establecido en el parágrafo 1 del numeral 9.</w:t>
      </w:r>
      <w:r w:rsidR="00CF004A">
        <w:rPr>
          <w:rFonts w:ascii="Bookman Old Style" w:hAnsi="Bookman Old Style" w:cs="Arial"/>
        </w:rPr>
        <w:t>7</w:t>
      </w:r>
      <w:r w:rsidRPr="000B65DE">
        <w:rPr>
          <w:rFonts w:ascii="Bookman Old Style" w:hAnsi="Bookman Old Style" w:cs="Arial"/>
        </w:rPr>
        <w:t xml:space="preserve"> del Artículo 9 de esta resolución. Las empresas deberán presentar los gastos en que incurren al realizar las revisiones periódicas de las instalaciones internas y descontar de estos el valor pagado a los Organismos de Inspección Acreditados. La información reportada deberá coincidir con la información reportada a la CREG para esta actividad en las circulares 025 de 2009 y 016 de 2011.</w:t>
      </w:r>
    </w:p>
    <w:p w:rsidR="00585209" w:rsidRDefault="00585209" w:rsidP="00E528F6">
      <w:pPr>
        <w:pStyle w:val="Prrafodelista"/>
        <w:rPr>
          <w:rFonts w:ascii="Bookman Old Style" w:hAnsi="Bookman Old Style" w:cs="Arial"/>
          <w:b/>
        </w:rPr>
      </w:pPr>
    </w:p>
    <w:p w:rsidR="00585209" w:rsidRPr="000B65DE" w:rsidRDefault="00585209" w:rsidP="008F4D9F">
      <w:pPr>
        <w:numPr>
          <w:ilvl w:val="0"/>
          <w:numId w:val="29"/>
        </w:numPr>
        <w:ind w:left="709"/>
        <w:contextualSpacing/>
        <w:jc w:val="both"/>
        <w:rPr>
          <w:rFonts w:ascii="Bookman Old Style" w:hAnsi="Bookman Old Style" w:cs="Arial"/>
          <w:b/>
          <w:lang w:val="es-CO"/>
        </w:rPr>
      </w:pPr>
      <w:r>
        <w:rPr>
          <w:rFonts w:ascii="Bookman Old Style" w:hAnsi="Bookman Old Style" w:cs="Arial"/>
          <w:lang w:val="es-CO"/>
        </w:rPr>
        <w:t xml:space="preserve">Los gastos para el desarrollo de lo dispuesto en </w:t>
      </w:r>
      <w:r w:rsidR="00A26022">
        <w:rPr>
          <w:rFonts w:ascii="Bookman Old Style" w:hAnsi="Bookman Old Style" w:cs="Arial"/>
          <w:lang w:val="es-CO"/>
        </w:rPr>
        <w:t xml:space="preserve">la Resolución CREG 127 de 2013 en: </w:t>
      </w:r>
      <w:r>
        <w:rPr>
          <w:rFonts w:ascii="Bookman Old Style" w:hAnsi="Bookman Old Style" w:cs="Arial"/>
          <w:lang w:val="es-CO"/>
        </w:rPr>
        <w:t xml:space="preserve">literal d) del artículo 19 y la adición del numeral 4.28.2 </w:t>
      </w:r>
      <w:r w:rsidR="00A26022">
        <w:rPr>
          <w:rFonts w:ascii="Bookman Old Style" w:hAnsi="Bookman Old Style" w:cs="Arial"/>
          <w:lang w:val="es-CO"/>
        </w:rPr>
        <w:t xml:space="preserve">establecida en </w:t>
      </w:r>
      <w:r>
        <w:rPr>
          <w:rFonts w:ascii="Bookman Old Style" w:hAnsi="Bookman Old Style" w:cs="Arial"/>
          <w:lang w:val="es-CO"/>
        </w:rPr>
        <w:t>el artículo 4</w:t>
      </w:r>
      <w:r w:rsidR="00A26022">
        <w:rPr>
          <w:rFonts w:ascii="Bookman Old Style" w:hAnsi="Bookman Old Style" w:cs="Arial"/>
          <w:lang w:val="es-CO"/>
        </w:rPr>
        <w:t>.</w:t>
      </w:r>
    </w:p>
    <w:p w:rsidR="000B65DE" w:rsidRPr="000B65DE" w:rsidRDefault="000B65DE" w:rsidP="000B65DE">
      <w:pPr>
        <w:spacing w:before="100" w:beforeAutospacing="1" w:after="100" w:afterAutospacing="1"/>
        <w:ind w:left="851" w:hanging="851"/>
        <w:jc w:val="both"/>
        <w:rPr>
          <w:rFonts w:ascii="Bookman Old Style" w:hAnsi="Bookman Old Style" w:cs="Arial"/>
          <w:b/>
          <w:lang w:val="es-ES_tradnl" w:eastAsia="es-CO"/>
        </w:rPr>
      </w:pPr>
      <w:r w:rsidRPr="000B65DE">
        <w:rPr>
          <w:rFonts w:ascii="Bookman Old Style" w:hAnsi="Bookman Old Style" w:cs="Arial"/>
          <w:b/>
          <w:lang w:val="es-ES_tradnl" w:eastAsia="es-CO"/>
        </w:rPr>
        <w:t>10.</w:t>
      </w:r>
      <w:r w:rsidR="00C24409">
        <w:rPr>
          <w:rFonts w:ascii="Bookman Old Style" w:hAnsi="Bookman Old Style" w:cs="Arial"/>
          <w:b/>
          <w:lang w:val="es-ES_tradnl" w:eastAsia="es-CO"/>
        </w:rPr>
        <w:t>5</w:t>
      </w:r>
      <w:r w:rsidRPr="000B65DE">
        <w:rPr>
          <w:rFonts w:ascii="Bookman Old Style" w:hAnsi="Bookman Old Style" w:cs="Arial"/>
          <w:b/>
          <w:lang w:val="es-ES_tradnl" w:eastAsia="es-CO"/>
        </w:rPr>
        <w:t>. Certificación de la información contable</w:t>
      </w:r>
      <w:bookmarkEnd w:id="52"/>
    </w:p>
    <w:p w:rsidR="000B65DE" w:rsidRPr="000B65DE" w:rsidRDefault="000B65DE" w:rsidP="000B65DE">
      <w:pPr>
        <w:ind w:left="0"/>
        <w:jc w:val="both"/>
        <w:rPr>
          <w:rFonts w:ascii="Bookman Old Style" w:hAnsi="Bookman Old Style" w:cs="Arial"/>
        </w:rPr>
      </w:pPr>
      <w:r w:rsidRPr="000B65DE">
        <w:rPr>
          <w:rFonts w:ascii="Bookman Old Style" w:hAnsi="Bookman Old Style" w:cs="Arial"/>
        </w:rPr>
        <w:lastRenderedPageBreak/>
        <w:t>El reporte de información de AOM que se realice en la solicitud tarifaria deberá estar certificada por el Revisor Fiscal de la empresa en el que conste que se ejecutaron como mínimo las siguientes actividades:</w:t>
      </w:r>
    </w:p>
    <w:p w:rsidR="000B65DE" w:rsidRPr="000B65DE" w:rsidRDefault="000B65DE" w:rsidP="000B65DE">
      <w:pPr>
        <w:ind w:left="0"/>
        <w:jc w:val="both"/>
        <w:rPr>
          <w:rFonts w:ascii="Bookman Old Style" w:hAnsi="Bookman Old Style" w:cs="Arial"/>
        </w:rPr>
      </w:pPr>
    </w:p>
    <w:p w:rsidR="000B65DE" w:rsidRPr="000B65DE" w:rsidRDefault="000B65DE" w:rsidP="008F4D9F">
      <w:pPr>
        <w:numPr>
          <w:ilvl w:val="0"/>
          <w:numId w:val="32"/>
        </w:numPr>
        <w:contextualSpacing/>
        <w:jc w:val="both"/>
        <w:rPr>
          <w:rFonts w:ascii="Bookman Old Style" w:hAnsi="Bookman Old Style" w:cs="Arial"/>
          <w:b/>
          <w:lang w:val="es-CO"/>
        </w:rPr>
      </w:pPr>
      <w:r w:rsidRPr="000B65DE">
        <w:rPr>
          <w:rFonts w:ascii="Bookman Old Style" w:hAnsi="Bookman Old Style" w:cs="Arial"/>
          <w:lang w:val="es-CO"/>
        </w:rPr>
        <w:t xml:space="preserve">Verificación de que la empresa tenga implementado un sistema de costos y gastos por actividades conforme a lo previsto en la Resolución SSPD 33635 de 2005. </w:t>
      </w:r>
    </w:p>
    <w:p w:rsidR="000B65DE" w:rsidRPr="000B65DE" w:rsidRDefault="000B65DE" w:rsidP="000B65DE">
      <w:pPr>
        <w:ind w:left="360"/>
        <w:jc w:val="both"/>
        <w:rPr>
          <w:rFonts w:ascii="Bookman Old Style" w:hAnsi="Bookman Old Style" w:cs="Arial"/>
          <w:b/>
          <w:lang w:val="es-CO"/>
        </w:rPr>
      </w:pPr>
    </w:p>
    <w:p w:rsidR="000B65DE" w:rsidRPr="000B65DE" w:rsidRDefault="000B65DE" w:rsidP="008F4D9F">
      <w:pPr>
        <w:numPr>
          <w:ilvl w:val="0"/>
          <w:numId w:val="32"/>
        </w:numPr>
        <w:ind w:left="709"/>
        <w:contextualSpacing/>
        <w:jc w:val="both"/>
        <w:rPr>
          <w:rFonts w:ascii="Bookman Old Style" w:hAnsi="Bookman Old Style" w:cs="Arial"/>
          <w:lang w:val="es-CO"/>
        </w:rPr>
      </w:pPr>
      <w:r w:rsidRPr="000B65DE">
        <w:rPr>
          <w:rFonts w:ascii="Bookman Old Style" w:hAnsi="Bookman Old Style" w:cs="Arial"/>
          <w:lang w:val="es-CO"/>
        </w:rPr>
        <w:t xml:space="preserve">Verificación de que la asignación de recursos (conceptos de costos directos de personal, materiales, planta y equipo, edificios, misceláneos y costo de bienes y servicios para la venta) se hayan efectuado en forma directa a las actividades determinantes de los procesos operativos y comerciales y a las actividades de los procesos de apoyo administrativo. </w:t>
      </w:r>
    </w:p>
    <w:p w:rsidR="000B65DE" w:rsidRPr="001D143C" w:rsidRDefault="000B65DE" w:rsidP="000B65DE">
      <w:pPr>
        <w:ind w:left="709"/>
        <w:contextualSpacing/>
        <w:jc w:val="both"/>
        <w:rPr>
          <w:rFonts w:ascii="Bookman Old Style" w:hAnsi="Bookman Old Style" w:cs="Arial"/>
          <w:sz w:val="20"/>
          <w:lang w:val="es-CO"/>
        </w:rPr>
      </w:pPr>
    </w:p>
    <w:p w:rsidR="000B65DE" w:rsidRPr="000B65DE" w:rsidRDefault="000B65DE" w:rsidP="008F4D9F">
      <w:pPr>
        <w:numPr>
          <w:ilvl w:val="0"/>
          <w:numId w:val="32"/>
        </w:numPr>
        <w:ind w:left="709"/>
        <w:contextualSpacing/>
        <w:jc w:val="both"/>
        <w:rPr>
          <w:rFonts w:ascii="Bookman Old Style" w:hAnsi="Bookman Old Style" w:cs="Arial"/>
          <w:lang w:val="es-CO"/>
        </w:rPr>
      </w:pPr>
      <w:r w:rsidRPr="000B65DE">
        <w:rPr>
          <w:rFonts w:ascii="Bookman Old Style" w:hAnsi="Bookman Old Style" w:cs="Arial"/>
          <w:lang w:val="es-CO"/>
        </w:rPr>
        <w:t>Verificación de que la asignación de los recursos de costos indirectos a las actividades se hayan efectuado a través de “drivers” o factores de asignación que muestren la situación de la empresa.</w:t>
      </w:r>
    </w:p>
    <w:p w:rsidR="000B65DE" w:rsidRPr="001D143C" w:rsidRDefault="000B65DE" w:rsidP="000B65DE">
      <w:pPr>
        <w:ind w:left="709"/>
        <w:contextualSpacing/>
        <w:jc w:val="both"/>
        <w:rPr>
          <w:rFonts w:ascii="Bookman Old Style" w:hAnsi="Bookman Old Style" w:cs="Arial"/>
          <w:sz w:val="20"/>
          <w:lang w:val="es-CO"/>
        </w:rPr>
      </w:pPr>
    </w:p>
    <w:p w:rsidR="000B65DE" w:rsidRPr="000B65DE" w:rsidRDefault="000B65DE" w:rsidP="008F4D9F">
      <w:pPr>
        <w:numPr>
          <w:ilvl w:val="0"/>
          <w:numId w:val="32"/>
        </w:numPr>
        <w:ind w:left="709"/>
        <w:contextualSpacing/>
        <w:jc w:val="both"/>
        <w:rPr>
          <w:rFonts w:ascii="Bookman Old Style" w:hAnsi="Bookman Old Style" w:cs="Arial"/>
          <w:lang w:val="es-CO"/>
        </w:rPr>
      </w:pPr>
      <w:r w:rsidRPr="000B65DE">
        <w:rPr>
          <w:rFonts w:ascii="Bookman Old Style" w:hAnsi="Bookman Old Style" w:cs="Arial"/>
          <w:lang w:val="es-CO"/>
        </w:rPr>
        <w:t>Verificación de que los gastos administrativos o de soporte se hayan asignado por cada proceso a las unidades de servicio o negocio.</w:t>
      </w:r>
    </w:p>
    <w:p w:rsidR="000B65DE" w:rsidRPr="001D143C" w:rsidRDefault="000B65DE" w:rsidP="000B65DE">
      <w:pPr>
        <w:ind w:left="709"/>
        <w:contextualSpacing/>
        <w:jc w:val="both"/>
        <w:rPr>
          <w:rFonts w:ascii="Bookman Old Style" w:hAnsi="Bookman Old Style" w:cs="Arial"/>
          <w:sz w:val="18"/>
          <w:lang w:val="es-CO"/>
        </w:rPr>
      </w:pPr>
    </w:p>
    <w:p w:rsidR="000B65DE" w:rsidRPr="000B65DE" w:rsidRDefault="000B65DE" w:rsidP="008F4D9F">
      <w:pPr>
        <w:numPr>
          <w:ilvl w:val="0"/>
          <w:numId w:val="32"/>
        </w:numPr>
        <w:ind w:left="709"/>
        <w:contextualSpacing/>
        <w:jc w:val="both"/>
        <w:rPr>
          <w:rFonts w:ascii="Bookman Old Style" w:hAnsi="Bookman Old Style" w:cs="Arial"/>
          <w:lang w:val="es-CO"/>
        </w:rPr>
      </w:pPr>
      <w:r w:rsidRPr="000B65DE">
        <w:rPr>
          <w:rFonts w:ascii="Bookman Old Style" w:hAnsi="Bookman Old Style" w:cs="Arial"/>
          <w:lang w:val="es-CO"/>
        </w:rPr>
        <w:t xml:space="preserve">Verificación de que el sistema permita establecer claramente los costos de la Gestión Operativa, de la Gestión Comercial y de la Gestión de Estrategia y Soporte con base en la conformación establecida por la Superintendencia de Servicios Públicos Domiciliarios en el Anexo 2 de la Resolución 33635 de 2005. </w:t>
      </w:r>
    </w:p>
    <w:p w:rsidR="000B65DE" w:rsidRPr="001D143C" w:rsidRDefault="000B65DE" w:rsidP="000B65DE">
      <w:pPr>
        <w:ind w:left="709"/>
        <w:contextualSpacing/>
        <w:jc w:val="both"/>
        <w:rPr>
          <w:rFonts w:ascii="Bookman Old Style" w:hAnsi="Bookman Old Style" w:cs="Arial"/>
          <w:sz w:val="20"/>
          <w:lang w:val="es-CO"/>
        </w:rPr>
      </w:pPr>
    </w:p>
    <w:p w:rsidR="000B65DE" w:rsidRPr="000B65DE" w:rsidRDefault="000B65DE" w:rsidP="008F4D9F">
      <w:pPr>
        <w:numPr>
          <w:ilvl w:val="0"/>
          <w:numId w:val="32"/>
        </w:numPr>
        <w:ind w:left="709"/>
        <w:contextualSpacing/>
        <w:jc w:val="both"/>
        <w:rPr>
          <w:rFonts w:ascii="Bookman Old Style" w:hAnsi="Bookman Old Style" w:cs="Arial"/>
          <w:lang w:val="es-CO"/>
        </w:rPr>
      </w:pPr>
      <w:r w:rsidRPr="000B65DE">
        <w:rPr>
          <w:rFonts w:ascii="Bookman Old Style" w:hAnsi="Bookman Old Style" w:cs="Arial"/>
          <w:lang w:val="es-CO"/>
        </w:rPr>
        <w:t xml:space="preserve">Verificación de que en el informe de AOM se utilicen únicamente las cuentas consideradas por la normatividad vigente. </w:t>
      </w:r>
    </w:p>
    <w:p w:rsidR="000B65DE" w:rsidRPr="001D143C" w:rsidRDefault="000B65DE" w:rsidP="000B65DE">
      <w:pPr>
        <w:ind w:left="709"/>
        <w:contextualSpacing/>
        <w:jc w:val="both"/>
        <w:rPr>
          <w:rFonts w:ascii="Bookman Old Style" w:hAnsi="Bookman Old Style" w:cs="Arial"/>
          <w:sz w:val="20"/>
          <w:lang w:val="es-CO"/>
        </w:rPr>
      </w:pPr>
    </w:p>
    <w:p w:rsidR="000B65DE" w:rsidRPr="000B65DE" w:rsidRDefault="000B65DE" w:rsidP="008F4D9F">
      <w:pPr>
        <w:numPr>
          <w:ilvl w:val="0"/>
          <w:numId w:val="32"/>
        </w:numPr>
        <w:ind w:left="709"/>
        <w:contextualSpacing/>
        <w:jc w:val="both"/>
        <w:rPr>
          <w:rFonts w:ascii="Bookman Old Style" w:hAnsi="Bookman Old Style" w:cs="Arial"/>
          <w:lang w:val="es-CO"/>
        </w:rPr>
      </w:pPr>
      <w:r w:rsidRPr="000B65DE">
        <w:rPr>
          <w:rFonts w:ascii="Bookman Old Style" w:hAnsi="Bookman Old Style" w:cs="Arial"/>
          <w:lang w:val="es-CO"/>
        </w:rPr>
        <w:t>Verificación de que el sistema separa claramente los costos de los negocios no regulados o no relacionados con servicios públicos.</w:t>
      </w:r>
    </w:p>
    <w:p w:rsidR="000B65DE" w:rsidRPr="000B65DE" w:rsidRDefault="000B65DE" w:rsidP="000B65DE">
      <w:pPr>
        <w:ind w:left="709"/>
        <w:contextualSpacing/>
        <w:jc w:val="both"/>
        <w:rPr>
          <w:rFonts w:ascii="Bookman Old Style" w:hAnsi="Bookman Old Style" w:cs="Arial"/>
          <w:lang w:val="es-CO"/>
        </w:rPr>
      </w:pPr>
    </w:p>
    <w:p w:rsidR="000B65DE" w:rsidRPr="000B65DE" w:rsidRDefault="000B65DE" w:rsidP="008F4D9F">
      <w:pPr>
        <w:numPr>
          <w:ilvl w:val="0"/>
          <w:numId w:val="32"/>
        </w:numPr>
        <w:ind w:left="709"/>
        <w:contextualSpacing/>
        <w:jc w:val="both"/>
        <w:rPr>
          <w:rFonts w:ascii="Bookman Old Style" w:hAnsi="Bookman Old Style" w:cs="Arial"/>
          <w:lang w:val="es-CO"/>
        </w:rPr>
      </w:pPr>
      <w:r w:rsidRPr="000B65DE">
        <w:rPr>
          <w:rFonts w:ascii="Bookman Old Style" w:hAnsi="Bookman Old Style" w:cs="Arial"/>
          <w:lang w:val="es-CO"/>
        </w:rPr>
        <w:t>Verificación de que los Outsourcing y Concesiones entregan información para su incorporación en el sistema de costos y gastos por actividades.</w:t>
      </w:r>
    </w:p>
    <w:p w:rsidR="000B65DE" w:rsidRPr="000B65DE" w:rsidRDefault="000B65DE" w:rsidP="000B65DE">
      <w:pPr>
        <w:ind w:left="709"/>
        <w:contextualSpacing/>
        <w:jc w:val="both"/>
        <w:rPr>
          <w:rFonts w:ascii="Bookman Old Style" w:hAnsi="Bookman Old Style" w:cs="Arial"/>
          <w:lang w:val="es-CO"/>
        </w:rPr>
      </w:pPr>
    </w:p>
    <w:p w:rsidR="000B65DE" w:rsidRPr="000B65DE" w:rsidRDefault="000B65DE" w:rsidP="008F4D9F">
      <w:pPr>
        <w:numPr>
          <w:ilvl w:val="0"/>
          <w:numId w:val="32"/>
        </w:numPr>
        <w:ind w:left="709"/>
        <w:contextualSpacing/>
        <w:jc w:val="both"/>
        <w:rPr>
          <w:rFonts w:ascii="Bookman Old Style" w:hAnsi="Bookman Old Style" w:cs="Arial"/>
          <w:lang w:val="es-CO"/>
        </w:rPr>
      </w:pPr>
      <w:r w:rsidRPr="000B65DE">
        <w:rPr>
          <w:rFonts w:ascii="Bookman Old Style" w:hAnsi="Bookman Old Style" w:cs="Arial"/>
          <w:lang w:val="es-CO"/>
        </w:rPr>
        <w:t>Verificación de que las cuentas identificadas como de costo de bienes y servicios para la venta, en el sistema unificado de costos y gastos, solo estén afectando los procesos de la gestión comercial.</w:t>
      </w:r>
    </w:p>
    <w:p w:rsidR="000B65DE" w:rsidRPr="000B65DE" w:rsidRDefault="000B65DE" w:rsidP="000B65DE">
      <w:pPr>
        <w:ind w:left="709"/>
        <w:contextualSpacing/>
        <w:jc w:val="both"/>
        <w:rPr>
          <w:rFonts w:ascii="Bookman Old Style" w:hAnsi="Bookman Old Style" w:cs="Arial"/>
          <w:lang w:val="es-CO"/>
        </w:rPr>
      </w:pPr>
    </w:p>
    <w:p w:rsidR="000B65DE" w:rsidRPr="000B65DE" w:rsidRDefault="000B65DE" w:rsidP="008F4D9F">
      <w:pPr>
        <w:numPr>
          <w:ilvl w:val="0"/>
          <w:numId w:val="32"/>
        </w:numPr>
        <w:ind w:left="709"/>
        <w:contextualSpacing/>
        <w:jc w:val="both"/>
        <w:rPr>
          <w:rFonts w:ascii="Bookman Old Style" w:hAnsi="Bookman Old Style" w:cs="Arial"/>
          <w:lang w:val="es-CO"/>
        </w:rPr>
      </w:pPr>
      <w:r w:rsidRPr="000B65DE">
        <w:rPr>
          <w:rFonts w:ascii="Bookman Old Style" w:hAnsi="Bookman Old Style" w:cs="Arial"/>
          <w:lang w:val="es-CO"/>
        </w:rPr>
        <w:t>Verificación de que dentro del reporte de costos y gastos AOM no se incluyan erogaciones causadas por situaciones que son ajenas a las actividades de distribución y comercialización de gas combustible.</w:t>
      </w:r>
    </w:p>
    <w:p w:rsidR="000B65DE" w:rsidRPr="000B65DE" w:rsidRDefault="000B65DE" w:rsidP="000B65DE">
      <w:pPr>
        <w:ind w:left="709"/>
        <w:contextualSpacing/>
        <w:jc w:val="both"/>
        <w:rPr>
          <w:rFonts w:ascii="Bookman Old Style" w:hAnsi="Bookman Old Style" w:cs="Arial"/>
          <w:lang w:val="es-CO"/>
        </w:rPr>
      </w:pPr>
    </w:p>
    <w:p w:rsidR="000B65DE" w:rsidRPr="000B65DE" w:rsidRDefault="000B65DE" w:rsidP="008F4D9F">
      <w:pPr>
        <w:numPr>
          <w:ilvl w:val="0"/>
          <w:numId w:val="32"/>
        </w:numPr>
        <w:ind w:left="709"/>
        <w:contextualSpacing/>
        <w:jc w:val="both"/>
        <w:rPr>
          <w:rFonts w:ascii="Bookman Old Style" w:hAnsi="Bookman Old Style" w:cs="Arial"/>
          <w:lang w:val="es-CO"/>
        </w:rPr>
      </w:pPr>
      <w:r w:rsidRPr="000B65DE">
        <w:rPr>
          <w:rFonts w:ascii="Bookman Old Style" w:hAnsi="Bookman Old Style" w:cs="Arial"/>
          <w:lang w:val="es-CO"/>
        </w:rPr>
        <w:t>Conciliación de la información de gastos y costos de AOM, con lo reportado al Sistema de Costos y Gastos para la actividad de distribución y los saldos de contabilidad según el Plan Único de Cuentas, y verificación de la consistencia de la información con los valores totales por cuenta.</w:t>
      </w:r>
    </w:p>
    <w:p w:rsidR="000B65DE" w:rsidRPr="000B65DE" w:rsidRDefault="000B65DE" w:rsidP="000B65DE">
      <w:pPr>
        <w:ind w:left="709"/>
        <w:contextualSpacing/>
        <w:jc w:val="both"/>
        <w:rPr>
          <w:rFonts w:ascii="Bookman Old Style" w:hAnsi="Bookman Old Style" w:cs="Arial"/>
          <w:lang w:val="es-CO"/>
        </w:rPr>
      </w:pPr>
    </w:p>
    <w:p w:rsidR="000B65DE" w:rsidRPr="000B65DE" w:rsidRDefault="000B65DE" w:rsidP="008F4D9F">
      <w:pPr>
        <w:numPr>
          <w:ilvl w:val="0"/>
          <w:numId w:val="32"/>
        </w:numPr>
        <w:ind w:left="709"/>
        <w:contextualSpacing/>
        <w:jc w:val="both"/>
        <w:rPr>
          <w:rFonts w:ascii="Bookman Old Style" w:hAnsi="Bookman Old Style" w:cs="Arial"/>
          <w:lang w:val="es-CO"/>
        </w:rPr>
      </w:pPr>
      <w:r w:rsidRPr="000B65DE">
        <w:rPr>
          <w:rFonts w:ascii="Bookman Old Style" w:hAnsi="Bookman Old Style" w:cs="Arial"/>
          <w:lang w:val="es-CO"/>
        </w:rPr>
        <w:lastRenderedPageBreak/>
        <w:t>Dar sin ambigüedades el visto bueno o concepto de salvedad sobre la información suministrada por las empresas sobre los costos AOM de las actividades de distribución y comercialización de gas combustible.</w:t>
      </w:r>
    </w:p>
    <w:p w:rsidR="000B65DE" w:rsidRPr="000B65DE" w:rsidRDefault="000B65DE" w:rsidP="000B65DE">
      <w:pPr>
        <w:ind w:left="709"/>
        <w:contextualSpacing/>
        <w:jc w:val="both"/>
        <w:rPr>
          <w:rFonts w:ascii="Bookman Old Style" w:hAnsi="Bookman Old Style" w:cs="Arial"/>
          <w:lang w:val="es-CO"/>
        </w:rPr>
      </w:pPr>
    </w:p>
    <w:p w:rsidR="000B65DE" w:rsidRPr="000B65DE" w:rsidRDefault="000B65DE" w:rsidP="008F4D9F">
      <w:pPr>
        <w:numPr>
          <w:ilvl w:val="0"/>
          <w:numId w:val="32"/>
        </w:numPr>
        <w:ind w:left="709"/>
        <w:contextualSpacing/>
        <w:jc w:val="both"/>
        <w:rPr>
          <w:rFonts w:ascii="Bookman Old Style" w:hAnsi="Bookman Old Style" w:cs="Arial"/>
          <w:lang w:val="es-CO"/>
        </w:rPr>
      </w:pPr>
      <w:r w:rsidRPr="000B65DE">
        <w:rPr>
          <w:rFonts w:ascii="Bookman Old Style" w:hAnsi="Bookman Old Style" w:cs="Arial"/>
          <w:lang w:val="es-CO"/>
        </w:rPr>
        <w:t>Las empresas deberán reportar, en el mes de abril de cada año, la información contable del año inmediatamente anterior, certificada y auditada en la forma anteriormente indicada.</w:t>
      </w:r>
    </w:p>
    <w:p w:rsidR="000B65DE" w:rsidRPr="000B65DE" w:rsidRDefault="000B65DE" w:rsidP="000B65DE">
      <w:pPr>
        <w:ind w:left="708"/>
        <w:rPr>
          <w:rFonts w:ascii="Bookman Old Style" w:hAnsi="Bookman Old Style" w:cs="Arial"/>
          <w:lang w:val="es-CO"/>
        </w:rPr>
      </w:pPr>
    </w:p>
    <w:p w:rsidR="000B65DE" w:rsidRPr="001D143C" w:rsidRDefault="000B65DE" w:rsidP="000B65DE">
      <w:pPr>
        <w:ind w:left="0"/>
        <w:contextualSpacing/>
        <w:jc w:val="both"/>
        <w:rPr>
          <w:rFonts w:ascii="Bookman Old Style" w:hAnsi="Bookman Old Style" w:cs="Arial"/>
          <w:sz w:val="32"/>
        </w:rPr>
      </w:pPr>
    </w:p>
    <w:tbl>
      <w:tblPr>
        <w:tblW w:w="9659" w:type="dxa"/>
        <w:jc w:val="right"/>
        <w:tblLayout w:type="fixed"/>
        <w:tblCellMar>
          <w:left w:w="70" w:type="dxa"/>
          <w:right w:w="70" w:type="dxa"/>
        </w:tblCellMar>
        <w:tblLook w:val="04A0" w:firstRow="1" w:lastRow="0" w:firstColumn="1" w:lastColumn="0" w:noHBand="0" w:noVBand="1"/>
      </w:tblPr>
      <w:tblGrid>
        <w:gridCol w:w="4875"/>
        <w:gridCol w:w="89"/>
        <w:gridCol w:w="4606"/>
        <w:gridCol w:w="89"/>
      </w:tblGrid>
      <w:tr w:rsidR="003F5BEB" w:rsidRPr="000B65DE" w:rsidTr="000F3A9E">
        <w:trPr>
          <w:gridAfter w:val="1"/>
          <w:wAfter w:w="89" w:type="dxa"/>
          <w:jc w:val="right"/>
        </w:trPr>
        <w:tc>
          <w:tcPr>
            <w:tcW w:w="4875" w:type="dxa"/>
            <w:hideMark/>
          </w:tcPr>
          <w:p w:rsidR="003F5BEB" w:rsidRPr="000B65DE" w:rsidRDefault="003F5BEB" w:rsidP="003F5BEB">
            <w:pPr>
              <w:ind w:left="0"/>
              <w:jc w:val="center"/>
              <w:rPr>
                <w:rFonts w:ascii="Bookman Old Style" w:hAnsi="Bookman Old Style" w:cs="Arial"/>
                <w:b/>
                <w:spacing w:val="-3"/>
                <w:lang w:val="es-ES_tradnl"/>
              </w:rPr>
            </w:pPr>
            <w:bookmarkStart w:id="53" w:name="_Ref289348562"/>
            <w:r>
              <w:rPr>
                <w:rFonts w:ascii="Bookman Old Style" w:hAnsi="Bookman Old Style" w:cs="Arial"/>
                <w:b/>
                <w:color w:val="000000"/>
              </w:rPr>
              <w:t>ORLANDO CABRALES SEGOVIA</w:t>
            </w:r>
          </w:p>
        </w:tc>
        <w:tc>
          <w:tcPr>
            <w:tcW w:w="4695" w:type="dxa"/>
            <w:gridSpan w:val="2"/>
            <w:hideMark/>
          </w:tcPr>
          <w:p w:rsidR="003F5BEB" w:rsidRPr="000B65DE" w:rsidRDefault="003F5BEB" w:rsidP="003F5BEB">
            <w:pPr>
              <w:ind w:left="161" w:right="567"/>
              <w:jc w:val="center"/>
              <w:rPr>
                <w:rFonts w:ascii="Bookman Old Style" w:hAnsi="Bookman Old Style" w:cs="Arial"/>
                <w:b/>
                <w:spacing w:val="-3"/>
                <w:lang w:val="es-ES_tradnl"/>
              </w:rPr>
            </w:pPr>
            <w:r w:rsidRPr="000B65DE">
              <w:rPr>
                <w:rFonts w:ascii="Bookman Old Style" w:hAnsi="Bookman Old Style" w:cs="Arial"/>
                <w:b/>
                <w:spacing w:val="-3"/>
                <w:lang w:val="es-ES_tradnl"/>
              </w:rPr>
              <w:t>GERMÁN CASTRO FERREIRA</w:t>
            </w:r>
          </w:p>
        </w:tc>
      </w:tr>
      <w:tr w:rsidR="003F5BEB" w:rsidRPr="000B65DE" w:rsidTr="000F3A9E">
        <w:trPr>
          <w:jc w:val="right"/>
        </w:trPr>
        <w:tc>
          <w:tcPr>
            <w:tcW w:w="4964" w:type="dxa"/>
            <w:gridSpan w:val="2"/>
            <w:hideMark/>
          </w:tcPr>
          <w:tbl>
            <w:tblPr>
              <w:tblW w:w="4891" w:type="dxa"/>
              <w:tblLayout w:type="fixed"/>
              <w:tblCellMar>
                <w:left w:w="0" w:type="dxa"/>
                <w:right w:w="0" w:type="dxa"/>
              </w:tblCellMar>
              <w:tblLook w:val="04A0" w:firstRow="1" w:lastRow="0" w:firstColumn="1" w:lastColumn="0" w:noHBand="0" w:noVBand="1"/>
            </w:tblPr>
            <w:tblGrid>
              <w:gridCol w:w="4891"/>
            </w:tblGrid>
            <w:tr w:rsidR="003F5BEB" w:rsidTr="003F5BEB">
              <w:tc>
                <w:tcPr>
                  <w:tcW w:w="4891" w:type="dxa"/>
                  <w:hideMark/>
                </w:tcPr>
                <w:p w:rsidR="003F5BEB" w:rsidRDefault="003F5BEB" w:rsidP="003F5BEB">
                  <w:pPr>
                    <w:snapToGrid w:val="0"/>
                    <w:ind w:left="0"/>
                    <w:jc w:val="center"/>
                    <w:rPr>
                      <w:rFonts w:ascii="Bookman Old Style" w:hAnsi="Bookman Old Style" w:cs="Arial"/>
                      <w:color w:val="000000"/>
                    </w:rPr>
                  </w:pPr>
                  <w:r>
                    <w:rPr>
                      <w:rFonts w:ascii="Bookman Old Style" w:hAnsi="Bookman Old Style" w:cs="Arial"/>
                      <w:color w:val="000000"/>
                    </w:rPr>
                    <w:t>Viceministro de Energía</w:t>
                  </w:r>
                </w:p>
                <w:p w:rsidR="003F5BEB" w:rsidRDefault="003F5BEB" w:rsidP="006A5D5E">
                  <w:pPr>
                    <w:snapToGrid w:val="0"/>
                    <w:ind w:left="0"/>
                    <w:jc w:val="center"/>
                    <w:rPr>
                      <w:rFonts w:ascii="Bookman Old Style" w:hAnsi="Bookman Old Style" w:cs="Arial"/>
                      <w:color w:val="000000"/>
                    </w:rPr>
                  </w:pPr>
                  <w:r>
                    <w:rPr>
                      <w:rFonts w:ascii="Bookman Old Style" w:hAnsi="Bookman Old Style" w:cs="Arial"/>
                      <w:color w:val="000000"/>
                    </w:rPr>
                    <w:t>Delegado del Ministro de Minas y Energía</w:t>
                  </w:r>
                </w:p>
              </w:tc>
            </w:tr>
            <w:tr w:rsidR="003F5BEB" w:rsidTr="00CA0643">
              <w:trPr>
                <w:trHeight w:val="80"/>
              </w:trPr>
              <w:tc>
                <w:tcPr>
                  <w:tcW w:w="4891" w:type="dxa"/>
                  <w:hideMark/>
                </w:tcPr>
                <w:p w:rsidR="003F5BEB" w:rsidRDefault="003F5BEB" w:rsidP="003F5BEB">
                  <w:pPr>
                    <w:snapToGrid w:val="0"/>
                    <w:ind w:left="0"/>
                    <w:jc w:val="center"/>
                    <w:rPr>
                      <w:rFonts w:ascii="Bookman Old Style" w:hAnsi="Bookman Old Style" w:cs="Arial"/>
                      <w:color w:val="000000"/>
                    </w:rPr>
                  </w:pPr>
                  <w:r>
                    <w:rPr>
                      <w:rFonts w:ascii="Bookman Old Style" w:hAnsi="Bookman Old Style" w:cs="Arial"/>
                      <w:color w:val="000000"/>
                    </w:rPr>
                    <w:t>Presidente</w:t>
                  </w:r>
                </w:p>
              </w:tc>
            </w:tr>
          </w:tbl>
          <w:p w:rsidR="003F5BEB" w:rsidRPr="000B65DE" w:rsidRDefault="003F5BEB" w:rsidP="003F5BEB">
            <w:pPr>
              <w:ind w:left="0"/>
              <w:jc w:val="center"/>
              <w:rPr>
                <w:rFonts w:ascii="Bookman Old Style" w:hAnsi="Bookman Old Style" w:cs="Arial"/>
                <w:spacing w:val="-3"/>
                <w:lang w:val="es-ES_tradnl"/>
              </w:rPr>
            </w:pPr>
          </w:p>
        </w:tc>
        <w:tc>
          <w:tcPr>
            <w:tcW w:w="4695" w:type="dxa"/>
            <w:gridSpan w:val="2"/>
            <w:hideMark/>
          </w:tcPr>
          <w:p w:rsidR="003F5BEB" w:rsidRPr="000B65DE" w:rsidRDefault="003F5BEB" w:rsidP="00FA5EC1">
            <w:pPr>
              <w:jc w:val="center"/>
              <w:rPr>
                <w:rFonts w:ascii="Bookman Old Style" w:hAnsi="Bookman Old Style" w:cs="Arial"/>
                <w:spacing w:val="-3"/>
                <w:lang w:val="es-ES_tradnl"/>
              </w:rPr>
            </w:pPr>
            <w:r w:rsidRPr="000B65DE">
              <w:rPr>
                <w:rFonts w:ascii="Bookman Old Style" w:hAnsi="Bookman Old Style" w:cs="Arial"/>
                <w:spacing w:val="-3"/>
                <w:lang w:val="es-ES_tradnl"/>
              </w:rPr>
              <w:t>Director Ejecutivo</w:t>
            </w:r>
          </w:p>
        </w:tc>
      </w:tr>
    </w:tbl>
    <w:p w:rsidR="003F5BEB" w:rsidRDefault="003F5BEB">
      <w:r>
        <w:br w:type="page"/>
      </w:r>
    </w:p>
    <w:tbl>
      <w:tblPr>
        <w:tblW w:w="9570" w:type="dxa"/>
        <w:jc w:val="right"/>
        <w:tblLayout w:type="fixed"/>
        <w:tblCellMar>
          <w:left w:w="70" w:type="dxa"/>
          <w:right w:w="70" w:type="dxa"/>
        </w:tblCellMar>
        <w:tblLook w:val="04A0" w:firstRow="1" w:lastRow="0" w:firstColumn="1" w:lastColumn="0" w:noHBand="0" w:noVBand="1"/>
      </w:tblPr>
      <w:tblGrid>
        <w:gridCol w:w="4875"/>
        <w:gridCol w:w="4695"/>
      </w:tblGrid>
      <w:tr w:rsidR="003F5BEB" w:rsidRPr="000B65DE" w:rsidTr="00FA5EC1">
        <w:trPr>
          <w:jc w:val="right"/>
        </w:trPr>
        <w:tc>
          <w:tcPr>
            <w:tcW w:w="4875" w:type="dxa"/>
          </w:tcPr>
          <w:p w:rsidR="003F5BEB" w:rsidRPr="000B65DE" w:rsidRDefault="003F5BEB" w:rsidP="000B65DE">
            <w:pPr>
              <w:rPr>
                <w:rFonts w:ascii="Bookman Old Style" w:hAnsi="Bookman Old Style" w:cs="Arial"/>
                <w:spacing w:val="-3"/>
              </w:rPr>
            </w:pPr>
          </w:p>
        </w:tc>
        <w:tc>
          <w:tcPr>
            <w:tcW w:w="4695" w:type="dxa"/>
          </w:tcPr>
          <w:p w:rsidR="003F5BEB" w:rsidRPr="000B65DE" w:rsidRDefault="003F5BEB" w:rsidP="000B65DE">
            <w:pPr>
              <w:rPr>
                <w:rFonts w:ascii="Bookman Old Style" w:hAnsi="Bookman Old Style" w:cs="Arial"/>
                <w:spacing w:val="-3"/>
              </w:rPr>
            </w:pPr>
          </w:p>
        </w:tc>
      </w:tr>
      <w:bookmarkEnd w:id="53"/>
    </w:tbl>
    <w:p w:rsidR="000B65DE" w:rsidRPr="000B65DE" w:rsidRDefault="000B65DE" w:rsidP="000B65DE">
      <w:pPr>
        <w:ind w:left="709"/>
        <w:contextualSpacing/>
        <w:jc w:val="both"/>
        <w:rPr>
          <w:rFonts w:ascii="Bookman Old Style" w:hAnsi="Bookman Old Style" w:cs="Arial"/>
          <w:lang w:val="es-CO"/>
        </w:rPr>
      </w:pPr>
    </w:p>
    <w:p w:rsidR="000B65DE" w:rsidRPr="000B65DE" w:rsidRDefault="000B65DE" w:rsidP="008F4D9F">
      <w:pPr>
        <w:numPr>
          <w:ilvl w:val="0"/>
          <w:numId w:val="14"/>
        </w:numPr>
        <w:jc w:val="center"/>
        <w:outlineLvl w:val="0"/>
        <w:rPr>
          <w:rFonts w:ascii="Bookman Old Style" w:hAnsi="Bookman Old Style"/>
          <w:b/>
          <w:lang w:val="es-ES_tradnl"/>
        </w:rPr>
      </w:pPr>
      <w:bookmarkStart w:id="54" w:name="_Ref289349950"/>
    </w:p>
    <w:bookmarkEnd w:id="54"/>
    <w:p w:rsidR="000B65DE" w:rsidRPr="000B65DE" w:rsidRDefault="000B65DE" w:rsidP="000B65DE">
      <w:pPr>
        <w:ind w:left="0"/>
        <w:jc w:val="center"/>
        <w:rPr>
          <w:rFonts w:ascii="Bookman Old Style" w:hAnsi="Bookman Old Style"/>
          <w:b/>
          <w:lang w:val="es-ES_tradnl"/>
        </w:rPr>
      </w:pPr>
    </w:p>
    <w:p w:rsidR="000B65DE" w:rsidRPr="000B65DE" w:rsidRDefault="000B65DE" w:rsidP="000B65DE">
      <w:pPr>
        <w:ind w:left="0"/>
        <w:jc w:val="center"/>
        <w:outlineLvl w:val="0"/>
        <w:rPr>
          <w:rFonts w:ascii="Bookman Old Style" w:hAnsi="Bookman Old Style"/>
          <w:b/>
          <w:lang w:val="es-ES_tradnl"/>
        </w:rPr>
      </w:pPr>
      <w:r w:rsidRPr="000B65DE">
        <w:rPr>
          <w:rFonts w:ascii="Bookman Old Style" w:hAnsi="Bookman Old Style"/>
          <w:b/>
          <w:lang w:val="es-ES_tradnl"/>
        </w:rPr>
        <w:t>REPORTE A PRESENTAR EN LA SOLICITUD DE CARGOS</w:t>
      </w:r>
    </w:p>
    <w:p w:rsidR="000B65DE" w:rsidRPr="000B65DE" w:rsidRDefault="000B65DE" w:rsidP="000B65DE">
      <w:pPr>
        <w:ind w:left="0"/>
        <w:jc w:val="center"/>
        <w:outlineLvl w:val="0"/>
        <w:rPr>
          <w:rFonts w:ascii="Bookman Old Style" w:hAnsi="Bookman Old Style"/>
          <w:b/>
          <w:lang w:val="es-ES_tradnl"/>
        </w:rPr>
      </w:pPr>
      <w:r w:rsidRPr="000B65DE">
        <w:rPr>
          <w:rFonts w:ascii="Bookman Old Style" w:hAnsi="Bookman Old Style"/>
          <w:b/>
          <w:lang w:val="es-ES_tradnl"/>
        </w:rPr>
        <w:t>INFORMACIÓN DE VENTAS – NÚMERO DE CONEXIONES Y VOLUMEN</w:t>
      </w:r>
    </w:p>
    <w:p w:rsidR="000B65DE" w:rsidRPr="000B65DE" w:rsidRDefault="000B65DE" w:rsidP="000B65DE">
      <w:pPr>
        <w:jc w:val="center"/>
        <w:rPr>
          <w:rFonts w:ascii="Bookman Old Style" w:hAnsi="Bookman Old Style"/>
          <w:b/>
          <w:lang w:val="es-ES_tradnl"/>
        </w:rPr>
      </w:pPr>
    </w:p>
    <w:p w:rsidR="000B65DE" w:rsidRPr="000B65DE" w:rsidRDefault="000B65DE" w:rsidP="000B65DE">
      <w:pPr>
        <w:ind w:left="0"/>
        <w:jc w:val="center"/>
        <w:rPr>
          <w:rFonts w:ascii="Bookman Old Style" w:hAnsi="Bookman Old Style"/>
          <w:b/>
          <w:lang w:val="es-ES_tradnl"/>
        </w:rPr>
      </w:pPr>
      <w:r w:rsidRPr="000B65DE">
        <w:rPr>
          <w:rFonts w:ascii="Bookman Old Style" w:hAnsi="Bookman Old Style"/>
          <w:b/>
          <w:lang w:val="es-ES_tradnl"/>
        </w:rPr>
        <w:t>MERCADOS EXISTENTES</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36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p>
    <w:tbl>
      <w:tblPr>
        <w:tblW w:w="6919" w:type="dxa"/>
        <w:jc w:val="center"/>
        <w:tblInd w:w="55" w:type="dxa"/>
        <w:tblCellMar>
          <w:left w:w="70" w:type="dxa"/>
          <w:right w:w="70" w:type="dxa"/>
        </w:tblCellMar>
        <w:tblLook w:val="04A0" w:firstRow="1" w:lastRow="0" w:firstColumn="1" w:lastColumn="0" w:noHBand="0" w:noVBand="1"/>
      </w:tblPr>
      <w:tblGrid>
        <w:gridCol w:w="2500"/>
        <w:gridCol w:w="4419"/>
      </w:tblGrid>
      <w:tr w:rsidR="000B65DE" w:rsidRPr="000B65DE" w:rsidTr="00382E27">
        <w:trPr>
          <w:trHeight w:val="139"/>
          <w:jc w:val="center"/>
        </w:trPr>
        <w:tc>
          <w:tcPr>
            <w:tcW w:w="2500"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0B65DE" w:rsidRPr="000B65DE" w:rsidRDefault="000B65DE" w:rsidP="000B65DE">
            <w:pPr>
              <w:ind w:left="0"/>
              <w:rPr>
                <w:rFonts w:ascii="Bookman Old Style" w:hAnsi="Bookman Old Style"/>
                <w:b/>
                <w:bCs/>
                <w:color w:val="000000"/>
                <w:lang w:val="es-CO" w:eastAsia="es-CO"/>
              </w:rPr>
            </w:pPr>
            <w:r w:rsidRPr="000B65DE">
              <w:rPr>
                <w:rFonts w:ascii="Bookman Old Style" w:hAnsi="Bookman Old Style"/>
                <w:b/>
                <w:bCs/>
                <w:color w:val="000000"/>
                <w:lang w:val="es-CO" w:eastAsia="es-CO"/>
              </w:rPr>
              <w:t>MUNICIPIO</w:t>
            </w:r>
          </w:p>
        </w:tc>
        <w:tc>
          <w:tcPr>
            <w:tcW w:w="4419" w:type="dxa"/>
            <w:tcBorders>
              <w:top w:val="single" w:sz="8" w:space="0" w:color="auto"/>
              <w:left w:val="nil"/>
              <w:bottom w:val="single" w:sz="8" w:space="0" w:color="auto"/>
              <w:right w:val="single" w:sz="8" w:space="0" w:color="auto"/>
            </w:tcBorders>
            <w:shd w:val="clear" w:color="000000" w:fill="FFFFFF"/>
            <w:vAlign w:val="center"/>
            <w:hideMark/>
          </w:tcPr>
          <w:p w:rsidR="000B65DE" w:rsidRPr="000B65DE" w:rsidRDefault="000B65DE" w:rsidP="000B65DE">
            <w:pPr>
              <w:ind w:left="0"/>
              <w:rPr>
                <w:rFonts w:ascii="Bookman Old Style" w:hAnsi="Bookman Old Style"/>
                <w:b/>
                <w:bCs/>
                <w:color w:val="000000"/>
                <w:lang w:val="es-CO" w:eastAsia="es-CO"/>
              </w:rPr>
            </w:pPr>
          </w:p>
        </w:tc>
      </w:tr>
      <w:tr w:rsidR="000B65DE" w:rsidRPr="000B65DE" w:rsidTr="00382E27">
        <w:trPr>
          <w:trHeight w:val="60"/>
          <w:jc w:val="center"/>
        </w:trPr>
        <w:tc>
          <w:tcPr>
            <w:tcW w:w="2500" w:type="dxa"/>
            <w:tcBorders>
              <w:top w:val="nil"/>
              <w:left w:val="single" w:sz="8" w:space="0" w:color="auto"/>
              <w:bottom w:val="single" w:sz="8" w:space="0" w:color="auto"/>
              <w:right w:val="single" w:sz="8" w:space="0" w:color="auto"/>
            </w:tcBorders>
            <w:shd w:val="clear" w:color="000000" w:fill="FFFFFF"/>
            <w:vAlign w:val="center"/>
            <w:hideMark/>
          </w:tcPr>
          <w:p w:rsidR="000B65DE" w:rsidRPr="000B65DE" w:rsidRDefault="000B65DE" w:rsidP="000B65DE">
            <w:pPr>
              <w:ind w:left="0"/>
              <w:rPr>
                <w:rFonts w:ascii="Bookman Old Style" w:hAnsi="Bookman Old Style"/>
                <w:b/>
                <w:bCs/>
                <w:color w:val="000000"/>
                <w:lang w:val="es-CO" w:eastAsia="es-CO"/>
              </w:rPr>
            </w:pPr>
            <w:r w:rsidRPr="000B65DE">
              <w:rPr>
                <w:rFonts w:ascii="Bookman Old Style" w:hAnsi="Bookman Old Style"/>
                <w:b/>
                <w:bCs/>
                <w:color w:val="000000"/>
                <w:lang w:val="es-CO" w:eastAsia="es-CO"/>
              </w:rPr>
              <w:t>CÓDIGO DANE</w:t>
            </w:r>
          </w:p>
        </w:tc>
        <w:tc>
          <w:tcPr>
            <w:tcW w:w="4419" w:type="dxa"/>
            <w:tcBorders>
              <w:top w:val="nil"/>
              <w:left w:val="nil"/>
              <w:bottom w:val="single" w:sz="8" w:space="0" w:color="auto"/>
              <w:right w:val="single" w:sz="8" w:space="0" w:color="auto"/>
            </w:tcBorders>
            <w:shd w:val="clear" w:color="000000" w:fill="FFFFFF"/>
            <w:vAlign w:val="center"/>
            <w:hideMark/>
          </w:tcPr>
          <w:p w:rsidR="000B65DE" w:rsidRPr="000B65DE" w:rsidRDefault="000B65DE" w:rsidP="000B65DE">
            <w:pPr>
              <w:ind w:left="0"/>
              <w:rPr>
                <w:rFonts w:ascii="Bookman Old Style" w:hAnsi="Bookman Old Style"/>
                <w:b/>
                <w:bCs/>
                <w:color w:val="000000"/>
                <w:lang w:val="es-CO" w:eastAsia="es-CO"/>
              </w:rPr>
            </w:pPr>
          </w:p>
        </w:tc>
      </w:tr>
      <w:tr w:rsidR="000B65DE" w:rsidRPr="000B65DE" w:rsidTr="00382E27">
        <w:trPr>
          <w:trHeight w:val="330"/>
          <w:jc w:val="center"/>
        </w:trPr>
        <w:tc>
          <w:tcPr>
            <w:tcW w:w="2500" w:type="dxa"/>
            <w:tcBorders>
              <w:top w:val="nil"/>
              <w:left w:val="nil"/>
              <w:bottom w:val="nil"/>
              <w:right w:val="nil"/>
            </w:tcBorders>
            <w:shd w:val="clear" w:color="000000" w:fill="FFFFFF"/>
            <w:vAlign w:val="center"/>
            <w:hideMark/>
          </w:tcPr>
          <w:p w:rsidR="000B65DE" w:rsidRPr="000B65DE" w:rsidRDefault="000B65DE" w:rsidP="000B65DE">
            <w:pPr>
              <w:ind w:left="0"/>
              <w:rPr>
                <w:rFonts w:ascii="Bookman Old Style" w:hAnsi="Bookman Old Style"/>
                <w:b/>
                <w:bCs/>
                <w:color w:val="000000"/>
                <w:lang w:val="es-CO" w:eastAsia="es-CO"/>
              </w:rPr>
            </w:pPr>
          </w:p>
        </w:tc>
        <w:tc>
          <w:tcPr>
            <w:tcW w:w="4419" w:type="dxa"/>
            <w:tcBorders>
              <w:top w:val="nil"/>
              <w:left w:val="nil"/>
              <w:bottom w:val="nil"/>
              <w:right w:val="nil"/>
            </w:tcBorders>
            <w:shd w:val="clear" w:color="000000" w:fill="FFFFFF"/>
            <w:vAlign w:val="center"/>
            <w:hideMark/>
          </w:tcPr>
          <w:p w:rsidR="000B65DE" w:rsidRPr="000B65DE" w:rsidRDefault="000B65DE" w:rsidP="000B65DE">
            <w:pPr>
              <w:ind w:left="0"/>
              <w:rPr>
                <w:rFonts w:ascii="Bookman Old Style" w:hAnsi="Bookman Old Style"/>
                <w:b/>
                <w:bCs/>
                <w:color w:val="000000"/>
                <w:lang w:val="es-CO" w:eastAsia="es-CO"/>
              </w:rPr>
            </w:pPr>
          </w:p>
        </w:tc>
      </w:tr>
      <w:tr w:rsidR="000B65DE" w:rsidRPr="000B65DE" w:rsidTr="00382E27">
        <w:trPr>
          <w:trHeight w:val="367"/>
          <w:jc w:val="center"/>
        </w:trPr>
        <w:tc>
          <w:tcPr>
            <w:tcW w:w="2500"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0B65DE" w:rsidRPr="000B65DE" w:rsidRDefault="000B65DE" w:rsidP="000B65DE">
            <w:pPr>
              <w:ind w:left="0"/>
              <w:jc w:val="center"/>
              <w:rPr>
                <w:rFonts w:ascii="Bookman Old Style" w:hAnsi="Bookman Old Style"/>
                <w:b/>
                <w:bCs/>
                <w:color w:val="000000"/>
                <w:lang w:val="es-CO" w:eastAsia="es-CO"/>
              </w:rPr>
            </w:pPr>
            <w:r w:rsidRPr="000B65DE">
              <w:rPr>
                <w:rFonts w:ascii="Bookman Old Style" w:hAnsi="Bookman Old Style"/>
                <w:b/>
                <w:bCs/>
                <w:color w:val="000000"/>
                <w:lang w:val="es-ES_tradnl" w:eastAsia="es-CO"/>
              </w:rPr>
              <w:t>USUARIO</w:t>
            </w:r>
          </w:p>
        </w:tc>
        <w:tc>
          <w:tcPr>
            <w:tcW w:w="4419" w:type="dxa"/>
            <w:tcBorders>
              <w:top w:val="single" w:sz="8" w:space="0" w:color="auto"/>
              <w:left w:val="nil"/>
              <w:bottom w:val="single" w:sz="8" w:space="0" w:color="auto"/>
              <w:right w:val="single" w:sz="8" w:space="0" w:color="auto"/>
            </w:tcBorders>
            <w:shd w:val="clear" w:color="000000" w:fill="FFFFFF"/>
            <w:vAlign w:val="bottom"/>
            <w:hideMark/>
          </w:tcPr>
          <w:p w:rsidR="000B65DE" w:rsidRPr="000B65DE" w:rsidRDefault="000B65DE" w:rsidP="000B65DE">
            <w:pPr>
              <w:ind w:left="0"/>
              <w:jc w:val="center"/>
              <w:rPr>
                <w:rFonts w:ascii="Bookman Old Style" w:hAnsi="Bookman Old Style"/>
                <w:b/>
                <w:bCs/>
                <w:color w:val="000000"/>
                <w:lang w:val="es-CO" w:eastAsia="es-CO"/>
              </w:rPr>
            </w:pPr>
            <w:r w:rsidRPr="000B65DE">
              <w:rPr>
                <w:rFonts w:ascii="Bookman Old Style" w:hAnsi="Bookman Old Style"/>
                <w:b/>
                <w:bCs/>
                <w:color w:val="000000"/>
                <w:lang w:val="es-ES_tradnl" w:eastAsia="es-CO"/>
              </w:rPr>
              <w:t xml:space="preserve">CONEXIONES </w:t>
            </w:r>
            <w:r w:rsidRPr="000B65DE">
              <w:rPr>
                <w:rFonts w:ascii="Bookman Old Style" w:hAnsi="Bookman Old Style"/>
                <w:b/>
                <w:bCs/>
                <w:color w:val="000000"/>
                <w:lang w:val="es-ES_tradnl" w:eastAsia="es-CO"/>
              </w:rPr>
              <w:br/>
              <w:t>(suscriptores a la Fecha de Corte)</w:t>
            </w:r>
          </w:p>
        </w:tc>
      </w:tr>
      <w:tr w:rsidR="000B65DE" w:rsidRPr="000B65DE" w:rsidTr="00382E27">
        <w:trPr>
          <w:trHeight w:val="330"/>
          <w:jc w:val="center"/>
        </w:trPr>
        <w:tc>
          <w:tcPr>
            <w:tcW w:w="2500" w:type="dxa"/>
            <w:tcBorders>
              <w:top w:val="nil"/>
              <w:left w:val="single" w:sz="8" w:space="0" w:color="auto"/>
              <w:bottom w:val="single" w:sz="8" w:space="0" w:color="auto"/>
              <w:right w:val="single" w:sz="8" w:space="0" w:color="auto"/>
            </w:tcBorders>
            <w:shd w:val="clear" w:color="000000" w:fill="FFFFFF"/>
            <w:vAlign w:val="bottom"/>
            <w:hideMark/>
          </w:tcPr>
          <w:p w:rsidR="000B65DE" w:rsidRPr="000B65DE" w:rsidRDefault="000B65DE" w:rsidP="000B65DE">
            <w:pPr>
              <w:spacing w:before="100" w:beforeAutospacing="1" w:after="100" w:afterAutospacing="1"/>
              <w:ind w:left="0"/>
              <w:jc w:val="both"/>
              <w:textAlignment w:val="center"/>
              <w:rPr>
                <w:rFonts w:ascii="Bookman Old Style" w:hAnsi="Bookman Old Style"/>
                <w:bCs/>
                <w:color w:val="000000"/>
                <w:lang w:val="es-CO" w:eastAsia="es-CO"/>
              </w:rPr>
            </w:pPr>
            <w:r w:rsidRPr="000B65DE">
              <w:rPr>
                <w:rFonts w:ascii="Bookman Old Style" w:hAnsi="Bookman Old Style"/>
                <w:bCs/>
                <w:color w:val="000000"/>
                <w:lang w:val="es-ES_tradnl" w:eastAsia="es-CO"/>
              </w:rPr>
              <w:t>Residencial</w:t>
            </w:r>
          </w:p>
        </w:tc>
        <w:tc>
          <w:tcPr>
            <w:tcW w:w="4419" w:type="dxa"/>
            <w:tcBorders>
              <w:top w:val="nil"/>
              <w:left w:val="nil"/>
              <w:bottom w:val="single" w:sz="8" w:space="0" w:color="auto"/>
              <w:right w:val="single" w:sz="8" w:space="0" w:color="auto"/>
            </w:tcBorders>
            <w:shd w:val="clear" w:color="000000" w:fill="FFFFFF"/>
            <w:vAlign w:val="bottom"/>
            <w:hideMark/>
          </w:tcPr>
          <w:p w:rsidR="000B65DE" w:rsidRPr="000B65DE" w:rsidRDefault="000B65DE" w:rsidP="000B65DE">
            <w:pPr>
              <w:ind w:left="0"/>
              <w:rPr>
                <w:rFonts w:ascii="Bookman Old Style" w:hAnsi="Bookman Old Style"/>
                <w:b/>
                <w:bCs/>
                <w:color w:val="000000"/>
                <w:lang w:val="es-CO" w:eastAsia="es-CO"/>
              </w:rPr>
            </w:pPr>
          </w:p>
        </w:tc>
      </w:tr>
      <w:tr w:rsidR="000B65DE" w:rsidRPr="000B65DE" w:rsidTr="00382E27">
        <w:trPr>
          <w:trHeight w:val="330"/>
          <w:jc w:val="center"/>
        </w:trPr>
        <w:tc>
          <w:tcPr>
            <w:tcW w:w="2500" w:type="dxa"/>
            <w:tcBorders>
              <w:top w:val="nil"/>
              <w:left w:val="single" w:sz="8" w:space="0" w:color="auto"/>
              <w:bottom w:val="single" w:sz="8" w:space="0" w:color="auto"/>
              <w:right w:val="single" w:sz="8" w:space="0" w:color="auto"/>
            </w:tcBorders>
            <w:shd w:val="clear" w:color="000000" w:fill="FFFFFF"/>
            <w:vAlign w:val="bottom"/>
            <w:hideMark/>
          </w:tcPr>
          <w:p w:rsidR="000B65DE" w:rsidRPr="000B65DE" w:rsidRDefault="000B65DE" w:rsidP="000B65DE">
            <w:pPr>
              <w:spacing w:before="100" w:beforeAutospacing="1" w:after="100" w:afterAutospacing="1"/>
              <w:ind w:left="0"/>
              <w:jc w:val="both"/>
              <w:textAlignment w:val="center"/>
              <w:rPr>
                <w:rFonts w:ascii="Bookman Old Style" w:hAnsi="Bookman Old Style"/>
                <w:bCs/>
                <w:color w:val="000000"/>
                <w:lang w:val="es-CO" w:eastAsia="es-CO"/>
              </w:rPr>
            </w:pPr>
            <w:r w:rsidRPr="000B65DE">
              <w:rPr>
                <w:rFonts w:ascii="Bookman Old Style" w:hAnsi="Bookman Old Style"/>
                <w:bCs/>
                <w:color w:val="000000"/>
                <w:lang w:val="es-ES_tradnl" w:eastAsia="es-CO"/>
              </w:rPr>
              <w:t>Comercial</w:t>
            </w:r>
          </w:p>
        </w:tc>
        <w:tc>
          <w:tcPr>
            <w:tcW w:w="4419" w:type="dxa"/>
            <w:tcBorders>
              <w:top w:val="nil"/>
              <w:left w:val="nil"/>
              <w:bottom w:val="single" w:sz="8" w:space="0" w:color="auto"/>
              <w:right w:val="single" w:sz="8" w:space="0" w:color="auto"/>
            </w:tcBorders>
            <w:shd w:val="clear" w:color="000000" w:fill="FFFFFF"/>
            <w:vAlign w:val="bottom"/>
            <w:hideMark/>
          </w:tcPr>
          <w:p w:rsidR="000B65DE" w:rsidRPr="000B65DE" w:rsidRDefault="000B65DE" w:rsidP="000B65DE">
            <w:pPr>
              <w:ind w:left="0"/>
              <w:rPr>
                <w:rFonts w:ascii="Bookman Old Style" w:hAnsi="Bookman Old Style"/>
                <w:color w:val="000000"/>
                <w:lang w:val="es-CO" w:eastAsia="es-CO"/>
              </w:rPr>
            </w:pPr>
          </w:p>
        </w:tc>
      </w:tr>
      <w:tr w:rsidR="000B65DE" w:rsidRPr="000B65DE" w:rsidTr="00382E27">
        <w:trPr>
          <w:trHeight w:val="330"/>
          <w:jc w:val="center"/>
        </w:trPr>
        <w:tc>
          <w:tcPr>
            <w:tcW w:w="2500" w:type="dxa"/>
            <w:tcBorders>
              <w:top w:val="nil"/>
              <w:left w:val="single" w:sz="8" w:space="0" w:color="auto"/>
              <w:bottom w:val="nil"/>
              <w:right w:val="single" w:sz="8" w:space="0" w:color="auto"/>
            </w:tcBorders>
            <w:shd w:val="clear" w:color="000000" w:fill="FFFFFF"/>
            <w:vAlign w:val="bottom"/>
            <w:hideMark/>
          </w:tcPr>
          <w:p w:rsidR="000B65DE" w:rsidRPr="000B65DE" w:rsidRDefault="000B65DE" w:rsidP="000B65DE">
            <w:pPr>
              <w:spacing w:before="100" w:beforeAutospacing="1" w:after="100" w:afterAutospacing="1"/>
              <w:ind w:left="0"/>
              <w:jc w:val="both"/>
              <w:textAlignment w:val="center"/>
              <w:rPr>
                <w:rFonts w:ascii="Bookman Old Style" w:hAnsi="Bookman Old Style"/>
                <w:bCs/>
                <w:color w:val="000000"/>
                <w:lang w:val="es-CO" w:eastAsia="es-CO"/>
              </w:rPr>
            </w:pPr>
            <w:r w:rsidRPr="000B65DE">
              <w:rPr>
                <w:rFonts w:ascii="Bookman Old Style" w:hAnsi="Bookman Old Style"/>
                <w:bCs/>
                <w:color w:val="000000"/>
                <w:lang w:val="es-ES_tradnl" w:eastAsia="es-CO"/>
              </w:rPr>
              <w:t>Industrial</w:t>
            </w:r>
          </w:p>
        </w:tc>
        <w:tc>
          <w:tcPr>
            <w:tcW w:w="4419" w:type="dxa"/>
            <w:tcBorders>
              <w:top w:val="nil"/>
              <w:left w:val="nil"/>
              <w:bottom w:val="nil"/>
              <w:right w:val="single" w:sz="8" w:space="0" w:color="auto"/>
            </w:tcBorders>
            <w:shd w:val="clear" w:color="000000" w:fill="FFFFFF"/>
            <w:vAlign w:val="bottom"/>
            <w:hideMark/>
          </w:tcPr>
          <w:p w:rsidR="000B65DE" w:rsidRPr="000B65DE" w:rsidRDefault="000B65DE" w:rsidP="000B65DE">
            <w:pPr>
              <w:ind w:left="0"/>
              <w:rPr>
                <w:rFonts w:ascii="Bookman Old Style" w:hAnsi="Bookman Old Style"/>
                <w:color w:val="000000"/>
                <w:lang w:val="es-CO" w:eastAsia="es-CO"/>
              </w:rPr>
            </w:pPr>
          </w:p>
        </w:tc>
      </w:tr>
      <w:tr w:rsidR="000B65DE" w:rsidRPr="000B65DE" w:rsidTr="00382E27">
        <w:trPr>
          <w:trHeight w:val="330"/>
          <w:jc w:val="center"/>
        </w:trPr>
        <w:tc>
          <w:tcPr>
            <w:tcW w:w="2500" w:type="dxa"/>
            <w:tcBorders>
              <w:top w:val="single" w:sz="8" w:space="0" w:color="auto"/>
              <w:left w:val="single" w:sz="8" w:space="0" w:color="auto"/>
              <w:bottom w:val="single" w:sz="8" w:space="0" w:color="auto"/>
              <w:right w:val="single" w:sz="8" w:space="0" w:color="auto"/>
            </w:tcBorders>
            <w:shd w:val="clear" w:color="000000" w:fill="FFFFFF"/>
            <w:vAlign w:val="bottom"/>
            <w:hideMark/>
          </w:tcPr>
          <w:p w:rsidR="000B65DE" w:rsidRPr="000B65DE" w:rsidRDefault="000B65DE" w:rsidP="000B65DE">
            <w:pPr>
              <w:spacing w:before="100" w:beforeAutospacing="1" w:after="100" w:afterAutospacing="1"/>
              <w:ind w:left="0"/>
              <w:jc w:val="both"/>
              <w:textAlignment w:val="center"/>
              <w:rPr>
                <w:rFonts w:ascii="Bookman Old Style" w:hAnsi="Bookman Old Style"/>
                <w:bCs/>
                <w:color w:val="000000"/>
                <w:lang w:val="es-CO" w:eastAsia="es-CO"/>
              </w:rPr>
            </w:pPr>
            <w:r w:rsidRPr="000B65DE">
              <w:rPr>
                <w:rFonts w:ascii="Bookman Old Style" w:hAnsi="Bookman Old Style"/>
                <w:bCs/>
                <w:color w:val="000000"/>
                <w:lang w:val="es-CO" w:eastAsia="es-CO"/>
              </w:rPr>
              <w:t>GNCV</w:t>
            </w:r>
          </w:p>
        </w:tc>
        <w:tc>
          <w:tcPr>
            <w:tcW w:w="4419" w:type="dxa"/>
            <w:tcBorders>
              <w:top w:val="single" w:sz="8" w:space="0" w:color="auto"/>
              <w:left w:val="nil"/>
              <w:bottom w:val="single" w:sz="8" w:space="0" w:color="auto"/>
              <w:right w:val="single" w:sz="8" w:space="0" w:color="auto"/>
            </w:tcBorders>
            <w:shd w:val="clear" w:color="000000" w:fill="FFFFFF"/>
            <w:vAlign w:val="bottom"/>
            <w:hideMark/>
          </w:tcPr>
          <w:p w:rsidR="000B65DE" w:rsidRPr="000B65DE" w:rsidRDefault="000B65DE" w:rsidP="000B65DE">
            <w:pPr>
              <w:ind w:left="0"/>
              <w:rPr>
                <w:rFonts w:ascii="Bookman Old Style" w:hAnsi="Bookman Old Style"/>
                <w:color w:val="000000"/>
                <w:lang w:val="es-CO" w:eastAsia="es-CO"/>
              </w:rPr>
            </w:pPr>
          </w:p>
        </w:tc>
      </w:tr>
      <w:tr w:rsidR="000B65DE" w:rsidRPr="000B65DE" w:rsidTr="00382E27">
        <w:trPr>
          <w:trHeight w:val="330"/>
          <w:jc w:val="center"/>
        </w:trPr>
        <w:tc>
          <w:tcPr>
            <w:tcW w:w="2500" w:type="dxa"/>
            <w:tcBorders>
              <w:top w:val="nil"/>
              <w:left w:val="single" w:sz="8" w:space="0" w:color="auto"/>
              <w:bottom w:val="single" w:sz="8" w:space="0" w:color="auto"/>
              <w:right w:val="single" w:sz="8" w:space="0" w:color="auto"/>
            </w:tcBorders>
            <w:shd w:val="clear" w:color="000000" w:fill="FFFFFF"/>
            <w:vAlign w:val="bottom"/>
            <w:hideMark/>
          </w:tcPr>
          <w:p w:rsidR="000B65DE" w:rsidRPr="000B65DE" w:rsidRDefault="000B65DE" w:rsidP="000B65DE">
            <w:pPr>
              <w:spacing w:before="100" w:beforeAutospacing="1" w:after="100" w:afterAutospacing="1"/>
              <w:ind w:left="0"/>
              <w:jc w:val="both"/>
              <w:textAlignment w:val="center"/>
              <w:rPr>
                <w:rFonts w:ascii="Bookman Old Style" w:hAnsi="Bookman Old Style"/>
                <w:bCs/>
                <w:color w:val="000000"/>
                <w:lang w:val="es-CO" w:eastAsia="es-CO"/>
              </w:rPr>
            </w:pPr>
            <w:r w:rsidRPr="000B65DE">
              <w:rPr>
                <w:rFonts w:ascii="Bookman Old Style" w:hAnsi="Bookman Old Style"/>
                <w:bCs/>
                <w:color w:val="000000"/>
                <w:lang w:val="es-ES_tradnl" w:eastAsia="es-CO"/>
              </w:rPr>
              <w:t>Otros Usuarios</w:t>
            </w:r>
          </w:p>
        </w:tc>
        <w:tc>
          <w:tcPr>
            <w:tcW w:w="4419" w:type="dxa"/>
            <w:tcBorders>
              <w:top w:val="nil"/>
              <w:left w:val="nil"/>
              <w:bottom w:val="single" w:sz="8" w:space="0" w:color="auto"/>
              <w:right w:val="single" w:sz="8" w:space="0" w:color="auto"/>
            </w:tcBorders>
            <w:shd w:val="clear" w:color="000000" w:fill="FFFFFF"/>
            <w:vAlign w:val="bottom"/>
            <w:hideMark/>
          </w:tcPr>
          <w:p w:rsidR="000B65DE" w:rsidRPr="000B65DE" w:rsidRDefault="000B65DE" w:rsidP="000B65DE">
            <w:pPr>
              <w:ind w:left="0"/>
              <w:rPr>
                <w:rFonts w:ascii="Bookman Old Style" w:hAnsi="Bookman Old Style"/>
                <w:color w:val="000000"/>
                <w:lang w:val="es-CO" w:eastAsia="es-CO"/>
              </w:rPr>
            </w:pPr>
          </w:p>
        </w:tc>
      </w:tr>
      <w:tr w:rsidR="000B65DE" w:rsidRPr="000B65DE" w:rsidTr="00382E27">
        <w:trPr>
          <w:trHeight w:val="330"/>
          <w:jc w:val="center"/>
        </w:trPr>
        <w:tc>
          <w:tcPr>
            <w:tcW w:w="2500" w:type="dxa"/>
            <w:tcBorders>
              <w:top w:val="nil"/>
              <w:left w:val="single" w:sz="8" w:space="0" w:color="auto"/>
              <w:bottom w:val="single" w:sz="8" w:space="0" w:color="auto"/>
              <w:right w:val="single" w:sz="8" w:space="0" w:color="auto"/>
            </w:tcBorders>
            <w:shd w:val="clear" w:color="000000" w:fill="FFFFFF"/>
            <w:vAlign w:val="bottom"/>
            <w:hideMark/>
          </w:tcPr>
          <w:p w:rsidR="000B65DE" w:rsidRPr="000B65DE" w:rsidRDefault="000B65DE" w:rsidP="000B65DE">
            <w:pPr>
              <w:ind w:left="0"/>
              <w:rPr>
                <w:rFonts w:ascii="Bookman Old Style" w:hAnsi="Bookman Old Style"/>
                <w:b/>
                <w:bCs/>
                <w:color w:val="000000"/>
                <w:lang w:val="es-CO" w:eastAsia="es-CO"/>
              </w:rPr>
            </w:pPr>
            <w:r w:rsidRPr="000B65DE">
              <w:rPr>
                <w:rFonts w:ascii="Bookman Old Style" w:hAnsi="Bookman Old Style"/>
                <w:b/>
                <w:bCs/>
                <w:color w:val="000000"/>
                <w:lang w:val="es-CO" w:eastAsia="es-CO"/>
              </w:rPr>
              <w:t>TOTAL</w:t>
            </w:r>
          </w:p>
        </w:tc>
        <w:tc>
          <w:tcPr>
            <w:tcW w:w="4419" w:type="dxa"/>
            <w:tcBorders>
              <w:top w:val="nil"/>
              <w:left w:val="nil"/>
              <w:bottom w:val="single" w:sz="8" w:space="0" w:color="auto"/>
              <w:right w:val="single" w:sz="8" w:space="0" w:color="auto"/>
            </w:tcBorders>
            <w:shd w:val="clear" w:color="000000" w:fill="FFFFFF"/>
            <w:vAlign w:val="bottom"/>
            <w:hideMark/>
          </w:tcPr>
          <w:p w:rsidR="000B65DE" w:rsidRPr="000B65DE" w:rsidRDefault="000B65DE" w:rsidP="000B65DE">
            <w:pPr>
              <w:ind w:left="0"/>
              <w:rPr>
                <w:rFonts w:ascii="Bookman Old Style" w:hAnsi="Bookman Old Style"/>
                <w:color w:val="000000"/>
                <w:lang w:val="es-CO" w:eastAsia="es-CO"/>
              </w:rPr>
            </w:pPr>
          </w:p>
        </w:tc>
      </w:tr>
    </w:tbl>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p>
    <w:tbl>
      <w:tblPr>
        <w:tblW w:w="6937" w:type="dxa"/>
        <w:jc w:val="center"/>
        <w:tblInd w:w="-617" w:type="dxa"/>
        <w:tblCellMar>
          <w:left w:w="70" w:type="dxa"/>
          <w:right w:w="70" w:type="dxa"/>
        </w:tblCellMar>
        <w:tblLook w:val="04A0" w:firstRow="1" w:lastRow="0" w:firstColumn="1" w:lastColumn="0" w:noHBand="0" w:noVBand="1"/>
      </w:tblPr>
      <w:tblGrid>
        <w:gridCol w:w="3552"/>
        <w:gridCol w:w="3385"/>
      </w:tblGrid>
      <w:tr w:rsidR="000B65DE" w:rsidRPr="000B65DE" w:rsidTr="00382E27">
        <w:trPr>
          <w:trHeight w:val="330"/>
          <w:jc w:val="center"/>
        </w:trPr>
        <w:tc>
          <w:tcPr>
            <w:tcW w:w="3552"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0B65DE" w:rsidRPr="000B65DE" w:rsidRDefault="000B65DE" w:rsidP="000B65DE">
            <w:pPr>
              <w:ind w:left="0"/>
              <w:rPr>
                <w:rFonts w:ascii="Bookman Old Style" w:hAnsi="Bookman Old Style"/>
                <w:b/>
                <w:bCs/>
                <w:color w:val="000000"/>
                <w:lang w:val="es-CO" w:eastAsia="es-CO"/>
              </w:rPr>
            </w:pPr>
            <w:r w:rsidRPr="000B65DE">
              <w:rPr>
                <w:rFonts w:ascii="Bookman Old Style" w:hAnsi="Bookman Old Style"/>
                <w:b/>
                <w:bCs/>
                <w:color w:val="000000"/>
                <w:lang w:val="es-CO" w:eastAsia="es-CO"/>
              </w:rPr>
              <w:t>MUNICIPIO</w:t>
            </w:r>
          </w:p>
        </w:tc>
        <w:tc>
          <w:tcPr>
            <w:tcW w:w="3385" w:type="dxa"/>
            <w:tcBorders>
              <w:top w:val="single" w:sz="8" w:space="0" w:color="auto"/>
              <w:left w:val="nil"/>
              <w:bottom w:val="single" w:sz="8" w:space="0" w:color="auto"/>
              <w:right w:val="single" w:sz="8" w:space="0" w:color="auto"/>
            </w:tcBorders>
            <w:shd w:val="clear" w:color="000000" w:fill="FFFFFF"/>
            <w:vAlign w:val="center"/>
            <w:hideMark/>
          </w:tcPr>
          <w:p w:rsidR="000B65DE" w:rsidRPr="000B65DE" w:rsidRDefault="000B65DE" w:rsidP="000B65DE">
            <w:pPr>
              <w:ind w:left="0"/>
              <w:rPr>
                <w:rFonts w:ascii="Bookman Old Style" w:hAnsi="Bookman Old Style"/>
                <w:b/>
                <w:bCs/>
                <w:color w:val="000000"/>
                <w:lang w:val="es-CO" w:eastAsia="es-CO"/>
              </w:rPr>
            </w:pPr>
          </w:p>
        </w:tc>
      </w:tr>
      <w:tr w:rsidR="000B65DE" w:rsidRPr="000B65DE" w:rsidTr="00382E27">
        <w:trPr>
          <w:trHeight w:val="330"/>
          <w:jc w:val="center"/>
        </w:trPr>
        <w:tc>
          <w:tcPr>
            <w:tcW w:w="3552" w:type="dxa"/>
            <w:tcBorders>
              <w:top w:val="nil"/>
              <w:left w:val="single" w:sz="8" w:space="0" w:color="auto"/>
              <w:bottom w:val="single" w:sz="8" w:space="0" w:color="auto"/>
              <w:right w:val="single" w:sz="8" w:space="0" w:color="auto"/>
            </w:tcBorders>
            <w:shd w:val="clear" w:color="000000" w:fill="FFFFFF"/>
            <w:vAlign w:val="center"/>
            <w:hideMark/>
          </w:tcPr>
          <w:p w:rsidR="000B65DE" w:rsidRPr="000B65DE" w:rsidRDefault="000B65DE" w:rsidP="000B65DE">
            <w:pPr>
              <w:ind w:left="0"/>
              <w:rPr>
                <w:rFonts w:ascii="Bookman Old Style" w:hAnsi="Bookman Old Style"/>
                <w:b/>
                <w:bCs/>
                <w:color w:val="000000"/>
                <w:lang w:val="es-CO" w:eastAsia="es-CO"/>
              </w:rPr>
            </w:pPr>
            <w:r w:rsidRPr="000B65DE">
              <w:rPr>
                <w:rFonts w:ascii="Bookman Old Style" w:hAnsi="Bookman Old Style"/>
                <w:b/>
                <w:bCs/>
                <w:color w:val="000000"/>
                <w:lang w:val="es-CO" w:eastAsia="es-CO"/>
              </w:rPr>
              <w:t>CÓDIGO DANE</w:t>
            </w:r>
          </w:p>
        </w:tc>
        <w:tc>
          <w:tcPr>
            <w:tcW w:w="3385" w:type="dxa"/>
            <w:tcBorders>
              <w:top w:val="nil"/>
              <w:left w:val="nil"/>
              <w:bottom w:val="single" w:sz="8" w:space="0" w:color="auto"/>
              <w:right w:val="single" w:sz="8" w:space="0" w:color="auto"/>
            </w:tcBorders>
            <w:shd w:val="clear" w:color="000000" w:fill="FFFFFF"/>
            <w:vAlign w:val="center"/>
            <w:hideMark/>
          </w:tcPr>
          <w:p w:rsidR="000B65DE" w:rsidRPr="000B65DE" w:rsidRDefault="000B65DE" w:rsidP="000B65DE">
            <w:pPr>
              <w:ind w:left="0"/>
              <w:rPr>
                <w:rFonts w:ascii="Bookman Old Style" w:hAnsi="Bookman Old Style"/>
                <w:b/>
                <w:bCs/>
                <w:color w:val="000000"/>
                <w:lang w:val="es-CO" w:eastAsia="es-CO"/>
              </w:rPr>
            </w:pPr>
          </w:p>
        </w:tc>
      </w:tr>
      <w:tr w:rsidR="000B65DE" w:rsidRPr="000B65DE" w:rsidTr="00382E27">
        <w:trPr>
          <w:trHeight w:val="330"/>
          <w:jc w:val="center"/>
        </w:trPr>
        <w:tc>
          <w:tcPr>
            <w:tcW w:w="3552" w:type="dxa"/>
            <w:tcBorders>
              <w:top w:val="nil"/>
              <w:left w:val="nil"/>
              <w:bottom w:val="nil"/>
              <w:right w:val="nil"/>
            </w:tcBorders>
            <w:shd w:val="clear" w:color="000000" w:fill="FFFFFF"/>
            <w:vAlign w:val="center"/>
            <w:hideMark/>
          </w:tcPr>
          <w:p w:rsidR="000B65DE" w:rsidRPr="000B65DE" w:rsidRDefault="000B65DE" w:rsidP="000B65DE">
            <w:pPr>
              <w:ind w:left="0"/>
              <w:rPr>
                <w:rFonts w:ascii="Bookman Old Style" w:hAnsi="Bookman Old Style"/>
                <w:b/>
                <w:bCs/>
                <w:color w:val="000000"/>
                <w:lang w:val="es-CO" w:eastAsia="es-CO"/>
              </w:rPr>
            </w:pPr>
          </w:p>
        </w:tc>
        <w:tc>
          <w:tcPr>
            <w:tcW w:w="3385" w:type="dxa"/>
            <w:tcBorders>
              <w:top w:val="nil"/>
              <w:left w:val="nil"/>
              <w:bottom w:val="nil"/>
              <w:right w:val="nil"/>
            </w:tcBorders>
            <w:shd w:val="clear" w:color="000000" w:fill="FFFFFF"/>
            <w:vAlign w:val="center"/>
            <w:hideMark/>
          </w:tcPr>
          <w:p w:rsidR="000B65DE" w:rsidRPr="000B65DE" w:rsidRDefault="000B65DE" w:rsidP="000B65DE">
            <w:pPr>
              <w:ind w:left="0"/>
              <w:rPr>
                <w:rFonts w:ascii="Bookman Old Style" w:hAnsi="Bookman Old Style"/>
                <w:b/>
                <w:bCs/>
                <w:color w:val="000000"/>
                <w:lang w:val="es-CO" w:eastAsia="es-CO"/>
              </w:rPr>
            </w:pPr>
          </w:p>
        </w:tc>
      </w:tr>
      <w:tr w:rsidR="000B65DE" w:rsidRPr="000B65DE" w:rsidTr="00382E27">
        <w:trPr>
          <w:trHeight w:val="429"/>
          <w:jc w:val="center"/>
        </w:trPr>
        <w:tc>
          <w:tcPr>
            <w:tcW w:w="3552"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0B65DE" w:rsidRPr="000B65DE" w:rsidRDefault="000B65DE" w:rsidP="000B65DE">
            <w:pPr>
              <w:ind w:left="0"/>
              <w:jc w:val="center"/>
              <w:rPr>
                <w:rFonts w:ascii="Bookman Old Style" w:hAnsi="Bookman Old Style"/>
                <w:b/>
                <w:bCs/>
                <w:color w:val="000000"/>
                <w:lang w:val="es-CO" w:eastAsia="es-CO"/>
              </w:rPr>
            </w:pPr>
            <w:r w:rsidRPr="000B65DE">
              <w:rPr>
                <w:rFonts w:ascii="Bookman Old Style" w:hAnsi="Bookman Old Style"/>
                <w:b/>
                <w:bCs/>
                <w:color w:val="000000"/>
                <w:lang w:val="es-ES_tradnl" w:eastAsia="es-CO"/>
              </w:rPr>
              <w:t>USUARIO</w:t>
            </w:r>
          </w:p>
        </w:tc>
        <w:tc>
          <w:tcPr>
            <w:tcW w:w="3385" w:type="dxa"/>
            <w:tcBorders>
              <w:top w:val="single" w:sz="8" w:space="0" w:color="auto"/>
              <w:left w:val="nil"/>
              <w:bottom w:val="single" w:sz="8" w:space="0" w:color="auto"/>
              <w:right w:val="single" w:sz="8" w:space="0" w:color="auto"/>
            </w:tcBorders>
            <w:shd w:val="clear" w:color="000000" w:fill="FFFFFF"/>
            <w:vAlign w:val="bottom"/>
            <w:hideMark/>
          </w:tcPr>
          <w:p w:rsidR="000B65DE" w:rsidRPr="000B65DE" w:rsidRDefault="000B65DE" w:rsidP="000B65DE">
            <w:pPr>
              <w:ind w:left="0"/>
              <w:jc w:val="center"/>
              <w:rPr>
                <w:rFonts w:ascii="Bookman Old Style" w:hAnsi="Bookman Old Style"/>
                <w:b/>
                <w:bCs/>
                <w:color w:val="000000"/>
                <w:lang w:val="es-CO" w:eastAsia="es-CO"/>
              </w:rPr>
            </w:pPr>
            <w:r w:rsidRPr="000B65DE">
              <w:rPr>
                <w:rFonts w:ascii="Bookman Old Style" w:hAnsi="Bookman Old Style"/>
                <w:b/>
                <w:bCs/>
                <w:color w:val="000000"/>
                <w:lang w:val="es-ES_tradnl" w:eastAsia="es-CO"/>
              </w:rPr>
              <w:t xml:space="preserve">VOLUMEN </w:t>
            </w:r>
            <w:r w:rsidRPr="000B65DE">
              <w:rPr>
                <w:rFonts w:ascii="Bookman Old Style" w:hAnsi="Bookman Old Style"/>
                <w:b/>
                <w:bCs/>
                <w:color w:val="000000"/>
                <w:lang w:val="es-ES_tradnl" w:eastAsia="es-CO"/>
              </w:rPr>
              <w:br/>
              <w:t>(m</w:t>
            </w:r>
            <w:r w:rsidRPr="000B65DE">
              <w:rPr>
                <w:rFonts w:ascii="Bookman Old Style" w:hAnsi="Bookman Old Style"/>
                <w:b/>
                <w:bCs/>
                <w:color w:val="000000"/>
                <w:vertAlign w:val="superscript"/>
                <w:lang w:val="es-ES_tradnl" w:eastAsia="es-CO"/>
              </w:rPr>
              <w:t>3</w:t>
            </w:r>
            <w:r w:rsidRPr="000B65DE">
              <w:rPr>
                <w:rFonts w:ascii="Bookman Old Style" w:hAnsi="Bookman Old Style"/>
                <w:b/>
                <w:bCs/>
                <w:color w:val="000000"/>
                <w:lang w:val="es-ES_tradnl" w:eastAsia="es-CO"/>
              </w:rPr>
              <w:t xml:space="preserve"> en Fecha de Corte)</w:t>
            </w:r>
          </w:p>
        </w:tc>
      </w:tr>
      <w:tr w:rsidR="000B65DE" w:rsidRPr="000B65DE" w:rsidTr="00382E27">
        <w:trPr>
          <w:trHeight w:val="330"/>
          <w:jc w:val="center"/>
        </w:trPr>
        <w:tc>
          <w:tcPr>
            <w:tcW w:w="3552" w:type="dxa"/>
            <w:tcBorders>
              <w:top w:val="nil"/>
              <w:left w:val="single" w:sz="8" w:space="0" w:color="auto"/>
              <w:bottom w:val="single" w:sz="8" w:space="0" w:color="auto"/>
              <w:right w:val="single" w:sz="8" w:space="0" w:color="auto"/>
            </w:tcBorders>
            <w:shd w:val="clear" w:color="000000" w:fill="FFFFFF"/>
            <w:vAlign w:val="bottom"/>
            <w:hideMark/>
          </w:tcPr>
          <w:p w:rsidR="000B65DE" w:rsidRPr="000B65DE" w:rsidRDefault="000B65DE" w:rsidP="000B65DE">
            <w:pPr>
              <w:spacing w:before="100" w:beforeAutospacing="1" w:after="100" w:afterAutospacing="1"/>
              <w:ind w:left="0"/>
              <w:jc w:val="both"/>
              <w:textAlignment w:val="center"/>
              <w:rPr>
                <w:rFonts w:ascii="Bookman Old Style" w:hAnsi="Bookman Old Style"/>
                <w:bCs/>
                <w:color w:val="000000"/>
                <w:lang w:val="es-CO" w:eastAsia="es-CO"/>
              </w:rPr>
            </w:pPr>
            <w:r w:rsidRPr="000B65DE">
              <w:rPr>
                <w:rFonts w:ascii="Bookman Old Style" w:hAnsi="Bookman Old Style"/>
                <w:bCs/>
                <w:color w:val="000000"/>
                <w:lang w:val="es-ES_tradnl" w:eastAsia="es-CO"/>
              </w:rPr>
              <w:t>Residencial</w:t>
            </w:r>
          </w:p>
        </w:tc>
        <w:tc>
          <w:tcPr>
            <w:tcW w:w="3385" w:type="dxa"/>
            <w:tcBorders>
              <w:top w:val="nil"/>
              <w:left w:val="nil"/>
              <w:bottom w:val="single" w:sz="8" w:space="0" w:color="auto"/>
              <w:right w:val="single" w:sz="8" w:space="0" w:color="auto"/>
            </w:tcBorders>
            <w:shd w:val="clear" w:color="000000" w:fill="FFFFFF"/>
            <w:vAlign w:val="bottom"/>
            <w:hideMark/>
          </w:tcPr>
          <w:p w:rsidR="000B65DE" w:rsidRPr="000B65DE" w:rsidRDefault="000B65DE" w:rsidP="000B65DE">
            <w:pPr>
              <w:ind w:left="0"/>
              <w:rPr>
                <w:rFonts w:ascii="Bookman Old Style" w:hAnsi="Bookman Old Style"/>
                <w:b/>
                <w:bCs/>
                <w:color w:val="000000"/>
                <w:lang w:val="es-CO" w:eastAsia="es-CO"/>
              </w:rPr>
            </w:pPr>
          </w:p>
        </w:tc>
      </w:tr>
      <w:tr w:rsidR="000B65DE" w:rsidRPr="000B65DE" w:rsidTr="00382E27">
        <w:trPr>
          <w:trHeight w:val="330"/>
          <w:jc w:val="center"/>
        </w:trPr>
        <w:tc>
          <w:tcPr>
            <w:tcW w:w="3552" w:type="dxa"/>
            <w:tcBorders>
              <w:top w:val="nil"/>
              <w:left w:val="single" w:sz="8" w:space="0" w:color="auto"/>
              <w:bottom w:val="single" w:sz="8" w:space="0" w:color="auto"/>
              <w:right w:val="single" w:sz="8" w:space="0" w:color="auto"/>
            </w:tcBorders>
            <w:shd w:val="clear" w:color="000000" w:fill="FFFFFF"/>
            <w:vAlign w:val="bottom"/>
            <w:hideMark/>
          </w:tcPr>
          <w:p w:rsidR="000B65DE" w:rsidRPr="000B65DE" w:rsidRDefault="000B65DE" w:rsidP="000B65DE">
            <w:pPr>
              <w:spacing w:before="100" w:beforeAutospacing="1" w:after="100" w:afterAutospacing="1"/>
              <w:ind w:left="0"/>
              <w:jc w:val="both"/>
              <w:textAlignment w:val="center"/>
              <w:rPr>
                <w:rFonts w:ascii="Bookman Old Style" w:hAnsi="Bookman Old Style"/>
                <w:bCs/>
                <w:color w:val="000000"/>
                <w:lang w:val="es-CO" w:eastAsia="es-CO"/>
              </w:rPr>
            </w:pPr>
            <w:r w:rsidRPr="000B65DE">
              <w:rPr>
                <w:rFonts w:ascii="Bookman Old Style" w:hAnsi="Bookman Old Style"/>
                <w:bCs/>
                <w:color w:val="000000"/>
                <w:lang w:val="es-ES_tradnl" w:eastAsia="es-CO"/>
              </w:rPr>
              <w:t>Comercial</w:t>
            </w:r>
          </w:p>
        </w:tc>
        <w:tc>
          <w:tcPr>
            <w:tcW w:w="3385" w:type="dxa"/>
            <w:tcBorders>
              <w:top w:val="nil"/>
              <w:left w:val="nil"/>
              <w:bottom w:val="single" w:sz="8" w:space="0" w:color="auto"/>
              <w:right w:val="single" w:sz="8" w:space="0" w:color="auto"/>
            </w:tcBorders>
            <w:shd w:val="clear" w:color="000000" w:fill="FFFFFF"/>
            <w:vAlign w:val="bottom"/>
            <w:hideMark/>
          </w:tcPr>
          <w:p w:rsidR="000B65DE" w:rsidRPr="000B65DE" w:rsidRDefault="000B65DE" w:rsidP="000B65DE">
            <w:pPr>
              <w:ind w:left="0"/>
              <w:rPr>
                <w:rFonts w:ascii="Bookman Old Style" w:hAnsi="Bookman Old Style"/>
                <w:color w:val="000000"/>
                <w:lang w:val="es-CO" w:eastAsia="es-CO"/>
              </w:rPr>
            </w:pPr>
          </w:p>
        </w:tc>
      </w:tr>
      <w:tr w:rsidR="000B65DE" w:rsidRPr="000B65DE" w:rsidTr="00382E27">
        <w:trPr>
          <w:trHeight w:val="330"/>
          <w:jc w:val="center"/>
        </w:trPr>
        <w:tc>
          <w:tcPr>
            <w:tcW w:w="3552" w:type="dxa"/>
            <w:tcBorders>
              <w:top w:val="nil"/>
              <w:left w:val="single" w:sz="8" w:space="0" w:color="auto"/>
              <w:bottom w:val="nil"/>
              <w:right w:val="single" w:sz="8" w:space="0" w:color="auto"/>
            </w:tcBorders>
            <w:shd w:val="clear" w:color="000000" w:fill="FFFFFF"/>
            <w:vAlign w:val="bottom"/>
            <w:hideMark/>
          </w:tcPr>
          <w:p w:rsidR="000B65DE" w:rsidRPr="000B65DE" w:rsidRDefault="000B65DE" w:rsidP="000B65DE">
            <w:pPr>
              <w:spacing w:before="100" w:beforeAutospacing="1" w:after="100" w:afterAutospacing="1"/>
              <w:ind w:left="0"/>
              <w:jc w:val="both"/>
              <w:textAlignment w:val="center"/>
              <w:rPr>
                <w:rFonts w:ascii="Bookman Old Style" w:hAnsi="Bookman Old Style"/>
                <w:bCs/>
                <w:color w:val="000000"/>
                <w:lang w:val="es-CO" w:eastAsia="es-CO"/>
              </w:rPr>
            </w:pPr>
            <w:r w:rsidRPr="000B65DE">
              <w:rPr>
                <w:rFonts w:ascii="Bookman Old Style" w:hAnsi="Bookman Old Style"/>
                <w:bCs/>
                <w:color w:val="000000"/>
                <w:lang w:val="es-ES_tradnl" w:eastAsia="es-CO"/>
              </w:rPr>
              <w:t>Industrial</w:t>
            </w:r>
          </w:p>
        </w:tc>
        <w:tc>
          <w:tcPr>
            <w:tcW w:w="3385" w:type="dxa"/>
            <w:tcBorders>
              <w:top w:val="nil"/>
              <w:left w:val="nil"/>
              <w:bottom w:val="nil"/>
              <w:right w:val="single" w:sz="8" w:space="0" w:color="auto"/>
            </w:tcBorders>
            <w:shd w:val="clear" w:color="000000" w:fill="FFFFFF"/>
            <w:vAlign w:val="bottom"/>
            <w:hideMark/>
          </w:tcPr>
          <w:p w:rsidR="000B65DE" w:rsidRPr="000B65DE" w:rsidRDefault="000B65DE" w:rsidP="000B65DE">
            <w:pPr>
              <w:ind w:left="0"/>
              <w:rPr>
                <w:rFonts w:ascii="Bookman Old Style" w:hAnsi="Bookman Old Style"/>
                <w:color w:val="000000"/>
                <w:lang w:val="es-CO" w:eastAsia="es-CO"/>
              </w:rPr>
            </w:pPr>
          </w:p>
        </w:tc>
      </w:tr>
      <w:tr w:rsidR="000B65DE" w:rsidRPr="000B65DE" w:rsidTr="00382E27">
        <w:trPr>
          <w:trHeight w:val="330"/>
          <w:jc w:val="center"/>
        </w:trPr>
        <w:tc>
          <w:tcPr>
            <w:tcW w:w="3552" w:type="dxa"/>
            <w:tcBorders>
              <w:top w:val="single" w:sz="8" w:space="0" w:color="auto"/>
              <w:left w:val="single" w:sz="8" w:space="0" w:color="auto"/>
              <w:bottom w:val="single" w:sz="8" w:space="0" w:color="auto"/>
              <w:right w:val="single" w:sz="8" w:space="0" w:color="auto"/>
            </w:tcBorders>
            <w:shd w:val="clear" w:color="000000" w:fill="FFFFFF"/>
            <w:vAlign w:val="bottom"/>
            <w:hideMark/>
          </w:tcPr>
          <w:p w:rsidR="000B65DE" w:rsidRPr="000B65DE" w:rsidRDefault="000B65DE" w:rsidP="000B65DE">
            <w:pPr>
              <w:spacing w:before="100" w:beforeAutospacing="1" w:after="100" w:afterAutospacing="1"/>
              <w:ind w:left="0"/>
              <w:jc w:val="both"/>
              <w:textAlignment w:val="center"/>
              <w:rPr>
                <w:rFonts w:ascii="Bookman Old Style" w:hAnsi="Bookman Old Style"/>
                <w:bCs/>
                <w:color w:val="000000"/>
                <w:lang w:val="es-CO" w:eastAsia="es-CO"/>
              </w:rPr>
            </w:pPr>
            <w:r w:rsidRPr="000B65DE">
              <w:rPr>
                <w:rFonts w:ascii="Bookman Old Style" w:hAnsi="Bookman Old Style"/>
                <w:bCs/>
                <w:color w:val="000000"/>
                <w:lang w:val="es-CO" w:eastAsia="es-CO"/>
              </w:rPr>
              <w:t>GNCV</w:t>
            </w:r>
          </w:p>
        </w:tc>
        <w:tc>
          <w:tcPr>
            <w:tcW w:w="3385" w:type="dxa"/>
            <w:tcBorders>
              <w:top w:val="single" w:sz="8" w:space="0" w:color="auto"/>
              <w:left w:val="nil"/>
              <w:bottom w:val="single" w:sz="8" w:space="0" w:color="auto"/>
              <w:right w:val="single" w:sz="8" w:space="0" w:color="auto"/>
            </w:tcBorders>
            <w:shd w:val="clear" w:color="000000" w:fill="FFFFFF"/>
            <w:vAlign w:val="bottom"/>
            <w:hideMark/>
          </w:tcPr>
          <w:p w:rsidR="000B65DE" w:rsidRPr="000B65DE" w:rsidRDefault="000B65DE" w:rsidP="000B65DE">
            <w:pPr>
              <w:ind w:left="0"/>
              <w:rPr>
                <w:rFonts w:ascii="Bookman Old Style" w:hAnsi="Bookman Old Style"/>
                <w:color w:val="000000"/>
                <w:lang w:val="es-CO" w:eastAsia="es-CO"/>
              </w:rPr>
            </w:pPr>
          </w:p>
        </w:tc>
      </w:tr>
      <w:tr w:rsidR="000B65DE" w:rsidRPr="000B65DE" w:rsidTr="00382E27">
        <w:trPr>
          <w:trHeight w:val="330"/>
          <w:jc w:val="center"/>
        </w:trPr>
        <w:tc>
          <w:tcPr>
            <w:tcW w:w="3552" w:type="dxa"/>
            <w:tcBorders>
              <w:top w:val="nil"/>
              <w:left w:val="single" w:sz="8" w:space="0" w:color="auto"/>
              <w:bottom w:val="single" w:sz="8" w:space="0" w:color="auto"/>
              <w:right w:val="single" w:sz="8" w:space="0" w:color="auto"/>
            </w:tcBorders>
            <w:shd w:val="clear" w:color="000000" w:fill="FFFFFF"/>
            <w:vAlign w:val="bottom"/>
            <w:hideMark/>
          </w:tcPr>
          <w:p w:rsidR="000B65DE" w:rsidRPr="000B65DE" w:rsidRDefault="000B65DE" w:rsidP="000B65DE">
            <w:pPr>
              <w:spacing w:before="100" w:beforeAutospacing="1" w:after="100" w:afterAutospacing="1"/>
              <w:ind w:left="0"/>
              <w:jc w:val="both"/>
              <w:textAlignment w:val="center"/>
              <w:rPr>
                <w:rFonts w:ascii="Bookman Old Style" w:hAnsi="Bookman Old Style"/>
                <w:bCs/>
                <w:color w:val="000000"/>
                <w:lang w:val="es-CO" w:eastAsia="es-CO"/>
              </w:rPr>
            </w:pPr>
            <w:r w:rsidRPr="000B65DE">
              <w:rPr>
                <w:rFonts w:ascii="Bookman Old Style" w:hAnsi="Bookman Old Style"/>
                <w:bCs/>
                <w:color w:val="000000"/>
                <w:lang w:val="es-ES_tradnl" w:eastAsia="es-CO"/>
              </w:rPr>
              <w:t>Otros Usuarios</w:t>
            </w:r>
          </w:p>
        </w:tc>
        <w:tc>
          <w:tcPr>
            <w:tcW w:w="3385" w:type="dxa"/>
            <w:tcBorders>
              <w:top w:val="nil"/>
              <w:left w:val="nil"/>
              <w:bottom w:val="single" w:sz="8" w:space="0" w:color="auto"/>
              <w:right w:val="single" w:sz="8" w:space="0" w:color="auto"/>
            </w:tcBorders>
            <w:shd w:val="clear" w:color="000000" w:fill="FFFFFF"/>
            <w:vAlign w:val="bottom"/>
            <w:hideMark/>
          </w:tcPr>
          <w:p w:rsidR="000B65DE" w:rsidRPr="000B65DE" w:rsidRDefault="000B65DE" w:rsidP="000B65DE">
            <w:pPr>
              <w:ind w:left="0"/>
              <w:rPr>
                <w:rFonts w:ascii="Bookman Old Style" w:hAnsi="Bookman Old Style"/>
                <w:color w:val="000000"/>
                <w:lang w:val="es-CO" w:eastAsia="es-CO"/>
              </w:rPr>
            </w:pPr>
          </w:p>
        </w:tc>
      </w:tr>
      <w:tr w:rsidR="000B65DE" w:rsidRPr="000B65DE" w:rsidTr="00382E27">
        <w:trPr>
          <w:trHeight w:val="330"/>
          <w:jc w:val="center"/>
        </w:trPr>
        <w:tc>
          <w:tcPr>
            <w:tcW w:w="3552" w:type="dxa"/>
            <w:tcBorders>
              <w:top w:val="nil"/>
              <w:left w:val="single" w:sz="8" w:space="0" w:color="auto"/>
              <w:bottom w:val="single" w:sz="8" w:space="0" w:color="auto"/>
              <w:right w:val="single" w:sz="8" w:space="0" w:color="auto"/>
            </w:tcBorders>
            <w:shd w:val="clear" w:color="000000" w:fill="FFFFFF"/>
            <w:vAlign w:val="bottom"/>
            <w:hideMark/>
          </w:tcPr>
          <w:p w:rsidR="000B65DE" w:rsidRPr="000B65DE" w:rsidRDefault="000B65DE" w:rsidP="000B65DE">
            <w:pPr>
              <w:ind w:left="0"/>
              <w:rPr>
                <w:rFonts w:ascii="Bookman Old Style" w:hAnsi="Bookman Old Style"/>
                <w:b/>
                <w:bCs/>
                <w:color w:val="000000"/>
                <w:lang w:val="es-CO" w:eastAsia="es-CO"/>
              </w:rPr>
            </w:pPr>
            <w:r w:rsidRPr="000B65DE">
              <w:rPr>
                <w:rFonts w:ascii="Bookman Old Style" w:hAnsi="Bookman Old Style"/>
                <w:b/>
                <w:bCs/>
                <w:color w:val="000000"/>
                <w:lang w:val="es-CO" w:eastAsia="es-CO"/>
              </w:rPr>
              <w:t>TOTAL</w:t>
            </w:r>
          </w:p>
        </w:tc>
        <w:tc>
          <w:tcPr>
            <w:tcW w:w="3385" w:type="dxa"/>
            <w:tcBorders>
              <w:top w:val="nil"/>
              <w:left w:val="nil"/>
              <w:bottom w:val="single" w:sz="8" w:space="0" w:color="auto"/>
              <w:right w:val="single" w:sz="8" w:space="0" w:color="auto"/>
            </w:tcBorders>
            <w:shd w:val="clear" w:color="000000" w:fill="FFFFFF"/>
            <w:vAlign w:val="bottom"/>
            <w:hideMark/>
          </w:tcPr>
          <w:p w:rsidR="000B65DE" w:rsidRPr="000B65DE" w:rsidRDefault="000B65DE" w:rsidP="000B65DE">
            <w:pPr>
              <w:ind w:left="0"/>
              <w:rPr>
                <w:rFonts w:ascii="Bookman Old Style" w:hAnsi="Bookman Old Style"/>
                <w:color w:val="000000"/>
                <w:lang w:val="es-CO" w:eastAsia="es-CO"/>
              </w:rPr>
            </w:pPr>
          </w:p>
        </w:tc>
      </w:tr>
    </w:tbl>
    <w:p w:rsidR="000B65DE" w:rsidRDefault="000B65DE" w:rsidP="000B65DE">
      <w:pPr>
        <w:ind w:left="0"/>
        <w:jc w:val="both"/>
        <w:rPr>
          <w:rFonts w:ascii="Bookman Old Style" w:hAnsi="Bookman Old Style"/>
          <w:lang w:val="es-ES_tradnl"/>
        </w:rPr>
      </w:pPr>
    </w:p>
    <w:p w:rsidR="001D143C" w:rsidRDefault="00D373D2" w:rsidP="000B65DE">
      <w:pPr>
        <w:ind w:left="0"/>
        <w:jc w:val="both"/>
        <w:rPr>
          <w:rFonts w:ascii="Bookman Old Style" w:hAnsi="Bookman Old Style"/>
          <w:sz w:val="20"/>
          <w:szCs w:val="20"/>
          <w:lang w:val="es-ES_tradnl"/>
        </w:rPr>
      </w:pPr>
      <w:r>
        <w:rPr>
          <w:rFonts w:ascii="Bookman Old Style" w:hAnsi="Bookman Old Style"/>
          <w:lang w:val="es-ES_tradnl"/>
        </w:rPr>
        <w:t xml:space="preserve">     </w:t>
      </w:r>
      <w:r w:rsidR="003613BB">
        <w:rPr>
          <w:rFonts w:ascii="Bookman Old Style" w:hAnsi="Bookman Old Style"/>
          <w:sz w:val="20"/>
          <w:szCs w:val="20"/>
          <w:lang w:val="es-ES_tradnl"/>
        </w:rPr>
        <w:t>Nota: El volumen s</w:t>
      </w:r>
      <w:r w:rsidRPr="00D373D2">
        <w:rPr>
          <w:rFonts w:ascii="Bookman Old Style" w:hAnsi="Bookman Old Style"/>
          <w:sz w:val="20"/>
          <w:szCs w:val="20"/>
          <w:lang w:val="es-ES_tradnl"/>
        </w:rPr>
        <w:t>e calcula conforme a la Resolución 127 de 2013</w:t>
      </w:r>
    </w:p>
    <w:p w:rsidR="0036751B" w:rsidRDefault="0036751B" w:rsidP="0036751B">
      <w:pPr>
        <w:jc w:val="both"/>
        <w:rPr>
          <w:rFonts w:ascii="Bookman Old Style" w:hAnsi="Bookman Old Style"/>
          <w:sz w:val="20"/>
          <w:szCs w:val="20"/>
          <w:lang w:val="es-ES_tradnl"/>
        </w:rPr>
      </w:pPr>
    </w:p>
    <w:p w:rsidR="00585209" w:rsidRPr="00D373D2" w:rsidRDefault="00585209" w:rsidP="0036751B">
      <w:pPr>
        <w:jc w:val="both"/>
        <w:rPr>
          <w:rFonts w:ascii="Bookman Old Style" w:hAnsi="Bookman Old Style"/>
          <w:sz w:val="20"/>
          <w:szCs w:val="20"/>
          <w:lang w:val="es-ES_tradnl"/>
        </w:rPr>
      </w:pPr>
      <w:r>
        <w:rPr>
          <w:rFonts w:ascii="Bookman Old Style" w:hAnsi="Bookman Old Style"/>
          <w:sz w:val="20"/>
          <w:szCs w:val="20"/>
          <w:lang w:val="es-ES_tradnl"/>
        </w:rPr>
        <w:t xml:space="preserve">El volumen total </w:t>
      </w:r>
      <w:r w:rsidR="00DE4152">
        <w:rPr>
          <w:rFonts w:ascii="Bookman Old Style" w:hAnsi="Bookman Old Style"/>
          <w:sz w:val="20"/>
          <w:szCs w:val="20"/>
          <w:lang w:val="es-ES_tradnl"/>
        </w:rPr>
        <w:t>corresponde a</w:t>
      </w:r>
      <w:r>
        <w:rPr>
          <w:rFonts w:ascii="Bookman Old Style" w:hAnsi="Bookman Old Style"/>
          <w:sz w:val="20"/>
          <w:szCs w:val="20"/>
          <w:lang w:val="es-ES_tradnl"/>
        </w:rPr>
        <w:t>l Q</w:t>
      </w:r>
      <w:r w:rsidRPr="00E528F6">
        <w:rPr>
          <w:rFonts w:ascii="Bookman Old Style" w:hAnsi="Bookman Old Style"/>
          <w:sz w:val="20"/>
          <w:szCs w:val="20"/>
          <w:vertAlign w:val="subscript"/>
          <w:lang w:val="es-ES_tradnl"/>
        </w:rPr>
        <w:t>TK</w:t>
      </w:r>
      <w:r>
        <w:rPr>
          <w:rFonts w:ascii="Bookman Old Style" w:hAnsi="Bookman Old Style"/>
          <w:sz w:val="20"/>
          <w:szCs w:val="20"/>
          <w:lang w:val="es-ES_tradnl"/>
        </w:rPr>
        <w:t xml:space="preserve"> del ítem 9.1.1.1 del numeral 9.1 del   artículo </w:t>
      </w:r>
      <w:r w:rsidR="00DE4152">
        <w:rPr>
          <w:rFonts w:ascii="Bookman Old Style" w:hAnsi="Bookman Old Style"/>
          <w:sz w:val="20"/>
          <w:szCs w:val="20"/>
          <w:lang w:val="es-ES_tradnl"/>
        </w:rPr>
        <w:t xml:space="preserve">9 </w:t>
      </w:r>
      <w:r>
        <w:rPr>
          <w:rFonts w:ascii="Bookman Old Style" w:hAnsi="Bookman Old Style"/>
          <w:sz w:val="20"/>
          <w:szCs w:val="20"/>
          <w:lang w:val="es-ES_tradnl"/>
        </w:rPr>
        <w:t>de la presente resolución.</w:t>
      </w:r>
    </w:p>
    <w:p w:rsidR="001D143C" w:rsidRDefault="001D143C" w:rsidP="000B65DE">
      <w:pPr>
        <w:ind w:left="0"/>
        <w:jc w:val="both"/>
        <w:rPr>
          <w:rFonts w:ascii="Bookman Old Style" w:hAnsi="Bookman Old Style"/>
          <w:lang w:val="es-ES_tradnl"/>
        </w:rPr>
      </w:pPr>
    </w:p>
    <w:p w:rsidR="001D143C" w:rsidRPr="000B65DE" w:rsidRDefault="001D143C" w:rsidP="000B65DE">
      <w:pPr>
        <w:ind w:left="0"/>
        <w:jc w:val="both"/>
        <w:rPr>
          <w:rFonts w:ascii="Bookman Old Style" w:hAnsi="Bookman Old Style"/>
          <w:lang w:val="es-ES_tradnl"/>
        </w:rPr>
      </w:pPr>
    </w:p>
    <w:tbl>
      <w:tblPr>
        <w:tblW w:w="9570" w:type="dxa"/>
        <w:jc w:val="right"/>
        <w:tblLayout w:type="fixed"/>
        <w:tblCellMar>
          <w:left w:w="70" w:type="dxa"/>
          <w:right w:w="70" w:type="dxa"/>
        </w:tblCellMar>
        <w:tblLook w:val="04A0" w:firstRow="1" w:lastRow="0" w:firstColumn="1" w:lastColumn="0" w:noHBand="0" w:noVBand="1"/>
      </w:tblPr>
      <w:tblGrid>
        <w:gridCol w:w="4875"/>
        <w:gridCol w:w="4695"/>
      </w:tblGrid>
      <w:tr w:rsidR="009E6EA8" w:rsidRPr="000B65DE" w:rsidTr="009E6EA8">
        <w:trPr>
          <w:jc w:val="right"/>
        </w:trPr>
        <w:tc>
          <w:tcPr>
            <w:tcW w:w="4875" w:type="dxa"/>
            <w:hideMark/>
          </w:tcPr>
          <w:p w:rsidR="009E6EA8" w:rsidRPr="000B65DE" w:rsidRDefault="009E6EA8" w:rsidP="00B76CE3">
            <w:pPr>
              <w:ind w:left="0"/>
              <w:jc w:val="center"/>
              <w:rPr>
                <w:rFonts w:ascii="Bookman Old Style" w:hAnsi="Bookman Old Style" w:cs="Arial"/>
                <w:b/>
                <w:spacing w:val="-3"/>
                <w:lang w:val="es-ES_tradnl"/>
              </w:rPr>
            </w:pPr>
            <w:r>
              <w:rPr>
                <w:rFonts w:ascii="Bookman Old Style" w:hAnsi="Bookman Old Style" w:cs="Arial"/>
                <w:b/>
                <w:color w:val="000000"/>
              </w:rPr>
              <w:t>ORLANDO CABRALES SEGOVIA</w:t>
            </w:r>
          </w:p>
        </w:tc>
        <w:tc>
          <w:tcPr>
            <w:tcW w:w="4695" w:type="dxa"/>
            <w:hideMark/>
          </w:tcPr>
          <w:p w:rsidR="009E6EA8" w:rsidRPr="000B65DE" w:rsidRDefault="009E6EA8" w:rsidP="00B76CE3">
            <w:pPr>
              <w:ind w:left="161" w:right="567"/>
              <w:jc w:val="center"/>
              <w:rPr>
                <w:rFonts w:ascii="Bookman Old Style" w:hAnsi="Bookman Old Style" w:cs="Arial"/>
                <w:b/>
                <w:spacing w:val="-3"/>
                <w:lang w:val="es-ES_tradnl"/>
              </w:rPr>
            </w:pPr>
            <w:r w:rsidRPr="000B65DE">
              <w:rPr>
                <w:rFonts w:ascii="Bookman Old Style" w:hAnsi="Bookman Old Style" w:cs="Arial"/>
                <w:b/>
                <w:spacing w:val="-3"/>
                <w:lang w:val="es-ES_tradnl"/>
              </w:rPr>
              <w:t>GERMÁN CASTRO FERREIRA</w:t>
            </w:r>
          </w:p>
        </w:tc>
      </w:tr>
      <w:tr w:rsidR="009E6EA8" w:rsidRPr="000B65DE" w:rsidTr="009E6EA8">
        <w:trPr>
          <w:jc w:val="right"/>
        </w:trPr>
        <w:tc>
          <w:tcPr>
            <w:tcW w:w="4875" w:type="dxa"/>
            <w:hideMark/>
          </w:tcPr>
          <w:tbl>
            <w:tblPr>
              <w:tblW w:w="4891" w:type="dxa"/>
              <w:tblLayout w:type="fixed"/>
              <w:tblCellMar>
                <w:left w:w="0" w:type="dxa"/>
                <w:right w:w="0" w:type="dxa"/>
              </w:tblCellMar>
              <w:tblLook w:val="04A0" w:firstRow="1" w:lastRow="0" w:firstColumn="1" w:lastColumn="0" w:noHBand="0" w:noVBand="1"/>
            </w:tblPr>
            <w:tblGrid>
              <w:gridCol w:w="4891"/>
            </w:tblGrid>
            <w:tr w:rsidR="009E6EA8" w:rsidTr="00B76CE3">
              <w:tc>
                <w:tcPr>
                  <w:tcW w:w="4891" w:type="dxa"/>
                  <w:hideMark/>
                </w:tcPr>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Viceministro de Energía</w:t>
                  </w:r>
                </w:p>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Delegado del Ministro de Minas y Energía</w:t>
                  </w:r>
                </w:p>
              </w:tc>
            </w:tr>
            <w:tr w:rsidR="009E6EA8" w:rsidTr="00B76CE3">
              <w:tc>
                <w:tcPr>
                  <w:tcW w:w="4891" w:type="dxa"/>
                  <w:hideMark/>
                </w:tcPr>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Presidente</w:t>
                  </w:r>
                </w:p>
              </w:tc>
            </w:tr>
          </w:tbl>
          <w:p w:rsidR="009E6EA8" w:rsidRPr="000B65DE" w:rsidRDefault="009E6EA8" w:rsidP="00B76CE3">
            <w:pPr>
              <w:ind w:left="0"/>
              <w:jc w:val="center"/>
              <w:rPr>
                <w:rFonts w:ascii="Bookman Old Style" w:hAnsi="Bookman Old Style" w:cs="Arial"/>
                <w:spacing w:val="-3"/>
                <w:lang w:val="es-ES_tradnl"/>
              </w:rPr>
            </w:pPr>
          </w:p>
        </w:tc>
        <w:tc>
          <w:tcPr>
            <w:tcW w:w="4695" w:type="dxa"/>
            <w:hideMark/>
          </w:tcPr>
          <w:p w:rsidR="009E6EA8" w:rsidRPr="000B65DE" w:rsidRDefault="009E6EA8" w:rsidP="00B76CE3">
            <w:pPr>
              <w:jc w:val="center"/>
              <w:rPr>
                <w:rFonts w:ascii="Bookman Old Style" w:hAnsi="Bookman Old Style" w:cs="Arial"/>
                <w:spacing w:val="-3"/>
                <w:lang w:val="es-ES_tradnl"/>
              </w:rPr>
            </w:pPr>
            <w:r w:rsidRPr="000B65DE">
              <w:rPr>
                <w:rFonts w:ascii="Bookman Old Style" w:hAnsi="Bookman Old Style" w:cs="Arial"/>
                <w:spacing w:val="-3"/>
                <w:lang w:val="es-ES_tradnl"/>
              </w:rPr>
              <w:t>Director Ejecutivo</w:t>
            </w:r>
          </w:p>
        </w:tc>
      </w:tr>
      <w:tr w:rsidR="009E6EA8" w:rsidRPr="000B65DE" w:rsidTr="009E6EA8">
        <w:trPr>
          <w:jc w:val="right"/>
        </w:trPr>
        <w:tc>
          <w:tcPr>
            <w:tcW w:w="4875" w:type="dxa"/>
          </w:tcPr>
          <w:p w:rsidR="009E6EA8" w:rsidRPr="000B65DE" w:rsidRDefault="009E6EA8" w:rsidP="00B76CE3">
            <w:pPr>
              <w:ind w:left="0"/>
              <w:jc w:val="center"/>
              <w:rPr>
                <w:rFonts w:ascii="Bookman Old Style" w:hAnsi="Bookman Old Style" w:cs="Arial"/>
                <w:b/>
                <w:spacing w:val="-3"/>
                <w:lang w:val="es-ES_tradnl"/>
              </w:rPr>
            </w:pPr>
          </w:p>
        </w:tc>
        <w:tc>
          <w:tcPr>
            <w:tcW w:w="4695" w:type="dxa"/>
          </w:tcPr>
          <w:p w:rsidR="009E6EA8" w:rsidRPr="000B65DE" w:rsidRDefault="009E6EA8" w:rsidP="00B76CE3">
            <w:pPr>
              <w:ind w:left="161" w:right="567"/>
              <w:jc w:val="center"/>
              <w:rPr>
                <w:rFonts w:ascii="Bookman Old Style" w:hAnsi="Bookman Old Style" w:cs="Arial"/>
                <w:b/>
                <w:spacing w:val="-3"/>
                <w:lang w:val="es-ES_tradnl"/>
              </w:rPr>
            </w:pPr>
          </w:p>
        </w:tc>
      </w:tr>
    </w:tbl>
    <w:p w:rsidR="007160B8" w:rsidRDefault="00E528F6" w:rsidP="00E528F6">
      <w:pPr>
        <w:ind w:left="0"/>
        <w:rPr>
          <w:rFonts w:ascii="Bookman Old Style" w:hAnsi="Bookman Old Style"/>
          <w:b/>
          <w:lang w:val="es-ES_tradnl"/>
        </w:rPr>
      </w:pPr>
      <w:r>
        <w:rPr>
          <w:rFonts w:ascii="Bookman Old Style" w:hAnsi="Bookman Old Style"/>
          <w:b/>
          <w:lang w:val="es-ES_tradnl"/>
        </w:rPr>
        <w:t xml:space="preserve">                                                </w:t>
      </w:r>
    </w:p>
    <w:p w:rsidR="00E528F6" w:rsidRDefault="00E528F6" w:rsidP="007160B8">
      <w:pPr>
        <w:ind w:left="0"/>
        <w:jc w:val="center"/>
        <w:rPr>
          <w:rFonts w:ascii="Bookman Old Style" w:hAnsi="Bookman Old Style"/>
          <w:b/>
          <w:lang w:val="es-ES_tradnl"/>
        </w:rPr>
      </w:pPr>
      <w:r>
        <w:rPr>
          <w:rFonts w:ascii="Bookman Old Style" w:hAnsi="Bookman Old Style"/>
          <w:b/>
          <w:lang w:val="es-ES_tradnl"/>
        </w:rPr>
        <w:t>ANEXO 12</w:t>
      </w:r>
    </w:p>
    <w:p w:rsidR="000B65DE" w:rsidRPr="000B65DE" w:rsidRDefault="000B65DE" w:rsidP="000B65DE">
      <w:pPr>
        <w:ind w:left="0"/>
        <w:jc w:val="center"/>
        <w:rPr>
          <w:rFonts w:ascii="Bookman Old Style" w:hAnsi="Bookman Old Style"/>
          <w:b/>
          <w:lang w:val="es-ES_tradnl"/>
        </w:rPr>
      </w:pPr>
      <w:r w:rsidRPr="000B65DE">
        <w:rPr>
          <w:rFonts w:ascii="Bookman Old Style" w:hAnsi="Bookman Old Style"/>
          <w:b/>
          <w:lang w:val="es-ES_tradnl"/>
        </w:rPr>
        <w:t>REPORTE A PRESENTAR EN LA SOLICITUD DE CARGOS</w:t>
      </w:r>
    </w:p>
    <w:p w:rsidR="000B65DE" w:rsidRPr="000B65DE" w:rsidRDefault="000B65DE" w:rsidP="000B65DE">
      <w:pPr>
        <w:ind w:left="0"/>
        <w:jc w:val="center"/>
        <w:outlineLvl w:val="0"/>
        <w:rPr>
          <w:rFonts w:ascii="Bookman Old Style" w:hAnsi="Bookman Old Style"/>
          <w:b/>
          <w:lang w:val="es-ES_tradnl"/>
        </w:rPr>
      </w:pPr>
      <w:r w:rsidRPr="000B65DE">
        <w:rPr>
          <w:rFonts w:ascii="Bookman Old Style" w:hAnsi="Bookman Old Style"/>
          <w:b/>
          <w:lang w:val="es-ES_tradnl"/>
        </w:rPr>
        <w:t>PROYECCIÓN DE VENTAS – PROYECCIÓN NÚMERO DE CONEXIONES Y VOLUMEN</w:t>
      </w:r>
    </w:p>
    <w:p w:rsidR="000B65DE" w:rsidRPr="000B65DE" w:rsidRDefault="000B65DE" w:rsidP="000B65DE">
      <w:pPr>
        <w:ind w:left="0"/>
        <w:jc w:val="center"/>
        <w:rPr>
          <w:rFonts w:ascii="Bookman Old Style" w:hAnsi="Bookman Old Style"/>
          <w:lang w:val="es-ES_tradnl"/>
        </w:rPr>
      </w:pPr>
      <w:r w:rsidRPr="000B65DE">
        <w:rPr>
          <w:rFonts w:ascii="Bookman Old Style" w:hAnsi="Bookman Old Style"/>
          <w:b/>
          <w:lang w:val="es-ES_tradnl"/>
        </w:rPr>
        <w:t>MUNICIPIOS NUEVOS Y MERCADOS NUEVOS</w:t>
      </w:r>
    </w:p>
    <w:p w:rsidR="000B65DE" w:rsidRPr="000B65DE" w:rsidRDefault="000B65DE" w:rsidP="000B65DE">
      <w:pPr>
        <w:ind w:left="0"/>
        <w:jc w:val="center"/>
        <w:rPr>
          <w:rFonts w:ascii="Bookman Old Style" w:hAnsi="Bookman Old Style"/>
          <w:b/>
          <w:lang w:val="es-ES_tradnl"/>
        </w:rPr>
      </w:pPr>
    </w:p>
    <w:tbl>
      <w:tblPr>
        <w:tblW w:w="0" w:type="auto"/>
        <w:jc w:val="center"/>
        <w:tblLayout w:type="fixed"/>
        <w:tblCellMar>
          <w:left w:w="0" w:type="dxa"/>
          <w:right w:w="0" w:type="dxa"/>
        </w:tblCellMar>
        <w:tblLook w:val="0000" w:firstRow="0" w:lastRow="0" w:firstColumn="0" w:lastColumn="0" w:noHBand="0" w:noVBand="0"/>
      </w:tblPr>
      <w:tblGrid>
        <w:gridCol w:w="10"/>
        <w:gridCol w:w="1871"/>
        <w:gridCol w:w="10"/>
        <w:gridCol w:w="184"/>
        <w:gridCol w:w="166"/>
        <w:gridCol w:w="10"/>
        <w:gridCol w:w="350"/>
        <w:gridCol w:w="10"/>
        <w:gridCol w:w="350"/>
        <w:gridCol w:w="10"/>
        <w:gridCol w:w="350"/>
        <w:gridCol w:w="10"/>
        <w:gridCol w:w="350"/>
        <w:gridCol w:w="10"/>
        <w:gridCol w:w="350"/>
        <w:gridCol w:w="10"/>
        <w:gridCol w:w="319"/>
        <w:gridCol w:w="31"/>
        <w:gridCol w:w="10"/>
        <w:gridCol w:w="350"/>
        <w:gridCol w:w="10"/>
        <w:gridCol w:w="350"/>
        <w:gridCol w:w="10"/>
        <w:gridCol w:w="350"/>
        <w:gridCol w:w="10"/>
        <w:gridCol w:w="352"/>
        <w:gridCol w:w="10"/>
        <w:gridCol w:w="352"/>
        <w:gridCol w:w="10"/>
        <w:gridCol w:w="352"/>
        <w:gridCol w:w="10"/>
        <w:gridCol w:w="138"/>
        <w:gridCol w:w="214"/>
        <w:gridCol w:w="10"/>
        <w:gridCol w:w="352"/>
        <w:gridCol w:w="10"/>
        <w:gridCol w:w="352"/>
        <w:gridCol w:w="10"/>
        <w:gridCol w:w="352"/>
        <w:gridCol w:w="10"/>
        <w:gridCol w:w="352"/>
        <w:gridCol w:w="10"/>
        <w:gridCol w:w="352"/>
        <w:gridCol w:w="10"/>
        <w:gridCol w:w="352"/>
        <w:gridCol w:w="15"/>
      </w:tblGrid>
      <w:tr w:rsidR="000B65DE" w:rsidRPr="000B65DE" w:rsidTr="00382E27">
        <w:trPr>
          <w:trHeight w:val="255"/>
          <w:jc w:val="center"/>
        </w:trPr>
        <w:tc>
          <w:tcPr>
            <w:tcW w:w="2075" w:type="dxa"/>
            <w:gridSpan w:val="4"/>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r w:rsidRPr="000B65DE">
              <w:rPr>
                <w:rFonts w:ascii="Bookman Old Style" w:hAnsi="Bookman Old Style"/>
                <w:b/>
                <w:sz w:val="22"/>
                <w:szCs w:val="22"/>
                <w:lang w:val="es-ES_tradnl"/>
              </w:rPr>
              <w:t>MUNICIPIO</w:t>
            </w:r>
          </w:p>
        </w:tc>
        <w:tc>
          <w:tcPr>
            <w:tcW w:w="2295" w:type="dxa"/>
            <w:gridSpan w:val="13"/>
            <w:tcBorders>
              <w:top w:val="single" w:sz="4" w:space="0" w:color="auto"/>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p>
        </w:tc>
        <w:tc>
          <w:tcPr>
            <w:tcW w:w="2345" w:type="dxa"/>
            <w:gridSpan w:val="15"/>
            <w:tcBorders>
              <w:top w:val="single" w:sz="4" w:space="0" w:color="auto"/>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r w:rsidRPr="000B65DE">
              <w:rPr>
                <w:rFonts w:ascii="Bookman Old Style" w:hAnsi="Bookman Old Style"/>
                <w:b/>
                <w:sz w:val="22"/>
                <w:szCs w:val="22"/>
                <w:lang w:val="es-ES_tradnl"/>
              </w:rPr>
              <w:t>CÓDIGO DANE</w:t>
            </w:r>
          </w:p>
        </w:tc>
        <w:tc>
          <w:tcPr>
            <w:tcW w:w="2401" w:type="dxa"/>
            <w:gridSpan w:val="14"/>
            <w:tcBorders>
              <w:top w:val="single" w:sz="4" w:space="0" w:color="auto"/>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p>
        </w:tc>
      </w:tr>
      <w:tr w:rsidR="000B65DE" w:rsidRPr="000B65DE" w:rsidTr="00382E27">
        <w:trPr>
          <w:gridBefore w:val="1"/>
          <w:wBefore w:w="10" w:type="dxa"/>
          <w:trHeight w:val="255"/>
          <w:jc w:val="center"/>
        </w:trPr>
        <w:tc>
          <w:tcPr>
            <w:tcW w:w="1881"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r w:rsidRPr="000B65DE">
              <w:rPr>
                <w:rFonts w:ascii="Bookman Old Style" w:hAnsi="Bookman Old Style"/>
                <w:b/>
                <w:sz w:val="22"/>
                <w:szCs w:val="22"/>
                <w:lang w:val="es-ES_tradnl"/>
              </w:rPr>
              <w:t>USUARIO</w:t>
            </w:r>
          </w:p>
        </w:tc>
        <w:tc>
          <w:tcPr>
            <w:tcW w:w="7225" w:type="dxa"/>
            <w:gridSpan w:val="43"/>
            <w:tcBorders>
              <w:top w:val="single" w:sz="4" w:space="0" w:color="auto"/>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r w:rsidRPr="000B65DE">
              <w:rPr>
                <w:rFonts w:ascii="Bookman Old Style" w:hAnsi="Bookman Old Style"/>
                <w:b/>
                <w:sz w:val="22"/>
                <w:szCs w:val="22"/>
                <w:lang w:val="es-ES_tradnl"/>
              </w:rPr>
              <w:t>CONEXIONES (suscriptores por año)</w:t>
            </w:r>
          </w:p>
        </w:tc>
      </w:tr>
      <w:tr w:rsidR="000B65DE" w:rsidRPr="000B65DE" w:rsidTr="00382E27">
        <w:trPr>
          <w:gridAfter w:val="1"/>
          <w:wAfter w:w="15" w:type="dxa"/>
          <w:trHeight w:val="255"/>
          <w:jc w:val="center"/>
        </w:trPr>
        <w:tc>
          <w:tcPr>
            <w:tcW w:w="1881" w:type="dxa"/>
            <w:gridSpan w:val="2"/>
            <w:tcBorders>
              <w:top w:val="nil"/>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szCs w:val="22"/>
                <w:lang w:val="es-ES_tradnl"/>
              </w:rPr>
            </w:pPr>
            <w:r w:rsidRPr="000B65DE">
              <w:rPr>
                <w:rFonts w:ascii="Bookman Old Style" w:hAnsi="Bookman Old Style"/>
                <w:sz w:val="22"/>
                <w:szCs w:val="22"/>
                <w:lang w:val="es-ES_tradnl"/>
              </w:rPr>
              <w:t>Residencial</w:t>
            </w:r>
          </w:p>
        </w:tc>
        <w:tc>
          <w:tcPr>
            <w:tcW w:w="360" w:type="dxa"/>
            <w:gridSpan w:val="3"/>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center"/>
              <w:textAlignment w:val="center"/>
              <w:rPr>
                <w:rFonts w:ascii="Bookman Old Style" w:hAnsi="Bookman Old Style"/>
                <w:b/>
                <w:sz w:val="22"/>
                <w:szCs w:val="22"/>
                <w:lang w:val="es-ES_tradnl"/>
              </w:rPr>
            </w:pPr>
            <w:r w:rsidRPr="000B65DE">
              <w:rPr>
                <w:rFonts w:ascii="Bookman Old Style" w:hAnsi="Bookman Old Style"/>
                <w:b/>
                <w:sz w:val="22"/>
                <w:szCs w:val="22"/>
                <w:lang w:val="es-ES_tradnl"/>
              </w:rPr>
              <w:t xml:space="preserve"> 1</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center"/>
              <w:textAlignment w:val="center"/>
              <w:rPr>
                <w:rFonts w:ascii="Bookman Old Style" w:hAnsi="Bookman Old Style"/>
                <w:b/>
                <w:sz w:val="22"/>
                <w:szCs w:val="22"/>
                <w:lang w:val="es-ES_tradnl"/>
              </w:rPr>
            </w:pPr>
            <w:r w:rsidRPr="000B65DE">
              <w:rPr>
                <w:rFonts w:ascii="Bookman Old Style" w:hAnsi="Bookman Old Style"/>
                <w:b/>
                <w:sz w:val="22"/>
                <w:szCs w:val="22"/>
                <w:lang w:val="es-ES_tradnl"/>
              </w:rPr>
              <w:t xml:space="preserve"> 2</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r w:rsidRPr="000B65DE">
              <w:rPr>
                <w:rFonts w:ascii="Bookman Old Style" w:hAnsi="Bookman Old Style"/>
                <w:b/>
                <w:sz w:val="22"/>
                <w:szCs w:val="22"/>
                <w:lang w:val="es-ES_tradnl"/>
              </w:rPr>
              <w:t xml:space="preserve"> 3</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r w:rsidRPr="000B65DE">
              <w:rPr>
                <w:rFonts w:ascii="Bookman Old Style" w:hAnsi="Bookman Old Style"/>
                <w:b/>
                <w:sz w:val="22"/>
                <w:szCs w:val="22"/>
                <w:lang w:val="es-ES_tradnl"/>
              </w:rPr>
              <w:t xml:space="preserve"> 4</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r w:rsidRPr="000B65DE">
              <w:rPr>
                <w:rFonts w:ascii="Bookman Old Style" w:hAnsi="Bookman Old Style"/>
                <w:b/>
                <w:sz w:val="22"/>
                <w:szCs w:val="22"/>
                <w:lang w:val="es-ES_tradnl"/>
              </w:rPr>
              <w:t xml:space="preserve"> 5</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r w:rsidRPr="000B65DE">
              <w:rPr>
                <w:rFonts w:ascii="Bookman Old Style" w:hAnsi="Bookman Old Style"/>
                <w:b/>
                <w:sz w:val="22"/>
                <w:szCs w:val="22"/>
                <w:lang w:val="es-ES_tradnl"/>
              </w:rPr>
              <w:t xml:space="preserve"> 6</w:t>
            </w:r>
          </w:p>
        </w:tc>
        <w:tc>
          <w:tcPr>
            <w:tcW w:w="360" w:type="dxa"/>
            <w:gridSpan w:val="3"/>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r w:rsidRPr="000B65DE">
              <w:rPr>
                <w:rFonts w:ascii="Bookman Old Style" w:hAnsi="Bookman Old Style"/>
                <w:b/>
                <w:sz w:val="22"/>
                <w:szCs w:val="22"/>
                <w:lang w:val="es-ES_tradnl"/>
              </w:rPr>
              <w:t xml:space="preserve"> 7</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r w:rsidRPr="000B65DE">
              <w:rPr>
                <w:rFonts w:ascii="Bookman Old Style" w:hAnsi="Bookman Old Style"/>
                <w:b/>
                <w:sz w:val="22"/>
                <w:szCs w:val="22"/>
                <w:lang w:val="es-ES_tradnl"/>
              </w:rPr>
              <w:t xml:space="preserve"> 8</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r w:rsidRPr="000B65DE">
              <w:rPr>
                <w:rFonts w:ascii="Bookman Old Style" w:hAnsi="Bookman Old Style"/>
                <w:b/>
                <w:sz w:val="22"/>
                <w:szCs w:val="22"/>
                <w:lang w:val="es-ES_tradnl"/>
              </w:rPr>
              <w:t xml:space="preserve"> 9</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r w:rsidRPr="000B65DE">
              <w:rPr>
                <w:rFonts w:ascii="Bookman Old Style" w:hAnsi="Bookman Old Style"/>
                <w:b/>
                <w:sz w:val="22"/>
                <w:szCs w:val="22"/>
                <w:lang w:val="es-ES_tradnl"/>
              </w:rPr>
              <w:t xml:space="preserve"> 10</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r w:rsidRPr="000B65DE">
              <w:rPr>
                <w:rFonts w:ascii="Bookman Old Style" w:hAnsi="Bookman Old Style"/>
                <w:b/>
                <w:sz w:val="22"/>
                <w:szCs w:val="22"/>
                <w:lang w:val="es-ES_tradnl"/>
              </w:rPr>
              <w:t xml:space="preserve"> 11</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r w:rsidRPr="000B65DE">
              <w:rPr>
                <w:rFonts w:ascii="Bookman Old Style" w:hAnsi="Bookman Old Style"/>
                <w:b/>
                <w:sz w:val="22"/>
                <w:szCs w:val="22"/>
                <w:lang w:val="es-ES_tradnl"/>
              </w:rPr>
              <w:t xml:space="preserve"> 12</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r w:rsidRPr="000B65DE">
              <w:rPr>
                <w:rFonts w:ascii="Bookman Old Style" w:hAnsi="Bookman Old Style"/>
                <w:b/>
                <w:sz w:val="22"/>
                <w:szCs w:val="22"/>
                <w:lang w:val="es-ES_tradnl"/>
              </w:rPr>
              <w:t xml:space="preserve"> 13</w:t>
            </w:r>
          </w:p>
        </w:tc>
        <w:tc>
          <w:tcPr>
            <w:tcW w:w="362" w:type="dxa"/>
            <w:gridSpan w:val="3"/>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r w:rsidRPr="000B65DE">
              <w:rPr>
                <w:rFonts w:ascii="Bookman Old Style" w:hAnsi="Bookman Old Style"/>
                <w:b/>
                <w:sz w:val="22"/>
                <w:szCs w:val="22"/>
                <w:lang w:val="es-ES_tradnl"/>
              </w:rPr>
              <w:t xml:space="preserve"> 14</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r w:rsidRPr="000B65DE">
              <w:rPr>
                <w:rFonts w:ascii="Bookman Old Style" w:hAnsi="Bookman Old Style"/>
                <w:b/>
                <w:sz w:val="22"/>
                <w:szCs w:val="22"/>
                <w:lang w:val="es-ES_tradnl"/>
              </w:rPr>
              <w:t xml:space="preserve"> 15</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r w:rsidRPr="000B65DE">
              <w:rPr>
                <w:rFonts w:ascii="Bookman Old Style" w:hAnsi="Bookman Old Style"/>
                <w:b/>
                <w:sz w:val="22"/>
                <w:szCs w:val="22"/>
                <w:lang w:val="es-ES_tradnl"/>
              </w:rPr>
              <w:t xml:space="preserve"> 16</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r w:rsidRPr="000B65DE">
              <w:rPr>
                <w:rFonts w:ascii="Bookman Old Style" w:hAnsi="Bookman Old Style"/>
                <w:b/>
                <w:sz w:val="22"/>
                <w:szCs w:val="22"/>
                <w:lang w:val="es-ES_tradnl"/>
              </w:rPr>
              <w:t xml:space="preserve"> 17</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r w:rsidRPr="000B65DE">
              <w:rPr>
                <w:rFonts w:ascii="Bookman Old Style" w:hAnsi="Bookman Old Style"/>
                <w:b/>
                <w:sz w:val="22"/>
                <w:szCs w:val="22"/>
                <w:lang w:val="es-ES_tradnl"/>
              </w:rPr>
              <w:t xml:space="preserve"> 18</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r w:rsidRPr="000B65DE">
              <w:rPr>
                <w:rFonts w:ascii="Bookman Old Style" w:hAnsi="Bookman Old Style"/>
                <w:b/>
                <w:sz w:val="22"/>
                <w:szCs w:val="22"/>
                <w:lang w:val="es-ES_tradnl"/>
              </w:rPr>
              <w:t xml:space="preserve"> 19</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szCs w:val="22"/>
                <w:lang w:val="es-ES_tradnl"/>
              </w:rPr>
            </w:pPr>
            <w:r w:rsidRPr="000B65DE">
              <w:rPr>
                <w:rFonts w:ascii="Bookman Old Style" w:hAnsi="Bookman Old Style"/>
                <w:b/>
                <w:sz w:val="22"/>
                <w:szCs w:val="22"/>
                <w:lang w:val="es-ES_tradnl"/>
              </w:rPr>
              <w:t xml:space="preserve"> 20</w:t>
            </w:r>
          </w:p>
        </w:tc>
      </w:tr>
      <w:tr w:rsidR="000B65DE" w:rsidRPr="000B65DE" w:rsidTr="00382E27">
        <w:trPr>
          <w:gridBefore w:val="1"/>
          <w:wBefore w:w="10" w:type="dxa"/>
          <w:trHeight w:val="255"/>
          <w:jc w:val="center"/>
        </w:trPr>
        <w:tc>
          <w:tcPr>
            <w:tcW w:w="1881" w:type="dxa"/>
            <w:gridSpan w:val="2"/>
            <w:tcBorders>
              <w:top w:val="nil"/>
              <w:left w:val="single" w:sz="4" w:space="0" w:color="auto"/>
              <w:bottom w:val="nil"/>
              <w:right w:val="single" w:sz="4" w:space="0" w:color="auto"/>
            </w:tcBorders>
            <w:vAlign w:val="bottom"/>
          </w:tcPr>
          <w:p w:rsidR="000B65DE" w:rsidRPr="000B65DE" w:rsidRDefault="000B65DE" w:rsidP="000B65DE">
            <w:pPr>
              <w:ind w:left="0" w:firstLine="156"/>
              <w:jc w:val="both"/>
              <w:rPr>
                <w:rFonts w:ascii="Bookman Old Style" w:hAnsi="Bookman Old Style"/>
                <w:sz w:val="22"/>
                <w:szCs w:val="22"/>
                <w:lang w:val="es-ES_tradnl"/>
              </w:rPr>
            </w:pPr>
            <w:r w:rsidRPr="000B65DE">
              <w:rPr>
                <w:rFonts w:ascii="Bookman Old Style" w:hAnsi="Bookman Old Style"/>
                <w:sz w:val="22"/>
                <w:szCs w:val="22"/>
                <w:lang w:val="es-ES_tradnl"/>
              </w:rPr>
              <w:t>Estrato 1</w:t>
            </w:r>
          </w:p>
        </w:tc>
        <w:tc>
          <w:tcPr>
            <w:tcW w:w="360" w:type="dxa"/>
            <w:gridSpan w:val="3"/>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3"/>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3"/>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7"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r>
      <w:tr w:rsidR="000B65DE" w:rsidRPr="000B65DE" w:rsidTr="00382E27">
        <w:trPr>
          <w:gridBefore w:val="1"/>
          <w:wBefore w:w="10" w:type="dxa"/>
          <w:trHeight w:val="255"/>
          <w:jc w:val="center"/>
        </w:trPr>
        <w:tc>
          <w:tcPr>
            <w:tcW w:w="1881" w:type="dxa"/>
            <w:gridSpan w:val="2"/>
            <w:tcBorders>
              <w:top w:val="nil"/>
              <w:left w:val="single" w:sz="4" w:space="0" w:color="auto"/>
              <w:bottom w:val="nil"/>
              <w:right w:val="single" w:sz="4" w:space="0" w:color="auto"/>
            </w:tcBorders>
            <w:vAlign w:val="bottom"/>
          </w:tcPr>
          <w:p w:rsidR="000B65DE" w:rsidRPr="000B65DE" w:rsidRDefault="000B65DE" w:rsidP="000B65DE">
            <w:pPr>
              <w:spacing w:before="100" w:beforeAutospacing="1" w:after="100" w:afterAutospacing="1"/>
              <w:ind w:left="0" w:firstLine="156"/>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Estrato 2</w:t>
            </w:r>
          </w:p>
        </w:tc>
        <w:tc>
          <w:tcPr>
            <w:tcW w:w="360" w:type="dxa"/>
            <w:gridSpan w:val="3"/>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3"/>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3"/>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7"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r>
      <w:tr w:rsidR="000B65DE" w:rsidRPr="000B65DE" w:rsidTr="00382E27">
        <w:trPr>
          <w:gridBefore w:val="1"/>
          <w:wBefore w:w="10" w:type="dxa"/>
          <w:trHeight w:val="255"/>
          <w:jc w:val="center"/>
        </w:trPr>
        <w:tc>
          <w:tcPr>
            <w:tcW w:w="1881" w:type="dxa"/>
            <w:gridSpan w:val="2"/>
            <w:tcBorders>
              <w:top w:val="nil"/>
              <w:left w:val="single" w:sz="4" w:space="0" w:color="auto"/>
              <w:bottom w:val="nil"/>
              <w:right w:val="single" w:sz="4" w:space="0" w:color="auto"/>
            </w:tcBorders>
            <w:vAlign w:val="bottom"/>
          </w:tcPr>
          <w:p w:rsidR="000B65DE" w:rsidRPr="000B65DE" w:rsidRDefault="000B65DE" w:rsidP="000B65DE">
            <w:pPr>
              <w:spacing w:before="100" w:beforeAutospacing="1" w:after="100" w:afterAutospacing="1"/>
              <w:ind w:left="0" w:firstLine="156"/>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Estrato 3</w:t>
            </w:r>
          </w:p>
        </w:tc>
        <w:tc>
          <w:tcPr>
            <w:tcW w:w="360" w:type="dxa"/>
            <w:gridSpan w:val="3"/>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CO"/>
              </w:rPr>
            </w:pPr>
            <w:r w:rsidRPr="000B65DE">
              <w:rPr>
                <w:rFonts w:ascii="Bookman Old Style" w:hAnsi="Bookman Old Style"/>
                <w:sz w:val="22"/>
                <w:szCs w:val="22"/>
                <w:lang w:val="es-CO"/>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3"/>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3"/>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7"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r>
      <w:tr w:rsidR="000B65DE" w:rsidRPr="000B65DE" w:rsidTr="00382E27">
        <w:trPr>
          <w:gridBefore w:val="1"/>
          <w:wBefore w:w="10" w:type="dxa"/>
          <w:trHeight w:val="255"/>
          <w:jc w:val="center"/>
        </w:trPr>
        <w:tc>
          <w:tcPr>
            <w:tcW w:w="1881" w:type="dxa"/>
            <w:gridSpan w:val="2"/>
            <w:tcBorders>
              <w:top w:val="nil"/>
              <w:left w:val="single" w:sz="4" w:space="0" w:color="auto"/>
              <w:bottom w:val="nil"/>
              <w:right w:val="single" w:sz="4" w:space="0" w:color="auto"/>
            </w:tcBorders>
            <w:vAlign w:val="bottom"/>
          </w:tcPr>
          <w:p w:rsidR="000B65DE" w:rsidRPr="000B65DE" w:rsidRDefault="000B65DE" w:rsidP="000B65DE">
            <w:pPr>
              <w:spacing w:before="100" w:beforeAutospacing="1" w:after="100" w:afterAutospacing="1"/>
              <w:ind w:left="0" w:firstLine="156"/>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Estrato 4</w:t>
            </w:r>
          </w:p>
        </w:tc>
        <w:tc>
          <w:tcPr>
            <w:tcW w:w="360" w:type="dxa"/>
            <w:gridSpan w:val="3"/>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3"/>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3"/>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7"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r>
      <w:tr w:rsidR="000B65DE" w:rsidRPr="000B65DE" w:rsidTr="00382E27">
        <w:trPr>
          <w:gridBefore w:val="1"/>
          <w:wBefore w:w="10" w:type="dxa"/>
          <w:trHeight w:val="255"/>
          <w:jc w:val="center"/>
        </w:trPr>
        <w:tc>
          <w:tcPr>
            <w:tcW w:w="1881" w:type="dxa"/>
            <w:gridSpan w:val="2"/>
            <w:tcBorders>
              <w:top w:val="nil"/>
              <w:left w:val="single" w:sz="4" w:space="0" w:color="auto"/>
              <w:bottom w:val="nil"/>
              <w:right w:val="single" w:sz="4" w:space="0" w:color="auto"/>
            </w:tcBorders>
            <w:vAlign w:val="bottom"/>
          </w:tcPr>
          <w:p w:rsidR="000B65DE" w:rsidRPr="000B65DE" w:rsidRDefault="000B65DE" w:rsidP="000B65DE">
            <w:pPr>
              <w:spacing w:before="100" w:beforeAutospacing="1" w:after="100" w:afterAutospacing="1"/>
              <w:ind w:left="0" w:firstLine="156"/>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Estrato 5</w:t>
            </w:r>
          </w:p>
        </w:tc>
        <w:tc>
          <w:tcPr>
            <w:tcW w:w="360" w:type="dxa"/>
            <w:gridSpan w:val="3"/>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3"/>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3"/>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7"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r>
      <w:tr w:rsidR="000B65DE" w:rsidRPr="000B65DE" w:rsidTr="00382E27">
        <w:trPr>
          <w:gridBefore w:val="1"/>
          <w:wBefore w:w="10" w:type="dxa"/>
          <w:trHeight w:val="255"/>
          <w:jc w:val="center"/>
        </w:trPr>
        <w:tc>
          <w:tcPr>
            <w:tcW w:w="1881" w:type="dxa"/>
            <w:gridSpan w:val="2"/>
            <w:tcBorders>
              <w:top w:val="nil"/>
              <w:left w:val="single" w:sz="4" w:space="0" w:color="auto"/>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firstLine="156"/>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Estrato 6</w:t>
            </w:r>
          </w:p>
        </w:tc>
        <w:tc>
          <w:tcPr>
            <w:tcW w:w="360" w:type="dxa"/>
            <w:gridSpan w:val="3"/>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CO"/>
              </w:rPr>
            </w:pPr>
            <w:r w:rsidRPr="000B65DE">
              <w:rPr>
                <w:rFonts w:ascii="Bookman Old Style" w:hAnsi="Bookman Old Style"/>
                <w:sz w:val="22"/>
                <w:szCs w:val="22"/>
                <w:lang w:val="es-CO"/>
              </w:rPr>
              <w:t> </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3"/>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3"/>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7"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r>
      <w:tr w:rsidR="000B65DE" w:rsidRPr="000B65DE" w:rsidTr="00382E27">
        <w:trPr>
          <w:gridBefore w:val="1"/>
          <w:wBefore w:w="10" w:type="dxa"/>
          <w:trHeight w:val="255"/>
          <w:jc w:val="center"/>
        </w:trPr>
        <w:tc>
          <w:tcPr>
            <w:tcW w:w="1881" w:type="dxa"/>
            <w:gridSpan w:val="2"/>
            <w:tcBorders>
              <w:top w:val="single" w:sz="4" w:space="0" w:color="auto"/>
              <w:left w:val="single" w:sz="4" w:space="0" w:color="auto"/>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Comercial</w:t>
            </w:r>
          </w:p>
        </w:tc>
        <w:tc>
          <w:tcPr>
            <w:tcW w:w="360" w:type="dxa"/>
            <w:gridSpan w:val="3"/>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3"/>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3"/>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7"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r>
      <w:tr w:rsidR="000B65DE" w:rsidRPr="000B65DE" w:rsidTr="00382E27">
        <w:trPr>
          <w:gridBefore w:val="1"/>
          <w:wBefore w:w="10" w:type="dxa"/>
          <w:trHeight w:val="255"/>
          <w:jc w:val="center"/>
        </w:trPr>
        <w:tc>
          <w:tcPr>
            <w:tcW w:w="1881" w:type="dxa"/>
            <w:gridSpan w:val="2"/>
            <w:tcBorders>
              <w:top w:val="single" w:sz="4" w:space="0" w:color="auto"/>
              <w:left w:val="single" w:sz="4" w:space="0" w:color="auto"/>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Industrial</w:t>
            </w:r>
          </w:p>
        </w:tc>
        <w:tc>
          <w:tcPr>
            <w:tcW w:w="360" w:type="dxa"/>
            <w:gridSpan w:val="3"/>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3"/>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3"/>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7"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r>
      <w:tr w:rsidR="000B65DE" w:rsidRPr="000B65DE" w:rsidTr="00382E27">
        <w:trPr>
          <w:gridBefore w:val="1"/>
          <w:wBefore w:w="10" w:type="dxa"/>
          <w:trHeight w:val="255"/>
          <w:jc w:val="center"/>
        </w:trPr>
        <w:tc>
          <w:tcPr>
            <w:tcW w:w="1881" w:type="dxa"/>
            <w:gridSpan w:val="2"/>
            <w:tcBorders>
              <w:top w:val="single" w:sz="4" w:space="0" w:color="auto"/>
              <w:left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GNCV</w:t>
            </w:r>
          </w:p>
        </w:tc>
        <w:tc>
          <w:tcPr>
            <w:tcW w:w="360" w:type="dxa"/>
            <w:gridSpan w:val="3"/>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3"/>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0"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3"/>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2"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c>
          <w:tcPr>
            <w:tcW w:w="367"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 </w:t>
            </w:r>
          </w:p>
        </w:tc>
      </w:tr>
      <w:tr w:rsidR="000B65DE" w:rsidRPr="000B65DE" w:rsidTr="00382E27">
        <w:trPr>
          <w:gridBefore w:val="1"/>
          <w:wBefore w:w="10" w:type="dxa"/>
          <w:trHeight w:val="255"/>
          <w:jc w:val="center"/>
        </w:trPr>
        <w:tc>
          <w:tcPr>
            <w:tcW w:w="1881"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szCs w:val="22"/>
                <w:lang w:val="es-ES_tradnl"/>
              </w:rPr>
            </w:pPr>
            <w:r w:rsidRPr="000B65DE">
              <w:rPr>
                <w:rFonts w:ascii="Bookman Old Style" w:hAnsi="Bookman Old Style"/>
                <w:sz w:val="22"/>
                <w:szCs w:val="22"/>
                <w:lang w:val="es-ES_tradnl"/>
              </w:rPr>
              <w:t>Otros Usuarios</w:t>
            </w:r>
          </w:p>
        </w:tc>
        <w:tc>
          <w:tcPr>
            <w:tcW w:w="360" w:type="dxa"/>
            <w:gridSpan w:val="3"/>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szCs w:val="22"/>
                <w:lang w:val="es-ES_tradnl"/>
              </w:rPr>
            </w:pPr>
          </w:p>
        </w:tc>
        <w:tc>
          <w:tcPr>
            <w:tcW w:w="360"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szCs w:val="22"/>
                <w:lang w:val="es-ES_tradnl"/>
              </w:rPr>
            </w:pPr>
          </w:p>
        </w:tc>
        <w:tc>
          <w:tcPr>
            <w:tcW w:w="360"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szCs w:val="22"/>
                <w:lang w:val="es-ES_tradnl"/>
              </w:rPr>
            </w:pPr>
          </w:p>
        </w:tc>
        <w:tc>
          <w:tcPr>
            <w:tcW w:w="360"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szCs w:val="22"/>
                <w:lang w:val="es-ES_tradnl"/>
              </w:rPr>
            </w:pPr>
          </w:p>
        </w:tc>
        <w:tc>
          <w:tcPr>
            <w:tcW w:w="360"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szCs w:val="22"/>
                <w:lang w:val="es-ES_tradnl"/>
              </w:rPr>
            </w:pPr>
          </w:p>
        </w:tc>
        <w:tc>
          <w:tcPr>
            <w:tcW w:w="360"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szCs w:val="22"/>
                <w:lang w:val="es-ES_tradnl"/>
              </w:rPr>
            </w:pPr>
          </w:p>
        </w:tc>
        <w:tc>
          <w:tcPr>
            <w:tcW w:w="360" w:type="dxa"/>
            <w:gridSpan w:val="3"/>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szCs w:val="22"/>
                <w:lang w:val="es-ES_tradnl"/>
              </w:rPr>
            </w:pPr>
          </w:p>
        </w:tc>
        <w:tc>
          <w:tcPr>
            <w:tcW w:w="360"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szCs w:val="22"/>
                <w:lang w:val="es-ES_tradnl"/>
              </w:rPr>
            </w:pPr>
          </w:p>
        </w:tc>
        <w:tc>
          <w:tcPr>
            <w:tcW w:w="360"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szCs w:val="22"/>
                <w:lang w:val="es-ES_tradnl"/>
              </w:rPr>
            </w:pPr>
          </w:p>
        </w:tc>
        <w:tc>
          <w:tcPr>
            <w:tcW w:w="360"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szCs w:val="22"/>
                <w:lang w:val="es-ES_tradnl"/>
              </w:rPr>
            </w:pPr>
          </w:p>
        </w:tc>
        <w:tc>
          <w:tcPr>
            <w:tcW w:w="362"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szCs w:val="22"/>
                <w:lang w:val="es-ES_tradnl"/>
              </w:rPr>
            </w:pPr>
          </w:p>
        </w:tc>
        <w:tc>
          <w:tcPr>
            <w:tcW w:w="362"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szCs w:val="22"/>
                <w:lang w:val="es-ES_tradnl"/>
              </w:rPr>
            </w:pPr>
          </w:p>
        </w:tc>
        <w:tc>
          <w:tcPr>
            <w:tcW w:w="362"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szCs w:val="22"/>
                <w:lang w:val="es-ES_tradnl"/>
              </w:rPr>
            </w:pPr>
          </w:p>
        </w:tc>
        <w:tc>
          <w:tcPr>
            <w:tcW w:w="362" w:type="dxa"/>
            <w:gridSpan w:val="3"/>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szCs w:val="22"/>
                <w:lang w:val="es-ES_tradnl"/>
              </w:rPr>
            </w:pPr>
          </w:p>
        </w:tc>
        <w:tc>
          <w:tcPr>
            <w:tcW w:w="362"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szCs w:val="22"/>
                <w:lang w:val="es-ES_tradnl"/>
              </w:rPr>
            </w:pPr>
          </w:p>
        </w:tc>
        <w:tc>
          <w:tcPr>
            <w:tcW w:w="362"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szCs w:val="22"/>
                <w:lang w:val="es-ES_tradnl"/>
              </w:rPr>
            </w:pPr>
          </w:p>
        </w:tc>
        <w:tc>
          <w:tcPr>
            <w:tcW w:w="362"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szCs w:val="22"/>
                <w:lang w:val="es-ES_tradnl"/>
              </w:rPr>
            </w:pPr>
          </w:p>
        </w:tc>
        <w:tc>
          <w:tcPr>
            <w:tcW w:w="362"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szCs w:val="22"/>
                <w:lang w:val="es-ES_tradnl"/>
              </w:rPr>
            </w:pPr>
          </w:p>
        </w:tc>
        <w:tc>
          <w:tcPr>
            <w:tcW w:w="362"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szCs w:val="22"/>
                <w:lang w:val="es-ES_tradnl"/>
              </w:rPr>
            </w:pPr>
          </w:p>
        </w:tc>
        <w:tc>
          <w:tcPr>
            <w:tcW w:w="367"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szCs w:val="22"/>
                <w:lang w:val="es-ES_tradnl"/>
              </w:rPr>
            </w:pPr>
          </w:p>
        </w:tc>
      </w:tr>
    </w:tbl>
    <w:p w:rsidR="000B65DE" w:rsidRPr="000B65DE" w:rsidRDefault="000B65DE" w:rsidP="000B65DE">
      <w:pPr>
        <w:ind w:left="0"/>
        <w:jc w:val="both"/>
        <w:rPr>
          <w:rFonts w:ascii="Bookman Old Style" w:hAnsi="Bookman Old Style"/>
          <w:b/>
          <w:sz w:val="22"/>
          <w:szCs w:val="22"/>
        </w:rPr>
      </w:pPr>
    </w:p>
    <w:p w:rsidR="000B65DE" w:rsidRPr="000B65DE" w:rsidRDefault="000B65DE" w:rsidP="000B65DE">
      <w:pPr>
        <w:ind w:left="0"/>
        <w:jc w:val="both"/>
        <w:rPr>
          <w:rFonts w:ascii="Bookman Old Style" w:hAnsi="Bookman Old Style"/>
          <w:b/>
        </w:rPr>
      </w:pPr>
    </w:p>
    <w:tbl>
      <w:tblPr>
        <w:tblW w:w="0" w:type="auto"/>
        <w:jc w:val="center"/>
        <w:tblLayout w:type="fixed"/>
        <w:tblCellMar>
          <w:left w:w="0" w:type="dxa"/>
          <w:right w:w="0" w:type="dxa"/>
        </w:tblCellMar>
        <w:tblLook w:val="0000" w:firstRow="0" w:lastRow="0" w:firstColumn="0" w:lastColumn="0" w:noHBand="0" w:noVBand="0"/>
      </w:tblPr>
      <w:tblGrid>
        <w:gridCol w:w="2075"/>
        <w:gridCol w:w="2295"/>
        <w:gridCol w:w="2345"/>
        <w:gridCol w:w="2401"/>
      </w:tblGrid>
      <w:tr w:rsidR="000B65DE" w:rsidRPr="000B65DE" w:rsidTr="00382E27">
        <w:trPr>
          <w:trHeight w:val="255"/>
          <w:jc w:val="center"/>
        </w:trPr>
        <w:tc>
          <w:tcPr>
            <w:tcW w:w="2075" w:type="dxa"/>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r w:rsidRPr="000B65DE">
              <w:rPr>
                <w:rFonts w:ascii="Bookman Old Style" w:hAnsi="Bookman Old Style"/>
                <w:b/>
                <w:sz w:val="22"/>
                <w:lang w:val="es-ES_tradnl"/>
              </w:rPr>
              <w:t>MUNICIPIO</w:t>
            </w:r>
          </w:p>
        </w:tc>
        <w:tc>
          <w:tcPr>
            <w:tcW w:w="2295" w:type="dxa"/>
            <w:tcBorders>
              <w:top w:val="single" w:sz="4" w:space="0" w:color="auto"/>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p>
        </w:tc>
        <w:tc>
          <w:tcPr>
            <w:tcW w:w="2345" w:type="dxa"/>
            <w:tcBorders>
              <w:top w:val="single" w:sz="4" w:space="0" w:color="auto"/>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r w:rsidRPr="000B65DE">
              <w:rPr>
                <w:rFonts w:ascii="Bookman Old Style" w:hAnsi="Bookman Old Style"/>
                <w:b/>
                <w:sz w:val="22"/>
                <w:lang w:val="es-ES_tradnl"/>
              </w:rPr>
              <w:t>CÓDIGO DANE</w:t>
            </w:r>
          </w:p>
        </w:tc>
        <w:tc>
          <w:tcPr>
            <w:tcW w:w="2401" w:type="dxa"/>
            <w:tcBorders>
              <w:top w:val="single" w:sz="4" w:space="0" w:color="auto"/>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p>
        </w:tc>
      </w:tr>
    </w:tbl>
    <w:p w:rsidR="000B65DE" w:rsidRPr="000B65DE" w:rsidRDefault="000B65DE" w:rsidP="000B65DE">
      <w:pPr>
        <w:ind w:left="0"/>
        <w:jc w:val="both"/>
        <w:rPr>
          <w:rFonts w:ascii="Bookman Old Style" w:hAnsi="Bookman Old Style"/>
          <w:sz w:val="22"/>
          <w:lang w:val="es-ES_tradnl"/>
        </w:rPr>
      </w:pPr>
    </w:p>
    <w:tbl>
      <w:tblPr>
        <w:tblW w:w="0" w:type="auto"/>
        <w:jc w:val="center"/>
        <w:tblInd w:w="20" w:type="dxa"/>
        <w:tblLayout w:type="fixed"/>
        <w:tblCellMar>
          <w:left w:w="0" w:type="dxa"/>
          <w:right w:w="0" w:type="dxa"/>
        </w:tblCellMar>
        <w:tblLook w:val="0000" w:firstRow="0" w:lastRow="0" w:firstColumn="0" w:lastColumn="0" w:noHBand="0" w:noVBand="0"/>
      </w:tblPr>
      <w:tblGrid>
        <w:gridCol w:w="1853"/>
        <w:gridCol w:w="368"/>
        <w:gridCol w:w="10"/>
        <w:gridCol w:w="350"/>
        <w:gridCol w:w="10"/>
        <w:gridCol w:w="350"/>
        <w:gridCol w:w="10"/>
        <w:gridCol w:w="350"/>
        <w:gridCol w:w="10"/>
        <w:gridCol w:w="350"/>
        <w:gridCol w:w="10"/>
        <w:gridCol w:w="350"/>
        <w:gridCol w:w="10"/>
        <w:gridCol w:w="350"/>
        <w:gridCol w:w="10"/>
        <w:gridCol w:w="350"/>
        <w:gridCol w:w="10"/>
        <w:gridCol w:w="350"/>
        <w:gridCol w:w="10"/>
        <w:gridCol w:w="350"/>
        <w:gridCol w:w="10"/>
        <w:gridCol w:w="352"/>
        <w:gridCol w:w="10"/>
        <w:gridCol w:w="352"/>
        <w:gridCol w:w="10"/>
        <w:gridCol w:w="352"/>
        <w:gridCol w:w="10"/>
        <w:gridCol w:w="352"/>
        <w:gridCol w:w="10"/>
        <w:gridCol w:w="352"/>
        <w:gridCol w:w="10"/>
        <w:gridCol w:w="352"/>
        <w:gridCol w:w="10"/>
        <w:gridCol w:w="352"/>
        <w:gridCol w:w="10"/>
        <w:gridCol w:w="352"/>
        <w:gridCol w:w="10"/>
        <w:gridCol w:w="352"/>
        <w:gridCol w:w="10"/>
        <w:gridCol w:w="352"/>
        <w:gridCol w:w="10"/>
      </w:tblGrid>
      <w:tr w:rsidR="000B65DE" w:rsidRPr="000B65DE" w:rsidTr="00382E27">
        <w:trPr>
          <w:trHeight w:val="255"/>
          <w:jc w:val="center"/>
        </w:trPr>
        <w:tc>
          <w:tcPr>
            <w:tcW w:w="1853" w:type="dxa"/>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r w:rsidRPr="000B65DE">
              <w:rPr>
                <w:rFonts w:ascii="Bookman Old Style" w:hAnsi="Bookman Old Style"/>
                <w:b/>
                <w:sz w:val="22"/>
                <w:lang w:val="es-ES_tradnl"/>
              </w:rPr>
              <w:t>USUARIO</w:t>
            </w:r>
          </w:p>
        </w:tc>
        <w:tc>
          <w:tcPr>
            <w:tcW w:w="7238" w:type="dxa"/>
            <w:gridSpan w:val="40"/>
            <w:tcBorders>
              <w:top w:val="single" w:sz="4" w:space="0" w:color="auto"/>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r w:rsidRPr="000B65DE">
              <w:rPr>
                <w:rFonts w:ascii="Bookman Old Style" w:hAnsi="Bookman Old Style"/>
                <w:b/>
                <w:sz w:val="22"/>
                <w:lang w:val="es-ES_tradnl"/>
              </w:rPr>
              <w:t>VOLUMEN (m</w:t>
            </w:r>
            <w:r w:rsidRPr="000B65DE">
              <w:rPr>
                <w:rFonts w:ascii="Bookman Old Style" w:hAnsi="Bookman Old Style"/>
                <w:b/>
                <w:sz w:val="22"/>
                <w:vertAlign w:val="superscript"/>
                <w:lang w:val="es-ES_tradnl"/>
              </w:rPr>
              <w:t>3</w:t>
            </w:r>
            <w:r w:rsidRPr="000B65DE">
              <w:rPr>
                <w:rFonts w:ascii="Bookman Old Style" w:hAnsi="Bookman Old Style"/>
                <w:b/>
                <w:sz w:val="22"/>
                <w:lang w:val="es-ES_tradnl"/>
              </w:rPr>
              <w:t xml:space="preserve"> por año)</w:t>
            </w:r>
          </w:p>
        </w:tc>
      </w:tr>
      <w:tr w:rsidR="000B65DE" w:rsidRPr="000B65DE" w:rsidTr="00382E27">
        <w:trPr>
          <w:gridAfter w:val="1"/>
          <w:wAfter w:w="10" w:type="dxa"/>
          <w:trHeight w:val="255"/>
          <w:jc w:val="center"/>
        </w:trPr>
        <w:tc>
          <w:tcPr>
            <w:tcW w:w="1853" w:type="dxa"/>
            <w:tcBorders>
              <w:top w:val="nil"/>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r w:rsidRPr="000B65DE">
              <w:rPr>
                <w:rFonts w:ascii="Bookman Old Style" w:hAnsi="Bookman Old Style"/>
                <w:sz w:val="22"/>
                <w:lang w:val="es-ES_tradnl"/>
              </w:rPr>
              <w:t>Residencial</w:t>
            </w:r>
          </w:p>
        </w:tc>
        <w:tc>
          <w:tcPr>
            <w:tcW w:w="368" w:type="dxa"/>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center"/>
              <w:textAlignment w:val="center"/>
              <w:rPr>
                <w:rFonts w:ascii="Bookman Old Style" w:hAnsi="Bookman Old Style"/>
                <w:b/>
                <w:sz w:val="22"/>
                <w:lang w:val="es-ES_tradnl"/>
              </w:rPr>
            </w:pPr>
            <w:r w:rsidRPr="000B65DE">
              <w:rPr>
                <w:rFonts w:ascii="Bookman Old Style" w:hAnsi="Bookman Old Style"/>
                <w:sz w:val="22"/>
                <w:lang w:val="es-ES_tradnl"/>
              </w:rPr>
              <w:t xml:space="preserve"> </w:t>
            </w:r>
            <w:r w:rsidRPr="000B65DE">
              <w:rPr>
                <w:rFonts w:ascii="Bookman Old Style" w:hAnsi="Bookman Old Style"/>
                <w:b/>
                <w:sz w:val="22"/>
                <w:lang w:val="es-ES_tradnl"/>
              </w:rPr>
              <w:t>1</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center"/>
              <w:textAlignment w:val="center"/>
              <w:rPr>
                <w:rFonts w:ascii="Bookman Old Style" w:hAnsi="Bookman Old Style"/>
                <w:b/>
                <w:sz w:val="22"/>
                <w:lang w:val="es-ES_tradnl"/>
              </w:rPr>
            </w:pPr>
            <w:r w:rsidRPr="000B65DE">
              <w:rPr>
                <w:rFonts w:ascii="Bookman Old Style" w:hAnsi="Bookman Old Style"/>
                <w:b/>
                <w:sz w:val="22"/>
                <w:lang w:val="es-ES_tradnl"/>
              </w:rPr>
              <w:t xml:space="preserve"> 2</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r w:rsidRPr="000B65DE">
              <w:rPr>
                <w:rFonts w:ascii="Bookman Old Style" w:hAnsi="Bookman Old Style"/>
                <w:b/>
                <w:sz w:val="22"/>
                <w:lang w:val="es-ES_tradnl"/>
              </w:rPr>
              <w:t xml:space="preserve"> 3</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r w:rsidRPr="000B65DE">
              <w:rPr>
                <w:rFonts w:ascii="Bookman Old Style" w:hAnsi="Bookman Old Style"/>
                <w:b/>
                <w:sz w:val="22"/>
                <w:lang w:val="es-ES_tradnl"/>
              </w:rPr>
              <w:t xml:space="preserve"> 4</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r w:rsidRPr="000B65DE">
              <w:rPr>
                <w:rFonts w:ascii="Bookman Old Style" w:hAnsi="Bookman Old Style"/>
                <w:b/>
                <w:sz w:val="22"/>
                <w:lang w:val="es-ES_tradnl"/>
              </w:rPr>
              <w:t xml:space="preserve"> 5</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r w:rsidRPr="000B65DE">
              <w:rPr>
                <w:rFonts w:ascii="Bookman Old Style" w:hAnsi="Bookman Old Style"/>
                <w:b/>
                <w:sz w:val="22"/>
                <w:lang w:val="es-ES_tradnl"/>
              </w:rPr>
              <w:t xml:space="preserve"> 6</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r w:rsidRPr="000B65DE">
              <w:rPr>
                <w:rFonts w:ascii="Bookman Old Style" w:hAnsi="Bookman Old Style"/>
                <w:b/>
                <w:sz w:val="22"/>
                <w:lang w:val="es-ES_tradnl"/>
              </w:rPr>
              <w:t xml:space="preserve"> 7</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r w:rsidRPr="000B65DE">
              <w:rPr>
                <w:rFonts w:ascii="Bookman Old Style" w:hAnsi="Bookman Old Style"/>
                <w:b/>
                <w:sz w:val="22"/>
                <w:lang w:val="es-ES_tradnl"/>
              </w:rPr>
              <w:t xml:space="preserve"> 8</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r w:rsidRPr="000B65DE">
              <w:rPr>
                <w:rFonts w:ascii="Bookman Old Style" w:hAnsi="Bookman Old Style"/>
                <w:b/>
                <w:sz w:val="22"/>
                <w:lang w:val="es-ES_tradnl"/>
              </w:rPr>
              <w:t xml:space="preserve"> 9</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r w:rsidRPr="000B65DE">
              <w:rPr>
                <w:rFonts w:ascii="Bookman Old Style" w:hAnsi="Bookman Old Style"/>
                <w:b/>
                <w:sz w:val="22"/>
                <w:lang w:val="es-ES_tradnl"/>
              </w:rPr>
              <w:t xml:space="preserve"> 10</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r w:rsidRPr="000B65DE">
              <w:rPr>
                <w:rFonts w:ascii="Bookman Old Style" w:hAnsi="Bookman Old Style"/>
                <w:b/>
                <w:sz w:val="22"/>
                <w:lang w:val="es-ES_tradnl"/>
              </w:rPr>
              <w:t xml:space="preserve"> 11</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r w:rsidRPr="000B65DE">
              <w:rPr>
                <w:rFonts w:ascii="Bookman Old Style" w:hAnsi="Bookman Old Style"/>
                <w:b/>
                <w:sz w:val="22"/>
                <w:lang w:val="es-ES_tradnl"/>
              </w:rPr>
              <w:t xml:space="preserve"> 12</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r w:rsidRPr="000B65DE">
              <w:rPr>
                <w:rFonts w:ascii="Bookman Old Style" w:hAnsi="Bookman Old Style"/>
                <w:b/>
                <w:sz w:val="22"/>
                <w:lang w:val="es-ES_tradnl"/>
              </w:rPr>
              <w:t xml:space="preserve"> 13</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r w:rsidRPr="000B65DE">
              <w:rPr>
                <w:rFonts w:ascii="Bookman Old Style" w:hAnsi="Bookman Old Style"/>
                <w:b/>
                <w:sz w:val="22"/>
                <w:lang w:val="es-ES_tradnl"/>
              </w:rPr>
              <w:t xml:space="preserve"> 14</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r w:rsidRPr="000B65DE">
              <w:rPr>
                <w:rFonts w:ascii="Bookman Old Style" w:hAnsi="Bookman Old Style"/>
                <w:b/>
                <w:sz w:val="22"/>
                <w:lang w:val="es-ES_tradnl"/>
              </w:rPr>
              <w:t xml:space="preserve"> 15</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r w:rsidRPr="000B65DE">
              <w:rPr>
                <w:rFonts w:ascii="Bookman Old Style" w:hAnsi="Bookman Old Style"/>
                <w:b/>
                <w:sz w:val="22"/>
                <w:lang w:val="es-ES_tradnl"/>
              </w:rPr>
              <w:t xml:space="preserve"> 16</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r w:rsidRPr="000B65DE">
              <w:rPr>
                <w:rFonts w:ascii="Bookman Old Style" w:hAnsi="Bookman Old Style"/>
                <w:b/>
                <w:sz w:val="22"/>
                <w:lang w:val="es-ES_tradnl"/>
              </w:rPr>
              <w:t xml:space="preserve"> 17</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r w:rsidRPr="000B65DE">
              <w:rPr>
                <w:rFonts w:ascii="Bookman Old Style" w:hAnsi="Bookman Old Style"/>
                <w:b/>
                <w:sz w:val="22"/>
                <w:lang w:val="es-ES_tradnl"/>
              </w:rPr>
              <w:t xml:space="preserve"> 18</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r w:rsidRPr="000B65DE">
              <w:rPr>
                <w:rFonts w:ascii="Bookman Old Style" w:hAnsi="Bookman Old Style"/>
                <w:b/>
                <w:sz w:val="22"/>
                <w:lang w:val="es-ES_tradnl"/>
              </w:rPr>
              <w:t xml:space="preserve"> 19</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ind w:left="0"/>
              <w:jc w:val="center"/>
              <w:rPr>
                <w:rFonts w:ascii="Bookman Old Style" w:hAnsi="Bookman Old Style"/>
                <w:b/>
                <w:sz w:val="22"/>
                <w:lang w:val="es-ES_tradnl"/>
              </w:rPr>
            </w:pPr>
            <w:r w:rsidRPr="000B65DE">
              <w:rPr>
                <w:rFonts w:ascii="Bookman Old Style" w:hAnsi="Bookman Old Style"/>
                <w:b/>
                <w:sz w:val="22"/>
                <w:lang w:val="es-ES_tradnl"/>
              </w:rPr>
              <w:t xml:space="preserve"> 20</w:t>
            </w:r>
          </w:p>
        </w:tc>
      </w:tr>
      <w:tr w:rsidR="000B65DE" w:rsidRPr="000B65DE" w:rsidTr="00382E27">
        <w:trPr>
          <w:trHeight w:val="255"/>
          <w:jc w:val="center"/>
        </w:trPr>
        <w:tc>
          <w:tcPr>
            <w:tcW w:w="1853" w:type="dxa"/>
            <w:tcBorders>
              <w:top w:val="nil"/>
              <w:left w:val="single" w:sz="4" w:space="0" w:color="auto"/>
              <w:bottom w:val="nil"/>
              <w:right w:val="single" w:sz="4" w:space="0" w:color="auto"/>
            </w:tcBorders>
            <w:vAlign w:val="bottom"/>
          </w:tcPr>
          <w:p w:rsidR="000B65DE" w:rsidRPr="000B65DE" w:rsidRDefault="000B65DE" w:rsidP="000B65DE">
            <w:pPr>
              <w:ind w:left="0" w:firstLine="156"/>
              <w:jc w:val="both"/>
              <w:rPr>
                <w:rFonts w:ascii="Bookman Old Style" w:hAnsi="Bookman Old Style"/>
                <w:sz w:val="22"/>
                <w:lang w:val="es-ES_tradnl"/>
              </w:rPr>
            </w:pPr>
            <w:r w:rsidRPr="000B65DE">
              <w:rPr>
                <w:rFonts w:ascii="Bookman Old Style" w:hAnsi="Bookman Old Style"/>
                <w:sz w:val="22"/>
                <w:lang w:val="es-ES_tradnl"/>
              </w:rPr>
              <w:t>Estrato 1</w:t>
            </w:r>
          </w:p>
        </w:tc>
        <w:tc>
          <w:tcPr>
            <w:tcW w:w="378"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r>
      <w:tr w:rsidR="000B65DE" w:rsidRPr="000B65DE" w:rsidTr="00382E27">
        <w:trPr>
          <w:trHeight w:val="255"/>
          <w:jc w:val="center"/>
        </w:trPr>
        <w:tc>
          <w:tcPr>
            <w:tcW w:w="1853" w:type="dxa"/>
            <w:tcBorders>
              <w:top w:val="nil"/>
              <w:left w:val="single" w:sz="4" w:space="0" w:color="auto"/>
              <w:bottom w:val="nil"/>
              <w:right w:val="single" w:sz="4" w:space="0" w:color="auto"/>
            </w:tcBorders>
            <w:vAlign w:val="bottom"/>
          </w:tcPr>
          <w:p w:rsidR="000B65DE" w:rsidRPr="000B65DE" w:rsidRDefault="000B65DE" w:rsidP="000B65DE">
            <w:pPr>
              <w:ind w:left="0" w:firstLine="156"/>
              <w:jc w:val="both"/>
              <w:rPr>
                <w:rFonts w:ascii="Bookman Old Style" w:hAnsi="Bookman Old Style"/>
                <w:sz w:val="22"/>
                <w:lang w:val="es-ES_tradnl"/>
              </w:rPr>
            </w:pPr>
            <w:r w:rsidRPr="000B65DE">
              <w:rPr>
                <w:rFonts w:ascii="Bookman Old Style" w:hAnsi="Bookman Old Style"/>
                <w:sz w:val="22"/>
                <w:lang w:val="es-ES_tradnl"/>
              </w:rPr>
              <w:t>Estrato 2</w:t>
            </w:r>
          </w:p>
        </w:tc>
        <w:tc>
          <w:tcPr>
            <w:tcW w:w="378"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r>
      <w:tr w:rsidR="000B65DE" w:rsidRPr="000B65DE" w:rsidTr="00382E27">
        <w:trPr>
          <w:trHeight w:val="255"/>
          <w:jc w:val="center"/>
        </w:trPr>
        <w:tc>
          <w:tcPr>
            <w:tcW w:w="1853" w:type="dxa"/>
            <w:tcBorders>
              <w:top w:val="nil"/>
              <w:left w:val="single" w:sz="4" w:space="0" w:color="auto"/>
              <w:bottom w:val="nil"/>
              <w:right w:val="single" w:sz="4" w:space="0" w:color="auto"/>
            </w:tcBorders>
            <w:vAlign w:val="bottom"/>
          </w:tcPr>
          <w:p w:rsidR="000B65DE" w:rsidRPr="000B65DE" w:rsidRDefault="000B65DE" w:rsidP="000B65DE">
            <w:pPr>
              <w:ind w:left="0" w:firstLine="156"/>
              <w:jc w:val="both"/>
              <w:rPr>
                <w:rFonts w:ascii="Bookman Old Style" w:hAnsi="Bookman Old Style"/>
                <w:sz w:val="22"/>
                <w:lang w:val="es-ES_tradnl"/>
              </w:rPr>
            </w:pPr>
            <w:r w:rsidRPr="000B65DE">
              <w:rPr>
                <w:rFonts w:ascii="Bookman Old Style" w:hAnsi="Bookman Old Style"/>
                <w:sz w:val="22"/>
                <w:lang w:val="es-ES_tradnl"/>
              </w:rPr>
              <w:t>Estrato 3</w:t>
            </w:r>
          </w:p>
        </w:tc>
        <w:tc>
          <w:tcPr>
            <w:tcW w:w="378"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CO"/>
              </w:rPr>
            </w:pPr>
            <w:r w:rsidRPr="000B65DE">
              <w:rPr>
                <w:rFonts w:ascii="Bookman Old Style" w:hAnsi="Bookman Old Style"/>
                <w:sz w:val="22"/>
                <w:lang w:val="es-CO"/>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r>
      <w:tr w:rsidR="000B65DE" w:rsidRPr="000B65DE" w:rsidTr="00382E27">
        <w:trPr>
          <w:trHeight w:val="255"/>
          <w:jc w:val="center"/>
        </w:trPr>
        <w:tc>
          <w:tcPr>
            <w:tcW w:w="1853" w:type="dxa"/>
            <w:tcBorders>
              <w:top w:val="nil"/>
              <w:left w:val="single" w:sz="4" w:space="0" w:color="auto"/>
              <w:bottom w:val="nil"/>
              <w:right w:val="single" w:sz="4" w:space="0" w:color="auto"/>
            </w:tcBorders>
            <w:vAlign w:val="bottom"/>
          </w:tcPr>
          <w:p w:rsidR="000B65DE" w:rsidRPr="000B65DE" w:rsidRDefault="000B65DE" w:rsidP="000B65DE">
            <w:pPr>
              <w:ind w:left="0" w:firstLine="156"/>
              <w:jc w:val="both"/>
              <w:rPr>
                <w:rFonts w:ascii="Bookman Old Style" w:hAnsi="Bookman Old Style"/>
                <w:sz w:val="22"/>
                <w:lang w:val="es-ES_tradnl"/>
              </w:rPr>
            </w:pPr>
            <w:r w:rsidRPr="000B65DE">
              <w:rPr>
                <w:rFonts w:ascii="Bookman Old Style" w:hAnsi="Bookman Old Style"/>
                <w:sz w:val="22"/>
                <w:lang w:val="es-ES_tradnl"/>
              </w:rPr>
              <w:t>Estrato 4</w:t>
            </w:r>
          </w:p>
        </w:tc>
        <w:tc>
          <w:tcPr>
            <w:tcW w:w="378"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r>
      <w:tr w:rsidR="000B65DE" w:rsidRPr="000B65DE" w:rsidTr="00382E27">
        <w:trPr>
          <w:trHeight w:val="255"/>
          <w:jc w:val="center"/>
        </w:trPr>
        <w:tc>
          <w:tcPr>
            <w:tcW w:w="1853" w:type="dxa"/>
            <w:tcBorders>
              <w:top w:val="nil"/>
              <w:left w:val="single" w:sz="4" w:space="0" w:color="auto"/>
              <w:bottom w:val="nil"/>
              <w:right w:val="single" w:sz="4" w:space="0" w:color="auto"/>
            </w:tcBorders>
            <w:vAlign w:val="bottom"/>
          </w:tcPr>
          <w:p w:rsidR="000B65DE" w:rsidRPr="000B65DE" w:rsidRDefault="000B65DE" w:rsidP="000B65DE">
            <w:pPr>
              <w:ind w:left="0" w:firstLine="156"/>
              <w:jc w:val="both"/>
              <w:rPr>
                <w:rFonts w:ascii="Bookman Old Style" w:hAnsi="Bookman Old Style"/>
                <w:sz w:val="22"/>
                <w:lang w:val="es-ES_tradnl"/>
              </w:rPr>
            </w:pPr>
            <w:r w:rsidRPr="000B65DE">
              <w:rPr>
                <w:rFonts w:ascii="Bookman Old Style" w:hAnsi="Bookman Old Style"/>
                <w:sz w:val="22"/>
                <w:lang w:val="es-ES_tradnl"/>
              </w:rPr>
              <w:t>Estrato 5</w:t>
            </w:r>
          </w:p>
        </w:tc>
        <w:tc>
          <w:tcPr>
            <w:tcW w:w="378"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r>
      <w:tr w:rsidR="000B65DE" w:rsidRPr="000B65DE" w:rsidTr="00382E27">
        <w:trPr>
          <w:trHeight w:val="255"/>
          <w:jc w:val="center"/>
        </w:trPr>
        <w:tc>
          <w:tcPr>
            <w:tcW w:w="1853" w:type="dxa"/>
            <w:tcBorders>
              <w:top w:val="nil"/>
              <w:left w:val="single" w:sz="4" w:space="0" w:color="auto"/>
              <w:bottom w:val="single" w:sz="4" w:space="0" w:color="auto"/>
              <w:right w:val="single" w:sz="4" w:space="0" w:color="auto"/>
            </w:tcBorders>
            <w:vAlign w:val="bottom"/>
          </w:tcPr>
          <w:p w:rsidR="000B65DE" w:rsidRPr="000B65DE" w:rsidRDefault="000B65DE" w:rsidP="000B65DE">
            <w:pPr>
              <w:ind w:left="0" w:firstLine="156"/>
              <w:jc w:val="both"/>
              <w:rPr>
                <w:rFonts w:ascii="Bookman Old Style" w:hAnsi="Bookman Old Style"/>
                <w:sz w:val="22"/>
                <w:lang w:val="es-ES_tradnl"/>
              </w:rPr>
            </w:pPr>
            <w:r w:rsidRPr="000B65DE">
              <w:rPr>
                <w:rFonts w:ascii="Bookman Old Style" w:hAnsi="Bookman Old Style"/>
                <w:sz w:val="22"/>
                <w:lang w:val="es-ES_tradnl"/>
              </w:rPr>
              <w:t>Estrato 6</w:t>
            </w:r>
          </w:p>
        </w:tc>
        <w:tc>
          <w:tcPr>
            <w:tcW w:w="378"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CO"/>
              </w:rPr>
            </w:pPr>
            <w:r w:rsidRPr="000B65DE">
              <w:rPr>
                <w:rFonts w:ascii="Bookman Old Style" w:hAnsi="Bookman Old Style"/>
                <w:sz w:val="22"/>
                <w:lang w:val="es-CO"/>
              </w:rPr>
              <w:t> </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nil"/>
              <w:left w:val="nil"/>
              <w:bottom w:val="single" w:sz="4" w:space="0" w:color="auto"/>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r>
      <w:tr w:rsidR="000B65DE" w:rsidRPr="000B65DE" w:rsidTr="00382E27">
        <w:trPr>
          <w:trHeight w:val="255"/>
          <w:jc w:val="center"/>
        </w:trPr>
        <w:tc>
          <w:tcPr>
            <w:tcW w:w="1853" w:type="dxa"/>
            <w:tcBorders>
              <w:top w:val="single" w:sz="4" w:space="0" w:color="auto"/>
              <w:left w:val="single" w:sz="4" w:space="0" w:color="auto"/>
              <w:bottom w:val="nil"/>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r w:rsidRPr="000B65DE">
              <w:rPr>
                <w:rFonts w:ascii="Bookman Old Style" w:hAnsi="Bookman Old Style"/>
                <w:sz w:val="22"/>
                <w:lang w:val="es-ES_tradnl"/>
              </w:rPr>
              <w:t>Comercial</w:t>
            </w:r>
          </w:p>
        </w:tc>
        <w:tc>
          <w:tcPr>
            <w:tcW w:w="378"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r>
      <w:tr w:rsidR="000B65DE" w:rsidRPr="000B65DE" w:rsidTr="00382E27">
        <w:trPr>
          <w:trHeight w:val="255"/>
          <w:jc w:val="center"/>
        </w:trPr>
        <w:tc>
          <w:tcPr>
            <w:tcW w:w="1853" w:type="dxa"/>
            <w:tcBorders>
              <w:top w:val="single" w:sz="4" w:space="0" w:color="auto"/>
              <w:left w:val="single" w:sz="4" w:space="0" w:color="auto"/>
              <w:bottom w:val="nil"/>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r w:rsidRPr="000B65DE">
              <w:rPr>
                <w:rFonts w:ascii="Bookman Old Style" w:hAnsi="Bookman Old Style"/>
                <w:sz w:val="22"/>
                <w:lang w:val="es-ES_tradnl"/>
              </w:rPr>
              <w:t>Industrial</w:t>
            </w:r>
          </w:p>
        </w:tc>
        <w:tc>
          <w:tcPr>
            <w:tcW w:w="378"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bottom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r>
      <w:tr w:rsidR="000B65DE" w:rsidRPr="000B65DE" w:rsidTr="00382E27">
        <w:trPr>
          <w:trHeight w:val="255"/>
          <w:jc w:val="center"/>
        </w:trPr>
        <w:tc>
          <w:tcPr>
            <w:tcW w:w="1853" w:type="dxa"/>
            <w:tcBorders>
              <w:top w:val="single" w:sz="4" w:space="0" w:color="auto"/>
              <w:left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r w:rsidRPr="000B65DE">
              <w:rPr>
                <w:rFonts w:ascii="Bookman Old Style" w:hAnsi="Bookman Old Style"/>
                <w:sz w:val="22"/>
                <w:lang w:val="es-ES_tradnl"/>
              </w:rPr>
              <w:t>GNCV</w:t>
            </w:r>
          </w:p>
        </w:tc>
        <w:tc>
          <w:tcPr>
            <w:tcW w:w="378"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0"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c>
          <w:tcPr>
            <w:tcW w:w="362" w:type="dxa"/>
            <w:gridSpan w:val="2"/>
            <w:tcBorders>
              <w:top w:val="single" w:sz="4" w:space="0" w:color="auto"/>
              <w:left w:val="nil"/>
              <w:right w:val="single" w:sz="4" w:space="0" w:color="auto"/>
            </w:tcBorders>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sz w:val="22"/>
                <w:lang w:val="es-ES_tradnl"/>
              </w:rPr>
            </w:pPr>
            <w:r w:rsidRPr="000B65DE">
              <w:rPr>
                <w:rFonts w:ascii="Bookman Old Style" w:hAnsi="Bookman Old Style"/>
                <w:sz w:val="22"/>
                <w:lang w:val="es-ES_tradnl"/>
              </w:rPr>
              <w:t> </w:t>
            </w:r>
          </w:p>
        </w:tc>
      </w:tr>
      <w:tr w:rsidR="000B65DE" w:rsidRPr="000B65DE" w:rsidTr="00382E27">
        <w:trPr>
          <w:trHeight w:val="255"/>
          <w:jc w:val="center"/>
        </w:trPr>
        <w:tc>
          <w:tcPr>
            <w:tcW w:w="1853" w:type="dxa"/>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r w:rsidRPr="000B65DE">
              <w:rPr>
                <w:rFonts w:ascii="Bookman Old Style" w:hAnsi="Bookman Old Style"/>
                <w:sz w:val="22"/>
                <w:lang w:val="es-ES_tradnl"/>
              </w:rPr>
              <w:t>Otros Usuarios</w:t>
            </w:r>
          </w:p>
        </w:tc>
        <w:tc>
          <w:tcPr>
            <w:tcW w:w="378"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p>
        </w:tc>
        <w:tc>
          <w:tcPr>
            <w:tcW w:w="360"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p>
        </w:tc>
        <w:tc>
          <w:tcPr>
            <w:tcW w:w="360"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p>
        </w:tc>
        <w:tc>
          <w:tcPr>
            <w:tcW w:w="360"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p>
        </w:tc>
        <w:tc>
          <w:tcPr>
            <w:tcW w:w="360"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p>
        </w:tc>
        <w:tc>
          <w:tcPr>
            <w:tcW w:w="360"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p>
        </w:tc>
        <w:tc>
          <w:tcPr>
            <w:tcW w:w="360"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p>
        </w:tc>
        <w:tc>
          <w:tcPr>
            <w:tcW w:w="360"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p>
        </w:tc>
        <w:tc>
          <w:tcPr>
            <w:tcW w:w="360"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p>
        </w:tc>
        <w:tc>
          <w:tcPr>
            <w:tcW w:w="360"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p>
        </w:tc>
        <w:tc>
          <w:tcPr>
            <w:tcW w:w="362"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p>
        </w:tc>
        <w:tc>
          <w:tcPr>
            <w:tcW w:w="362"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p>
        </w:tc>
        <w:tc>
          <w:tcPr>
            <w:tcW w:w="362"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p>
        </w:tc>
        <w:tc>
          <w:tcPr>
            <w:tcW w:w="362"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p>
        </w:tc>
        <w:tc>
          <w:tcPr>
            <w:tcW w:w="362"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p>
        </w:tc>
        <w:tc>
          <w:tcPr>
            <w:tcW w:w="362"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p>
        </w:tc>
        <w:tc>
          <w:tcPr>
            <w:tcW w:w="362"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p>
        </w:tc>
        <w:tc>
          <w:tcPr>
            <w:tcW w:w="362"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p>
        </w:tc>
        <w:tc>
          <w:tcPr>
            <w:tcW w:w="362"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p>
        </w:tc>
        <w:tc>
          <w:tcPr>
            <w:tcW w:w="362" w:type="dxa"/>
            <w:gridSpan w:val="2"/>
            <w:tcBorders>
              <w:top w:val="single" w:sz="4" w:space="0" w:color="auto"/>
              <w:left w:val="single" w:sz="4" w:space="0" w:color="auto"/>
              <w:bottom w:val="single" w:sz="4" w:space="0" w:color="auto"/>
              <w:right w:val="single" w:sz="4" w:space="0" w:color="auto"/>
            </w:tcBorders>
            <w:vAlign w:val="bottom"/>
          </w:tcPr>
          <w:p w:rsidR="000B65DE" w:rsidRPr="000B65DE" w:rsidRDefault="000B65DE" w:rsidP="000B65DE">
            <w:pPr>
              <w:ind w:left="0"/>
              <w:jc w:val="both"/>
              <w:rPr>
                <w:rFonts w:ascii="Bookman Old Style" w:hAnsi="Bookman Old Style"/>
                <w:sz w:val="22"/>
                <w:lang w:val="es-ES_tradnl"/>
              </w:rPr>
            </w:pPr>
          </w:p>
        </w:tc>
      </w:tr>
    </w:tbl>
    <w:p w:rsidR="000B65DE" w:rsidRPr="000B65DE" w:rsidRDefault="000B65DE" w:rsidP="000B65DE">
      <w:pPr>
        <w:ind w:left="0"/>
        <w:rPr>
          <w:rFonts w:ascii="Bookman Old Style" w:hAnsi="Bookman Old Style"/>
          <w:b/>
          <w:lang w:val="es-ES_tradnl"/>
        </w:rPr>
      </w:pPr>
    </w:p>
    <w:p w:rsidR="001D143C" w:rsidRDefault="00D373D2" w:rsidP="000B65DE">
      <w:pPr>
        <w:ind w:left="0"/>
        <w:rPr>
          <w:rFonts w:ascii="Bookman Old Style" w:hAnsi="Bookman Old Style"/>
          <w:b/>
          <w:lang w:val="es-ES_tradnl"/>
        </w:rPr>
      </w:pPr>
      <w:r>
        <w:rPr>
          <w:rFonts w:ascii="Bookman Old Style" w:hAnsi="Bookman Old Style"/>
          <w:sz w:val="20"/>
          <w:szCs w:val="20"/>
          <w:lang w:val="es-ES_tradnl"/>
        </w:rPr>
        <w:t xml:space="preserve">Nota: </w:t>
      </w:r>
      <w:r w:rsidR="003613BB">
        <w:rPr>
          <w:rFonts w:ascii="Bookman Old Style" w:hAnsi="Bookman Old Style"/>
          <w:sz w:val="20"/>
          <w:szCs w:val="20"/>
          <w:lang w:val="es-ES_tradnl"/>
        </w:rPr>
        <w:t>El volumen s</w:t>
      </w:r>
      <w:r w:rsidRPr="00D373D2">
        <w:rPr>
          <w:rFonts w:ascii="Bookman Old Style" w:hAnsi="Bookman Old Style"/>
          <w:sz w:val="20"/>
          <w:szCs w:val="20"/>
          <w:lang w:val="es-ES_tradnl"/>
        </w:rPr>
        <w:t>e calcula conforme a la Resolución 127 de 2013</w:t>
      </w:r>
    </w:p>
    <w:p w:rsidR="001D143C" w:rsidRDefault="001D143C" w:rsidP="000B65DE">
      <w:pPr>
        <w:ind w:left="0"/>
        <w:rPr>
          <w:rFonts w:ascii="Bookman Old Style" w:hAnsi="Bookman Old Style"/>
          <w:b/>
          <w:lang w:val="es-ES_tradnl"/>
        </w:rPr>
      </w:pPr>
    </w:p>
    <w:p w:rsidR="001D143C" w:rsidRDefault="001D143C" w:rsidP="000B65DE">
      <w:pPr>
        <w:ind w:left="0"/>
        <w:rPr>
          <w:rFonts w:ascii="Bookman Old Style" w:hAnsi="Bookman Old Style"/>
          <w:b/>
          <w:lang w:val="es-ES_tradnl"/>
        </w:rPr>
      </w:pPr>
    </w:p>
    <w:p w:rsidR="00CF2B16" w:rsidRPr="000B65DE" w:rsidRDefault="00CF2B16" w:rsidP="000B65DE">
      <w:pPr>
        <w:ind w:left="0"/>
        <w:rPr>
          <w:rFonts w:ascii="Bookman Old Style" w:hAnsi="Bookman Old Style"/>
          <w:b/>
          <w:lang w:val="es-ES_tradnl"/>
        </w:rPr>
      </w:pPr>
    </w:p>
    <w:tbl>
      <w:tblPr>
        <w:tblW w:w="9570" w:type="dxa"/>
        <w:jc w:val="right"/>
        <w:tblLayout w:type="fixed"/>
        <w:tblCellMar>
          <w:left w:w="70" w:type="dxa"/>
          <w:right w:w="70" w:type="dxa"/>
        </w:tblCellMar>
        <w:tblLook w:val="04A0" w:firstRow="1" w:lastRow="0" w:firstColumn="1" w:lastColumn="0" w:noHBand="0" w:noVBand="1"/>
      </w:tblPr>
      <w:tblGrid>
        <w:gridCol w:w="4875"/>
        <w:gridCol w:w="4695"/>
      </w:tblGrid>
      <w:tr w:rsidR="009E6EA8" w:rsidRPr="000B65DE" w:rsidTr="009E6EA8">
        <w:trPr>
          <w:jc w:val="right"/>
        </w:trPr>
        <w:tc>
          <w:tcPr>
            <w:tcW w:w="4875" w:type="dxa"/>
            <w:hideMark/>
          </w:tcPr>
          <w:p w:rsidR="009E6EA8" w:rsidRPr="000B65DE" w:rsidRDefault="009E6EA8" w:rsidP="00B76CE3">
            <w:pPr>
              <w:ind w:left="0"/>
              <w:jc w:val="center"/>
              <w:rPr>
                <w:rFonts w:ascii="Bookman Old Style" w:hAnsi="Bookman Old Style" w:cs="Arial"/>
                <w:b/>
                <w:spacing w:val="-3"/>
                <w:lang w:val="es-ES_tradnl"/>
              </w:rPr>
            </w:pPr>
            <w:r>
              <w:rPr>
                <w:rFonts w:ascii="Bookman Old Style" w:hAnsi="Bookman Old Style" w:cs="Arial"/>
                <w:b/>
                <w:color w:val="000000"/>
              </w:rPr>
              <w:t>ORLANDO CABRALES SEGOVIA</w:t>
            </w:r>
          </w:p>
        </w:tc>
        <w:tc>
          <w:tcPr>
            <w:tcW w:w="4695" w:type="dxa"/>
            <w:hideMark/>
          </w:tcPr>
          <w:p w:rsidR="009E6EA8" w:rsidRPr="000B65DE" w:rsidRDefault="009E6EA8" w:rsidP="00B76CE3">
            <w:pPr>
              <w:ind w:left="161" w:right="567"/>
              <w:jc w:val="center"/>
              <w:rPr>
                <w:rFonts w:ascii="Bookman Old Style" w:hAnsi="Bookman Old Style" w:cs="Arial"/>
                <w:b/>
                <w:spacing w:val="-3"/>
                <w:lang w:val="es-ES_tradnl"/>
              </w:rPr>
            </w:pPr>
            <w:r w:rsidRPr="000B65DE">
              <w:rPr>
                <w:rFonts w:ascii="Bookman Old Style" w:hAnsi="Bookman Old Style" w:cs="Arial"/>
                <w:b/>
                <w:spacing w:val="-3"/>
                <w:lang w:val="es-ES_tradnl"/>
              </w:rPr>
              <w:t>GERMÁN CASTRO FERREIRA</w:t>
            </w:r>
          </w:p>
        </w:tc>
      </w:tr>
      <w:tr w:rsidR="009E6EA8" w:rsidRPr="000B65DE" w:rsidTr="009E6EA8">
        <w:trPr>
          <w:jc w:val="right"/>
        </w:trPr>
        <w:tc>
          <w:tcPr>
            <w:tcW w:w="4875" w:type="dxa"/>
            <w:hideMark/>
          </w:tcPr>
          <w:tbl>
            <w:tblPr>
              <w:tblW w:w="4891" w:type="dxa"/>
              <w:tblLayout w:type="fixed"/>
              <w:tblCellMar>
                <w:left w:w="0" w:type="dxa"/>
                <w:right w:w="0" w:type="dxa"/>
              </w:tblCellMar>
              <w:tblLook w:val="04A0" w:firstRow="1" w:lastRow="0" w:firstColumn="1" w:lastColumn="0" w:noHBand="0" w:noVBand="1"/>
            </w:tblPr>
            <w:tblGrid>
              <w:gridCol w:w="4891"/>
            </w:tblGrid>
            <w:tr w:rsidR="009E6EA8" w:rsidTr="00B76CE3">
              <w:tc>
                <w:tcPr>
                  <w:tcW w:w="4891" w:type="dxa"/>
                  <w:hideMark/>
                </w:tcPr>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Viceministro de Energía</w:t>
                  </w:r>
                </w:p>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Delegado del Ministro de Minas y Energía</w:t>
                  </w:r>
                </w:p>
              </w:tc>
            </w:tr>
            <w:tr w:rsidR="009E6EA8" w:rsidTr="00B76CE3">
              <w:tc>
                <w:tcPr>
                  <w:tcW w:w="4891" w:type="dxa"/>
                  <w:hideMark/>
                </w:tcPr>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Presidente</w:t>
                  </w:r>
                </w:p>
              </w:tc>
            </w:tr>
          </w:tbl>
          <w:p w:rsidR="009E6EA8" w:rsidRPr="000B65DE" w:rsidRDefault="009E6EA8" w:rsidP="00B76CE3">
            <w:pPr>
              <w:ind w:left="0"/>
              <w:jc w:val="center"/>
              <w:rPr>
                <w:rFonts w:ascii="Bookman Old Style" w:hAnsi="Bookman Old Style" w:cs="Arial"/>
                <w:spacing w:val="-3"/>
                <w:lang w:val="es-ES_tradnl"/>
              </w:rPr>
            </w:pPr>
          </w:p>
        </w:tc>
        <w:tc>
          <w:tcPr>
            <w:tcW w:w="4695" w:type="dxa"/>
            <w:hideMark/>
          </w:tcPr>
          <w:p w:rsidR="009E6EA8" w:rsidRPr="000B65DE" w:rsidRDefault="009E6EA8" w:rsidP="00B76CE3">
            <w:pPr>
              <w:jc w:val="center"/>
              <w:rPr>
                <w:rFonts w:ascii="Bookman Old Style" w:hAnsi="Bookman Old Style" w:cs="Arial"/>
                <w:spacing w:val="-3"/>
                <w:lang w:val="es-ES_tradnl"/>
              </w:rPr>
            </w:pPr>
            <w:r w:rsidRPr="000B65DE">
              <w:rPr>
                <w:rFonts w:ascii="Bookman Old Style" w:hAnsi="Bookman Old Style" w:cs="Arial"/>
                <w:spacing w:val="-3"/>
                <w:lang w:val="es-ES_tradnl"/>
              </w:rPr>
              <w:t>Director Ejecutivo</w:t>
            </w:r>
          </w:p>
        </w:tc>
      </w:tr>
      <w:tr w:rsidR="009E6EA8" w:rsidRPr="000B65DE" w:rsidTr="009E6EA8">
        <w:trPr>
          <w:jc w:val="right"/>
        </w:trPr>
        <w:tc>
          <w:tcPr>
            <w:tcW w:w="4875" w:type="dxa"/>
          </w:tcPr>
          <w:p w:rsidR="009E6EA8" w:rsidRPr="000B65DE" w:rsidRDefault="009E6EA8" w:rsidP="00B76CE3">
            <w:pPr>
              <w:ind w:left="0"/>
              <w:jc w:val="center"/>
              <w:rPr>
                <w:rFonts w:ascii="Bookman Old Style" w:hAnsi="Bookman Old Style" w:cs="Arial"/>
                <w:b/>
                <w:spacing w:val="-3"/>
                <w:lang w:val="es-ES_tradnl"/>
              </w:rPr>
            </w:pPr>
          </w:p>
        </w:tc>
        <w:tc>
          <w:tcPr>
            <w:tcW w:w="4695" w:type="dxa"/>
          </w:tcPr>
          <w:p w:rsidR="009E6EA8" w:rsidRPr="000B65DE" w:rsidRDefault="009E6EA8" w:rsidP="00B76CE3">
            <w:pPr>
              <w:ind w:left="161" w:right="567"/>
              <w:jc w:val="center"/>
              <w:rPr>
                <w:rFonts w:ascii="Bookman Old Style" w:hAnsi="Bookman Old Style" w:cs="Arial"/>
                <w:b/>
                <w:spacing w:val="-3"/>
                <w:lang w:val="es-ES_tradnl"/>
              </w:rPr>
            </w:pPr>
          </w:p>
        </w:tc>
      </w:tr>
    </w:tbl>
    <w:p w:rsidR="000B65DE" w:rsidRPr="000B65DE" w:rsidRDefault="000B65DE" w:rsidP="000B65DE">
      <w:pPr>
        <w:ind w:left="0"/>
        <w:rPr>
          <w:rFonts w:ascii="Bookman Old Style" w:hAnsi="Bookman Old Style"/>
          <w:b/>
          <w:lang w:val="es-ES_tradnl"/>
        </w:rPr>
      </w:pPr>
    </w:p>
    <w:p w:rsidR="000B65DE" w:rsidRPr="000B65DE" w:rsidRDefault="000B65DE" w:rsidP="000B65DE">
      <w:pPr>
        <w:ind w:left="0"/>
        <w:rPr>
          <w:rFonts w:ascii="Bookman Old Style" w:hAnsi="Bookman Old Style"/>
          <w:b/>
          <w:lang w:val="es-ES_tradnl"/>
        </w:rPr>
      </w:pPr>
      <w:r w:rsidRPr="000B65DE">
        <w:rPr>
          <w:rFonts w:ascii="Bookman Old Style" w:hAnsi="Bookman Old Style"/>
          <w:b/>
          <w:lang w:val="es-ES_tradnl"/>
        </w:rPr>
        <w:br w:type="page"/>
      </w:r>
    </w:p>
    <w:p w:rsidR="000B65DE" w:rsidRPr="000B65DE" w:rsidRDefault="000B65DE" w:rsidP="000B65DE">
      <w:pPr>
        <w:ind w:left="0"/>
        <w:rPr>
          <w:rFonts w:ascii="Bookman Old Style" w:hAnsi="Bookman Old Style"/>
          <w:b/>
          <w:lang w:val="es-ES_tradnl"/>
        </w:rPr>
      </w:pPr>
    </w:p>
    <w:p w:rsidR="000B65DE" w:rsidRPr="000B65DE" w:rsidRDefault="000B65DE" w:rsidP="000B65DE">
      <w:pPr>
        <w:ind w:left="0"/>
        <w:rPr>
          <w:rFonts w:ascii="Bookman Old Style" w:hAnsi="Bookman Old Style"/>
          <w:b/>
          <w:lang w:val="es-ES_tradnl"/>
        </w:rPr>
      </w:pPr>
    </w:p>
    <w:p w:rsidR="000B65DE" w:rsidRPr="000B65DE" w:rsidRDefault="000B65DE" w:rsidP="00E528F6">
      <w:pPr>
        <w:numPr>
          <w:ilvl w:val="0"/>
          <w:numId w:val="41"/>
        </w:numPr>
        <w:jc w:val="center"/>
        <w:outlineLvl w:val="0"/>
        <w:rPr>
          <w:rFonts w:ascii="Bookman Old Style" w:hAnsi="Bookman Old Style"/>
          <w:b/>
          <w:lang w:val="es-ES_tradnl"/>
        </w:rPr>
      </w:pPr>
      <w:bookmarkStart w:id="55" w:name="_Ref289353507"/>
    </w:p>
    <w:bookmarkEnd w:id="55"/>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center"/>
        <w:outlineLvl w:val="0"/>
        <w:rPr>
          <w:rFonts w:ascii="Bookman Old Style" w:hAnsi="Bookman Old Style"/>
          <w:b/>
          <w:lang w:val="es-ES_tradnl"/>
        </w:rPr>
      </w:pPr>
      <w:r w:rsidRPr="000B65DE">
        <w:rPr>
          <w:rFonts w:ascii="Bookman Old Style" w:hAnsi="Bookman Old Style"/>
          <w:b/>
          <w:lang w:val="es-ES_tradnl"/>
        </w:rPr>
        <w:t>METODOLOGIA PARA LA DETERMINACIÓN DE LA PROYECCIÓN DE DEMANDA DE GAS COMBUSTIBLE EN LOS MUNICIPIOS NUEVOS</w:t>
      </w:r>
    </w:p>
    <w:p w:rsidR="000B65DE" w:rsidRPr="000B65DE" w:rsidRDefault="000B65DE" w:rsidP="000B65DE">
      <w:pPr>
        <w:rPr>
          <w:rFonts w:ascii="Bookman Old Style" w:hAnsi="Bookman Old Style"/>
          <w:b/>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 xml:space="preserve">A continuación se presentan los requerimientos de información y la propuesta metodológica para la determinación de la demanda potencial de gas natural en los municipios de las áreas no exclusivas. </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Para el análisis, los municipios o la agregación regional de éstos, según sea el caso, se dividen en dos grupos: los que tienen una población igual o inferior a 100.000 habitantes y los que superan esta cifra.</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468" w:hanging="468"/>
        <w:jc w:val="both"/>
        <w:rPr>
          <w:rFonts w:ascii="Bookman Old Style" w:hAnsi="Bookman Old Style"/>
          <w:b/>
          <w:lang w:val="es-ES_tradnl"/>
        </w:rPr>
      </w:pPr>
      <w:r w:rsidRPr="000B65DE">
        <w:rPr>
          <w:rFonts w:ascii="Bookman Old Style" w:hAnsi="Bookman Old Style"/>
          <w:b/>
          <w:lang w:val="es-ES_tradnl"/>
        </w:rPr>
        <w:t>a)</w:t>
      </w:r>
      <w:r w:rsidRPr="000B65DE">
        <w:rPr>
          <w:rFonts w:ascii="Bookman Old Style" w:hAnsi="Bookman Old Style"/>
          <w:b/>
          <w:lang w:val="es-ES_tradnl"/>
        </w:rPr>
        <w:tab/>
        <w:t>Municipios o regiones con 100.000 habitantes o menos</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CO"/>
        </w:rPr>
      </w:pPr>
      <w:r w:rsidRPr="000B65DE">
        <w:rPr>
          <w:rFonts w:ascii="Bookman Old Style" w:hAnsi="Bookman Old Style"/>
          <w:lang w:val="es-CO"/>
        </w:rPr>
        <w:t xml:space="preserve">La información requerida se puede clasificar en dos grupos de acuerdo a la temporalidad del análisis; cifras actuales y cifras prospectivas. </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Cifras actuales: la información para el año base debe comprender:</w:t>
      </w:r>
    </w:p>
    <w:p w:rsidR="000B65DE" w:rsidRPr="000B65DE" w:rsidRDefault="000B65DE" w:rsidP="000B65DE">
      <w:pPr>
        <w:ind w:left="0"/>
        <w:jc w:val="both"/>
        <w:rPr>
          <w:rFonts w:ascii="Bookman Old Style" w:hAnsi="Bookman Old Style"/>
          <w:lang w:val="es-ES_tradnl"/>
        </w:rPr>
      </w:pPr>
    </w:p>
    <w:p w:rsidR="000B65DE" w:rsidRPr="000B65DE" w:rsidRDefault="000B65DE" w:rsidP="008F4D9F">
      <w:pPr>
        <w:numPr>
          <w:ilvl w:val="0"/>
          <w:numId w:val="26"/>
        </w:numPr>
        <w:jc w:val="both"/>
        <w:rPr>
          <w:rFonts w:ascii="Bookman Old Style" w:hAnsi="Bookman Old Style"/>
          <w:szCs w:val="20"/>
          <w:lang w:val="es-CO"/>
        </w:rPr>
      </w:pPr>
      <w:r w:rsidRPr="000B65DE">
        <w:rPr>
          <w:rFonts w:ascii="Bookman Old Style" w:hAnsi="Bookman Old Style"/>
          <w:szCs w:val="20"/>
          <w:lang w:val="es-CO"/>
        </w:rPr>
        <w:t>Listado de las principales actividades económicas desarrolladas en el municipio o la región.</w:t>
      </w:r>
    </w:p>
    <w:p w:rsidR="000B65DE" w:rsidRPr="000B65DE" w:rsidRDefault="000B65DE" w:rsidP="008F4D9F">
      <w:pPr>
        <w:numPr>
          <w:ilvl w:val="0"/>
          <w:numId w:val="26"/>
        </w:numPr>
        <w:jc w:val="both"/>
        <w:rPr>
          <w:rFonts w:ascii="Bookman Old Style" w:hAnsi="Bookman Old Style"/>
          <w:lang w:val="es-ES_tradnl"/>
        </w:rPr>
      </w:pPr>
      <w:r w:rsidRPr="000B65DE">
        <w:rPr>
          <w:rFonts w:ascii="Bookman Old Style" w:hAnsi="Bookman Old Style"/>
          <w:lang w:val="es-ES_tradnl"/>
        </w:rPr>
        <w:t xml:space="preserve">De ser posible, datos sobre el volumen de producción o el ingreso obtenido por la ejecución de estas actividades. </w:t>
      </w:r>
    </w:p>
    <w:p w:rsidR="000B65DE" w:rsidRPr="000B65DE" w:rsidRDefault="000B65DE" w:rsidP="000B65DE">
      <w:pPr>
        <w:ind w:left="702"/>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Para el sector Residencial:</w:t>
      </w:r>
    </w:p>
    <w:p w:rsidR="000B65DE" w:rsidRPr="000B65DE" w:rsidRDefault="000B65DE" w:rsidP="000B65DE">
      <w:pPr>
        <w:ind w:left="0"/>
        <w:jc w:val="both"/>
        <w:rPr>
          <w:rFonts w:ascii="Bookman Old Style" w:hAnsi="Bookman Old Style"/>
          <w:lang w:val="es-ES_tradnl"/>
        </w:rPr>
      </w:pPr>
    </w:p>
    <w:p w:rsidR="000B65DE" w:rsidRPr="000B65DE" w:rsidRDefault="000B65DE" w:rsidP="008F4D9F">
      <w:pPr>
        <w:numPr>
          <w:ilvl w:val="0"/>
          <w:numId w:val="23"/>
        </w:numPr>
        <w:jc w:val="both"/>
        <w:rPr>
          <w:rFonts w:ascii="Bookman Old Style" w:hAnsi="Bookman Old Style"/>
          <w:lang w:val="es-ES_tradnl"/>
        </w:rPr>
      </w:pPr>
      <w:r w:rsidRPr="000B65DE">
        <w:rPr>
          <w:rFonts w:ascii="Bookman Old Style" w:hAnsi="Bookman Old Style"/>
          <w:lang w:val="es-ES_tradnl"/>
        </w:rPr>
        <w:t>Población actual.</w:t>
      </w:r>
    </w:p>
    <w:p w:rsidR="000B65DE" w:rsidRPr="000B65DE" w:rsidRDefault="000B65DE" w:rsidP="008F4D9F">
      <w:pPr>
        <w:numPr>
          <w:ilvl w:val="0"/>
          <w:numId w:val="23"/>
        </w:numPr>
        <w:jc w:val="both"/>
        <w:rPr>
          <w:rFonts w:ascii="Bookman Old Style" w:hAnsi="Bookman Old Style"/>
          <w:lang w:val="es-ES_tradnl"/>
        </w:rPr>
      </w:pPr>
      <w:r w:rsidRPr="000B65DE">
        <w:rPr>
          <w:rFonts w:ascii="Bookman Old Style" w:hAnsi="Bookman Old Style"/>
          <w:lang w:val="es-ES_tradnl"/>
        </w:rPr>
        <w:t>Número de Viviendas y distribución por estratos.</w:t>
      </w:r>
    </w:p>
    <w:p w:rsidR="000B65DE" w:rsidRPr="000B65DE" w:rsidRDefault="000B65DE" w:rsidP="008F4D9F">
      <w:pPr>
        <w:numPr>
          <w:ilvl w:val="0"/>
          <w:numId w:val="23"/>
        </w:numPr>
        <w:jc w:val="both"/>
        <w:rPr>
          <w:rFonts w:ascii="Bookman Old Style" w:hAnsi="Bookman Old Style"/>
          <w:lang w:val="es-ES_tradnl"/>
        </w:rPr>
      </w:pPr>
      <w:r w:rsidRPr="000B65DE">
        <w:rPr>
          <w:rFonts w:ascii="Bookman Old Style" w:hAnsi="Bookman Old Style"/>
          <w:lang w:val="es-ES_tradnl"/>
        </w:rPr>
        <w:t xml:space="preserve">Estimación del consumo promedio por vivienda y del consumo total de los energéticos sustitutos del combustible para el cual se está solicitando el cargo de distribución. </w:t>
      </w:r>
    </w:p>
    <w:p w:rsidR="000B65DE" w:rsidRPr="000B65DE" w:rsidRDefault="000B65DE" w:rsidP="008F4D9F">
      <w:pPr>
        <w:numPr>
          <w:ilvl w:val="0"/>
          <w:numId w:val="23"/>
        </w:numPr>
        <w:jc w:val="both"/>
        <w:rPr>
          <w:rFonts w:ascii="Bookman Old Style" w:hAnsi="Bookman Old Style"/>
          <w:lang w:val="es-ES_tradnl"/>
        </w:rPr>
      </w:pPr>
      <w:r w:rsidRPr="000B65DE">
        <w:rPr>
          <w:rFonts w:ascii="Bookman Old Style" w:hAnsi="Bookman Old Style"/>
          <w:lang w:val="es-ES_tradnl"/>
        </w:rPr>
        <w:t>Precios de los energéticos sustitutos: gas natural, electricidad, GLP y leña. Estos precios deben reflejar un promedio municipal o regional.</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Sector Comercial</w:t>
      </w:r>
    </w:p>
    <w:p w:rsidR="000B65DE" w:rsidRPr="000B65DE" w:rsidRDefault="000B65DE" w:rsidP="000B65DE">
      <w:pPr>
        <w:ind w:left="0"/>
        <w:jc w:val="both"/>
        <w:rPr>
          <w:rFonts w:ascii="Bookman Old Style" w:hAnsi="Bookman Old Style"/>
          <w:lang w:val="es-ES_tradnl"/>
        </w:rPr>
      </w:pPr>
    </w:p>
    <w:p w:rsidR="000B65DE" w:rsidRPr="000B65DE" w:rsidRDefault="000B65DE" w:rsidP="008F4D9F">
      <w:pPr>
        <w:numPr>
          <w:ilvl w:val="0"/>
          <w:numId w:val="24"/>
        </w:numPr>
        <w:jc w:val="both"/>
        <w:rPr>
          <w:rFonts w:ascii="Bookman Old Style" w:hAnsi="Bookman Old Style"/>
          <w:lang w:val="es-ES_tradnl"/>
        </w:rPr>
      </w:pPr>
      <w:r w:rsidRPr="000B65DE">
        <w:rPr>
          <w:rFonts w:ascii="Bookman Old Style" w:hAnsi="Bookman Old Style"/>
          <w:lang w:val="es-ES_tradnl"/>
        </w:rPr>
        <w:t>Número de establecimientos comerciales que posean usos térmicos (entiéndase cocción y calentamiento de agua).</w:t>
      </w:r>
    </w:p>
    <w:p w:rsidR="000B65DE" w:rsidRPr="000B65DE" w:rsidRDefault="000B65DE" w:rsidP="008F4D9F">
      <w:pPr>
        <w:numPr>
          <w:ilvl w:val="0"/>
          <w:numId w:val="24"/>
        </w:numPr>
        <w:jc w:val="both"/>
        <w:rPr>
          <w:rFonts w:ascii="Bookman Old Style" w:hAnsi="Bookman Old Style"/>
          <w:lang w:val="es-ES_tradnl"/>
        </w:rPr>
      </w:pPr>
      <w:r w:rsidRPr="000B65DE">
        <w:rPr>
          <w:rFonts w:ascii="Bookman Old Style" w:hAnsi="Bookman Old Style"/>
          <w:lang w:val="es-ES_tradnl"/>
        </w:rPr>
        <w:t>Consumo de gas natural, electricidad, GLP y otras fuentes.</w:t>
      </w:r>
    </w:p>
    <w:p w:rsidR="000B65DE" w:rsidRPr="000B65DE" w:rsidRDefault="000B65DE" w:rsidP="008F4D9F">
      <w:pPr>
        <w:numPr>
          <w:ilvl w:val="0"/>
          <w:numId w:val="24"/>
        </w:numPr>
        <w:jc w:val="both"/>
        <w:rPr>
          <w:rFonts w:ascii="Bookman Old Style" w:hAnsi="Bookman Old Style"/>
          <w:lang w:val="es-ES_tradnl"/>
        </w:rPr>
      </w:pPr>
      <w:r w:rsidRPr="000B65DE">
        <w:rPr>
          <w:rFonts w:ascii="Bookman Old Style" w:hAnsi="Bookman Old Style"/>
          <w:lang w:val="es-ES_tradnl"/>
        </w:rPr>
        <w:t>Precios de estos energéticos.</w:t>
      </w:r>
    </w:p>
    <w:p w:rsidR="000B65DE" w:rsidRPr="000B65DE" w:rsidRDefault="000B65DE" w:rsidP="000B65DE">
      <w:pPr>
        <w:ind w:left="36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Sector Industrial (se incluyen las actividades agropecuarias que consumen energía)</w:t>
      </w:r>
    </w:p>
    <w:p w:rsidR="000B65DE" w:rsidRPr="000B65DE" w:rsidRDefault="000B65DE" w:rsidP="000B65DE">
      <w:pPr>
        <w:ind w:left="0"/>
        <w:jc w:val="both"/>
        <w:rPr>
          <w:rFonts w:ascii="Bookman Old Style" w:hAnsi="Bookman Old Style"/>
          <w:lang w:val="es-ES_tradnl"/>
        </w:rPr>
      </w:pPr>
    </w:p>
    <w:p w:rsidR="000B65DE" w:rsidRPr="000B65DE" w:rsidRDefault="000B65DE" w:rsidP="008F4D9F">
      <w:pPr>
        <w:numPr>
          <w:ilvl w:val="0"/>
          <w:numId w:val="25"/>
        </w:numPr>
        <w:jc w:val="both"/>
        <w:rPr>
          <w:rFonts w:ascii="Bookman Old Style" w:hAnsi="Bookman Old Style"/>
          <w:lang w:val="es-ES_tradnl"/>
        </w:rPr>
      </w:pPr>
      <w:r w:rsidRPr="000B65DE">
        <w:rPr>
          <w:rFonts w:ascii="Bookman Old Style" w:hAnsi="Bookman Old Style"/>
          <w:lang w:val="es-ES_tradnl"/>
        </w:rPr>
        <w:t>Principales actividades industriales</w:t>
      </w:r>
    </w:p>
    <w:p w:rsidR="000B65DE" w:rsidRDefault="000B65DE" w:rsidP="008F4D9F">
      <w:pPr>
        <w:numPr>
          <w:ilvl w:val="0"/>
          <w:numId w:val="25"/>
        </w:numPr>
        <w:jc w:val="both"/>
        <w:rPr>
          <w:rFonts w:ascii="Bookman Old Style" w:hAnsi="Bookman Old Style"/>
          <w:lang w:val="es-ES_tradnl"/>
        </w:rPr>
      </w:pPr>
      <w:r w:rsidRPr="000B65DE">
        <w:rPr>
          <w:rFonts w:ascii="Bookman Old Style" w:hAnsi="Bookman Old Style"/>
          <w:lang w:val="es-ES_tradnl"/>
        </w:rPr>
        <w:t>Producción de estas industrias, ya sea en volumen o en ingreso.</w:t>
      </w:r>
    </w:p>
    <w:p w:rsidR="00D864B1" w:rsidRDefault="00D864B1" w:rsidP="00D864B1">
      <w:pPr>
        <w:ind w:left="720"/>
        <w:jc w:val="both"/>
        <w:rPr>
          <w:rFonts w:ascii="Bookman Old Style" w:hAnsi="Bookman Old Style"/>
          <w:lang w:val="es-ES_tradnl"/>
        </w:rPr>
      </w:pPr>
    </w:p>
    <w:p w:rsidR="00D864B1" w:rsidRPr="000B65DE" w:rsidRDefault="00D864B1" w:rsidP="00D864B1">
      <w:pPr>
        <w:ind w:left="720"/>
        <w:jc w:val="both"/>
        <w:rPr>
          <w:rFonts w:ascii="Bookman Old Style" w:hAnsi="Bookman Old Style"/>
          <w:lang w:val="es-ES_tradnl"/>
        </w:rPr>
      </w:pPr>
    </w:p>
    <w:p w:rsidR="000B65DE" w:rsidRPr="000B65DE" w:rsidRDefault="000B65DE" w:rsidP="008F4D9F">
      <w:pPr>
        <w:numPr>
          <w:ilvl w:val="0"/>
          <w:numId w:val="25"/>
        </w:numPr>
        <w:jc w:val="both"/>
        <w:rPr>
          <w:rFonts w:ascii="Bookman Old Style" w:hAnsi="Bookman Old Style"/>
          <w:lang w:val="es-ES_tradnl"/>
        </w:rPr>
      </w:pPr>
      <w:r w:rsidRPr="000B65DE">
        <w:rPr>
          <w:rFonts w:ascii="Bookman Old Style" w:hAnsi="Bookman Old Style"/>
          <w:lang w:val="es-ES_tradnl"/>
        </w:rPr>
        <w:t>Consumo de energéticos, gas natural (si lo hay), electricidad, carbón, otros. Si es posible, especificar los usos de los energéticos.</w:t>
      </w:r>
    </w:p>
    <w:p w:rsidR="000B65DE" w:rsidRPr="000B65DE" w:rsidRDefault="000B65DE" w:rsidP="008F4D9F">
      <w:pPr>
        <w:numPr>
          <w:ilvl w:val="0"/>
          <w:numId w:val="25"/>
        </w:numPr>
        <w:jc w:val="both"/>
        <w:rPr>
          <w:rFonts w:ascii="Bookman Old Style" w:hAnsi="Bookman Old Style"/>
          <w:lang w:val="es-ES_tradnl"/>
        </w:rPr>
      </w:pPr>
      <w:r w:rsidRPr="000B65DE">
        <w:rPr>
          <w:rFonts w:ascii="Bookman Old Style" w:hAnsi="Bookman Old Style"/>
          <w:lang w:val="es-ES_tradnl"/>
        </w:rPr>
        <w:t>Precios de estos energéticos.</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Cifras prospectivas: teniendo en cuenta los diferentes sectores se tiene lo siguiente:</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Requerimientos generales.</w:t>
      </w:r>
    </w:p>
    <w:p w:rsidR="000B65DE" w:rsidRPr="000B65DE" w:rsidRDefault="000B65DE" w:rsidP="000B65DE">
      <w:pPr>
        <w:ind w:left="0"/>
        <w:jc w:val="both"/>
        <w:rPr>
          <w:rFonts w:ascii="Bookman Old Style" w:hAnsi="Bookman Old Style"/>
          <w:lang w:val="es-ES_tradnl"/>
        </w:rPr>
      </w:pPr>
    </w:p>
    <w:p w:rsidR="000B65DE" w:rsidRPr="000B65DE" w:rsidRDefault="000B65DE" w:rsidP="008F4D9F">
      <w:pPr>
        <w:numPr>
          <w:ilvl w:val="0"/>
          <w:numId w:val="27"/>
        </w:numPr>
        <w:tabs>
          <w:tab w:val="num" w:pos="780"/>
        </w:tabs>
        <w:jc w:val="both"/>
        <w:rPr>
          <w:rFonts w:ascii="Bookman Old Style" w:hAnsi="Bookman Old Style"/>
          <w:lang w:val="es-ES_tradnl"/>
        </w:rPr>
      </w:pPr>
      <w:r w:rsidRPr="000B65DE">
        <w:rPr>
          <w:rFonts w:ascii="Bookman Old Style" w:hAnsi="Bookman Old Style"/>
          <w:lang w:val="es-ES_tradnl"/>
        </w:rPr>
        <w:t>Posible evolución de las actividades económicas del municipio.</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Sector Residencial.</w:t>
      </w:r>
    </w:p>
    <w:p w:rsidR="000B65DE" w:rsidRPr="000B65DE" w:rsidRDefault="000B65DE" w:rsidP="000B65DE">
      <w:pPr>
        <w:ind w:left="0"/>
        <w:jc w:val="both"/>
        <w:rPr>
          <w:rFonts w:ascii="Bookman Old Style" w:hAnsi="Bookman Old Style"/>
          <w:lang w:val="es-ES_tradnl"/>
        </w:rPr>
      </w:pPr>
    </w:p>
    <w:p w:rsidR="000B65DE" w:rsidRPr="000B65DE" w:rsidRDefault="000B65DE" w:rsidP="008F4D9F">
      <w:pPr>
        <w:numPr>
          <w:ilvl w:val="0"/>
          <w:numId w:val="23"/>
        </w:numPr>
        <w:jc w:val="both"/>
        <w:rPr>
          <w:rFonts w:ascii="Bookman Old Style" w:hAnsi="Bookman Old Style"/>
          <w:lang w:val="es-ES_tradnl"/>
        </w:rPr>
      </w:pPr>
      <w:r w:rsidRPr="000B65DE">
        <w:rPr>
          <w:rFonts w:ascii="Bookman Old Style" w:hAnsi="Bookman Old Style"/>
          <w:lang w:val="es-ES_tradnl"/>
        </w:rPr>
        <w:t>Proyección de la Población para los siguientes veinte años.</w:t>
      </w:r>
    </w:p>
    <w:p w:rsidR="000B65DE" w:rsidRPr="000B65DE" w:rsidRDefault="000B65DE" w:rsidP="008F4D9F">
      <w:pPr>
        <w:numPr>
          <w:ilvl w:val="0"/>
          <w:numId w:val="23"/>
        </w:numPr>
        <w:jc w:val="both"/>
        <w:rPr>
          <w:rFonts w:ascii="Bookman Old Style" w:hAnsi="Bookman Old Style"/>
          <w:lang w:val="es-ES_tradnl"/>
        </w:rPr>
      </w:pPr>
      <w:r w:rsidRPr="000B65DE">
        <w:rPr>
          <w:rFonts w:ascii="Bookman Old Style" w:hAnsi="Bookman Old Style"/>
          <w:lang w:val="es-ES_tradnl"/>
        </w:rPr>
        <w:t>Proyección del número de viviendas para los siguientes veinte años.</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Sector Industrial (se incluyen las actividades agropecuarias que consumen energía)</w:t>
      </w:r>
    </w:p>
    <w:p w:rsidR="000B65DE" w:rsidRPr="000B65DE" w:rsidRDefault="000B65DE" w:rsidP="000B65DE">
      <w:pPr>
        <w:ind w:left="0"/>
        <w:jc w:val="both"/>
        <w:rPr>
          <w:rFonts w:ascii="Bookman Old Style" w:hAnsi="Bookman Old Style"/>
          <w:lang w:val="es-ES_tradnl"/>
        </w:rPr>
      </w:pPr>
    </w:p>
    <w:p w:rsidR="000B65DE" w:rsidRPr="000B65DE" w:rsidRDefault="000B65DE" w:rsidP="008F4D9F">
      <w:pPr>
        <w:numPr>
          <w:ilvl w:val="0"/>
          <w:numId w:val="25"/>
        </w:numPr>
        <w:jc w:val="both"/>
        <w:rPr>
          <w:rFonts w:ascii="Bookman Old Style" w:hAnsi="Bookman Old Style"/>
          <w:lang w:val="es-ES_tradnl"/>
        </w:rPr>
      </w:pPr>
      <w:r w:rsidRPr="000B65DE">
        <w:rPr>
          <w:rFonts w:ascii="Bookman Old Style" w:hAnsi="Bookman Old Style"/>
          <w:lang w:val="es-ES_tradnl"/>
        </w:rPr>
        <w:t>Posibles proyectos industriales programados a futuro, especificando tipo de actividad.</w:t>
      </w:r>
    </w:p>
    <w:p w:rsidR="000B65DE" w:rsidRPr="000B65DE" w:rsidRDefault="000B65DE" w:rsidP="008F4D9F">
      <w:pPr>
        <w:numPr>
          <w:ilvl w:val="0"/>
          <w:numId w:val="25"/>
        </w:numPr>
        <w:jc w:val="both"/>
        <w:rPr>
          <w:rFonts w:ascii="Bookman Old Style" w:hAnsi="Bookman Old Style"/>
          <w:lang w:val="es-ES_tradnl"/>
        </w:rPr>
      </w:pPr>
      <w:r w:rsidRPr="000B65DE">
        <w:rPr>
          <w:rFonts w:ascii="Bookman Old Style" w:hAnsi="Bookman Old Style"/>
          <w:lang w:val="es-ES_tradnl"/>
        </w:rPr>
        <w:t xml:space="preserve">De ser posible, proyecciones del nivel de producción, ya sea en volumen o en pesos. </w:t>
      </w:r>
    </w:p>
    <w:p w:rsidR="000B65DE" w:rsidRPr="000B65DE" w:rsidRDefault="000B65DE" w:rsidP="000B65DE">
      <w:pPr>
        <w:ind w:left="0"/>
        <w:jc w:val="both"/>
        <w:rPr>
          <w:rFonts w:ascii="Bookman Old Style" w:hAnsi="Bookman Old Style"/>
          <w:sz w:val="20"/>
          <w:szCs w:val="20"/>
          <w:lang w:val="es-CO"/>
        </w:rPr>
      </w:pPr>
    </w:p>
    <w:p w:rsidR="000B65DE" w:rsidRPr="000B65DE" w:rsidRDefault="000B65DE" w:rsidP="000B65DE">
      <w:pPr>
        <w:ind w:left="0"/>
        <w:jc w:val="both"/>
        <w:rPr>
          <w:rFonts w:ascii="Bookman Old Style" w:hAnsi="Bookman Old Style"/>
          <w:sz w:val="20"/>
          <w:szCs w:val="20"/>
          <w:lang w:val="es-CO"/>
        </w:rPr>
      </w:pPr>
    </w:p>
    <w:p w:rsidR="000B65DE" w:rsidRPr="000B65DE" w:rsidRDefault="000B65DE" w:rsidP="000B65DE">
      <w:pPr>
        <w:ind w:left="468" w:hanging="468"/>
        <w:jc w:val="both"/>
        <w:rPr>
          <w:rFonts w:ascii="Bookman Old Style" w:hAnsi="Bookman Old Style"/>
          <w:b/>
          <w:lang w:val="es-ES_tradnl"/>
        </w:rPr>
      </w:pPr>
      <w:r w:rsidRPr="000B65DE">
        <w:rPr>
          <w:rFonts w:ascii="Bookman Old Style" w:hAnsi="Bookman Old Style"/>
          <w:b/>
          <w:lang w:val="es-ES_tradnl"/>
        </w:rPr>
        <w:t>b)</w:t>
      </w:r>
      <w:r w:rsidRPr="000B65DE">
        <w:rPr>
          <w:rFonts w:ascii="Bookman Old Style" w:hAnsi="Bookman Old Style"/>
          <w:b/>
          <w:lang w:val="es-ES_tradnl"/>
        </w:rPr>
        <w:tab/>
        <w:t>Municipios o regiones con más de 100.000 habitantes</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Dada la complejidad del análisis de la demanda de gas combustible en estas localidades, se recomienda realizar un estudio de mercado que permita concluir el potencial de demanda de este energético.</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Se sugiere que el estudio incluya lo siguiente:</w:t>
      </w:r>
    </w:p>
    <w:p w:rsidR="000B65DE" w:rsidRPr="000B65DE" w:rsidRDefault="000B65DE" w:rsidP="000B65DE">
      <w:pPr>
        <w:ind w:left="0"/>
        <w:jc w:val="both"/>
        <w:rPr>
          <w:rFonts w:ascii="Bookman Old Style" w:hAnsi="Bookman Old Style"/>
          <w:lang w:val="es-ES_tradnl"/>
        </w:rPr>
      </w:pPr>
    </w:p>
    <w:p w:rsidR="000B65DE" w:rsidRPr="000B65DE" w:rsidRDefault="000B65DE" w:rsidP="008F4D9F">
      <w:pPr>
        <w:numPr>
          <w:ilvl w:val="0"/>
          <w:numId w:val="28"/>
        </w:numPr>
        <w:jc w:val="both"/>
        <w:rPr>
          <w:rFonts w:ascii="Bookman Old Style" w:hAnsi="Bookman Old Style"/>
          <w:lang w:val="es-ES_tradnl"/>
        </w:rPr>
      </w:pPr>
      <w:r w:rsidRPr="000B65DE">
        <w:rPr>
          <w:rFonts w:ascii="Bookman Old Style" w:hAnsi="Bookman Old Style"/>
          <w:lang w:val="es-ES_tradnl"/>
        </w:rPr>
        <w:t>Revisión de estudios anteriores, bases de datos y documentos que sean relevantes para el análisis de mercados calóricos y carburantes penetrables con gas natural.</w:t>
      </w:r>
    </w:p>
    <w:p w:rsidR="000B65DE" w:rsidRPr="000B65DE" w:rsidRDefault="000B65DE" w:rsidP="000B65DE">
      <w:pPr>
        <w:ind w:left="360"/>
        <w:jc w:val="both"/>
        <w:rPr>
          <w:rFonts w:ascii="Bookman Old Style" w:hAnsi="Bookman Old Style"/>
          <w:lang w:val="es-ES_tradnl"/>
        </w:rPr>
      </w:pPr>
    </w:p>
    <w:p w:rsidR="000B65DE" w:rsidRPr="000B65DE" w:rsidRDefault="000B65DE" w:rsidP="008F4D9F">
      <w:pPr>
        <w:numPr>
          <w:ilvl w:val="0"/>
          <w:numId w:val="28"/>
        </w:numPr>
        <w:jc w:val="both"/>
        <w:rPr>
          <w:rFonts w:ascii="Bookman Old Style" w:hAnsi="Bookman Old Style"/>
          <w:lang w:val="es-ES_tradnl"/>
        </w:rPr>
      </w:pPr>
      <w:r w:rsidRPr="000B65DE">
        <w:rPr>
          <w:rFonts w:ascii="Bookman Old Style" w:hAnsi="Bookman Old Style"/>
          <w:lang w:val="es-ES_tradnl"/>
        </w:rPr>
        <w:t xml:space="preserve">Se considera importante complementar la tarea anterior con la revisión de la evolución de los sistemas combustibles en localidades similares. </w:t>
      </w:r>
    </w:p>
    <w:p w:rsidR="000B65DE" w:rsidRPr="000B65DE" w:rsidRDefault="000B65DE" w:rsidP="000B65DE">
      <w:pPr>
        <w:ind w:left="360"/>
        <w:jc w:val="both"/>
        <w:rPr>
          <w:rFonts w:ascii="Bookman Old Style" w:hAnsi="Bookman Old Style"/>
          <w:lang w:val="es-ES_tradnl"/>
        </w:rPr>
      </w:pPr>
    </w:p>
    <w:p w:rsidR="000B65DE" w:rsidRPr="000B65DE" w:rsidRDefault="000B65DE" w:rsidP="008F4D9F">
      <w:pPr>
        <w:numPr>
          <w:ilvl w:val="0"/>
          <w:numId w:val="28"/>
        </w:numPr>
        <w:jc w:val="both"/>
        <w:rPr>
          <w:rFonts w:ascii="Bookman Old Style" w:hAnsi="Bookman Old Style"/>
          <w:lang w:val="es-ES_tradnl"/>
        </w:rPr>
      </w:pPr>
      <w:r w:rsidRPr="000B65DE">
        <w:rPr>
          <w:rFonts w:ascii="Bookman Old Style" w:hAnsi="Bookman Old Style"/>
          <w:lang w:val="es-ES_tradnl"/>
        </w:rPr>
        <w:t>Escenario socioeconómico: construcción del escenario de evolución socioeconómica que se considere más probable y que sirva de marco de referencia a las proyecciones de la demanda.</w:t>
      </w:r>
    </w:p>
    <w:p w:rsidR="000B65DE" w:rsidRPr="000B65DE" w:rsidRDefault="000B65DE" w:rsidP="000B65DE">
      <w:pPr>
        <w:ind w:left="360"/>
        <w:jc w:val="both"/>
        <w:rPr>
          <w:rFonts w:ascii="Bookman Old Style" w:hAnsi="Bookman Old Style"/>
          <w:lang w:val="es-ES_tradnl"/>
        </w:rPr>
      </w:pPr>
    </w:p>
    <w:p w:rsidR="000B65DE" w:rsidRPr="000B65DE" w:rsidRDefault="000B65DE" w:rsidP="008F4D9F">
      <w:pPr>
        <w:numPr>
          <w:ilvl w:val="0"/>
          <w:numId w:val="28"/>
        </w:numPr>
        <w:jc w:val="both"/>
        <w:rPr>
          <w:rFonts w:ascii="Bookman Old Style" w:hAnsi="Bookman Old Style"/>
          <w:lang w:val="es-ES_tradnl"/>
        </w:rPr>
      </w:pPr>
      <w:r w:rsidRPr="000B65DE">
        <w:rPr>
          <w:rFonts w:ascii="Bookman Old Style" w:hAnsi="Bookman Old Style"/>
          <w:lang w:val="es-ES_tradnl"/>
        </w:rPr>
        <w:t xml:space="preserve">Con base en los puntos 1 y 2 y en encuestas (dependiendo de los requerimientos de información), se puede elaborar un diagnóstico integral de la situación del sector energético del municipio o región, dirigido especialmente al examen de la evolución de los mercados disputables por el gas natural. Dicho diagnóstico, junto con el escenario </w:t>
      </w:r>
      <w:r w:rsidRPr="000B65DE">
        <w:rPr>
          <w:rFonts w:ascii="Bookman Old Style" w:hAnsi="Bookman Old Style"/>
          <w:lang w:val="es-ES_tradnl"/>
        </w:rPr>
        <w:lastRenderedPageBreak/>
        <w:t>socioeconómico y los escenarios energéticos, constituirán el punto de partida para las previsiones de la demanda.</w:t>
      </w:r>
    </w:p>
    <w:p w:rsidR="000B65DE" w:rsidRPr="000B65DE" w:rsidRDefault="000B65DE" w:rsidP="000B65DE">
      <w:pPr>
        <w:ind w:left="360"/>
        <w:jc w:val="both"/>
        <w:rPr>
          <w:rFonts w:ascii="Bookman Old Style" w:hAnsi="Bookman Old Style"/>
          <w:lang w:val="es-ES_tradnl"/>
        </w:rPr>
      </w:pPr>
    </w:p>
    <w:p w:rsidR="000B65DE" w:rsidRPr="000B65DE" w:rsidRDefault="000B65DE" w:rsidP="008F4D9F">
      <w:pPr>
        <w:numPr>
          <w:ilvl w:val="0"/>
          <w:numId w:val="28"/>
        </w:numPr>
        <w:jc w:val="both"/>
        <w:rPr>
          <w:rFonts w:ascii="Bookman Old Style" w:hAnsi="Bookman Old Style"/>
          <w:lang w:val="es-ES_tradnl"/>
        </w:rPr>
      </w:pPr>
      <w:r w:rsidRPr="000B65DE">
        <w:rPr>
          <w:rFonts w:ascii="Bookman Old Style" w:hAnsi="Bookman Old Style"/>
          <w:lang w:val="es-ES_tradnl"/>
        </w:rPr>
        <w:t>Información secundaria y encuestas: además de la información obtenida a partir de las tareas 1 y 2 se considera necesario hacer una explotación intensiva de la información secundaria y bases de datos existentes en Colombia, complementándolas con encuestas de carácter selectivo que aporten aquellos elementos que no se hayan encontrado en el material previamente analizado.</w:t>
      </w:r>
    </w:p>
    <w:p w:rsidR="000B65DE" w:rsidRPr="000B65DE" w:rsidRDefault="000B65DE" w:rsidP="000B65DE">
      <w:pPr>
        <w:ind w:left="360"/>
        <w:jc w:val="both"/>
        <w:rPr>
          <w:rFonts w:ascii="Bookman Old Style" w:hAnsi="Bookman Old Style"/>
          <w:lang w:val="es-ES_tradnl"/>
        </w:rPr>
      </w:pPr>
    </w:p>
    <w:p w:rsidR="000B65DE" w:rsidRPr="000B65DE" w:rsidRDefault="000B65DE" w:rsidP="008F4D9F">
      <w:pPr>
        <w:numPr>
          <w:ilvl w:val="0"/>
          <w:numId w:val="28"/>
        </w:numPr>
        <w:jc w:val="both"/>
        <w:rPr>
          <w:rFonts w:ascii="Bookman Old Style" w:hAnsi="Bookman Old Style"/>
          <w:lang w:val="es-ES_tradnl"/>
        </w:rPr>
      </w:pPr>
      <w:r w:rsidRPr="000B65DE">
        <w:rPr>
          <w:rFonts w:ascii="Bookman Old Style" w:hAnsi="Bookman Old Style"/>
          <w:lang w:val="es-ES_tradnl"/>
        </w:rPr>
        <w:t>Escenarios energéticos: en correspondencia con el punto 3, es necesario definir escenarios que reflejen hitos energéticos importantes que puedan modificar estructuralmente los sistemas energéticos, tales como la tecnología, políticas de precios, etc.</w:t>
      </w:r>
    </w:p>
    <w:p w:rsidR="000B65DE" w:rsidRPr="000B65DE" w:rsidRDefault="000B65DE" w:rsidP="000B65DE">
      <w:pPr>
        <w:ind w:left="36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Con respecto a la metodología de proyección, se sugiere que sea de carácter analítico fundamentalmente (en otras palabras, que no se limite a la construcción de modelos econométricos) y que esté basada en escenarios alternativos desarrollados con modelos de simulación. Lo importante aquí es considerar la utilización de modelos que permitan definir la sustitución entre fuentes energéticas para determinar la velocidad de penetración del gas natural en los diferentes mercados considerados.</w:t>
      </w:r>
    </w:p>
    <w:p w:rsidR="000B65DE" w:rsidRPr="000B65DE" w:rsidRDefault="000B65DE" w:rsidP="000B65DE">
      <w:pPr>
        <w:ind w:left="0"/>
        <w:jc w:val="both"/>
        <w:rPr>
          <w:rFonts w:ascii="Bookman Old Style" w:hAnsi="Bookman Old Style"/>
          <w:lang w:val="es-ES_tradnl"/>
        </w:rPr>
      </w:pPr>
    </w:p>
    <w:p w:rsidR="000B65DE" w:rsidRDefault="000B65DE" w:rsidP="000B65DE">
      <w:pPr>
        <w:ind w:left="0"/>
        <w:jc w:val="both"/>
        <w:rPr>
          <w:rFonts w:ascii="Bookman Old Style" w:hAnsi="Bookman Old Style"/>
          <w:lang w:val="es-ES_tradnl"/>
        </w:rPr>
      </w:pPr>
    </w:p>
    <w:p w:rsidR="001D143C" w:rsidRPr="000B65DE" w:rsidRDefault="001D143C"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p>
    <w:tbl>
      <w:tblPr>
        <w:tblW w:w="9570" w:type="dxa"/>
        <w:jc w:val="right"/>
        <w:tblLayout w:type="fixed"/>
        <w:tblCellMar>
          <w:left w:w="70" w:type="dxa"/>
          <w:right w:w="70" w:type="dxa"/>
        </w:tblCellMar>
        <w:tblLook w:val="04A0" w:firstRow="1" w:lastRow="0" w:firstColumn="1" w:lastColumn="0" w:noHBand="0" w:noVBand="1"/>
      </w:tblPr>
      <w:tblGrid>
        <w:gridCol w:w="4875"/>
        <w:gridCol w:w="4695"/>
      </w:tblGrid>
      <w:tr w:rsidR="009E6EA8" w:rsidRPr="000B65DE" w:rsidTr="009E6EA8">
        <w:trPr>
          <w:jc w:val="right"/>
        </w:trPr>
        <w:tc>
          <w:tcPr>
            <w:tcW w:w="4875" w:type="dxa"/>
            <w:hideMark/>
          </w:tcPr>
          <w:p w:rsidR="009E6EA8" w:rsidRPr="000B65DE" w:rsidRDefault="009E6EA8" w:rsidP="00B76CE3">
            <w:pPr>
              <w:ind w:left="0"/>
              <w:jc w:val="center"/>
              <w:rPr>
                <w:rFonts w:ascii="Bookman Old Style" w:hAnsi="Bookman Old Style" w:cs="Arial"/>
                <w:b/>
                <w:spacing w:val="-3"/>
                <w:lang w:val="es-ES_tradnl"/>
              </w:rPr>
            </w:pPr>
            <w:r>
              <w:rPr>
                <w:rFonts w:ascii="Bookman Old Style" w:hAnsi="Bookman Old Style" w:cs="Arial"/>
                <w:b/>
                <w:color w:val="000000"/>
              </w:rPr>
              <w:t>ORLANDO CABRALES SEGOVIA</w:t>
            </w:r>
          </w:p>
        </w:tc>
        <w:tc>
          <w:tcPr>
            <w:tcW w:w="4695" w:type="dxa"/>
            <w:hideMark/>
          </w:tcPr>
          <w:p w:rsidR="009E6EA8" w:rsidRPr="000B65DE" w:rsidRDefault="009E6EA8" w:rsidP="00B76CE3">
            <w:pPr>
              <w:ind w:left="161" w:right="567"/>
              <w:jc w:val="center"/>
              <w:rPr>
                <w:rFonts w:ascii="Bookman Old Style" w:hAnsi="Bookman Old Style" w:cs="Arial"/>
                <w:b/>
                <w:spacing w:val="-3"/>
                <w:lang w:val="es-ES_tradnl"/>
              </w:rPr>
            </w:pPr>
            <w:r w:rsidRPr="000B65DE">
              <w:rPr>
                <w:rFonts w:ascii="Bookman Old Style" w:hAnsi="Bookman Old Style" w:cs="Arial"/>
                <w:b/>
                <w:spacing w:val="-3"/>
                <w:lang w:val="es-ES_tradnl"/>
              </w:rPr>
              <w:t>GERMÁN CASTRO FERREIRA</w:t>
            </w:r>
          </w:p>
        </w:tc>
      </w:tr>
      <w:tr w:rsidR="009E6EA8" w:rsidRPr="000B65DE" w:rsidTr="009E6EA8">
        <w:trPr>
          <w:jc w:val="right"/>
        </w:trPr>
        <w:tc>
          <w:tcPr>
            <w:tcW w:w="4875" w:type="dxa"/>
            <w:hideMark/>
          </w:tcPr>
          <w:tbl>
            <w:tblPr>
              <w:tblW w:w="4891" w:type="dxa"/>
              <w:tblLayout w:type="fixed"/>
              <w:tblCellMar>
                <w:left w:w="0" w:type="dxa"/>
                <w:right w:w="0" w:type="dxa"/>
              </w:tblCellMar>
              <w:tblLook w:val="04A0" w:firstRow="1" w:lastRow="0" w:firstColumn="1" w:lastColumn="0" w:noHBand="0" w:noVBand="1"/>
            </w:tblPr>
            <w:tblGrid>
              <w:gridCol w:w="4891"/>
            </w:tblGrid>
            <w:tr w:rsidR="009E6EA8" w:rsidTr="00B76CE3">
              <w:tc>
                <w:tcPr>
                  <w:tcW w:w="4891" w:type="dxa"/>
                  <w:hideMark/>
                </w:tcPr>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Viceministro de Energía</w:t>
                  </w:r>
                </w:p>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Delegado del Ministro de Minas y Energía</w:t>
                  </w:r>
                </w:p>
              </w:tc>
            </w:tr>
            <w:tr w:rsidR="009E6EA8" w:rsidTr="00B76CE3">
              <w:tc>
                <w:tcPr>
                  <w:tcW w:w="4891" w:type="dxa"/>
                  <w:hideMark/>
                </w:tcPr>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Presidente</w:t>
                  </w:r>
                </w:p>
              </w:tc>
            </w:tr>
          </w:tbl>
          <w:p w:rsidR="009E6EA8" w:rsidRPr="000B65DE" w:rsidRDefault="009E6EA8" w:rsidP="00B76CE3">
            <w:pPr>
              <w:ind w:left="0"/>
              <w:jc w:val="center"/>
              <w:rPr>
                <w:rFonts w:ascii="Bookman Old Style" w:hAnsi="Bookman Old Style" w:cs="Arial"/>
                <w:spacing w:val="-3"/>
                <w:lang w:val="es-ES_tradnl"/>
              </w:rPr>
            </w:pPr>
          </w:p>
        </w:tc>
        <w:tc>
          <w:tcPr>
            <w:tcW w:w="4695" w:type="dxa"/>
            <w:hideMark/>
          </w:tcPr>
          <w:p w:rsidR="009E6EA8" w:rsidRPr="000B65DE" w:rsidRDefault="009E6EA8" w:rsidP="00B76CE3">
            <w:pPr>
              <w:jc w:val="center"/>
              <w:rPr>
                <w:rFonts w:ascii="Bookman Old Style" w:hAnsi="Bookman Old Style" w:cs="Arial"/>
                <w:spacing w:val="-3"/>
                <w:lang w:val="es-ES_tradnl"/>
              </w:rPr>
            </w:pPr>
            <w:r w:rsidRPr="000B65DE">
              <w:rPr>
                <w:rFonts w:ascii="Bookman Old Style" w:hAnsi="Bookman Old Style" w:cs="Arial"/>
                <w:spacing w:val="-3"/>
                <w:lang w:val="es-ES_tradnl"/>
              </w:rPr>
              <w:t>Director Ejecutivo</w:t>
            </w:r>
          </w:p>
        </w:tc>
      </w:tr>
      <w:tr w:rsidR="009E6EA8" w:rsidRPr="000B65DE" w:rsidTr="009E6EA8">
        <w:trPr>
          <w:jc w:val="right"/>
        </w:trPr>
        <w:tc>
          <w:tcPr>
            <w:tcW w:w="4875" w:type="dxa"/>
          </w:tcPr>
          <w:p w:rsidR="009E6EA8" w:rsidRPr="000B65DE" w:rsidRDefault="009E6EA8" w:rsidP="00B76CE3">
            <w:pPr>
              <w:ind w:left="0"/>
              <w:jc w:val="center"/>
              <w:rPr>
                <w:rFonts w:ascii="Bookman Old Style" w:hAnsi="Bookman Old Style" w:cs="Arial"/>
                <w:b/>
                <w:spacing w:val="-3"/>
                <w:lang w:val="es-ES_tradnl"/>
              </w:rPr>
            </w:pPr>
          </w:p>
        </w:tc>
        <w:tc>
          <w:tcPr>
            <w:tcW w:w="4695" w:type="dxa"/>
          </w:tcPr>
          <w:p w:rsidR="009E6EA8" w:rsidRPr="000B65DE" w:rsidRDefault="009E6EA8" w:rsidP="00B76CE3">
            <w:pPr>
              <w:ind w:left="161" w:right="567"/>
              <w:jc w:val="center"/>
              <w:rPr>
                <w:rFonts w:ascii="Bookman Old Style" w:hAnsi="Bookman Old Style" w:cs="Arial"/>
                <w:b/>
                <w:spacing w:val="-3"/>
                <w:lang w:val="es-ES_tradnl"/>
              </w:rPr>
            </w:pPr>
          </w:p>
        </w:tc>
      </w:tr>
    </w:tbl>
    <w:p w:rsidR="000B65DE" w:rsidRPr="000B65DE" w:rsidRDefault="000B65DE" w:rsidP="000B65DE">
      <w:pPr>
        <w:ind w:left="0"/>
        <w:rPr>
          <w:rFonts w:ascii="Bookman Old Style" w:hAnsi="Bookman Old Style"/>
          <w:b/>
          <w:lang w:val="es-ES_tradnl"/>
        </w:rPr>
      </w:pPr>
      <w:r w:rsidRPr="000B65DE">
        <w:rPr>
          <w:rFonts w:ascii="Bookman Old Style" w:hAnsi="Bookman Old Style"/>
          <w:b/>
          <w:lang w:val="es-ES_tradnl"/>
        </w:rPr>
        <w:br w:type="page"/>
      </w:r>
    </w:p>
    <w:p w:rsidR="000B65DE" w:rsidRPr="000B65DE" w:rsidRDefault="000B65DE" w:rsidP="000B65DE">
      <w:pPr>
        <w:ind w:left="0"/>
        <w:rPr>
          <w:rFonts w:ascii="Bookman Old Style" w:hAnsi="Bookman Old Style"/>
          <w:b/>
          <w:lang w:val="es-ES_tradnl"/>
        </w:rPr>
      </w:pPr>
    </w:p>
    <w:p w:rsidR="000B65DE" w:rsidRPr="000B65DE" w:rsidRDefault="000B65DE" w:rsidP="000B65DE">
      <w:pPr>
        <w:jc w:val="center"/>
        <w:rPr>
          <w:rFonts w:ascii="Bookman Old Style" w:hAnsi="Bookman Old Style"/>
          <w:b/>
          <w:lang w:val="es-ES_tradnl"/>
        </w:rPr>
      </w:pPr>
    </w:p>
    <w:p w:rsidR="000B65DE" w:rsidRPr="000B65DE" w:rsidRDefault="000B65DE" w:rsidP="00E528F6">
      <w:pPr>
        <w:numPr>
          <w:ilvl w:val="0"/>
          <w:numId w:val="41"/>
        </w:numPr>
        <w:jc w:val="center"/>
        <w:outlineLvl w:val="0"/>
        <w:rPr>
          <w:rFonts w:ascii="Bookman Old Style" w:hAnsi="Bookman Old Style"/>
          <w:b/>
          <w:lang w:val="es-ES_tradnl"/>
        </w:rPr>
      </w:pPr>
      <w:bookmarkStart w:id="56" w:name="_Ref332875910"/>
    </w:p>
    <w:bookmarkEnd w:id="56"/>
    <w:p w:rsidR="000B65DE" w:rsidRPr="000B65DE" w:rsidRDefault="000B65DE" w:rsidP="000B65DE">
      <w:pPr>
        <w:rPr>
          <w:lang w:val="es-ES_tradnl"/>
        </w:rPr>
      </w:pPr>
    </w:p>
    <w:p w:rsidR="000B65DE" w:rsidRPr="000B65DE" w:rsidRDefault="000B65DE" w:rsidP="000B65DE">
      <w:pPr>
        <w:ind w:left="0"/>
        <w:jc w:val="center"/>
        <w:outlineLvl w:val="0"/>
        <w:rPr>
          <w:rFonts w:ascii="Bookman Old Style" w:hAnsi="Bookman Old Style"/>
          <w:b/>
          <w:lang w:val="es-ES_tradnl"/>
        </w:rPr>
      </w:pPr>
      <w:r w:rsidRPr="000B65DE">
        <w:rPr>
          <w:rFonts w:ascii="Bookman Old Style" w:hAnsi="Bookman Old Style"/>
          <w:b/>
          <w:lang w:val="es-ES_tradnl"/>
        </w:rPr>
        <w:t>FORMATO REPORTE CONEXIÓN DE USUARIOS POR TIPO DE RED MERCADOS EXISTENTES</w:t>
      </w: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tbl>
      <w:tblPr>
        <w:tblW w:w="9585" w:type="dxa"/>
        <w:jc w:val="center"/>
        <w:tblCellMar>
          <w:left w:w="70" w:type="dxa"/>
          <w:right w:w="70" w:type="dxa"/>
        </w:tblCellMar>
        <w:tblLook w:val="04A0" w:firstRow="1" w:lastRow="0" w:firstColumn="1" w:lastColumn="0" w:noHBand="0" w:noVBand="1"/>
      </w:tblPr>
      <w:tblGrid>
        <w:gridCol w:w="3419"/>
        <w:gridCol w:w="1518"/>
        <w:gridCol w:w="1260"/>
        <w:gridCol w:w="1472"/>
        <w:gridCol w:w="1134"/>
        <w:gridCol w:w="782"/>
      </w:tblGrid>
      <w:tr w:rsidR="000B65DE" w:rsidRPr="000B65DE" w:rsidTr="00382E27">
        <w:trPr>
          <w:trHeight w:val="285"/>
          <w:jc w:val="center"/>
        </w:trPr>
        <w:tc>
          <w:tcPr>
            <w:tcW w:w="3419"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0B65DE" w:rsidRPr="000B65DE" w:rsidRDefault="000B65DE" w:rsidP="000B65DE">
            <w:pPr>
              <w:ind w:left="0"/>
              <w:jc w:val="center"/>
              <w:rPr>
                <w:rFonts w:ascii="Bookman Old Style" w:hAnsi="Bookman Old Style"/>
                <w:b/>
                <w:bCs/>
                <w:color w:val="000000"/>
                <w:lang w:val="es-CO" w:eastAsia="es-CO"/>
              </w:rPr>
            </w:pPr>
            <w:r w:rsidRPr="000B65DE">
              <w:rPr>
                <w:rFonts w:ascii="Bookman Old Style" w:hAnsi="Bookman Old Style"/>
                <w:b/>
                <w:bCs/>
                <w:color w:val="000000"/>
                <w:lang w:val="es-CO" w:eastAsia="es-CO"/>
              </w:rPr>
              <w:t>MUNICIPIO</w:t>
            </w:r>
          </w:p>
        </w:tc>
        <w:tc>
          <w:tcPr>
            <w:tcW w:w="6166" w:type="dxa"/>
            <w:gridSpan w:val="5"/>
            <w:tcBorders>
              <w:top w:val="single" w:sz="8" w:space="0" w:color="auto"/>
              <w:left w:val="nil"/>
              <w:bottom w:val="single" w:sz="8" w:space="0" w:color="auto"/>
              <w:right w:val="single" w:sz="8" w:space="0" w:color="auto"/>
            </w:tcBorders>
            <w:shd w:val="clear" w:color="000000" w:fill="FFFFFF"/>
            <w:vAlign w:val="center"/>
            <w:hideMark/>
          </w:tcPr>
          <w:p w:rsidR="000B65DE" w:rsidRPr="000B65DE" w:rsidRDefault="000B65DE" w:rsidP="000B65DE">
            <w:pPr>
              <w:pBdr>
                <w:right w:val="single" w:sz="8" w:space="4" w:color="000000"/>
              </w:pBdr>
              <w:ind w:left="0"/>
              <w:jc w:val="center"/>
              <w:rPr>
                <w:rFonts w:ascii="Bookman Old Style" w:hAnsi="Bookman Old Style"/>
                <w:b/>
                <w:bCs/>
                <w:color w:val="000000"/>
                <w:lang w:val="es-CO" w:eastAsia="es-CO"/>
              </w:rPr>
            </w:pPr>
            <w:r w:rsidRPr="000B65DE">
              <w:rPr>
                <w:rFonts w:ascii="Bookman Old Style" w:hAnsi="Bookman Old Style"/>
                <w:b/>
                <w:bCs/>
                <w:color w:val="000000"/>
                <w:lang w:val="es-CO" w:eastAsia="es-CO"/>
              </w:rPr>
              <w:t> </w:t>
            </w:r>
          </w:p>
          <w:p w:rsidR="000B65DE" w:rsidRPr="000B65DE" w:rsidRDefault="000B65DE" w:rsidP="000B65DE">
            <w:pPr>
              <w:pBdr>
                <w:right w:val="single" w:sz="8" w:space="4" w:color="000000"/>
              </w:pBdr>
              <w:ind w:left="0"/>
              <w:jc w:val="center"/>
              <w:rPr>
                <w:rFonts w:ascii="Bookman Old Style" w:hAnsi="Bookman Old Style"/>
                <w:b/>
                <w:bCs/>
                <w:color w:val="000000"/>
                <w:lang w:val="es-CO" w:eastAsia="es-CO"/>
              </w:rPr>
            </w:pPr>
            <w:r w:rsidRPr="000B65DE">
              <w:rPr>
                <w:rFonts w:ascii="Bookman Old Style" w:hAnsi="Bookman Old Style"/>
                <w:b/>
                <w:bCs/>
                <w:color w:val="000000"/>
                <w:lang w:val="es-CO" w:eastAsia="es-CO"/>
              </w:rPr>
              <w:t>CÓDIGO DANE</w:t>
            </w:r>
          </w:p>
          <w:p w:rsidR="000B65DE" w:rsidRPr="000B65DE" w:rsidRDefault="000B65DE" w:rsidP="000B65DE">
            <w:pPr>
              <w:ind w:left="0"/>
              <w:jc w:val="center"/>
              <w:rPr>
                <w:rFonts w:ascii="Bookman Old Style" w:hAnsi="Bookman Old Style"/>
                <w:b/>
                <w:bCs/>
                <w:color w:val="000000"/>
                <w:lang w:val="es-CO" w:eastAsia="es-CO"/>
              </w:rPr>
            </w:pPr>
            <w:r w:rsidRPr="000B65DE">
              <w:rPr>
                <w:rFonts w:ascii="Bookman Old Style" w:hAnsi="Bookman Old Style"/>
                <w:b/>
                <w:bCs/>
                <w:color w:val="000000"/>
                <w:lang w:val="es-CO" w:eastAsia="es-CO"/>
              </w:rPr>
              <w:t> </w:t>
            </w:r>
          </w:p>
        </w:tc>
      </w:tr>
      <w:tr w:rsidR="000B65DE" w:rsidRPr="000B65DE" w:rsidTr="00382E27">
        <w:trPr>
          <w:trHeight w:val="330"/>
          <w:jc w:val="center"/>
        </w:trPr>
        <w:tc>
          <w:tcPr>
            <w:tcW w:w="3419" w:type="dxa"/>
            <w:tcBorders>
              <w:top w:val="nil"/>
              <w:left w:val="nil"/>
              <w:bottom w:val="nil"/>
              <w:right w:val="nil"/>
            </w:tcBorders>
            <w:shd w:val="clear" w:color="000000" w:fill="FFFFFF"/>
            <w:noWrap/>
            <w:vAlign w:val="bottom"/>
            <w:hideMark/>
          </w:tcPr>
          <w:p w:rsidR="000B65DE" w:rsidRPr="000B65DE" w:rsidRDefault="000B65DE" w:rsidP="000B65DE">
            <w:pPr>
              <w:ind w:left="0"/>
              <w:jc w:val="both"/>
              <w:rPr>
                <w:rFonts w:ascii="Bookman Old Style" w:hAnsi="Bookman Old Style"/>
                <w:lang w:val="es-CO" w:eastAsia="es-CO"/>
              </w:rPr>
            </w:pPr>
            <w:r w:rsidRPr="000B65DE">
              <w:rPr>
                <w:rFonts w:ascii="Bookman Old Style" w:hAnsi="Bookman Old Style"/>
                <w:lang w:val="es-CO" w:eastAsia="es-CO"/>
              </w:rPr>
              <w:t> </w:t>
            </w:r>
          </w:p>
        </w:tc>
        <w:tc>
          <w:tcPr>
            <w:tcW w:w="1518" w:type="dxa"/>
            <w:tcBorders>
              <w:top w:val="nil"/>
              <w:left w:val="nil"/>
              <w:bottom w:val="nil"/>
              <w:right w:val="nil"/>
            </w:tcBorders>
            <w:shd w:val="clear" w:color="000000" w:fill="FFFFFF"/>
            <w:noWrap/>
            <w:vAlign w:val="bottom"/>
            <w:hideMark/>
          </w:tcPr>
          <w:p w:rsidR="000B65DE" w:rsidRPr="000B65DE" w:rsidRDefault="000B65DE" w:rsidP="000B65DE">
            <w:pPr>
              <w:ind w:left="0"/>
              <w:rPr>
                <w:rFonts w:ascii="Bookman Old Style" w:hAnsi="Bookman Old Style"/>
                <w:color w:val="000000"/>
                <w:lang w:val="es-CO" w:eastAsia="es-CO"/>
              </w:rPr>
            </w:pPr>
            <w:r w:rsidRPr="000B65DE">
              <w:rPr>
                <w:rFonts w:ascii="Bookman Old Style" w:hAnsi="Bookman Old Style"/>
                <w:color w:val="000000"/>
                <w:lang w:val="es-CO" w:eastAsia="es-CO"/>
              </w:rPr>
              <w:t> </w:t>
            </w:r>
          </w:p>
        </w:tc>
        <w:tc>
          <w:tcPr>
            <w:tcW w:w="1260" w:type="dxa"/>
            <w:tcBorders>
              <w:top w:val="nil"/>
              <w:left w:val="nil"/>
              <w:bottom w:val="nil"/>
              <w:right w:val="nil"/>
            </w:tcBorders>
            <w:shd w:val="clear" w:color="000000" w:fill="FFFFFF"/>
            <w:noWrap/>
            <w:vAlign w:val="bottom"/>
            <w:hideMark/>
          </w:tcPr>
          <w:p w:rsidR="000B65DE" w:rsidRPr="000B65DE" w:rsidRDefault="000B65DE" w:rsidP="000B65DE">
            <w:pPr>
              <w:ind w:left="0"/>
              <w:rPr>
                <w:rFonts w:ascii="Bookman Old Style" w:hAnsi="Bookman Old Style"/>
                <w:color w:val="000000"/>
                <w:lang w:val="es-CO" w:eastAsia="es-CO"/>
              </w:rPr>
            </w:pPr>
            <w:r w:rsidRPr="000B65DE">
              <w:rPr>
                <w:rFonts w:ascii="Bookman Old Style" w:hAnsi="Bookman Old Style"/>
                <w:color w:val="000000"/>
                <w:lang w:val="es-CO" w:eastAsia="es-CO"/>
              </w:rPr>
              <w:t> </w:t>
            </w:r>
          </w:p>
        </w:tc>
        <w:tc>
          <w:tcPr>
            <w:tcW w:w="1472" w:type="dxa"/>
            <w:tcBorders>
              <w:top w:val="nil"/>
              <w:left w:val="nil"/>
              <w:bottom w:val="nil"/>
              <w:right w:val="nil"/>
            </w:tcBorders>
            <w:shd w:val="clear" w:color="000000" w:fill="FFFFFF"/>
            <w:noWrap/>
            <w:vAlign w:val="bottom"/>
            <w:hideMark/>
          </w:tcPr>
          <w:p w:rsidR="000B65DE" w:rsidRPr="000B65DE" w:rsidRDefault="000B65DE" w:rsidP="000B65DE">
            <w:pPr>
              <w:ind w:left="0"/>
              <w:rPr>
                <w:rFonts w:ascii="Bookman Old Style" w:hAnsi="Bookman Old Style"/>
                <w:color w:val="000000"/>
                <w:lang w:val="es-CO" w:eastAsia="es-CO"/>
              </w:rPr>
            </w:pPr>
            <w:r w:rsidRPr="000B65DE">
              <w:rPr>
                <w:rFonts w:ascii="Bookman Old Style" w:hAnsi="Bookman Old Style"/>
                <w:color w:val="000000"/>
                <w:lang w:val="es-CO" w:eastAsia="es-CO"/>
              </w:rPr>
              <w:t> </w:t>
            </w:r>
          </w:p>
        </w:tc>
        <w:tc>
          <w:tcPr>
            <w:tcW w:w="1134" w:type="dxa"/>
            <w:tcBorders>
              <w:top w:val="nil"/>
              <w:left w:val="nil"/>
              <w:bottom w:val="nil"/>
              <w:right w:val="nil"/>
            </w:tcBorders>
            <w:shd w:val="clear" w:color="000000" w:fill="FFFFFF"/>
            <w:noWrap/>
            <w:vAlign w:val="bottom"/>
            <w:hideMark/>
          </w:tcPr>
          <w:p w:rsidR="000B65DE" w:rsidRPr="000B65DE" w:rsidRDefault="000B65DE" w:rsidP="000B65DE">
            <w:pPr>
              <w:ind w:left="0"/>
              <w:rPr>
                <w:rFonts w:ascii="Bookman Old Style" w:hAnsi="Bookman Old Style"/>
                <w:color w:val="000000"/>
                <w:lang w:val="es-CO" w:eastAsia="es-CO"/>
              </w:rPr>
            </w:pPr>
            <w:r w:rsidRPr="000B65DE">
              <w:rPr>
                <w:rFonts w:ascii="Bookman Old Style" w:hAnsi="Bookman Old Style"/>
                <w:color w:val="000000"/>
                <w:lang w:val="es-CO" w:eastAsia="es-CO"/>
              </w:rPr>
              <w:t> </w:t>
            </w:r>
          </w:p>
        </w:tc>
        <w:tc>
          <w:tcPr>
            <w:tcW w:w="782" w:type="dxa"/>
            <w:tcBorders>
              <w:top w:val="nil"/>
              <w:left w:val="nil"/>
              <w:bottom w:val="nil"/>
              <w:right w:val="nil"/>
            </w:tcBorders>
            <w:shd w:val="clear" w:color="000000" w:fill="FFFFFF"/>
          </w:tcPr>
          <w:p w:rsidR="000B65DE" w:rsidRPr="000B65DE" w:rsidRDefault="000B65DE" w:rsidP="000B65DE">
            <w:pPr>
              <w:ind w:left="0"/>
              <w:rPr>
                <w:rFonts w:ascii="Bookman Old Style" w:hAnsi="Bookman Old Style"/>
                <w:color w:val="000000"/>
                <w:lang w:val="es-CO" w:eastAsia="es-CO"/>
              </w:rPr>
            </w:pPr>
          </w:p>
        </w:tc>
      </w:tr>
      <w:tr w:rsidR="000B65DE" w:rsidRPr="000B65DE" w:rsidTr="00382E27">
        <w:trPr>
          <w:trHeight w:val="330"/>
          <w:jc w:val="center"/>
        </w:trPr>
        <w:tc>
          <w:tcPr>
            <w:tcW w:w="3419" w:type="dxa"/>
            <w:vMerge w:val="restart"/>
            <w:tcBorders>
              <w:top w:val="single" w:sz="8" w:space="0" w:color="auto"/>
              <w:left w:val="single" w:sz="8" w:space="0" w:color="auto"/>
              <w:bottom w:val="single" w:sz="8" w:space="0" w:color="auto"/>
              <w:right w:val="single" w:sz="8" w:space="0" w:color="auto"/>
            </w:tcBorders>
            <w:shd w:val="clear" w:color="000000" w:fill="FFFFFF"/>
            <w:noWrap/>
            <w:vAlign w:val="center"/>
            <w:hideMark/>
          </w:tcPr>
          <w:p w:rsidR="000B65DE" w:rsidRPr="000B65DE" w:rsidRDefault="000B65DE" w:rsidP="000B65DE">
            <w:pPr>
              <w:ind w:left="0"/>
              <w:jc w:val="center"/>
              <w:rPr>
                <w:rFonts w:ascii="Bookman Old Style" w:hAnsi="Bookman Old Style"/>
                <w:b/>
                <w:bCs/>
                <w:color w:val="000000"/>
                <w:lang w:val="es-CO" w:eastAsia="es-CO"/>
              </w:rPr>
            </w:pPr>
            <w:r w:rsidRPr="000B65DE">
              <w:rPr>
                <w:rFonts w:ascii="Bookman Old Style" w:hAnsi="Bookman Old Style"/>
                <w:b/>
                <w:bCs/>
                <w:color w:val="000000"/>
                <w:sz w:val="22"/>
                <w:lang w:val="es-CO" w:eastAsia="es-CO"/>
              </w:rPr>
              <w:t>TIPO DE RED</w:t>
            </w:r>
          </w:p>
        </w:tc>
        <w:tc>
          <w:tcPr>
            <w:tcW w:w="6166" w:type="dxa"/>
            <w:gridSpan w:val="5"/>
            <w:tcBorders>
              <w:top w:val="single" w:sz="8" w:space="0" w:color="auto"/>
              <w:left w:val="nil"/>
              <w:bottom w:val="single" w:sz="8" w:space="0" w:color="auto"/>
              <w:right w:val="single" w:sz="8" w:space="0" w:color="auto"/>
            </w:tcBorders>
            <w:shd w:val="clear" w:color="000000" w:fill="FFFFFF"/>
            <w:noWrap/>
            <w:vAlign w:val="bottom"/>
            <w:hideMark/>
          </w:tcPr>
          <w:p w:rsidR="000B65DE" w:rsidRPr="000B65DE" w:rsidRDefault="000B65DE" w:rsidP="000B65DE">
            <w:pPr>
              <w:ind w:left="0"/>
              <w:jc w:val="center"/>
              <w:rPr>
                <w:rFonts w:ascii="Bookman Old Style" w:hAnsi="Bookman Old Style"/>
                <w:b/>
                <w:bCs/>
                <w:color w:val="000000"/>
                <w:lang w:val="es-CO" w:eastAsia="es-CO"/>
              </w:rPr>
            </w:pPr>
            <w:r w:rsidRPr="000B65DE">
              <w:rPr>
                <w:rFonts w:ascii="Bookman Old Style" w:hAnsi="Bookman Old Style"/>
                <w:b/>
                <w:bCs/>
                <w:color w:val="000000"/>
                <w:lang w:val="es-CO" w:eastAsia="es-CO"/>
              </w:rPr>
              <w:t>NÚMERO DE USUARIOS</w:t>
            </w:r>
          </w:p>
          <w:p w:rsidR="000B65DE" w:rsidRPr="000B65DE" w:rsidRDefault="000B65DE" w:rsidP="000B65DE">
            <w:pPr>
              <w:ind w:left="0"/>
              <w:jc w:val="center"/>
              <w:rPr>
                <w:rFonts w:ascii="Bookman Old Style" w:hAnsi="Bookman Old Style"/>
                <w:b/>
                <w:bCs/>
                <w:color w:val="000000"/>
                <w:lang w:val="es-CO" w:eastAsia="es-CO"/>
              </w:rPr>
            </w:pPr>
          </w:p>
        </w:tc>
      </w:tr>
      <w:tr w:rsidR="000B65DE" w:rsidRPr="000B65DE" w:rsidTr="00382E27">
        <w:trPr>
          <w:trHeight w:val="330"/>
          <w:jc w:val="center"/>
        </w:trPr>
        <w:tc>
          <w:tcPr>
            <w:tcW w:w="3419" w:type="dxa"/>
            <w:vMerge/>
            <w:tcBorders>
              <w:top w:val="single" w:sz="8" w:space="0" w:color="auto"/>
              <w:left w:val="single" w:sz="8" w:space="0" w:color="auto"/>
              <w:bottom w:val="single" w:sz="8" w:space="0" w:color="auto"/>
              <w:right w:val="single" w:sz="8" w:space="0" w:color="auto"/>
            </w:tcBorders>
            <w:vAlign w:val="center"/>
            <w:hideMark/>
          </w:tcPr>
          <w:p w:rsidR="000B65DE" w:rsidRPr="000B65DE" w:rsidRDefault="000B65DE" w:rsidP="000B65DE">
            <w:pPr>
              <w:ind w:left="0"/>
              <w:rPr>
                <w:rFonts w:ascii="Bookman Old Style" w:hAnsi="Bookman Old Style"/>
                <w:b/>
                <w:bCs/>
                <w:color w:val="000000"/>
                <w:lang w:val="es-CO" w:eastAsia="es-CO"/>
              </w:rPr>
            </w:pPr>
          </w:p>
        </w:tc>
        <w:tc>
          <w:tcPr>
            <w:tcW w:w="1518" w:type="dxa"/>
            <w:tcBorders>
              <w:top w:val="nil"/>
              <w:left w:val="nil"/>
              <w:bottom w:val="single" w:sz="8" w:space="0" w:color="auto"/>
              <w:right w:val="single" w:sz="8" w:space="0" w:color="auto"/>
            </w:tcBorders>
            <w:shd w:val="clear" w:color="000000" w:fill="FFFFFF"/>
            <w:noWrap/>
            <w:vAlign w:val="center"/>
            <w:hideMark/>
          </w:tcPr>
          <w:p w:rsidR="000B65DE" w:rsidRPr="000B65DE" w:rsidRDefault="000B65DE" w:rsidP="000B65DE">
            <w:pPr>
              <w:spacing w:before="100" w:beforeAutospacing="1" w:after="100" w:afterAutospacing="1"/>
              <w:ind w:left="0"/>
              <w:jc w:val="center"/>
              <w:textAlignment w:val="center"/>
              <w:rPr>
                <w:rFonts w:ascii="Bookman Old Style" w:hAnsi="Bookman Old Style"/>
                <w:b/>
                <w:bCs/>
                <w:color w:val="000000"/>
                <w:sz w:val="16"/>
                <w:lang w:val="es-CO" w:eastAsia="es-CO"/>
              </w:rPr>
            </w:pPr>
            <w:r w:rsidRPr="000B65DE">
              <w:rPr>
                <w:rFonts w:ascii="Bookman Old Style" w:hAnsi="Bookman Old Style"/>
                <w:b/>
                <w:bCs/>
                <w:color w:val="000000"/>
                <w:sz w:val="16"/>
                <w:lang w:val="es-CO" w:eastAsia="es-CO"/>
              </w:rPr>
              <w:t xml:space="preserve">RESIDENCIAL </w:t>
            </w:r>
          </w:p>
        </w:tc>
        <w:tc>
          <w:tcPr>
            <w:tcW w:w="1260" w:type="dxa"/>
            <w:tcBorders>
              <w:top w:val="nil"/>
              <w:left w:val="nil"/>
              <w:bottom w:val="single" w:sz="8" w:space="0" w:color="auto"/>
              <w:right w:val="single" w:sz="8" w:space="0" w:color="auto"/>
            </w:tcBorders>
            <w:shd w:val="clear" w:color="000000" w:fill="FFFFFF"/>
            <w:noWrap/>
            <w:vAlign w:val="center"/>
            <w:hideMark/>
          </w:tcPr>
          <w:p w:rsidR="000B65DE" w:rsidRPr="000B65DE" w:rsidRDefault="000B65DE" w:rsidP="000B65DE">
            <w:pPr>
              <w:spacing w:before="100" w:beforeAutospacing="1" w:after="100" w:afterAutospacing="1"/>
              <w:ind w:left="0"/>
              <w:jc w:val="center"/>
              <w:textAlignment w:val="center"/>
              <w:rPr>
                <w:rFonts w:ascii="Bookman Old Style" w:hAnsi="Bookman Old Style"/>
                <w:b/>
                <w:bCs/>
                <w:color w:val="000000"/>
                <w:sz w:val="16"/>
                <w:lang w:val="es-CO" w:eastAsia="es-CO"/>
              </w:rPr>
            </w:pPr>
            <w:r w:rsidRPr="000B65DE">
              <w:rPr>
                <w:rFonts w:ascii="Bookman Old Style" w:hAnsi="Bookman Old Style"/>
                <w:b/>
                <w:bCs/>
                <w:color w:val="000000"/>
                <w:sz w:val="16"/>
                <w:lang w:val="es-CO" w:eastAsia="es-CO"/>
              </w:rPr>
              <w:t xml:space="preserve">COMERCIAL </w:t>
            </w:r>
          </w:p>
        </w:tc>
        <w:tc>
          <w:tcPr>
            <w:tcW w:w="1472" w:type="dxa"/>
            <w:tcBorders>
              <w:top w:val="nil"/>
              <w:left w:val="nil"/>
              <w:bottom w:val="single" w:sz="8" w:space="0" w:color="auto"/>
              <w:right w:val="single" w:sz="8" w:space="0" w:color="auto"/>
            </w:tcBorders>
            <w:shd w:val="clear" w:color="000000" w:fill="FFFFFF"/>
            <w:noWrap/>
            <w:vAlign w:val="center"/>
            <w:hideMark/>
          </w:tcPr>
          <w:p w:rsidR="000B65DE" w:rsidRPr="000B65DE" w:rsidRDefault="000B65DE" w:rsidP="000B65DE">
            <w:pPr>
              <w:spacing w:before="100" w:beforeAutospacing="1" w:after="100" w:afterAutospacing="1"/>
              <w:ind w:left="0"/>
              <w:jc w:val="center"/>
              <w:textAlignment w:val="center"/>
              <w:rPr>
                <w:rFonts w:ascii="Bookman Old Style" w:hAnsi="Bookman Old Style"/>
                <w:b/>
                <w:bCs/>
                <w:color w:val="000000"/>
                <w:sz w:val="16"/>
                <w:lang w:val="es-CO" w:eastAsia="es-CO"/>
              </w:rPr>
            </w:pPr>
            <w:r w:rsidRPr="000B65DE">
              <w:rPr>
                <w:rFonts w:ascii="Bookman Old Style" w:hAnsi="Bookman Old Style"/>
                <w:b/>
                <w:bCs/>
                <w:color w:val="000000"/>
                <w:sz w:val="16"/>
                <w:lang w:val="es-CO" w:eastAsia="es-CO"/>
              </w:rPr>
              <w:t>INDUSTRIAL</w:t>
            </w:r>
          </w:p>
        </w:tc>
        <w:tc>
          <w:tcPr>
            <w:tcW w:w="1134" w:type="dxa"/>
            <w:tcBorders>
              <w:top w:val="nil"/>
              <w:left w:val="nil"/>
              <w:bottom w:val="single" w:sz="8" w:space="0" w:color="auto"/>
              <w:right w:val="single" w:sz="8" w:space="0" w:color="auto"/>
            </w:tcBorders>
            <w:shd w:val="clear" w:color="000000" w:fill="FFFFFF"/>
            <w:noWrap/>
            <w:vAlign w:val="center"/>
            <w:hideMark/>
          </w:tcPr>
          <w:p w:rsidR="000B65DE" w:rsidRPr="000B65DE" w:rsidRDefault="000B65DE" w:rsidP="000B65DE">
            <w:pPr>
              <w:spacing w:before="100" w:beforeAutospacing="1" w:after="100" w:afterAutospacing="1"/>
              <w:ind w:left="0"/>
              <w:jc w:val="center"/>
              <w:textAlignment w:val="center"/>
              <w:rPr>
                <w:rFonts w:ascii="Bookman Old Style" w:hAnsi="Bookman Old Style"/>
                <w:b/>
                <w:bCs/>
                <w:color w:val="000000"/>
                <w:sz w:val="16"/>
                <w:lang w:val="es-CO" w:eastAsia="es-CO"/>
              </w:rPr>
            </w:pPr>
            <w:r w:rsidRPr="000B65DE">
              <w:rPr>
                <w:rFonts w:ascii="Bookman Old Style" w:hAnsi="Bookman Old Style"/>
                <w:b/>
                <w:bCs/>
                <w:color w:val="000000"/>
                <w:sz w:val="16"/>
                <w:lang w:val="es-CO" w:eastAsia="es-CO"/>
              </w:rPr>
              <w:t>GNCV</w:t>
            </w:r>
          </w:p>
        </w:tc>
        <w:tc>
          <w:tcPr>
            <w:tcW w:w="782" w:type="dxa"/>
            <w:tcBorders>
              <w:top w:val="nil"/>
              <w:left w:val="nil"/>
              <w:bottom w:val="single" w:sz="8" w:space="0" w:color="auto"/>
              <w:right w:val="single" w:sz="8" w:space="0" w:color="auto"/>
            </w:tcBorders>
            <w:shd w:val="clear" w:color="000000" w:fill="FFFFFF"/>
            <w:vAlign w:val="center"/>
          </w:tcPr>
          <w:p w:rsidR="000B65DE" w:rsidRPr="000B65DE" w:rsidRDefault="000B65DE" w:rsidP="000B65DE">
            <w:pPr>
              <w:spacing w:before="100" w:beforeAutospacing="1" w:after="100" w:afterAutospacing="1"/>
              <w:ind w:left="0"/>
              <w:jc w:val="center"/>
              <w:textAlignment w:val="center"/>
              <w:rPr>
                <w:rFonts w:ascii="Bookman Old Style" w:hAnsi="Bookman Old Style"/>
                <w:b/>
                <w:bCs/>
                <w:color w:val="000000"/>
                <w:sz w:val="16"/>
                <w:lang w:val="es-CO" w:eastAsia="es-CO"/>
              </w:rPr>
            </w:pPr>
            <w:r w:rsidRPr="000B65DE">
              <w:rPr>
                <w:rFonts w:ascii="Bookman Old Style" w:hAnsi="Bookman Old Style"/>
                <w:b/>
                <w:bCs/>
                <w:color w:val="000000"/>
                <w:sz w:val="16"/>
                <w:lang w:val="es-CO" w:eastAsia="es-CO"/>
              </w:rPr>
              <w:t>OTROS</w:t>
            </w:r>
          </w:p>
        </w:tc>
      </w:tr>
      <w:tr w:rsidR="000B65DE" w:rsidRPr="000B65DE" w:rsidTr="00382E27">
        <w:trPr>
          <w:trHeight w:val="330"/>
          <w:jc w:val="center"/>
        </w:trPr>
        <w:tc>
          <w:tcPr>
            <w:tcW w:w="3419" w:type="dxa"/>
            <w:tcBorders>
              <w:top w:val="nil"/>
              <w:left w:val="single" w:sz="8" w:space="0" w:color="auto"/>
              <w:bottom w:val="single" w:sz="8" w:space="0" w:color="auto"/>
              <w:right w:val="single" w:sz="8" w:space="0" w:color="auto"/>
            </w:tcBorders>
            <w:shd w:val="clear" w:color="000000" w:fill="FFFFFF"/>
            <w:noWrap/>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color w:val="000000"/>
                <w:sz w:val="22"/>
                <w:lang w:val="es-CO" w:eastAsia="es-CO"/>
              </w:rPr>
            </w:pPr>
            <w:r w:rsidRPr="000B65DE">
              <w:rPr>
                <w:rFonts w:ascii="Bookman Old Style" w:hAnsi="Bookman Old Style"/>
                <w:color w:val="000000"/>
                <w:sz w:val="22"/>
                <w:lang w:val="es-CO" w:eastAsia="es-CO"/>
              </w:rPr>
              <w:t>Red Primaria</w:t>
            </w:r>
          </w:p>
        </w:tc>
        <w:tc>
          <w:tcPr>
            <w:tcW w:w="1518" w:type="dxa"/>
            <w:tcBorders>
              <w:top w:val="nil"/>
              <w:left w:val="nil"/>
              <w:bottom w:val="single" w:sz="8" w:space="0" w:color="auto"/>
              <w:right w:val="single" w:sz="8" w:space="0" w:color="auto"/>
            </w:tcBorders>
            <w:shd w:val="clear" w:color="000000" w:fill="FFFFFF"/>
            <w:noWrap/>
            <w:vAlign w:val="bottom"/>
          </w:tcPr>
          <w:p w:rsidR="000B65DE" w:rsidRPr="000B65DE" w:rsidRDefault="000B65DE" w:rsidP="000B65DE">
            <w:pPr>
              <w:ind w:left="0"/>
              <w:rPr>
                <w:rFonts w:ascii="Bookman Old Style" w:hAnsi="Bookman Old Style"/>
                <w:color w:val="000000"/>
                <w:lang w:val="es-CO" w:eastAsia="es-CO"/>
              </w:rPr>
            </w:pPr>
          </w:p>
        </w:tc>
        <w:tc>
          <w:tcPr>
            <w:tcW w:w="1260" w:type="dxa"/>
            <w:tcBorders>
              <w:top w:val="nil"/>
              <w:left w:val="nil"/>
              <w:bottom w:val="single" w:sz="8" w:space="0" w:color="auto"/>
              <w:right w:val="single" w:sz="8" w:space="0" w:color="auto"/>
            </w:tcBorders>
            <w:shd w:val="clear" w:color="000000" w:fill="FFFFFF"/>
            <w:noWrap/>
            <w:vAlign w:val="bottom"/>
          </w:tcPr>
          <w:p w:rsidR="000B65DE" w:rsidRPr="000B65DE" w:rsidRDefault="000B65DE" w:rsidP="000B65DE">
            <w:pPr>
              <w:ind w:left="0"/>
              <w:rPr>
                <w:rFonts w:ascii="Bookman Old Style" w:hAnsi="Bookman Old Style"/>
                <w:color w:val="000000"/>
                <w:lang w:val="es-CO" w:eastAsia="es-CO"/>
              </w:rPr>
            </w:pPr>
          </w:p>
        </w:tc>
        <w:tc>
          <w:tcPr>
            <w:tcW w:w="1472" w:type="dxa"/>
            <w:tcBorders>
              <w:top w:val="nil"/>
              <w:left w:val="nil"/>
              <w:bottom w:val="single" w:sz="8" w:space="0" w:color="auto"/>
              <w:right w:val="single" w:sz="8" w:space="0" w:color="auto"/>
            </w:tcBorders>
            <w:shd w:val="clear" w:color="000000" w:fill="FFFFFF"/>
            <w:noWrap/>
            <w:vAlign w:val="bottom"/>
          </w:tcPr>
          <w:p w:rsidR="000B65DE" w:rsidRPr="000B65DE" w:rsidRDefault="000B65DE" w:rsidP="000B65DE">
            <w:pPr>
              <w:ind w:left="0"/>
              <w:rPr>
                <w:rFonts w:ascii="Bookman Old Style" w:hAnsi="Bookman Old Style"/>
                <w:color w:val="000000"/>
                <w:lang w:val="es-CO" w:eastAsia="es-CO"/>
              </w:rPr>
            </w:pPr>
          </w:p>
        </w:tc>
        <w:tc>
          <w:tcPr>
            <w:tcW w:w="1134" w:type="dxa"/>
            <w:tcBorders>
              <w:top w:val="nil"/>
              <w:left w:val="nil"/>
              <w:bottom w:val="single" w:sz="8" w:space="0" w:color="auto"/>
              <w:right w:val="single" w:sz="8" w:space="0" w:color="auto"/>
            </w:tcBorders>
            <w:shd w:val="clear" w:color="000000" w:fill="FFFFFF"/>
            <w:noWrap/>
            <w:vAlign w:val="bottom"/>
          </w:tcPr>
          <w:p w:rsidR="000B65DE" w:rsidRPr="000B65DE" w:rsidRDefault="000B65DE" w:rsidP="000B65DE">
            <w:pPr>
              <w:ind w:left="0"/>
              <w:rPr>
                <w:rFonts w:ascii="Bookman Old Style" w:hAnsi="Bookman Old Style"/>
                <w:color w:val="000000"/>
                <w:lang w:val="es-CO" w:eastAsia="es-CO"/>
              </w:rPr>
            </w:pPr>
          </w:p>
        </w:tc>
        <w:tc>
          <w:tcPr>
            <w:tcW w:w="782" w:type="dxa"/>
            <w:tcBorders>
              <w:top w:val="nil"/>
              <w:left w:val="nil"/>
              <w:bottom w:val="single" w:sz="8" w:space="0" w:color="auto"/>
              <w:right w:val="single" w:sz="8" w:space="0" w:color="auto"/>
            </w:tcBorders>
            <w:shd w:val="clear" w:color="000000" w:fill="FFFFFF"/>
          </w:tcPr>
          <w:p w:rsidR="000B65DE" w:rsidRPr="000B65DE" w:rsidRDefault="000B65DE" w:rsidP="000B65DE">
            <w:pPr>
              <w:ind w:left="0"/>
              <w:rPr>
                <w:rFonts w:ascii="Bookman Old Style" w:hAnsi="Bookman Old Style"/>
                <w:color w:val="000000"/>
                <w:lang w:val="es-CO" w:eastAsia="es-CO"/>
              </w:rPr>
            </w:pPr>
          </w:p>
        </w:tc>
      </w:tr>
      <w:tr w:rsidR="000B65DE" w:rsidRPr="000B65DE" w:rsidTr="00382E27">
        <w:trPr>
          <w:trHeight w:val="330"/>
          <w:jc w:val="center"/>
        </w:trPr>
        <w:tc>
          <w:tcPr>
            <w:tcW w:w="3419" w:type="dxa"/>
            <w:tcBorders>
              <w:top w:val="nil"/>
              <w:left w:val="single" w:sz="8" w:space="0" w:color="auto"/>
              <w:bottom w:val="single" w:sz="8" w:space="0" w:color="auto"/>
              <w:right w:val="single" w:sz="8" w:space="0" w:color="auto"/>
            </w:tcBorders>
            <w:shd w:val="clear" w:color="000000" w:fill="FFFFFF"/>
            <w:noWrap/>
            <w:vAlign w:val="bottom"/>
          </w:tcPr>
          <w:p w:rsidR="000B65DE" w:rsidRPr="000B65DE" w:rsidRDefault="000B65DE" w:rsidP="000B65DE">
            <w:pPr>
              <w:ind w:left="0"/>
              <w:rPr>
                <w:rFonts w:ascii="Bookman Old Style" w:hAnsi="Bookman Old Style"/>
                <w:color w:val="000000"/>
                <w:sz w:val="22"/>
                <w:lang w:val="es-CO" w:eastAsia="es-CO"/>
              </w:rPr>
            </w:pPr>
            <w:r w:rsidRPr="000B65DE">
              <w:rPr>
                <w:rFonts w:ascii="Bookman Old Style" w:hAnsi="Bookman Old Style"/>
                <w:color w:val="000000"/>
                <w:sz w:val="22"/>
                <w:lang w:val="es-CO" w:eastAsia="es-CO"/>
              </w:rPr>
              <w:t>Red Secundaria</w:t>
            </w:r>
          </w:p>
        </w:tc>
        <w:tc>
          <w:tcPr>
            <w:tcW w:w="1518" w:type="dxa"/>
            <w:tcBorders>
              <w:top w:val="nil"/>
              <w:left w:val="nil"/>
              <w:bottom w:val="single" w:sz="8" w:space="0" w:color="auto"/>
              <w:right w:val="single" w:sz="8" w:space="0" w:color="auto"/>
            </w:tcBorders>
            <w:shd w:val="clear" w:color="000000" w:fill="FFFFFF"/>
            <w:noWrap/>
            <w:vAlign w:val="bottom"/>
          </w:tcPr>
          <w:p w:rsidR="000B65DE" w:rsidRPr="000B65DE" w:rsidRDefault="000B65DE" w:rsidP="000B65DE">
            <w:pPr>
              <w:ind w:left="0"/>
              <w:rPr>
                <w:rFonts w:ascii="Bookman Old Style" w:hAnsi="Bookman Old Style"/>
                <w:color w:val="000000"/>
                <w:lang w:val="es-CO" w:eastAsia="es-CO"/>
              </w:rPr>
            </w:pPr>
          </w:p>
        </w:tc>
        <w:tc>
          <w:tcPr>
            <w:tcW w:w="1260" w:type="dxa"/>
            <w:tcBorders>
              <w:top w:val="nil"/>
              <w:left w:val="nil"/>
              <w:bottom w:val="single" w:sz="8" w:space="0" w:color="auto"/>
              <w:right w:val="single" w:sz="8" w:space="0" w:color="auto"/>
            </w:tcBorders>
            <w:shd w:val="clear" w:color="000000" w:fill="FFFFFF"/>
            <w:noWrap/>
            <w:vAlign w:val="bottom"/>
          </w:tcPr>
          <w:p w:rsidR="000B65DE" w:rsidRPr="000B65DE" w:rsidRDefault="000B65DE" w:rsidP="000B65DE">
            <w:pPr>
              <w:ind w:left="0"/>
              <w:rPr>
                <w:rFonts w:ascii="Bookman Old Style" w:hAnsi="Bookman Old Style"/>
                <w:color w:val="000000"/>
                <w:lang w:val="es-CO" w:eastAsia="es-CO"/>
              </w:rPr>
            </w:pPr>
          </w:p>
        </w:tc>
        <w:tc>
          <w:tcPr>
            <w:tcW w:w="1472" w:type="dxa"/>
            <w:tcBorders>
              <w:top w:val="nil"/>
              <w:left w:val="nil"/>
              <w:bottom w:val="single" w:sz="8" w:space="0" w:color="auto"/>
              <w:right w:val="single" w:sz="8" w:space="0" w:color="auto"/>
            </w:tcBorders>
            <w:shd w:val="clear" w:color="000000" w:fill="FFFFFF"/>
            <w:noWrap/>
            <w:vAlign w:val="bottom"/>
          </w:tcPr>
          <w:p w:rsidR="000B65DE" w:rsidRPr="000B65DE" w:rsidRDefault="000B65DE" w:rsidP="000B65DE">
            <w:pPr>
              <w:ind w:left="0"/>
              <w:rPr>
                <w:rFonts w:ascii="Bookman Old Style" w:hAnsi="Bookman Old Style"/>
                <w:color w:val="000000"/>
                <w:lang w:val="es-CO" w:eastAsia="es-CO"/>
              </w:rPr>
            </w:pPr>
          </w:p>
        </w:tc>
        <w:tc>
          <w:tcPr>
            <w:tcW w:w="1134" w:type="dxa"/>
            <w:tcBorders>
              <w:top w:val="nil"/>
              <w:left w:val="nil"/>
              <w:bottom w:val="single" w:sz="8" w:space="0" w:color="auto"/>
              <w:right w:val="single" w:sz="8" w:space="0" w:color="auto"/>
            </w:tcBorders>
            <w:shd w:val="clear" w:color="000000" w:fill="FFFFFF"/>
            <w:noWrap/>
            <w:vAlign w:val="bottom"/>
          </w:tcPr>
          <w:p w:rsidR="000B65DE" w:rsidRPr="000B65DE" w:rsidRDefault="000B65DE" w:rsidP="000B65DE">
            <w:pPr>
              <w:ind w:left="0"/>
              <w:rPr>
                <w:rFonts w:ascii="Bookman Old Style" w:hAnsi="Bookman Old Style"/>
                <w:color w:val="000000"/>
                <w:lang w:val="es-CO" w:eastAsia="es-CO"/>
              </w:rPr>
            </w:pPr>
          </w:p>
        </w:tc>
        <w:tc>
          <w:tcPr>
            <w:tcW w:w="782" w:type="dxa"/>
            <w:tcBorders>
              <w:top w:val="nil"/>
              <w:left w:val="nil"/>
              <w:bottom w:val="single" w:sz="8" w:space="0" w:color="auto"/>
              <w:right w:val="single" w:sz="8" w:space="0" w:color="auto"/>
            </w:tcBorders>
            <w:shd w:val="clear" w:color="000000" w:fill="FFFFFF"/>
          </w:tcPr>
          <w:p w:rsidR="000B65DE" w:rsidRPr="000B65DE" w:rsidRDefault="000B65DE" w:rsidP="000B65DE">
            <w:pPr>
              <w:ind w:left="0"/>
              <w:rPr>
                <w:rFonts w:ascii="Bookman Old Style" w:hAnsi="Bookman Old Style"/>
                <w:color w:val="000000"/>
                <w:lang w:val="es-CO" w:eastAsia="es-CO"/>
              </w:rPr>
            </w:pPr>
          </w:p>
        </w:tc>
      </w:tr>
      <w:tr w:rsidR="000B65DE" w:rsidRPr="000B65DE" w:rsidTr="00382E27">
        <w:trPr>
          <w:trHeight w:val="330"/>
          <w:jc w:val="center"/>
        </w:trPr>
        <w:tc>
          <w:tcPr>
            <w:tcW w:w="3419" w:type="dxa"/>
            <w:tcBorders>
              <w:top w:val="nil"/>
              <w:left w:val="single" w:sz="8" w:space="0" w:color="auto"/>
              <w:bottom w:val="single" w:sz="8" w:space="0" w:color="auto"/>
              <w:right w:val="single" w:sz="8" w:space="0" w:color="auto"/>
            </w:tcBorders>
            <w:shd w:val="clear" w:color="000000" w:fill="FFFFFF"/>
            <w:noWrap/>
            <w:vAlign w:val="bottom"/>
          </w:tcPr>
          <w:p w:rsidR="000B65DE" w:rsidRPr="000B65DE" w:rsidRDefault="000B65DE" w:rsidP="000B65DE">
            <w:pPr>
              <w:ind w:left="0"/>
              <w:rPr>
                <w:rFonts w:ascii="Bookman Old Style" w:hAnsi="Bookman Old Style"/>
                <w:color w:val="000000"/>
                <w:sz w:val="20"/>
                <w:lang w:val="es-CO" w:eastAsia="es-CO"/>
              </w:rPr>
            </w:pPr>
          </w:p>
        </w:tc>
        <w:tc>
          <w:tcPr>
            <w:tcW w:w="1518" w:type="dxa"/>
            <w:tcBorders>
              <w:top w:val="nil"/>
              <w:left w:val="nil"/>
              <w:bottom w:val="single" w:sz="8" w:space="0" w:color="auto"/>
              <w:right w:val="single" w:sz="8" w:space="0" w:color="auto"/>
            </w:tcBorders>
            <w:shd w:val="clear" w:color="000000" w:fill="FFFFFF"/>
            <w:noWrap/>
            <w:vAlign w:val="bottom"/>
          </w:tcPr>
          <w:p w:rsidR="000B65DE" w:rsidRPr="000B65DE" w:rsidDel="00515F34" w:rsidRDefault="000B65DE" w:rsidP="000B65DE">
            <w:pPr>
              <w:ind w:left="0"/>
              <w:rPr>
                <w:rFonts w:ascii="Bookman Old Style" w:hAnsi="Bookman Old Style"/>
                <w:color w:val="000000"/>
                <w:lang w:val="es-CO" w:eastAsia="es-CO"/>
              </w:rPr>
            </w:pPr>
          </w:p>
        </w:tc>
        <w:tc>
          <w:tcPr>
            <w:tcW w:w="1260" w:type="dxa"/>
            <w:tcBorders>
              <w:top w:val="nil"/>
              <w:left w:val="nil"/>
              <w:bottom w:val="single" w:sz="8" w:space="0" w:color="auto"/>
              <w:right w:val="single" w:sz="8" w:space="0" w:color="auto"/>
            </w:tcBorders>
            <w:shd w:val="clear" w:color="000000" w:fill="FFFFFF"/>
            <w:noWrap/>
            <w:vAlign w:val="bottom"/>
          </w:tcPr>
          <w:p w:rsidR="000B65DE" w:rsidRPr="000B65DE" w:rsidDel="00515F34" w:rsidRDefault="000B65DE" w:rsidP="000B65DE">
            <w:pPr>
              <w:ind w:left="0"/>
              <w:rPr>
                <w:rFonts w:ascii="Bookman Old Style" w:hAnsi="Bookman Old Style"/>
                <w:color w:val="000000"/>
                <w:lang w:val="es-CO" w:eastAsia="es-CO"/>
              </w:rPr>
            </w:pPr>
          </w:p>
        </w:tc>
        <w:tc>
          <w:tcPr>
            <w:tcW w:w="1472" w:type="dxa"/>
            <w:tcBorders>
              <w:top w:val="nil"/>
              <w:left w:val="nil"/>
              <w:bottom w:val="single" w:sz="8" w:space="0" w:color="auto"/>
              <w:right w:val="single" w:sz="8" w:space="0" w:color="auto"/>
            </w:tcBorders>
            <w:shd w:val="clear" w:color="000000" w:fill="FFFFFF"/>
            <w:noWrap/>
            <w:vAlign w:val="bottom"/>
          </w:tcPr>
          <w:p w:rsidR="000B65DE" w:rsidRPr="000B65DE" w:rsidDel="00515F34" w:rsidRDefault="000B65DE" w:rsidP="000B65DE">
            <w:pPr>
              <w:ind w:left="0"/>
              <w:rPr>
                <w:rFonts w:ascii="Bookman Old Style" w:hAnsi="Bookman Old Style"/>
                <w:color w:val="000000"/>
                <w:lang w:val="es-CO" w:eastAsia="es-CO"/>
              </w:rPr>
            </w:pPr>
          </w:p>
        </w:tc>
        <w:tc>
          <w:tcPr>
            <w:tcW w:w="1134" w:type="dxa"/>
            <w:tcBorders>
              <w:top w:val="nil"/>
              <w:left w:val="nil"/>
              <w:bottom w:val="single" w:sz="8" w:space="0" w:color="auto"/>
              <w:right w:val="single" w:sz="8" w:space="0" w:color="auto"/>
            </w:tcBorders>
            <w:shd w:val="clear" w:color="000000" w:fill="FFFFFF"/>
            <w:noWrap/>
            <w:vAlign w:val="bottom"/>
          </w:tcPr>
          <w:p w:rsidR="000B65DE" w:rsidRPr="000B65DE" w:rsidDel="00515F34" w:rsidRDefault="000B65DE" w:rsidP="000B65DE">
            <w:pPr>
              <w:ind w:left="0"/>
              <w:rPr>
                <w:rFonts w:ascii="Bookman Old Style" w:hAnsi="Bookman Old Style"/>
                <w:color w:val="000000"/>
                <w:lang w:val="es-CO" w:eastAsia="es-CO"/>
              </w:rPr>
            </w:pPr>
          </w:p>
        </w:tc>
        <w:tc>
          <w:tcPr>
            <w:tcW w:w="782" w:type="dxa"/>
            <w:tcBorders>
              <w:top w:val="nil"/>
              <w:left w:val="nil"/>
              <w:bottom w:val="single" w:sz="8" w:space="0" w:color="auto"/>
              <w:right w:val="single" w:sz="8" w:space="0" w:color="auto"/>
            </w:tcBorders>
            <w:shd w:val="clear" w:color="000000" w:fill="FFFFFF"/>
          </w:tcPr>
          <w:p w:rsidR="000B65DE" w:rsidRPr="000B65DE" w:rsidRDefault="000B65DE" w:rsidP="000B65DE">
            <w:pPr>
              <w:ind w:left="0"/>
              <w:rPr>
                <w:rFonts w:ascii="Bookman Old Style" w:hAnsi="Bookman Old Style"/>
                <w:color w:val="000000"/>
                <w:lang w:val="es-CO" w:eastAsia="es-CO"/>
              </w:rPr>
            </w:pPr>
          </w:p>
        </w:tc>
      </w:tr>
      <w:tr w:rsidR="000B65DE" w:rsidRPr="000B65DE" w:rsidTr="00382E27">
        <w:trPr>
          <w:trHeight w:val="330"/>
          <w:jc w:val="center"/>
        </w:trPr>
        <w:tc>
          <w:tcPr>
            <w:tcW w:w="3419" w:type="dxa"/>
            <w:tcBorders>
              <w:top w:val="nil"/>
              <w:left w:val="single" w:sz="8" w:space="0" w:color="auto"/>
              <w:bottom w:val="single" w:sz="8" w:space="0" w:color="auto"/>
              <w:right w:val="single" w:sz="8" w:space="0" w:color="auto"/>
            </w:tcBorders>
            <w:shd w:val="clear" w:color="000000" w:fill="FFFFFF"/>
            <w:noWrap/>
            <w:vAlign w:val="bottom"/>
          </w:tcPr>
          <w:p w:rsidR="000B65DE" w:rsidRPr="000B65DE" w:rsidRDefault="000B65DE" w:rsidP="000B65DE">
            <w:pPr>
              <w:ind w:left="0"/>
              <w:rPr>
                <w:rFonts w:ascii="Bookman Old Style" w:hAnsi="Bookman Old Style"/>
                <w:color w:val="000000"/>
                <w:sz w:val="20"/>
                <w:lang w:val="es-CO" w:eastAsia="es-CO"/>
              </w:rPr>
            </w:pPr>
          </w:p>
        </w:tc>
        <w:tc>
          <w:tcPr>
            <w:tcW w:w="6166" w:type="dxa"/>
            <w:gridSpan w:val="5"/>
            <w:tcBorders>
              <w:top w:val="nil"/>
              <w:left w:val="nil"/>
              <w:bottom w:val="single" w:sz="8" w:space="0" w:color="auto"/>
              <w:right w:val="single" w:sz="8" w:space="0" w:color="auto"/>
            </w:tcBorders>
            <w:shd w:val="clear" w:color="000000" w:fill="FFFFFF"/>
            <w:noWrap/>
            <w:vAlign w:val="bottom"/>
          </w:tcPr>
          <w:p w:rsidR="000B65DE" w:rsidRPr="000B65DE" w:rsidRDefault="000B65DE" w:rsidP="000B65DE">
            <w:pPr>
              <w:ind w:left="0"/>
              <w:jc w:val="center"/>
              <w:rPr>
                <w:rFonts w:ascii="Bookman Old Style" w:hAnsi="Bookman Old Style"/>
                <w:b/>
                <w:bCs/>
                <w:color w:val="000000"/>
                <w:lang w:val="es-CO" w:eastAsia="es-CO"/>
              </w:rPr>
            </w:pPr>
            <w:r w:rsidRPr="000B65DE">
              <w:rPr>
                <w:rFonts w:ascii="Bookman Old Style" w:hAnsi="Bookman Old Style"/>
                <w:b/>
                <w:bCs/>
                <w:color w:val="000000"/>
                <w:lang w:val="es-CO" w:eastAsia="es-CO"/>
              </w:rPr>
              <w:t>DEMANDA POR TIPO DE USUARIO</w:t>
            </w:r>
          </w:p>
          <w:p w:rsidR="000B65DE" w:rsidRPr="000B65DE" w:rsidRDefault="000B65DE" w:rsidP="000B65DE">
            <w:pPr>
              <w:ind w:left="0"/>
              <w:jc w:val="center"/>
              <w:rPr>
                <w:rFonts w:ascii="Bookman Old Style" w:hAnsi="Bookman Old Style"/>
                <w:b/>
                <w:bCs/>
                <w:color w:val="000000"/>
                <w:lang w:val="es-CO" w:eastAsia="es-CO"/>
              </w:rPr>
            </w:pPr>
            <w:r w:rsidRPr="000B65DE">
              <w:rPr>
                <w:rFonts w:ascii="Bookman Old Style" w:hAnsi="Bookman Old Style"/>
                <w:b/>
                <w:bCs/>
                <w:color w:val="000000"/>
                <w:lang w:val="es-CO" w:eastAsia="es-CO"/>
              </w:rPr>
              <w:t xml:space="preserve"> (metros cúbicos)</w:t>
            </w:r>
          </w:p>
        </w:tc>
      </w:tr>
      <w:tr w:rsidR="000B65DE" w:rsidRPr="000B65DE" w:rsidTr="00382E27">
        <w:trPr>
          <w:trHeight w:val="330"/>
          <w:jc w:val="center"/>
        </w:trPr>
        <w:tc>
          <w:tcPr>
            <w:tcW w:w="3419" w:type="dxa"/>
            <w:tcBorders>
              <w:top w:val="nil"/>
              <w:left w:val="single" w:sz="8" w:space="0" w:color="auto"/>
              <w:bottom w:val="single" w:sz="8" w:space="0" w:color="auto"/>
              <w:right w:val="single" w:sz="8" w:space="0" w:color="auto"/>
            </w:tcBorders>
            <w:shd w:val="clear" w:color="000000" w:fill="FFFFFF"/>
            <w:noWrap/>
            <w:vAlign w:val="bottom"/>
          </w:tcPr>
          <w:p w:rsidR="000B65DE" w:rsidRPr="000B65DE" w:rsidRDefault="000B65DE" w:rsidP="000B65DE">
            <w:pPr>
              <w:spacing w:before="100" w:beforeAutospacing="1" w:after="100" w:afterAutospacing="1"/>
              <w:ind w:left="0"/>
              <w:jc w:val="both"/>
              <w:textAlignment w:val="center"/>
              <w:rPr>
                <w:rFonts w:ascii="Bookman Old Style" w:hAnsi="Bookman Old Style"/>
                <w:color w:val="000000"/>
                <w:sz w:val="22"/>
                <w:lang w:val="es-CO" w:eastAsia="es-CO"/>
              </w:rPr>
            </w:pPr>
            <w:r w:rsidRPr="000B65DE">
              <w:rPr>
                <w:rFonts w:ascii="Bookman Old Style" w:hAnsi="Bookman Old Style"/>
                <w:color w:val="000000"/>
                <w:sz w:val="22"/>
                <w:lang w:val="es-CO" w:eastAsia="es-CO"/>
              </w:rPr>
              <w:t>Red Primaria</w:t>
            </w:r>
          </w:p>
        </w:tc>
        <w:tc>
          <w:tcPr>
            <w:tcW w:w="1518" w:type="dxa"/>
            <w:tcBorders>
              <w:top w:val="nil"/>
              <w:left w:val="nil"/>
              <w:bottom w:val="single" w:sz="8" w:space="0" w:color="auto"/>
              <w:right w:val="single" w:sz="8" w:space="0" w:color="auto"/>
            </w:tcBorders>
            <w:shd w:val="clear" w:color="000000" w:fill="FFFFFF"/>
            <w:noWrap/>
            <w:vAlign w:val="bottom"/>
          </w:tcPr>
          <w:p w:rsidR="000B65DE" w:rsidRPr="000B65DE" w:rsidRDefault="000B65DE" w:rsidP="000B65DE">
            <w:pPr>
              <w:ind w:left="0"/>
              <w:rPr>
                <w:rFonts w:ascii="Bookman Old Style" w:hAnsi="Bookman Old Style"/>
                <w:color w:val="000000"/>
                <w:lang w:val="es-CO" w:eastAsia="es-CO"/>
              </w:rPr>
            </w:pPr>
          </w:p>
        </w:tc>
        <w:tc>
          <w:tcPr>
            <w:tcW w:w="1260" w:type="dxa"/>
            <w:tcBorders>
              <w:top w:val="nil"/>
              <w:left w:val="nil"/>
              <w:bottom w:val="single" w:sz="8" w:space="0" w:color="auto"/>
              <w:right w:val="single" w:sz="8" w:space="0" w:color="auto"/>
            </w:tcBorders>
            <w:shd w:val="clear" w:color="000000" w:fill="FFFFFF"/>
            <w:noWrap/>
            <w:vAlign w:val="bottom"/>
          </w:tcPr>
          <w:p w:rsidR="000B65DE" w:rsidRPr="000B65DE" w:rsidRDefault="000B65DE" w:rsidP="000B65DE">
            <w:pPr>
              <w:ind w:left="0"/>
              <w:rPr>
                <w:rFonts w:ascii="Bookman Old Style" w:hAnsi="Bookman Old Style"/>
                <w:color w:val="000000"/>
                <w:lang w:val="es-CO" w:eastAsia="es-CO"/>
              </w:rPr>
            </w:pPr>
          </w:p>
        </w:tc>
        <w:tc>
          <w:tcPr>
            <w:tcW w:w="1472" w:type="dxa"/>
            <w:tcBorders>
              <w:top w:val="nil"/>
              <w:left w:val="nil"/>
              <w:bottom w:val="single" w:sz="8" w:space="0" w:color="auto"/>
              <w:right w:val="single" w:sz="8" w:space="0" w:color="auto"/>
            </w:tcBorders>
            <w:shd w:val="clear" w:color="000000" w:fill="FFFFFF"/>
            <w:noWrap/>
            <w:vAlign w:val="bottom"/>
          </w:tcPr>
          <w:p w:rsidR="000B65DE" w:rsidRPr="000B65DE" w:rsidRDefault="000B65DE" w:rsidP="000B65DE">
            <w:pPr>
              <w:ind w:left="0"/>
              <w:rPr>
                <w:rFonts w:ascii="Bookman Old Style" w:hAnsi="Bookman Old Style"/>
                <w:color w:val="000000"/>
                <w:lang w:val="es-CO" w:eastAsia="es-CO"/>
              </w:rPr>
            </w:pPr>
          </w:p>
        </w:tc>
        <w:tc>
          <w:tcPr>
            <w:tcW w:w="1134" w:type="dxa"/>
            <w:tcBorders>
              <w:top w:val="nil"/>
              <w:left w:val="nil"/>
              <w:bottom w:val="single" w:sz="8" w:space="0" w:color="auto"/>
              <w:right w:val="single" w:sz="8" w:space="0" w:color="auto"/>
            </w:tcBorders>
            <w:shd w:val="clear" w:color="000000" w:fill="FFFFFF"/>
            <w:noWrap/>
            <w:vAlign w:val="bottom"/>
          </w:tcPr>
          <w:p w:rsidR="000B65DE" w:rsidRPr="000B65DE" w:rsidRDefault="000B65DE" w:rsidP="000B65DE">
            <w:pPr>
              <w:ind w:left="0"/>
              <w:rPr>
                <w:rFonts w:ascii="Bookman Old Style" w:hAnsi="Bookman Old Style"/>
                <w:color w:val="000000"/>
                <w:lang w:val="es-CO" w:eastAsia="es-CO"/>
              </w:rPr>
            </w:pPr>
          </w:p>
        </w:tc>
        <w:tc>
          <w:tcPr>
            <w:tcW w:w="782" w:type="dxa"/>
            <w:tcBorders>
              <w:top w:val="nil"/>
              <w:left w:val="nil"/>
              <w:bottom w:val="single" w:sz="8" w:space="0" w:color="auto"/>
              <w:right w:val="single" w:sz="8" w:space="0" w:color="auto"/>
            </w:tcBorders>
            <w:shd w:val="clear" w:color="000000" w:fill="FFFFFF"/>
          </w:tcPr>
          <w:p w:rsidR="000B65DE" w:rsidRPr="000B65DE" w:rsidRDefault="000B65DE" w:rsidP="000B65DE">
            <w:pPr>
              <w:ind w:left="0"/>
              <w:rPr>
                <w:rFonts w:ascii="Bookman Old Style" w:hAnsi="Bookman Old Style"/>
                <w:color w:val="000000"/>
                <w:lang w:val="es-CO" w:eastAsia="es-CO"/>
              </w:rPr>
            </w:pPr>
          </w:p>
        </w:tc>
      </w:tr>
      <w:tr w:rsidR="000B65DE" w:rsidRPr="000B65DE" w:rsidTr="00382E27">
        <w:trPr>
          <w:trHeight w:val="330"/>
          <w:jc w:val="center"/>
        </w:trPr>
        <w:tc>
          <w:tcPr>
            <w:tcW w:w="3419" w:type="dxa"/>
            <w:tcBorders>
              <w:top w:val="nil"/>
              <w:left w:val="single" w:sz="8" w:space="0" w:color="auto"/>
              <w:bottom w:val="single" w:sz="8" w:space="0" w:color="auto"/>
              <w:right w:val="single" w:sz="8" w:space="0" w:color="auto"/>
            </w:tcBorders>
            <w:shd w:val="clear" w:color="000000" w:fill="FFFFFF"/>
            <w:noWrap/>
            <w:vAlign w:val="bottom"/>
          </w:tcPr>
          <w:p w:rsidR="000B65DE" w:rsidRPr="000B65DE" w:rsidRDefault="000B65DE" w:rsidP="000B65DE">
            <w:pPr>
              <w:ind w:left="0"/>
              <w:rPr>
                <w:rFonts w:ascii="Bookman Old Style" w:hAnsi="Bookman Old Style"/>
                <w:color w:val="000000"/>
                <w:sz w:val="22"/>
                <w:lang w:val="es-CO" w:eastAsia="es-CO"/>
              </w:rPr>
            </w:pPr>
            <w:r w:rsidRPr="000B65DE">
              <w:rPr>
                <w:rFonts w:ascii="Bookman Old Style" w:hAnsi="Bookman Old Style"/>
                <w:color w:val="000000"/>
                <w:sz w:val="22"/>
                <w:lang w:val="es-CO" w:eastAsia="es-CO"/>
              </w:rPr>
              <w:t>Red Secundaria</w:t>
            </w:r>
          </w:p>
        </w:tc>
        <w:tc>
          <w:tcPr>
            <w:tcW w:w="1518" w:type="dxa"/>
            <w:tcBorders>
              <w:top w:val="nil"/>
              <w:left w:val="nil"/>
              <w:bottom w:val="single" w:sz="8" w:space="0" w:color="auto"/>
              <w:right w:val="single" w:sz="8" w:space="0" w:color="auto"/>
            </w:tcBorders>
            <w:shd w:val="clear" w:color="000000" w:fill="FFFFFF"/>
            <w:noWrap/>
            <w:vAlign w:val="bottom"/>
          </w:tcPr>
          <w:p w:rsidR="000B65DE" w:rsidRPr="000B65DE" w:rsidRDefault="000B65DE" w:rsidP="000B65DE">
            <w:pPr>
              <w:ind w:left="0"/>
              <w:rPr>
                <w:rFonts w:ascii="Bookman Old Style" w:hAnsi="Bookman Old Style"/>
                <w:color w:val="000000"/>
                <w:lang w:val="es-CO" w:eastAsia="es-CO"/>
              </w:rPr>
            </w:pPr>
          </w:p>
        </w:tc>
        <w:tc>
          <w:tcPr>
            <w:tcW w:w="1260" w:type="dxa"/>
            <w:tcBorders>
              <w:top w:val="nil"/>
              <w:left w:val="nil"/>
              <w:bottom w:val="single" w:sz="8" w:space="0" w:color="auto"/>
              <w:right w:val="single" w:sz="8" w:space="0" w:color="auto"/>
            </w:tcBorders>
            <w:shd w:val="clear" w:color="000000" w:fill="FFFFFF"/>
            <w:noWrap/>
            <w:vAlign w:val="bottom"/>
          </w:tcPr>
          <w:p w:rsidR="000B65DE" w:rsidRPr="000B65DE" w:rsidRDefault="000B65DE" w:rsidP="000B65DE">
            <w:pPr>
              <w:ind w:left="0"/>
              <w:rPr>
                <w:rFonts w:ascii="Bookman Old Style" w:hAnsi="Bookman Old Style"/>
                <w:color w:val="000000"/>
                <w:lang w:val="es-CO" w:eastAsia="es-CO"/>
              </w:rPr>
            </w:pPr>
          </w:p>
        </w:tc>
        <w:tc>
          <w:tcPr>
            <w:tcW w:w="1472" w:type="dxa"/>
            <w:tcBorders>
              <w:top w:val="nil"/>
              <w:left w:val="nil"/>
              <w:bottom w:val="single" w:sz="8" w:space="0" w:color="auto"/>
              <w:right w:val="single" w:sz="8" w:space="0" w:color="auto"/>
            </w:tcBorders>
            <w:shd w:val="clear" w:color="000000" w:fill="FFFFFF"/>
            <w:noWrap/>
            <w:vAlign w:val="bottom"/>
          </w:tcPr>
          <w:p w:rsidR="000B65DE" w:rsidRPr="000B65DE" w:rsidRDefault="000B65DE" w:rsidP="000B65DE">
            <w:pPr>
              <w:ind w:left="0"/>
              <w:rPr>
                <w:rFonts w:ascii="Bookman Old Style" w:hAnsi="Bookman Old Style"/>
                <w:color w:val="000000"/>
                <w:lang w:val="es-CO" w:eastAsia="es-CO"/>
              </w:rPr>
            </w:pPr>
          </w:p>
        </w:tc>
        <w:tc>
          <w:tcPr>
            <w:tcW w:w="1134" w:type="dxa"/>
            <w:tcBorders>
              <w:top w:val="nil"/>
              <w:left w:val="nil"/>
              <w:bottom w:val="single" w:sz="8" w:space="0" w:color="auto"/>
              <w:right w:val="single" w:sz="8" w:space="0" w:color="auto"/>
            </w:tcBorders>
            <w:shd w:val="clear" w:color="000000" w:fill="FFFFFF"/>
            <w:noWrap/>
            <w:vAlign w:val="bottom"/>
          </w:tcPr>
          <w:p w:rsidR="000B65DE" w:rsidRPr="000B65DE" w:rsidRDefault="000B65DE" w:rsidP="000B65DE">
            <w:pPr>
              <w:ind w:left="0"/>
              <w:rPr>
                <w:rFonts w:ascii="Bookman Old Style" w:hAnsi="Bookman Old Style"/>
                <w:color w:val="000000"/>
                <w:lang w:val="es-CO" w:eastAsia="es-CO"/>
              </w:rPr>
            </w:pPr>
          </w:p>
        </w:tc>
        <w:tc>
          <w:tcPr>
            <w:tcW w:w="782" w:type="dxa"/>
            <w:tcBorders>
              <w:top w:val="nil"/>
              <w:left w:val="nil"/>
              <w:bottom w:val="single" w:sz="8" w:space="0" w:color="auto"/>
              <w:right w:val="single" w:sz="8" w:space="0" w:color="auto"/>
            </w:tcBorders>
            <w:shd w:val="clear" w:color="000000" w:fill="FFFFFF"/>
          </w:tcPr>
          <w:p w:rsidR="000B65DE" w:rsidRPr="000B65DE" w:rsidRDefault="000B65DE" w:rsidP="000B65DE">
            <w:pPr>
              <w:ind w:left="0"/>
              <w:rPr>
                <w:rFonts w:ascii="Bookman Old Style" w:hAnsi="Bookman Old Style"/>
                <w:color w:val="000000"/>
                <w:lang w:val="es-CO" w:eastAsia="es-CO"/>
              </w:rPr>
            </w:pPr>
          </w:p>
        </w:tc>
      </w:tr>
    </w:tbl>
    <w:p w:rsidR="003613BB" w:rsidRDefault="00D373D2" w:rsidP="000B65DE">
      <w:pPr>
        <w:ind w:left="0"/>
        <w:jc w:val="both"/>
        <w:rPr>
          <w:rFonts w:ascii="Bookman Old Style" w:hAnsi="Bookman Old Style"/>
          <w:sz w:val="20"/>
          <w:szCs w:val="20"/>
          <w:lang w:val="es-ES_tradnl"/>
        </w:rPr>
      </w:pPr>
      <w:r>
        <w:rPr>
          <w:rFonts w:ascii="Bookman Old Style" w:hAnsi="Bookman Old Style"/>
          <w:sz w:val="20"/>
          <w:szCs w:val="20"/>
          <w:lang w:val="es-ES_tradnl"/>
        </w:rPr>
        <w:t>Nota:</w:t>
      </w:r>
      <w:r w:rsidR="003613BB">
        <w:rPr>
          <w:rFonts w:ascii="Bookman Old Style" w:hAnsi="Bookman Old Style"/>
          <w:sz w:val="20"/>
          <w:szCs w:val="20"/>
          <w:lang w:val="es-ES_tradnl"/>
        </w:rPr>
        <w:t xml:space="preserve"> La información de los cuadros de este anexo debe ser relacionada con las puertas de ciudad desde donde se atienda a los Usuarios.</w:t>
      </w:r>
    </w:p>
    <w:p w:rsidR="003613BB" w:rsidRDefault="003613BB" w:rsidP="000B65DE">
      <w:pPr>
        <w:ind w:left="0"/>
        <w:jc w:val="both"/>
        <w:rPr>
          <w:rFonts w:ascii="Bookman Old Style" w:hAnsi="Bookman Old Style"/>
          <w:sz w:val="20"/>
          <w:szCs w:val="20"/>
          <w:lang w:val="es-ES_tradnl"/>
        </w:rPr>
      </w:pPr>
    </w:p>
    <w:p w:rsidR="000334B2" w:rsidRPr="000B65DE" w:rsidRDefault="00D373D2" w:rsidP="000B65DE">
      <w:pPr>
        <w:ind w:left="0"/>
        <w:jc w:val="both"/>
        <w:rPr>
          <w:rFonts w:ascii="Bookman Old Style" w:hAnsi="Bookman Old Style"/>
        </w:rPr>
      </w:pPr>
      <w:r>
        <w:rPr>
          <w:rFonts w:ascii="Bookman Old Style" w:hAnsi="Bookman Old Style"/>
          <w:sz w:val="20"/>
          <w:szCs w:val="20"/>
          <w:lang w:val="es-ES_tradnl"/>
        </w:rPr>
        <w:t xml:space="preserve"> </w:t>
      </w:r>
      <w:r w:rsidRPr="00D373D2">
        <w:rPr>
          <w:rFonts w:ascii="Bookman Old Style" w:hAnsi="Bookman Old Style"/>
          <w:sz w:val="20"/>
          <w:szCs w:val="20"/>
          <w:lang w:val="es-ES_tradnl"/>
        </w:rPr>
        <w:t>Se calcula</w:t>
      </w:r>
      <w:r w:rsidR="003613BB">
        <w:rPr>
          <w:rFonts w:ascii="Bookman Old Style" w:hAnsi="Bookman Old Style"/>
          <w:sz w:val="20"/>
          <w:szCs w:val="20"/>
          <w:lang w:val="es-ES_tradnl"/>
        </w:rPr>
        <w:t xml:space="preserve"> el volumen</w:t>
      </w:r>
      <w:r w:rsidRPr="00D373D2">
        <w:rPr>
          <w:rFonts w:ascii="Bookman Old Style" w:hAnsi="Bookman Old Style"/>
          <w:sz w:val="20"/>
          <w:szCs w:val="20"/>
          <w:lang w:val="es-ES_tradnl"/>
        </w:rPr>
        <w:t xml:space="preserve"> conforme a la Resolución 127 de 2013</w:t>
      </w:r>
      <w:r w:rsidR="003613BB">
        <w:rPr>
          <w:rFonts w:ascii="Bookman Old Style" w:hAnsi="Bookman Old Style"/>
          <w:sz w:val="20"/>
          <w:szCs w:val="20"/>
          <w:lang w:val="es-ES_tradnl"/>
        </w:rPr>
        <w:t>.</w:t>
      </w:r>
    </w:p>
    <w:p w:rsidR="000B65DE" w:rsidRDefault="000B65DE" w:rsidP="000B65DE">
      <w:pPr>
        <w:ind w:left="0"/>
        <w:jc w:val="both"/>
        <w:rPr>
          <w:rFonts w:ascii="Bookman Old Style" w:hAnsi="Bookman Old Style"/>
        </w:rPr>
      </w:pPr>
    </w:p>
    <w:p w:rsidR="007501C3" w:rsidRPr="000B65DE" w:rsidRDefault="007501C3" w:rsidP="000B65DE">
      <w:pPr>
        <w:ind w:left="0"/>
        <w:jc w:val="both"/>
        <w:rPr>
          <w:rFonts w:ascii="Bookman Old Style" w:hAnsi="Bookman Old Style"/>
        </w:rPr>
      </w:pPr>
    </w:p>
    <w:tbl>
      <w:tblPr>
        <w:tblW w:w="9570" w:type="dxa"/>
        <w:jc w:val="right"/>
        <w:tblLayout w:type="fixed"/>
        <w:tblCellMar>
          <w:left w:w="70" w:type="dxa"/>
          <w:right w:w="70" w:type="dxa"/>
        </w:tblCellMar>
        <w:tblLook w:val="04A0" w:firstRow="1" w:lastRow="0" w:firstColumn="1" w:lastColumn="0" w:noHBand="0" w:noVBand="1"/>
      </w:tblPr>
      <w:tblGrid>
        <w:gridCol w:w="4875"/>
        <w:gridCol w:w="4695"/>
      </w:tblGrid>
      <w:tr w:rsidR="000B65DE" w:rsidRPr="000B65DE" w:rsidTr="009E6EA8">
        <w:trPr>
          <w:jc w:val="right"/>
        </w:trPr>
        <w:tc>
          <w:tcPr>
            <w:tcW w:w="4875" w:type="dxa"/>
          </w:tcPr>
          <w:p w:rsidR="000B65DE" w:rsidRPr="000B65DE" w:rsidRDefault="000B65DE" w:rsidP="000B65DE">
            <w:pPr>
              <w:ind w:left="0"/>
              <w:rPr>
                <w:rFonts w:ascii="Bookman Old Style" w:hAnsi="Bookman Old Style" w:cs="Arial"/>
                <w:b/>
                <w:spacing w:val="-3"/>
                <w:lang w:val="es-ES_tradnl"/>
              </w:rPr>
            </w:pPr>
          </w:p>
        </w:tc>
        <w:tc>
          <w:tcPr>
            <w:tcW w:w="4695" w:type="dxa"/>
          </w:tcPr>
          <w:p w:rsidR="000B65DE" w:rsidRPr="000B65DE" w:rsidRDefault="000B65DE" w:rsidP="000B65DE">
            <w:pPr>
              <w:ind w:left="161" w:right="567"/>
              <w:jc w:val="right"/>
              <w:rPr>
                <w:rFonts w:ascii="Bookman Old Style" w:hAnsi="Bookman Old Style" w:cs="Arial"/>
                <w:b/>
                <w:spacing w:val="-3"/>
                <w:lang w:val="es-ES_tradnl"/>
              </w:rPr>
            </w:pPr>
          </w:p>
        </w:tc>
      </w:tr>
      <w:tr w:rsidR="009E6EA8" w:rsidRPr="000B65DE" w:rsidTr="009E6EA8">
        <w:trPr>
          <w:jc w:val="right"/>
        </w:trPr>
        <w:tc>
          <w:tcPr>
            <w:tcW w:w="4875" w:type="dxa"/>
            <w:hideMark/>
          </w:tcPr>
          <w:p w:rsidR="009E6EA8" w:rsidRPr="000B65DE" w:rsidRDefault="009E6EA8" w:rsidP="00B76CE3">
            <w:pPr>
              <w:ind w:left="0"/>
              <w:jc w:val="center"/>
              <w:rPr>
                <w:rFonts w:ascii="Bookman Old Style" w:hAnsi="Bookman Old Style" w:cs="Arial"/>
                <w:b/>
                <w:spacing w:val="-3"/>
                <w:lang w:val="es-ES_tradnl"/>
              </w:rPr>
            </w:pPr>
            <w:r>
              <w:rPr>
                <w:rFonts w:ascii="Bookman Old Style" w:hAnsi="Bookman Old Style" w:cs="Arial"/>
                <w:b/>
                <w:color w:val="000000"/>
              </w:rPr>
              <w:t>ORLANDO CABRALES SEGOVIA</w:t>
            </w:r>
          </w:p>
        </w:tc>
        <w:tc>
          <w:tcPr>
            <w:tcW w:w="4695" w:type="dxa"/>
            <w:hideMark/>
          </w:tcPr>
          <w:p w:rsidR="009E6EA8" w:rsidRPr="000B65DE" w:rsidRDefault="009E6EA8" w:rsidP="00B76CE3">
            <w:pPr>
              <w:ind w:left="161" w:right="567"/>
              <w:jc w:val="center"/>
              <w:rPr>
                <w:rFonts w:ascii="Bookman Old Style" w:hAnsi="Bookman Old Style" w:cs="Arial"/>
                <w:b/>
                <w:spacing w:val="-3"/>
                <w:lang w:val="es-ES_tradnl"/>
              </w:rPr>
            </w:pPr>
            <w:r w:rsidRPr="000B65DE">
              <w:rPr>
                <w:rFonts w:ascii="Bookman Old Style" w:hAnsi="Bookman Old Style" w:cs="Arial"/>
                <w:b/>
                <w:spacing w:val="-3"/>
                <w:lang w:val="es-ES_tradnl"/>
              </w:rPr>
              <w:t>GERMÁN CASTRO FERREIRA</w:t>
            </w:r>
          </w:p>
        </w:tc>
      </w:tr>
      <w:tr w:rsidR="009E6EA8" w:rsidRPr="000B65DE" w:rsidTr="009E6EA8">
        <w:trPr>
          <w:jc w:val="right"/>
        </w:trPr>
        <w:tc>
          <w:tcPr>
            <w:tcW w:w="4875" w:type="dxa"/>
            <w:hideMark/>
          </w:tcPr>
          <w:tbl>
            <w:tblPr>
              <w:tblW w:w="4891" w:type="dxa"/>
              <w:tblLayout w:type="fixed"/>
              <w:tblCellMar>
                <w:left w:w="0" w:type="dxa"/>
                <w:right w:w="0" w:type="dxa"/>
              </w:tblCellMar>
              <w:tblLook w:val="04A0" w:firstRow="1" w:lastRow="0" w:firstColumn="1" w:lastColumn="0" w:noHBand="0" w:noVBand="1"/>
            </w:tblPr>
            <w:tblGrid>
              <w:gridCol w:w="4891"/>
            </w:tblGrid>
            <w:tr w:rsidR="009E6EA8" w:rsidTr="00B76CE3">
              <w:tc>
                <w:tcPr>
                  <w:tcW w:w="4891" w:type="dxa"/>
                  <w:hideMark/>
                </w:tcPr>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Viceministro de Energía</w:t>
                  </w:r>
                </w:p>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Delegado del Ministro de Minas y Energía</w:t>
                  </w:r>
                </w:p>
              </w:tc>
            </w:tr>
            <w:tr w:rsidR="009E6EA8" w:rsidTr="00B76CE3">
              <w:tc>
                <w:tcPr>
                  <w:tcW w:w="4891" w:type="dxa"/>
                  <w:hideMark/>
                </w:tcPr>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Presidente</w:t>
                  </w:r>
                </w:p>
              </w:tc>
            </w:tr>
          </w:tbl>
          <w:p w:rsidR="009E6EA8" w:rsidRPr="000B65DE" w:rsidRDefault="009E6EA8" w:rsidP="00B76CE3">
            <w:pPr>
              <w:ind w:left="0"/>
              <w:jc w:val="center"/>
              <w:rPr>
                <w:rFonts w:ascii="Bookman Old Style" w:hAnsi="Bookman Old Style" w:cs="Arial"/>
                <w:spacing w:val="-3"/>
                <w:lang w:val="es-ES_tradnl"/>
              </w:rPr>
            </w:pPr>
          </w:p>
        </w:tc>
        <w:tc>
          <w:tcPr>
            <w:tcW w:w="4695" w:type="dxa"/>
          </w:tcPr>
          <w:p w:rsidR="009E6EA8" w:rsidRPr="000B65DE" w:rsidRDefault="009E6EA8" w:rsidP="00B76CE3">
            <w:pPr>
              <w:jc w:val="center"/>
              <w:rPr>
                <w:rFonts w:ascii="Bookman Old Style" w:hAnsi="Bookman Old Style" w:cs="Arial"/>
                <w:spacing w:val="-3"/>
                <w:lang w:val="es-ES_tradnl"/>
              </w:rPr>
            </w:pPr>
            <w:r w:rsidRPr="000B65DE">
              <w:rPr>
                <w:rFonts w:ascii="Bookman Old Style" w:hAnsi="Bookman Old Style" w:cs="Arial"/>
                <w:spacing w:val="-3"/>
                <w:lang w:val="es-ES_tradnl"/>
              </w:rPr>
              <w:t>Director Ejecutivo</w:t>
            </w:r>
          </w:p>
        </w:tc>
      </w:tr>
    </w:tbl>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rPr>
          <w:rFonts w:ascii="Bookman Old Style" w:hAnsi="Bookman Old Style"/>
        </w:rPr>
      </w:pPr>
      <w:r w:rsidRPr="000B65DE">
        <w:rPr>
          <w:rFonts w:ascii="Bookman Old Style" w:hAnsi="Bookman Old Style"/>
        </w:rPr>
        <w:br w:type="page"/>
      </w:r>
    </w:p>
    <w:p w:rsidR="000B65DE" w:rsidRPr="000B65DE" w:rsidRDefault="000B65DE" w:rsidP="000B65DE">
      <w:pPr>
        <w:ind w:left="0"/>
        <w:jc w:val="both"/>
        <w:rPr>
          <w:rFonts w:ascii="Bookman Old Style" w:hAnsi="Bookman Old Style"/>
        </w:rPr>
      </w:pPr>
    </w:p>
    <w:p w:rsidR="000B65DE" w:rsidRPr="000B65DE" w:rsidRDefault="000B65DE" w:rsidP="00E528F6">
      <w:pPr>
        <w:numPr>
          <w:ilvl w:val="0"/>
          <w:numId w:val="41"/>
        </w:numPr>
        <w:jc w:val="center"/>
        <w:outlineLvl w:val="0"/>
        <w:rPr>
          <w:rFonts w:ascii="Bookman Old Style" w:hAnsi="Bookman Old Style"/>
          <w:b/>
          <w:lang w:val="es-ES_tradnl"/>
        </w:rPr>
      </w:pPr>
    </w:p>
    <w:p w:rsidR="000B65DE" w:rsidRPr="000B65DE" w:rsidRDefault="000B65DE" w:rsidP="000B65DE">
      <w:pPr>
        <w:ind w:left="0"/>
        <w:jc w:val="center"/>
        <w:outlineLvl w:val="0"/>
        <w:rPr>
          <w:rFonts w:ascii="Bookman Old Style" w:hAnsi="Bookman Old Style"/>
          <w:b/>
          <w:lang w:val="es-ES_tradnl"/>
        </w:rPr>
      </w:pPr>
      <w:r w:rsidRPr="000B65DE">
        <w:rPr>
          <w:rFonts w:ascii="Bookman Old Style" w:hAnsi="Bookman Old Style"/>
          <w:b/>
          <w:lang w:val="es-ES_tradnl"/>
        </w:rPr>
        <w:t>FORMATO REPORTE PROYECCIÓN DE CONEXIÓN DE USUARIOS POR TIPO DE RED</w:t>
      </w:r>
    </w:p>
    <w:p w:rsidR="000B65DE" w:rsidRPr="000B65DE" w:rsidRDefault="000B65DE" w:rsidP="000B65DE">
      <w:pPr>
        <w:ind w:left="0"/>
        <w:jc w:val="center"/>
        <w:rPr>
          <w:rFonts w:ascii="Bookman Old Style" w:hAnsi="Bookman Old Style"/>
          <w:b/>
        </w:rPr>
      </w:pPr>
      <w:r w:rsidRPr="000B65DE">
        <w:rPr>
          <w:rFonts w:ascii="Bookman Old Style" w:hAnsi="Bookman Old Style"/>
          <w:b/>
        </w:rPr>
        <w:t>MUNICIPIOS NUEVOS Y MERCADOS NUEVOS</w:t>
      </w:r>
    </w:p>
    <w:tbl>
      <w:tblPr>
        <w:tblW w:w="9394" w:type="dxa"/>
        <w:jc w:val="center"/>
        <w:tblLayout w:type="fixed"/>
        <w:tblCellMar>
          <w:left w:w="0" w:type="dxa"/>
          <w:right w:w="0" w:type="dxa"/>
        </w:tblCellMar>
        <w:tblLook w:val="04A0" w:firstRow="1" w:lastRow="0" w:firstColumn="1" w:lastColumn="0" w:noHBand="0" w:noVBand="1"/>
      </w:tblPr>
      <w:tblGrid>
        <w:gridCol w:w="3280"/>
        <w:gridCol w:w="1275"/>
        <w:gridCol w:w="1134"/>
        <w:gridCol w:w="1049"/>
        <w:gridCol w:w="85"/>
        <w:gridCol w:w="579"/>
        <w:gridCol w:w="555"/>
        <w:gridCol w:w="109"/>
        <w:gridCol w:w="664"/>
        <w:gridCol w:w="664"/>
      </w:tblGrid>
      <w:tr w:rsidR="000B65DE" w:rsidRPr="000B65DE" w:rsidTr="000334B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tcMar>
              <w:top w:w="19" w:type="dxa"/>
              <w:left w:w="19" w:type="dxa"/>
              <w:bottom w:w="0" w:type="dxa"/>
              <w:right w:w="19" w:type="dxa"/>
            </w:tcMar>
            <w:vAlign w:val="center"/>
            <w:hideMark/>
          </w:tcPr>
          <w:p w:rsidR="000B65DE" w:rsidRPr="000B65DE" w:rsidRDefault="000B65DE" w:rsidP="000B65DE">
            <w:pPr>
              <w:jc w:val="center"/>
              <w:rPr>
                <w:rFonts w:ascii="Bookman Old Style" w:hAnsi="Bookman Old Style"/>
                <w:b/>
                <w:bCs/>
                <w:color w:val="000000"/>
                <w:sz w:val="22"/>
              </w:rPr>
            </w:pPr>
            <w:r w:rsidRPr="000B65DE">
              <w:rPr>
                <w:rFonts w:ascii="Bookman Old Style" w:hAnsi="Bookman Old Style"/>
                <w:b/>
                <w:bCs/>
                <w:color w:val="000000"/>
                <w:sz w:val="22"/>
              </w:rPr>
              <w:t>MUNICIPIO</w:t>
            </w:r>
          </w:p>
        </w:tc>
        <w:tc>
          <w:tcPr>
            <w:tcW w:w="6114" w:type="dxa"/>
            <w:gridSpan w:val="9"/>
            <w:tcBorders>
              <w:top w:val="single" w:sz="8" w:space="0" w:color="auto"/>
              <w:left w:val="nil"/>
              <w:bottom w:val="single" w:sz="8" w:space="0" w:color="auto"/>
              <w:right w:val="single" w:sz="8" w:space="0" w:color="000000"/>
            </w:tcBorders>
            <w:shd w:val="clear" w:color="000000" w:fill="FFFFFF"/>
            <w:tcMar>
              <w:top w:w="19" w:type="dxa"/>
              <w:left w:w="19" w:type="dxa"/>
              <w:bottom w:w="0" w:type="dxa"/>
              <w:right w:w="19" w:type="dxa"/>
            </w:tcMar>
            <w:vAlign w:val="center"/>
            <w:hideMark/>
          </w:tcPr>
          <w:p w:rsidR="000B65DE" w:rsidRPr="000B65DE" w:rsidRDefault="000B65DE" w:rsidP="000B65DE">
            <w:pPr>
              <w:jc w:val="center"/>
              <w:rPr>
                <w:rFonts w:ascii="Bookman Old Style" w:hAnsi="Bookman Old Style"/>
                <w:b/>
                <w:bCs/>
                <w:color w:val="000000"/>
                <w:sz w:val="22"/>
              </w:rPr>
            </w:pPr>
            <w:r w:rsidRPr="000B65DE">
              <w:rPr>
                <w:rFonts w:ascii="Bookman Old Style" w:hAnsi="Bookman Old Style"/>
                <w:b/>
                <w:bCs/>
                <w:color w:val="000000"/>
                <w:sz w:val="22"/>
              </w:rPr>
              <w:t> </w:t>
            </w:r>
          </w:p>
        </w:tc>
      </w:tr>
      <w:tr w:rsidR="000B65DE" w:rsidRPr="000B65DE" w:rsidTr="000334B2">
        <w:trPr>
          <w:trHeight w:val="330"/>
          <w:jc w:val="center"/>
        </w:trPr>
        <w:tc>
          <w:tcPr>
            <w:tcW w:w="3280" w:type="dxa"/>
            <w:tcBorders>
              <w:top w:val="nil"/>
              <w:left w:val="single" w:sz="8" w:space="0" w:color="auto"/>
              <w:bottom w:val="single" w:sz="8" w:space="0" w:color="auto"/>
              <w:right w:val="nil"/>
            </w:tcBorders>
            <w:shd w:val="clear" w:color="000000" w:fill="FFFFFF"/>
            <w:tcMar>
              <w:top w:w="19" w:type="dxa"/>
              <w:left w:w="19" w:type="dxa"/>
              <w:bottom w:w="0" w:type="dxa"/>
              <w:right w:w="19" w:type="dxa"/>
            </w:tcMar>
            <w:vAlign w:val="center"/>
            <w:hideMark/>
          </w:tcPr>
          <w:p w:rsidR="000B65DE" w:rsidRPr="000B65DE" w:rsidRDefault="000B65DE" w:rsidP="000B65DE">
            <w:pPr>
              <w:jc w:val="center"/>
              <w:rPr>
                <w:rFonts w:ascii="Bookman Old Style" w:hAnsi="Bookman Old Style"/>
                <w:b/>
                <w:bCs/>
                <w:color w:val="000000"/>
                <w:sz w:val="22"/>
              </w:rPr>
            </w:pPr>
            <w:r w:rsidRPr="000B65DE">
              <w:rPr>
                <w:rFonts w:ascii="Bookman Old Style" w:hAnsi="Bookman Old Style"/>
                <w:b/>
                <w:bCs/>
                <w:color w:val="000000"/>
                <w:sz w:val="22"/>
              </w:rPr>
              <w:t>CÓDIGO DANE</w:t>
            </w:r>
          </w:p>
        </w:tc>
        <w:tc>
          <w:tcPr>
            <w:tcW w:w="6114" w:type="dxa"/>
            <w:gridSpan w:val="9"/>
            <w:tcBorders>
              <w:top w:val="single" w:sz="8" w:space="0" w:color="auto"/>
              <w:left w:val="single" w:sz="8" w:space="0" w:color="auto"/>
              <w:bottom w:val="single" w:sz="8" w:space="0" w:color="auto"/>
              <w:right w:val="single" w:sz="8" w:space="0" w:color="000000"/>
            </w:tcBorders>
            <w:shd w:val="clear" w:color="000000" w:fill="FFFFFF"/>
            <w:tcMar>
              <w:top w:w="19" w:type="dxa"/>
              <w:left w:w="19" w:type="dxa"/>
              <w:bottom w:w="0" w:type="dxa"/>
              <w:right w:w="19" w:type="dxa"/>
            </w:tcMar>
            <w:vAlign w:val="center"/>
            <w:hideMark/>
          </w:tcPr>
          <w:p w:rsidR="000B65DE" w:rsidRPr="000B65DE" w:rsidRDefault="000B65DE" w:rsidP="000B65DE">
            <w:pPr>
              <w:jc w:val="center"/>
              <w:rPr>
                <w:rFonts w:ascii="Bookman Old Style" w:hAnsi="Bookman Old Style"/>
                <w:b/>
                <w:bCs/>
                <w:color w:val="000000"/>
                <w:sz w:val="22"/>
              </w:rPr>
            </w:pPr>
            <w:r w:rsidRPr="000B65DE">
              <w:rPr>
                <w:rFonts w:ascii="Bookman Old Style" w:hAnsi="Bookman Old Style"/>
                <w:b/>
                <w:bCs/>
                <w:color w:val="000000"/>
                <w:sz w:val="22"/>
              </w:rPr>
              <w:t> </w:t>
            </w:r>
          </w:p>
        </w:tc>
      </w:tr>
      <w:tr w:rsidR="000B65DE" w:rsidRPr="000B65DE" w:rsidTr="000334B2">
        <w:trPr>
          <w:trHeight w:val="171"/>
          <w:jc w:val="center"/>
        </w:trPr>
        <w:tc>
          <w:tcPr>
            <w:tcW w:w="3280" w:type="dxa"/>
            <w:tcBorders>
              <w:top w:val="nil"/>
              <w:left w:val="nil"/>
              <w:bottom w:val="nil"/>
              <w:right w:val="nil"/>
            </w:tcBorders>
            <w:shd w:val="clear" w:color="000000" w:fill="FFFFFF"/>
            <w:noWrap/>
            <w:tcMar>
              <w:top w:w="19" w:type="dxa"/>
              <w:left w:w="19" w:type="dxa"/>
              <w:bottom w:w="0" w:type="dxa"/>
              <w:right w:w="19" w:type="dxa"/>
            </w:tcMar>
            <w:vAlign w:val="bottom"/>
            <w:hideMark/>
          </w:tcPr>
          <w:p w:rsidR="000B65DE" w:rsidRPr="000B65DE" w:rsidRDefault="000B65DE" w:rsidP="000B65DE">
            <w:pPr>
              <w:rPr>
                <w:rFonts w:ascii="Bookman Old Style" w:hAnsi="Bookman Old Style"/>
                <w:b/>
                <w:bCs/>
                <w:color w:val="000000"/>
                <w:sz w:val="22"/>
              </w:rPr>
            </w:pPr>
            <w:r w:rsidRPr="000B65DE">
              <w:rPr>
                <w:rFonts w:ascii="Bookman Old Style" w:hAnsi="Bookman Old Style"/>
                <w:b/>
                <w:bCs/>
                <w:color w:val="000000"/>
                <w:sz w:val="22"/>
              </w:rPr>
              <w:t> </w:t>
            </w:r>
          </w:p>
        </w:tc>
        <w:tc>
          <w:tcPr>
            <w:tcW w:w="3458" w:type="dxa"/>
            <w:gridSpan w:val="3"/>
            <w:tcBorders>
              <w:top w:val="nil"/>
              <w:left w:val="nil"/>
              <w:bottom w:val="nil"/>
              <w:right w:val="nil"/>
            </w:tcBorders>
            <w:shd w:val="clear" w:color="000000" w:fill="FFFFFF"/>
            <w:noWrap/>
            <w:tcMar>
              <w:top w:w="19" w:type="dxa"/>
              <w:left w:w="19" w:type="dxa"/>
              <w:bottom w:w="0" w:type="dxa"/>
              <w:right w:w="19" w:type="dxa"/>
            </w:tcMar>
            <w:vAlign w:val="bottom"/>
            <w:hideMark/>
          </w:tcPr>
          <w:p w:rsidR="000B65DE" w:rsidRPr="000B65DE" w:rsidRDefault="000B65DE" w:rsidP="000B65DE">
            <w:pPr>
              <w:rPr>
                <w:rFonts w:ascii="Bookman Old Style" w:hAnsi="Bookman Old Style"/>
                <w:color w:val="000000"/>
                <w:sz w:val="22"/>
              </w:rPr>
            </w:pPr>
            <w:r w:rsidRPr="000B65DE">
              <w:rPr>
                <w:rFonts w:ascii="Bookman Old Style" w:hAnsi="Bookman Old Style"/>
                <w:color w:val="000000"/>
                <w:sz w:val="22"/>
              </w:rPr>
              <w:t> </w:t>
            </w:r>
          </w:p>
        </w:tc>
        <w:tc>
          <w:tcPr>
            <w:tcW w:w="664" w:type="dxa"/>
            <w:gridSpan w:val="2"/>
            <w:tcBorders>
              <w:top w:val="nil"/>
              <w:left w:val="nil"/>
              <w:bottom w:val="nil"/>
              <w:right w:val="nil"/>
            </w:tcBorders>
            <w:shd w:val="clear" w:color="000000" w:fill="FFFFFF"/>
            <w:noWrap/>
            <w:tcMar>
              <w:top w:w="19" w:type="dxa"/>
              <w:left w:w="19" w:type="dxa"/>
              <w:bottom w:w="0" w:type="dxa"/>
              <w:right w:w="19" w:type="dxa"/>
            </w:tcMar>
            <w:vAlign w:val="bottom"/>
            <w:hideMark/>
          </w:tcPr>
          <w:p w:rsidR="000B65DE" w:rsidRPr="000B65DE" w:rsidRDefault="000B65DE" w:rsidP="000B65DE">
            <w:pPr>
              <w:rPr>
                <w:rFonts w:ascii="Bookman Old Style" w:hAnsi="Bookman Old Style"/>
                <w:color w:val="000000"/>
                <w:sz w:val="22"/>
              </w:rPr>
            </w:pPr>
            <w:r w:rsidRPr="000B65DE">
              <w:rPr>
                <w:rFonts w:ascii="Bookman Old Style" w:hAnsi="Bookman Old Style"/>
                <w:color w:val="000000"/>
                <w:sz w:val="22"/>
              </w:rPr>
              <w:t> </w:t>
            </w:r>
          </w:p>
        </w:tc>
        <w:tc>
          <w:tcPr>
            <w:tcW w:w="664" w:type="dxa"/>
            <w:gridSpan w:val="2"/>
            <w:tcBorders>
              <w:top w:val="nil"/>
              <w:left w:val="nil"/>
              <w:bottom w:val="nil"/>
              <w:right w:val="nil"/>
            </w:tcBorders>
            <w:shd w:val="clear" w:color="000000" w:fill="FFFFFF"/>
            <w:noWrap/>
            <w:tcMar>
              <w:top w:w="19" w:type="dxa"/>
              <w:left w:w="19" w:type="dxa"/>
              <w:bottom w:w="0" w:type="dxa"/>
              <w:right w:w="19" w:type="dxa"/>
            </w:tcMar>
            <w:vAlign w:val="bottom"/>
            <w:hideMark/>
          </w:tcPr>
          <w:p w:rsidR="000B65DE" w:rsidRPr="000B65DE" w:rsidRDefault="000B65DE" w:rsidP="000B65DE">
            <w:pPr>
              <w:rPr>
                <w:rFonts w:ascii="Bookman Old Style" w:hAnsi="Bookman Old Style"/>
                <w:color w:val="000000"/>
                <w:sz w:val="22"/>
              </w:rPr>
            </w:pPr>
            <w:r w:rsidRPr="000B65DE">
              <w:rPr>
                <w:rFonts w:ascii="Bookman Old Style" w:hAnsi="Bookman Old Style"/>
                <w:color w:val="000000"/>
                <w:sz w:val="22"/>
              </w:rPr>
              <w:t> </w:t>
            </w:r>
          </w:p>
        </w:tc>
        <w:tc>
          <w:tcPr>
            <w:tcW w:w="664" w:type="dxa"/>
            <w:tcBorders>
              <w:top w:val="nil"/>
              <w:left w:val="nil"/>
              <w:bottom w:val="nil"/>
              <w:right w:val="nil"/>
            </w:tcBorders>
            <w:shd w:val="clear" w:color="000000" w:fill="FFFFFF"/>
            <w:noWrap/>
            <w:tcMar>
              <w:top w:w="19" w:type="dxa"/>
              <w:left w:w="19" w:type="dxa"/>
              <w:bottom w:w="0" w:type="dxa"/>
              <w:right w:w="19" w:type="dxa"/>
            </w:tcMar>
            <w:vAlign w:val="bottom"/>
            <w:hideMark/>
          </w:tcPr>
          <w:p w:rsidR="000B65DE" w:rsidRPr="000B65DE" w:rsidRDefault="000B65DE" w:rsidP="000B65DE">
            <w:pPr>
              <w:rPr>
                <w:rFonts w:ascii="Bookman Old Style" w:hAnsi="Bookman Old Style"/>
                <w:color w:val="000000"/>
                <w:sz w:val="22"/>
              </w:rPr>
            </w:pPr>
            <w:r w:rsidRPr="000B65DE">
              <w:rPr>
                <w:rFonts w:ascii="Bookman Old Style" w:hAnsi="Bookman Old Style"/>
                <w:color w:val="000000"/>
                <w:sz w:val="22"/>
              </w:rPr>
              <w:t> </w:t>
            </w:r>
          </w:p>
        </w:tc>
        <w:tc>
          <w:tcPr>
            <w:tcW w:w="664" w:type="dxa"/>
            <w:tcBorders>
              <w:top w:val="nil"/>
              <w:left w:val="nil"/>
              <w:bottom w:val="nil"/>
              <w:right w:val="nil"/>
            </w:tcBorders>
            <w:shd w:val="clear" w:color="000000" w:fill="FFFFFF"/>
            <w:noWrap/>
            <w:tcMar>
              <w:top w:w="19" w:type="dxa"/>
              <w:left w:w="19" w:type="dxa"/>
              <w:bottom w:w="0" w:type="dxa"/>
              <w:right w:w="19" w:type="dxa"/>
            </w:tcMar>
            <w:vAlign w:val="bottom"/>
            <w:hideMark/>
          </w:tcPr>
          <w:p w:rsidR="000B65DE" w:rsidRPr="000B65DE" w:rsidRDefault="000B65DE" w:rsidP="000B65DE">
            <w:pPr>
              <w:rPr>
                <w:rFonts w:ascii="Bookman Old Style" w:hAnsi="Bookman Old Style"/>
                <w:color w:val="000000"/>
                <w:sz w:val="22"/>
              </w:rPr>
            </w:pPr>
            <w:r w:rsidRPr="000B65DE">
              <w:rPr>
                <w:rFonts w:ascii="Bookman Old Style" w:hAnsi="Bookman Old Style"/>
                <w:color w:val="000000"/>
                <w:sz w:val="22"/>
              </w:rPr>
              <w:t> </w:t>
            </w:r>
          </w:p>
        </w:tc>
      </w:tr>
      <w:tr w:rsidR="000B65DE" w:rsidRPr="000B65DE" w:rsidTr="000334B2">
        <w:trPr>
          <w:trHeight w:val="645"/>
          <w:jc w:val="center"/>
        </w:trPr>
        <w:tc>
          <w:tcPr>
            <w:tcW w:w="3280" w:type="dxa"/>
            <w:vMerge w:val="restart"/>
            <w:tcBorders>
              <w:top w:val="single" w:sz="8" w:space="0" w:color="auto"/>
              <w:left w:val="single" w:sz="8" w:space="0" w:color="auto"/>
              <w:bottom w:val="single" w:sz="8" w:space="0" w:color="auto"/>
              <w:right w:val="single" w:sz="8" w:space="0" w:color="auto"/>
            </w:tcBorders>
            <w:shd w:val="clear" w:color="000000" w:fill="FFFFFF"/>
            <w:tcMar>
              <w:top w:w="19" w:type="dxa"/>
              <w:left w:w="19" w:type="dxa"/>
              <w:bottom w:w="0" w:type="dxa"/>
              <w:right w:w="19" w:type="dxa"/>
            </w:tcMar>
            <w:vAlign w:val="center"/>
            <w:hideMark/>
          </w:tcPr>
          <w:p w:rsidR="000B65DE" w:rsidRPr="000B65DE" w:rsidRDefault="000B65DE" w:rsidP="000B65DE">
            <w:pPr>
              <w:jc w:val="center"/>
              <w:rPr>
                <w:rFonts w:ascii="Bookman Old Style" w:hAnsi="Bookman Old Style"/>
                <w:b/>
                <w:bCs/>
                <w:color w:val="000000"/>
                <w:sz w:val="22"/>
              </w:rPr>
            </w:pPr>
            <w:r w:rsidRPr="000B65DE">
              <w:rPr>
                <w:rFonts w:ascii="Bookman Old Style" w:hAnsi="Bookman Old Style"/>
                <w:b/>
                <w:bCs/>
                <w:color w:val="000000"/>
                <w:sz w:val="22"/>
              </w:rPr>
              <w:t xml:space="preserve">CÓDIGO UNIDAD </w:t>
            </w:r>
            <w:r w:rsidRPr="000B65DE">
              <w:rPr>
                <w:rFonts w:ascii="Bookman Old Style" w:hAnsi="Bookman Old Style"/>
                <w:b/>
                <w:bCs/>
                <w:color w:val="000000"/>
                <w:sz w:val="22"/>
              </w:rPr>
              <w:br/>
              <w:t>CONSTRUCTIVA</w:t>
            </w:r>
          </w:p>
        </w:tc>
        <w:tc>
          <w:tcPr>
            <w:tcW w:w="6114" w:type="dxa"/>
            <w:gridSpan w:val="9"/>
            <w:tcBorders>
              <w:top w:val="single" w:sz="8" w:space="0" w:color="auto"/>
              <w:left w:val="nil"/>
              <w:bottom w:val="single" w:sz="8" w:space="0" w:color="auto"/>
              <w:right w:val="single" w:sz="8" w:space="0" w:color="000000"/>
            </w:tcBorders>
            <w:shd w:val="clear" w:color="000000" w:fill="FFFFFF"/>
            <w:tcMar>
              <w:top w:w="19" w:type="dxa"/>
              <w:left w:w="19" w:type="dxa"/>
              <w:bottom w:w="0" w:type="dxa"/>
              <w:right w:w="19" w:type="dxa"/>
            </w:tcMar>
            <w:vAlign w:val="bottom"/>
            <w:hideMark/>
          </w:tcPr>
          <w:p w:rsidR="000B65DE" w:rsidRPr="000B65DE" w:rsidRDefault="000B65DE" w:rsidP="000B65DE">
            <w:pPr>
              <w:ind w:left="-19" w:firstLine="19"/>
              <w:jc w:val="center"/>
              <w:rPr>
                <w:rFonts w:ascii="Bookman Old Style" w:hAnsi="Bookman Old Style"/>
                <w:b/>
                <w:bCs/>
                <w:color w:val="000000"/>
                <w:sz w:val="22"/>
              </w:rPr>
            </w:pPr>
            <w:r w:rsidRPr="000B65DE">
              <w:rPr>
                <w:rFonts w:ascii="Bookman Old Style" w:hAnsi="Bookman Old Style"/>
                <w:b/>
                <w:bCs/>
                <w:color w:val="000000"/>
                <w:sz w:val="22"/>
              </w:rPr>
              <w:t xml:space="preserve">KILÓMETROS DE </w:t>
            </w:r>
            <w:r w:rsidRPr="00A0298E">
              <w:rPr>
                <w:rFonts w:ascii="Bookman Old Style" w:hAnsi="Bookman Old Style"/>
                <w:b/>
                <w:bCs/>
                <w:color w:val="000000"/>
                <w:sz w:val="22"/>
              </w:rPr>
              <w:t>TUBERÍA</w:t>
            </w:r>
            <w:r w:rsidR="00CD68AD" w:rsidRPr="00A0298E">
              <w:rPr>
                <w:rFonts w:ascii="Bookman Old Style" w:hAnsi="Bookman Old Style"/>
                <w:b/>
                <w:bCs/>
                <w:color w:val="000000"/>
                <w:sz w:val="22"/>
              </w:rPr>
              <w:t xml:space="preserve"> </w:t>
            </w:r>
            <w:r w:rsidRPr="00A0298E">
              <w:rPr>
                <w:rFonts w:ascii="Bookman Old Style" w:hAnsi="Bookman Old Style"/>
                <w:b/>
                <w:bCs/>
                <w:color w:val="000000"/>
                <w:sz w:val="22"/>
              </w:rPr>
              <w:t>POR</w:t>
            </w:r>
            <w:r w:rsidRPr="000B65DE">
              <w:rPr>
                <w:rFonts w:ascii="Bookman Old Style" w:hAnsi="Bookman Old Style"/>
                <w:b/>
                <w:bCs/>
                <w:color w:val="000000"/>
                <w:sz w:val="22"/>
              </w:rPr>
              <w:t xml:space="preserve"> AÑO</w:t>
            </w:r>
          </w:p>
        </w:tc>
      </w:tr>
      <w:tr w:rsidR="000B65DE" w:rsidRPr="000B65DE" w:rsidTr="000334B2">
        <w:trPr>
          <w:trHeight w:val="330"/>
          <w:jc w:val="center"/>
        </w:trPr>
        <w:tc>
          <w:tcPr>
            <w:tcW w:w="3280" w:type="dxa"/>
            <w:vMerge/>
            <w:tcBorders>
              <w:top w:val="single" w:sz="8" w:space="0" w:color="auto"/>
              <w:left w:val="single" w:sz="8" w:space="0" w:color="auto"/>
              <w:bottom w:val="single" w:sz="8" w:space="0" w:color="auto"/>
              <w:right w:val="single" w:sz="8" w:space="0" w:color="auto"/>
            </w:tcBorders>
            <w:vAlign w:val="center"/>
            <w:hideMark/>
          </w:tcPr>
          <w:p w:rsidR="000B65DE" w:rsidRPr="000B65DE" w:rsidRDefault="000B65DE" w:rsidP="000B65DE">
            <w:pPr>
              <w:rPr>
                <w:rFonts w:ascii="Bookman Old Style" w:hAnsi="Bookman Old Style"/>
                <w:b/>
                <w:bCs/>
                <w:color w:val="000000"/>
                <w:sz w:val="22"/>
              </w:rPr>
            </w:pPr>
          </w:p>
        </w:tc>
        <w:tc>
          <w:tcPr>
            <w:tcW w:w="1275" w:type="dxa"/>
            <w:tcBorders>
              <w:top w:val="nil"/>
              <w:left w:val="nil"/>
              <w:bottom w:val="single" w:sz="8" w:space="0" w:color="auto"/>
              <w:right w:val="single" w:sz="8" w:space="0" w:color="auto"/>
            </w:tcBorders>
            <w:shd w:val="clear" w:color="000000" w:fill="FFFFFF"/>
            <w:noWrap/>
            <w:tcMar>
              <w:top w:w="19" w:type="dxa"/>
              <w:left w:w="19" w:type="dxa"/>
              <w:bottom w:w="0" w:type="dxa"/>
              <w:right w:w="19" w:type="dxa"/>
            </w:tcMar>
            <w:vAlign w:val="center"/>
            <w:hideMark/>
          </w:tcPr>
          <w:p w:rsidR="000B65DE" w:rsidRPr="000B65DE" w:rsidRDefault="000B65DE" w:rsidP="000B65DE">
            <w:pPr>
              <w:ind w:hanging="339"/>
              <w:jc w:val="center"/>
              <w:rPr>
                <w:rFonts w:ascii="Bookman Old Style" w:hAnsi="Bookman Old Style"/>
                <w:b/>
                <w:bCs/>
                <w:color w:val="000000"/>
                <w:sz w:val="22"/>
              </w:rPr>
            </w:pPr>
            <w:r w:rsidRPr="000B65DE">
              <w:rPr>
                <w:rFonts w:ascii="Bookman Old Style" w:hAnsi="Bookman Old Style"/>
                <w:b/>
                <w:bCs/>
                <w:color w:val="000000"/>
                <w:sz w:val="22"/>
              </w:rPr>
              <w:t>1</w:t>
            </w:r>
          </w:p>
        </w:tc>
        <w:tc>
          <w:tcPr>
            <w:tcW w:w="1134" w:type="dxa"/>
            <w:tcBorders>
              <w:top w:val="nil"/>
              <w:left w:val="nil"/>
              <w:bottom w:val="single" w:sz="8" w:space="0" w:color="auto"/>
              <w:right w:val="single" w:sz="8" w:space="0" w:color="auto"/>
            </w:tcBorders>
            <w:shd w:val="clear" w:color="000000" w:fill="FFFFFF"/>
            <w:noWrap/>
            <w:tcMar>
              <w:top w:w="19" w:type="dxa"/>
              <w:left w:w="19" w:type="dxa"/>
              <w:bottom w:w="0" w:type="dxa"/>
              <w:right w:w="19" w:type="dxa"/>
            </w:tcMar>
            <w:vAlign w:val="center"/>
            <w:hideMark/>
          </w:tcPr>
          <w:p w:rsidR="000B65DE" w:rsidRPr="000B65DE" w:rsidRDefault="000B65DE" w:rsidP="000B65DE">
            <w:pPr>
              <w:ind w:left="0" w:hanging="19"/>
              <w:jc w:val="center"/>
              <w:rPr>
                <w:rFonts w:ascii="Bookman Old Style" w:hAnsi="Bookman Old Style" w:cs="Arial"/>
                <w:b/>
                <w:bCs/>
                <w:color w:val="000000"/>
                <w:sz w:val="22"/>
              </w:rPr>
            </w:pPr>
            <w:r w:rsidRPr="000B65DE">
              <w:rPr>
                <w:rFonts w:ascii="Bookman Old Style" w:hAnsi="Bookman Old Style"/>
                <w:b/>
                <w:bCs/>
                <w:color w:val="000000"/>
                <w:sz w:val="22"/>
              </w:rPr>
              <w:t>2</w:t>
            </w:r>
          </w:p>
        </w:tc>
        <w:tc>
          <w:tcPr>
            <w:tcW w:w="1134" w:type="dxa"/>
            <w:gridSpan w:val="2"/>
            <w:tcBorders>
              <w:top w:val="nil"/>
              <w:left w:val="nil"/>
              <w:bottom w:val="single" w:sz="8" w:space="0" w:color="auto"/>
              <w:right w:val="single" w:sz="8" w:space="0" w:color="auto"/>
            </w:tcBorders>
            <w:shd w:val="clear" w:color="000000" w:fill="FFFFFF"/>
            <w:noWrap/>
            <w:tcMar>
              <w:top w:w="19" w:type="dxa"/>
              <w:left w:w="19" w:type="dxa"/>
              <w:bottom w:w="0" w:type="dxa"/>
              <w:right w:w="19" w:type="dxa"/>
            </w:tcMar>
            <w:vAlign w:val="center"/>
            <w:hideMark/>
          </w:tcPr>
          <w:p w:rsidR="000B65DE" w:rsidRPr="000B65DE" w:rsidRDefault="000B65DE" w:rsidP="000B65DE">
            <w:pPr>
              <w:ind w:left="-19" w:firstLine="19"/>
              <w:jc w:val="center"/>
              <w:rPr>
                <w:rFonts w:ascii="Bookman Old Style" w:hAnsi="Bookman Old Style" w:cs="Arial"/>
                <w:b/>
                <w:bCs/>
                <w:color w:val="000000"/>
                <w:sz w:val="22"/>
              </w:rPr>
            </w:pPr>
            <w:r w:rsidRPr="000B65DE">
              <w:rPr>
                <w:rFonts w:ascii="Bookman Old Style" w:hAnsi="Bookman Old Style"/>
                <w:b/>
                <w:bCs/>
                <w:color w:val="000000"/>
                <w:sz w:val="22"/>
              </w:rPr>
              <w:t>3</w:t>
            </w:r>
          </w:p>
        </w:tc>
        <w:tc>
          <w:tcPr>
            <w:tcW w:w="1134" w:type="dxa"/>
            <w:gridSpan w:val="2"/>
            <w:tcBorders>
              <w:top w:val="nil"/>
              <w:left w:val="nil"/>
              <w:bottom w:val="single" w:sz="8" w:space="0" w:color="auto"/>
              <w:right w:val="single" w:sz="8" w:space="0" w:color="auto"/>
            </w:tcBorders>
            <w:shd w:val="clear" w:color="000000" w:fill="FFFFFF"/>
            <w:noWrap/>
            <w:tcMar>
              <w:top w:w="19" w:type="dxa"/>
              <w:left w:w="19" w:type="dxa"/>
              <w:bottom w:w="0" w:type="dxa"/>
              <w:right w:w="19" w:type="dxa"/>
            </w:tcMar>
            <w:vAlign w:val="center"/>
            <w:hideMark/>
          </w:tcPr>
          <w:p w:rsidR="000B65DE" w:rsidRPr="000B65DE" w:rsidRDefault="000B65DE" w:rsidP="000B65DE">
            <w:pPr>
              <w:ind w:left="0" w:hanging="19"/>
              <w:jc w:val="center"/>
              <w:rPr>
                <w:rFonts w:ascii="Bookman Old Style" w:hAnsi="Bookman Old Style" w:cs="Arial"/>
                <w:b/>
                <w:bCs/>
                <w:color w:val="000000"/>
                <w:sz w:val="22"/>
              </w:rPr>
            </w:pPr>
            <w:r w:rsidRPr="000B65DE">
              <w:rPr>
                <w:rFonts w:ascii="Bookman Old Style" w:hAnsi="Bookman Old Style"/>
                <w:b/>
                <w:bCs/>
                <w:color w:val="000000"/>
                <w:sz w:val="22"/>
              </w:rPr>
              <w:t>4</w:t>
            </w:r>
          </w:p>
        </w:tc>
        <w:tc>
          <w:tcPr>
            <w:tcW w:w="1437" w:type="dxa"/>
            <w:gridSpan w:val="3"/>
            <w:tcBorders>
              <w:top w:val="nil"/>
              <w:left w:val="nil"/>
              <w:bottom w:val="single" w:sz="8" w:space="0" w:color="auto"/>
              <w:right w:val="single" w:sz="8" w:space="0" w:color="auto"/>
            </w:tcBorders>
            <w:shd w:val="clear" w:color="000000" w:fill="FFFFFF"/>
            <w:noWrap/>
            <w:tcMar>
              <w:top w:w="19" w:type="dxa"/>
              <w:left w:w="19" w:type="dxa"/>
              <w:bottom w:w="0" w:type="dxa"/>
              <w:right w:w="19" w:type="dxa"/>
            </w:tcMar>
            <w:vAlign w:val="center"/>
            <w:hideMark/>
          </w:tcPr>
          <w:p w:rsidR="000B65DE" w:rsidRPr="000B65DE" w:rsidRDefault="000B65DE" w:rsidP="000B65DE">
            <w:pPr>
              <w:ind w:left="0"/>
              <w:jc w:val="center"/>
              <w:rPr>
                <w:rFonts w:ascii="Bookman Old Style" w:hAnsi="Bookman Old Style" w:cs="Arial"/>
                <w:b/>
                <w:bCs/>
                <w:color w:val="000000"/>
                <w:sz w:val="22"/>
              </w:rPr>
            </w:pPr>
            <w:r w:rsidRPr="000B65DE">
              <w:rPr>
                <w:rFonts w:ascii="Bookman Old Style" w:hAnsi="Bookman Old Style"/>
                <w:b/>
                <w:bCs/>
                <w:color w:val="000000"/>
                <w:sz w:val="22"/>
              </w:rPr>
              <w:t>5</w:t>
            </w:r>
          </w:p>
        </w:tc>
      </w:tr>
      <w:tr w:rsidR="000B65DE" w:rsidRPr="000B65DE" w:rsidTr="000334B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both"/>
              <w:rPr>
                <w:rFonts w:ascii="Bookman Old Style" w:hAnsi="Bookman Old Style"/>
                <w:b/>
                <w:color w:val="000000"/>
                <w:sz w:val="22"/>
              </w:rPr>
            </w:pPr>
            <w:r w:rsidRPr="000B65DE">
              <w:rPr>
                <w:rFonts w:ascii="Bookman Old Style" w:hAnsi="Bookman Old Style"/>
                <w:b/>
                <w:color w:val="000000"/>
                <w:sz w:val="22"/>
                <w:lang w:val="es-CO" w:eastAsia="es-CO"/>
              </w:rPr>
              <w:t>Red Primaria</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hideMark/>
          </w:tcPr>
          <w:p w:rsidR="000B65DE" w:rsidRPr="000B65DE" w:rsidRDefault="000B65DE" w:rsidP="000B65DE">
            <w:pPr>
              <w:rPr>
                <w:rFonts w:ascii="Bookman Old Style" w:hAnsi="Bookman Old Style"/>
                <w:color w:val="000000"/>
                <w:sz w:val="22"/>
              </w:rPr>
            </w:pPr>
            <w:r w:rsidRPr="000B65DE">
              <w:rPr>
                <w:rFonts w:ascii="Bookman Old Style" w:hAnsi="Bookman Old Style"/>
                <w:color w:val="000000"/>
                <w:sz w:val="22"/>
              </w:rPr>
              <w:t> </w:t>
            </w: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hideMark/>
          </w:tcPr>
          <w:p w:rsidR="000B65DE" w:rsidRPr="000B65DE" w:rsidRDefault="000B65DE" w:rsidP="000B65DE">
            <w:pPr>
              <w:rPr>
                <w:rFonts w:ascii="Bookman Old Style" w:hAnsi="Bookman Old Style"/>
                <w:color w:val="000000"/>
                <w:sz w:val="22"/>
              </w:rPr>
            </w:pPr>
            <w:r w:rsidRPr="000B65DE">
              <w:rPr>
                <w:rFonts w:ascii="Bookman Old Style" w:hAnsi="Bookman Old Style"/>
                <w:color w:val="000000"/>
                <w:sz w:val="22"/>
              </w:rPr>
              <w:t> </w:t>
            </w: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hideMark/>
          </w:tcPr>
          <w:p w:rsidR="000B65DE" w:rsidRPr="000B65DE" w:rsidRDefault="000B65DE" w:rsidP="000B65DE">
            <w:pPr>
              <w:rPr>
                <w:rFonts w:ascii="Bookman Old Style" w:hAnsi="Bookman Old Style"/>
                <w:color w:val="000000"/>
                <w:sz w:val="22"/>
              </w:rPr>
            </w:pPr>
            <w:r w:rsidRPr="000B65DE">
              <w:rPr>
                <w:rFonts w:ascii="Bookman Old Style" w:hAnsi="Bookman Old Style"/>
                <w:color w:val="000000"/>
                <w:sz w:val="22"/>
              </w:rPr>
              <w:t> </w:t>
            </w: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hideMark/>
          </w:tcPr>
          <w:p w:rsidR="000B65DE" w:rsidRPr="000B65DE" w:rsidRDefault="000B65DE" w:rsidP="000B65DE">
            <w:pPr>
              <w:rPr>
                <w:rFonts w:ascii="Bookman Old Style" w:hAnsi="Bookman Old Style"/>
                <w:color w:val="000000"/>
                <w:sz w:val="22"/>
              </w:rPr>
            </w:pPr>
            <w:r w:rsidRPr="000B65DE">
              <w:rPr>
                <w:rFonts w:ascii="Bookman Old Style" w:hAnsi="Bookman Old Style"/>
                <w:color w:val="000000"/>
                <w:sz w:val="22"/>
              </w:rPr>
              <w:t> </w:t>
            </w:r>
          </w:p>
        </w:tc>
        <w:tc>
          <w:tcPr>
            <w:tcW w:w="1437" w:type="dxa"/>
            <w:gridSpan w:val="3"/>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hideMark/>
          </w:tcPr>
          <w:p w:rsidR="000B65DE" w:rsidRPr="000B65DE" w:rsidRDefault="000B65DE" w:rsidP="000B65DE">
            <w:pPr>
              <w:rPr>
                <w:rFonts w:ascii="Bookman Old Style" w:hAnsi="Bookman Old Style"/>
                <w:color w:val="000000"/>
                <w:sz w:val="22"/>
              </w:rPr>
            </w:pPr>
            <w:r w:rsidRPr="000B65DE">
              <w:rPr>
                <w:rFonts w:ascii="Bookman Old Style" w:hAnsi="Bookman Old Style"/>
                <w:color w:val="000000"/>
                <w:sz w:val="22"/>
              </w:rPr>
              <w:t> </w:t>
            </w:r>
          </w:p>
        </w:tc>
      </w:tr>
      <w:tr w:rsidR="000B65DE" w:rsidRPr="000B65DE" w:rsidTr="000334B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both"/>
              <w:rPr>
                <w:rFonts w:ascii="Bookman Old Style" w:hAnsi="Bookman Old Style"/>
                <w:b/>
                <w:color w:val="000000"/>
                <w:sz w:val="22"/>
              </w:rPr>
            </w:pPr>
            <w:r w:rsidRPr="000B65DE">
              <w:rPr>
                <w:rFonts w:ascii="Bookman Old Style" w:hAnsi="Bookman Old Style"/>
                <w:b/>
                <w:color w:val="000000"/>
                <w:sz w:val="22"/>
                <w:lang w:val="es-CO" w:eastAsia="es-CO"/>
              </w:rPr>
              <w:t>Red Secundaria</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437" w:type="dxa"/>
            <w:gridSpan w:val="3"/>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r>
      <w:tr w:rsidR="000B65DE" w:rsidRPr="000B65DE" w:rsidTr="000334B2">
        <w:trPr>
          <w:trHeight w:val="295"/>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both"/>
              <w:rPr>
                <w:rFonts w:ascii="Bookman Old Style" w:hAnsi="Bookman Old Style"/>
                <w:color w:val="000000"/>
                <w:sz w:val="22"/>
              </w:rPr>
            </w:pPr>
          </w:p>
        </w:tc>
        <w:tc>
          <w:tcPr>
            <w:tcW w:w="6114" w:type="dxa"/>
            <w:gridSpan w:val="9"/>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left="-19"/>
              <w:jc w:val="center"/>
              <w:rPr>
                <w:rFonts w:ascii="Bookman Old Style" w:hAnsi="Bookman Old Style" w:cs="Arial"/>
                <w:b/>
                <w:bCs/>
                <w:color w:val="000000"/>
                <w:sz w:val="22"/>
              </w:rPr>
            </w:pPr>
            <w:r w:rsidRPr="000B65DE">
              <w:rPr>
                <w:rFonts w:ascii="Bookman Old Style" w:hAnsi="Bookman Old Style"/>
                <w:b/>
                <w:bCs/>
                <w:color w:val="000000"/>
                <w:sz w:val="22"/>
              </w:rPr>
              <w:t>NÚMERO DE USUARIOS POR AÑO</w:t>
            </w:r>
          </w:p>
        </w:tc>
      </w:tr>
      <w:tr w:rsidR="000B65DE" w:rsidRPr="000B65DE" w:rsidTr="000334B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both"/>
              <w:rPr>
                <w:rFonts w:ascii="Bookman Old Style" w:hAnsi="Bookman Old Style"/>
                <w:b/>
                <w:color w:val="000000"/>
                <w:sz w:val="22"/>
              </w:rPr>
            </w:pPr>
            <w:r w:rsidRPr="000B65DE">
              <w:rPr>
                <w:rFonts w:ascii="Bookman Old Style" w:hAnsi="Bookman Old Style"/>
                <w:b/>
                <w:color w:val="000000"/>
                <w:sz w:val="22"/>
                <w:lang w:val="es-CO" w:eastAsia="es-CO"/>
              </w:rPr>
              <w:t>Red Primaria</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437" w:type="dxa"/>
            <w:gridSpan w:val="3"/>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r>
      <w:tr w:rsidR="000B65DE" w:rsidRPr="000B65DE" w:rsidTr="000334B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right"/>
              <w:rPr>
                <w:rFonts w:ascii="Bookman Old Style" w:hAnsi="Bookman Old Style" w:cs="Arial"/>
                <w:b/>
                <w:bCs/>
                <w:color w:val="000000"/>
                <w:sz w:val="22"/>
                <w:lang w:val="es-CO" w:eastAsia="es-CO"/>
              </w:rPr>
            </w:pPr>
            <w:r w:rsidRPr="000B65DE">
              <w:rPr>
                <w:rFonts w:ascii="Bookman Old Style" w:hAnsi="Bookman Old Style"/>
                <w:color w:val="000000"/>
                <w:sz w:val="22"/>
              </w:rPr>
              <w:t>Residencial</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437" w:type="dxa"/>
            <w:gridSpan w:val="3"/>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r>
      <w:tr w:rsidR="000B65DE" w:rsidRPr="000B65DE" w:rsidTr="000334B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right"/>
              <w:rPr>
                <w:rFonts w:ascii="Bookman Old Style" w:hAnsi="Bookman Old Style" w:cs="Arial"/>
                <w:b/>
                <w:bCs/>
                <w:color w:val="000000"/>
                <w:sz w:val="22"/>
                <w:lang w:val="es-CO" w:eastAsia="es-CO"/>
              </w:rPr>
            </w:pPr>
            <w:r w:rsidRPr="000B65DE">
              <w:rPr>
                <w:rFonts w:ascii="Bookman Old Style" w:hAnsi="Bookman Old Style"/>
                <w:color w:val="000000"/>
                <w:sz w:val="22"/>
              </w:rPr>
              <w:t>Comercial</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437" w:type="dxa"/>
            <w:gridSpan w:val="3"/>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r>
      <w:tr w:rsidR="000B65DE" w:rsidRPr="000B65DE" w:rsidTr="000334B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right"/>
              <w:rPr>
                <w:rFonts w:ascii="Bookman Old Style" w:hAnsi="Bookman Old Style" w:cs="Arial"/>
                <w:b/>
                <w:bCs/>
                <w:color w:val="000000"/>
                <w:sz w:val="22"/>
                <w:lang w:val="es-CO" w:eastAsia="es-CO"/>
              </w:rPr>
            </w:pPr>
            <w:r w:rsidRPr="000B65DE">
              <w:rPr>
                <w:rFonts w:ascii="Bookman Old Style" w:hAnsi="Bookman Old Style"/>
                <w:color w:val="000000"/>
                <w:sz w:val="22"/>
              </w:rPr>
              <w:t>Industrial</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437" w:type="dxa"/>
            <w:gridSpan w:val="3"/>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r>
      <w:tr w:rsidR="000B65DE" w:rsidRPr="000B65DE" w:rsidTr="000334B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right"/>
              <w:rPr>
                <w:rFonts w:ascii="Bookman Old Style" w:hAnsi="Bookman Old Style" w:cs="Arial"/>
                <w:b/>
                <w:bCs/>
                <w:color w:val="000000"/>
                <w:sz w:val="22"/>
                <w:lang w:val="es-CO" w:eastAsia="es-CO"/>
              </w:rPr>
            </w:pPr>
            <w:r w:rsidRPr="000B65DE">
              <w:rPr>
                <w:rFonts w:ascii="Bookman Old Style" w:hAnsi="Bookman Old Style"/>
                <w:color w:val="000000"/>
                <w:sz w:val="22"/>
              </w:rPr>
              <w:t>GNCV</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437" w:type="dxa"/>
            <w:gridSpan w:val="3"/>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r>
      <w:tr w:rsidR="000B65DE" w:rsidRPr="000B65DE" w:rsidTr="000334B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right"/>
              <w:rPr>
                <w:rFonts w:ascii="Bookman Old Style" w:hAnsi="Bookman Old Style" w:cs="Arial"/>
                <w:b/>
                <w:bCs/>
                <w:color w:val="000000"/>
                <w:sz w:val="22"/>
                <w:lang w:val="es-CO" w:eastAsia="es-CO"/>
              </w:rPr>
            </w:pPr>
            <w:r w:rsidRPr="000B65DE">
              <w:rPr>
                <w:rFonts w:ascii="Bookman Old Style" w:hAnsi="Bookman Old Style"/>
                <w:color w:val="000000"/>
                <w:sz w:val="22"/>
              </w:rPr>
              <w:t>Otros</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437" w:type="dxa"/>
            <w:gridSpan w:val="3"/>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r>
      <w:tr w:rsidR="000B65DE" w:rsidRPr="000B65DE" w:rsidTr="000334B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spacing w:before="100" w:beforeAutospacing="1" w:after="100" w:afterAutospacing="1"/>
              <w:ind w:hanging="477"/>
              <w:jc w:val="both"/>
              <w:textAlignment w:val="center"/>
              <w:rPr>
                <w:rFonts w:ascii="Bookman Old Style" w:hAnsi="Bookman Old Style"/>
                <w:b/>
                <w:color w:val="000000"/>
                <w:sz w:val="22"/>
                <w:lang w:val="es-CO" w:eastAsia="es-CO"/>
              </w:rPr>
            </w:pPr>
            <w:r w:rsidRPr="000B65DE">
              <w:rPr>
                <w:rFonts w:ascii="Bookman Old Style" w:hAnsi="Bookman Old Style"/>
                <w:b/>
                <w:color w:val="000000"/>
                <w:sz w:val="22"/>
                <w:lang w:val="es-CO" w:eastAsia="es-CO"/>
              </w:rPr>
              <w:t>Red Secundaria</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437" w:type="dxa"/>
            <w:gridSpan w:val="3"/>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r>
      <w:tr w:rsidR="000B65DE" w:rsidRPr="000B65DE" w:rsidTr="000334B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right"/>
              <w:rPr>
                <w:rFonts w:ascii="Bookman Old Style" w:hAnsi="Bookman Old Style" w:cs="Arial"/>
                <w:b/>
                <w:bCs/>
                <w:color w:val="000000"/>
                <w:sz w:val="22"/>
              </w:rPr>
            </w:pPr>
            <w:r w:rsidRPr="000B65DE">
              <w:rPr>
                <w:rFonts w:ascii="Bookman Old Style" w:hAnsi="Bookman Old Style"/>
                <w:color w:val="000000"/>
                <w:sz w:val="22"/>
              </w:rPr>
              <w:t>Residencial</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437" w:type="dxa"/>
            <w:gridSpan w:val="3"/>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r>
      <w:tr w:rsidR="000B65DE" w:rsidRPr="000B65DE" w:rsidTr="000334B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right"/>
              <w:rPr>
                <w:rFonts w:ascii="Bookman Old Style" w:hAnsi="Bookman Old Style" w:cs="Arial"/>
                <w:b/>
                <w:bCs/>
                <w:color w:val="000000"/>
                <w:sz w:val="22"/>
              </w:rPr>
            </w:pPr>
            <w:r w:rsidRPr="000B65DE">
              <w:rPr>
                <w:rFonts w:ascii="Bookman Old Style" w:hAnsi="Bookman Old Style"/>
                <w:color w:val="000000"/>
                <w:sz w:val="22"/>
              </w:rPr>
              <w:t>Comercial</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437" w:type="dxa"/>
            <w:gridSpan w:val="3"/>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r>
      <w:tr w:rsidR="000B65DE" w:rsidRPr="000B65DE" w:rsidTr="000334B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right"/>
              <w:rPr>
                <w:rFonts w:ascii="Bookman Old Style" w:hAnsi="Bookman Old Style" w:cs="Arial"/>
                <w:b/>
                <w:bCs/>
                <w:color w:val="000000"/>
                <w:sz w:val="22"/>
              </w:rPr>
            </w:pPr>
            <w:r w:rsidRPr="000B65DE">
              <w:rPr>
                <w:rFonts w:ascii="Bookman Old Style" w:hAnsi="Bookman Old Style"/>
                <w:color w:val="000000"/>
                <w:sz w:val="22"/>
              </w:rPr>
              <w:t>Industrial</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437" w:type="dxa"/>
            <w:gridSpan w:val="3"/>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r>
      <w:tr w:rsidR="000B65DE" w:rsidRPr="000B65DE" w:rsidTr="000334B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right"/>
              <w:rPr>
                <w:rFonts w:ascii="Bookman Old Style" w:hAnsi="Bookman Old Style" w:cs="Arial"/>
                <w:b/>
                <w:bCs/>
                <w:color w:val="000000"/>
                <w:sz w:val="22"/>
              </w:rPr>
            </w:pPr>
            <w:r w:rsidRPr="000B65DE">
              <w:rPr>
                <w:rFonts w:ascii="Bookman Old Style" w:hAnsi="Bookman Old Style"/>
                <w:color w:val="000000"/>
                <w:sz w:val="22"/>
              </w:rPr>
              <w:t>GNCV</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437" w:type="dxa"/>
            <w:gridSpan w:val="3"/>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r>
      <w:tr w:rsidR="000B65DE" w:rsidRPr="000B65DE" w:rsidTr="000334B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right"/>
              <w:rPr>
                <w:rFonts w:ascii="Bookman Old Style" w:hAnsi="Bookman Old Style" w:cs="Arial"/>
                <w:b/>
                <w:bCs/>
                <w:color w:val="000000"/>
                <w:sz w:val="22"/>
              </w:rPr>
            </w:pPr>
            <w:r w:rsidRPr="000B65DE">
              <w:rPr>
                <w:rFonts w:ascii="Bookman Old Style" w:hAnsi="Bookman Old Style"/>
                <w:color w:val="000000"/>
                <w:sz w:val="22"/>
              </w:rPr>
              <w:t>Otros</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gridSpan w:val="2"/>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437" w:type="dxa"/>
            <w:gridSpan w:val="3"/>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r>
    </w:tbl>
    <w:p w:rsidR="000334B2" w:rsidRDefault="000334B2"/>
    <w:p w:rsidR="000334B2" w:rsidRDefault="000334B2"/>
    <w:p w:rsidR="00364E59" w:rsidRDefault="00364E59">
      <w:pPr>
        <w:ind w:left="0"/>
      </w:pPr>
      <w:r>
        <w:br w:type="page"/>
      </w:r>
    </w:p>
    <w:p w:rsidR="000334B2" w:rsidRDefault="000334B2">
      <w:bookmarkStart w:id="57" w:name="_GoBack"/>
      <w:bookmarkEnd w:id="57"/>
    </w:p>
    <w:tbl>
      <w:tblPr>
        <w:tblW w:w="9394" w:type="dxa"/>
        <w:jc w:val="center"/>
        <w:tblLayout w:type="fixed"/>
        <w:tblCellMar>
          <w:left w:w="0" w:type="dxa"/>
          <w:right w:w="0" w:type="dxa"/>
        </w:tblCellMar>
        <w:tblLook w:val="04A0" w:firstRow="1" w:lastRow="0" w:firstColumn="1" w:lastColumn="0" w:noHBand="0" w:noVBand="1"/>
      </w:tblPr>
      <w:tblGrid>
        <w:gridCol w:w="3280"/>
        <w:gridCol w:w="1275"/>
        <w:gridCol w:w="1134"/>
        <w:gridCol w:w="1134"/>
        <w:gridCol w:w="1134"/>
        <w:gridCol w:w="1437"/>
      </w:tblGrid>
      <w:tr w:rsidR="000B65DE" w:rsidRPr="000B65DE" w:rsidTr="00D373D2">
        <w:trPr>
          <w:trHeight w:val="505"/>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both"/>
              <w:rPr>
                <w:rFonts w:ascii="Bookman Old Style" w:hAnsi="Bookman Old Style"/>
                <w:color w:val="000000"/>
                <w:sz w:val="22"/>
              </w:rPr>
            </w:pPr>
          </w:p>
        </w:tc>
        <w:tc>
          <w:tcPr>
            <w:tcW w:w="6114" w:type="dxa"/>
            <w:gridSpan w:val="5"/>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left="0"/>
              <w:jc w:val="center"/>
              <w:rPr>
                <w:rFonts w:ascii="Bookman Old Style" w:hAnsi="Bookman Old Style" w:cs="Arial"/>
                <w:b/>
                <w:bCs/>
                <w:color w:val="000000"/>
                <w:sz w:val="22"/>
                <w:lang w:val="es-CO" w:eastAsia="es-CO"/>
              </w:rPr>
            </w:pPr>
            <w:r w:rsidRPr="000B65DE">
              <w:rPr>
                <w:rFonts w:ascii="Bookman Old Style" w:hAnsi="Bookman Old Style"/>
                <w:b/>
                <w:bCs/>
                <w:color w:val="000000"/>
                <w:sz w:val="22"/>
                <w:lang w:val="es-CO" w:eastAsia="es-CO"/>
              </w:rPr>
              <w:t>DEMANDA POR TIPO DE USUARIO POR AÑO</w:t>
            </w:r>
          </w:p>
          <w:p w:rsidR="000B65DE" w:rsidRPr="000B65DE" w:rsidRDefault="000B65DE" w:rsidP="000B65DE">
            <w:pPr>
              <w:ind w:left="0"/>
              <w:jc w:val="center"/>
              <w:rPr>
                <w:rFonts w:ascii="Bookman Old Style" w:hAnsi="Bookman Old Style"/>
                <w:color w:val="000000"/>
                <w:sz w:val="22"/>
              </w:rPr>
            </w:pPr>
            <w:r w:rsidRPr="000B65DE">
              <w:rPr>
                <w:rFonts w:ascii="Bookman Old Style" w:hAnsi="Bookman Old Style"/>
                <w:b/>
                <w:bCs/>
                <w:color w:val="000000"/>
                <w:sz w:val="22"/>
                <w:lang w:val="es-CO" w:eastAsia="es-CO"/>
              </w:rPr>
              <w:t>(metros cúbicos)</w:t>
            </w:r>
          </w:p>
        </w:tc>
      </w:tr>
      <w:tr w:rsidR="000B65DE" w:rsidRPr="000B65DE" w:rsidTr="00D373D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both"/>
              <w:rPr>
                <w:rFonts w:ascii="Bookman Old Style" w:hAnsi="Bookman Old Style"/>
                <w:b/>
                <w:color w:val="000000"/>
                <w:sz w:val="22"/>
              </w:rPr>
            </w:pPr>
            <w:r w:rsidRPr="000B65DE">
              <w:rPr>
                <w:rFonts w:ascii="Bookman Old Style" w:hAnsi="Bookman Old Style"/>
                <w:b/>
                <w:color w:val="000000"/>
                <w:sz w:val="22"/>
                <w:lang w:val="es-CO" w:eastAsia="es-CO"/>
              </w:rPr>
              <w:t>Red Primaria</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437"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r>
      <w:tr w:rsidR="000B65DE" w:rsidRPr="000B65DE" w:rsidTr="00D373D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right"/>
              <w:rPr>
                <w:rFonts w:ascii="Bookman Old Style" w:hAnsi="Bookman Old Style"/>
                <w:color w:val="000000"/>
                <w:sz w:val="22"/>
              </w:rPr>
            </w:pPr>
            <w:r w:rsidRPr="000B65DE">
              <w:rPr>
                <w:rFonts w:ascii="Bookman Old Style" w:hAnsi="Bookman Old Style"/>
                <w:color w:val="000000"/>
                <w:sz w:val="22"/>
              </w:rPr>
              <w:t>Residencial</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437"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r>
      <w:tr w:rsidR="000B65DE" w:rsidRPr="000B65DE" w:rsidTr="00D373D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right"/>
              <w:rPr>
                <w:rFonts w:ascii="Bookman Old Style" w:hAnsi="Bookman Old Style"/>
                <w:color w:val="000000"/>
                <w:sz w:val="22"/>
              </w:rPr>
            </w:pPr>
            <w:r w:rsidRPr="000B65DE">
              <w:rPr>
                <w:rFonts w:ascii="Bookman Old Style" w:hAnsi="Bookman Old Style"/>
                <w:color w:val="000000"/>
                <w:sz w:val="22"/>
              </w:rPr>
              <w:t>Comercial</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437"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r>
      <w:tr w:rsidR="000B65DE" w:rsidRPr="000B65DE" w:rsidTr="00D373D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right"/>
              <w:rPr>
                <w:rFonts w:ascii="Bookman Old Style" w:hAnsi="Bookman Old Style"/>
                <w:color w:val="000000"/>
                <w:sz w:val="22"/>
              </w:rPr>
            </w:pPr>
            <w:r w:rsidRPr="000B65DE">
              <w:rPr>
                <w:rFonts w:ascii="Bookman Old Style" w:hAnsi="Bookman Old Style"/>
                <w:color w:val="000000"/>
                <w:sz w:val="22"/>
              </w:rPr>
              <w:t>Industrial</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437"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r>
      <w:tr w:rsidR="000B65DE" w:rsidRPr="000B65DE" w:rsidTr="00D373D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right"/>
              <w:rPr>
                <w:rFonts w:ascii="Bookman Old Style" w:hAnsi="Bookman Old Style"/>
                <w:color w:val="000000"/>
                <w:sz w:val="22"/>
              </w:rPr>
            </w:pPr>
            <w:r w:rsidRPr="000B65DE">
              <w:rPr>
                <w:rFonts w:ascii="Bookman Old Style" w:hAnsi="Bookman Old Style"/>
                <w:color w:val="000000"/>
                <w:sz w:val="22"/>
              </w:rPr>
              <w:t>GNCV</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c>
          <w:tcPr>
            <w:tcW w:w="1437"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rPr>
                <w:rFonts w:ascii="Bookman Old Style" w:hAnsi="Bookman Old Style"/>
                <w:color w:val="000000"/>
                <w:sz w:val="22"/>
              </w:rPr>
            </w:pPr>
          </w:p>
        </w:tc>
      </w:tr>
      <w:tr w:rsidR="000B65DE" w:rsidRPr="000B65DE" w:rsidTr="00D373D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right"/>
              <w:rPr>
                <w:rFonts w:ascii="Bookman Old Style" w:hAnsi="Bookman Old Style"/>
                <w:color w:val="000000"/>
                <w:sz w:val="22"/>
              </w:rPr>
            </w:pPr>
            <w:r w:rsidRPr="000B65DE">
              <w:rPr>
                <w:rFonts w:ascii="Bookman Old Style" w:hAnsi="Bookman Old Style"/>
                <w:color w:val="000000"/>
                <w:sz w:val="22"/>
              </w:rPr>
              <w:t>Otros</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437"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r>
      <w:tr w:rsidR="000B65DE" w:rsidRPr="000B65DE" w:rsidTr="00D373D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rPr>
                <w:rFonts w:ascii="Bookman Old Style" w:hAnsi="Bookman Old Style"/>
                <w:b/>
                <w:color w:val="000000"/>
                <w:sz w:val="22"/>
              </w:rPr>
            </w:pPr>
            <w:r w:rsidRPr="000B65DE">
              <w:rPr>
                <w:rFonts w:ascii="Bookman Old Style" w:hAnsi="Bookman Old Style"/>
                <w:b/>
                <w:color w:val="000000"/>
                <w:sz w:val="22"/>
                <w:lang w:val="es-CO" w:eastAsia="es-CO"/>
              </w:rPr>
              <w:t>Red Secundaria</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437"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r>
      <w:tr w:rsidR="000B65DE" w:rsidRPr="000B65DE" w:rsidTr="00D373D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right"/>
              <w:rPr>
                <w:rFonts w:ascii="Bookman Old Style" w:hAnsi="Bookman Old Style"/>
                <w:color w:val="000000"/>
                <w:sz w:val="22"/>
              </w:rPr>
            </w:pPr>
            <w:r w:rsidRPr="000B65DE">
              <w:rPr>
                <w:rFonts w:ascii="Bookman Old Style" w:hAnsi="Bookman Old Style"/>
                <w:color w:val="000000"/>
                <w:sz w:val="22"/>
              </w:rPr>
              <w:t>Residencial</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437"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r>
      <w:tr w:rsidR="000B65DE" w:rsidRPr="000B65DE" w:rsidTr="00D373D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right"/>
              <w:rPr>
                <w:rFonts w:ascii="Bookman Old Style" w:hAnsi="Bookman Old Style"/>
                <w:color w:val="000000"/>
                <w:sz w:val="22"/>
              </w:rPr>
            </w:pPr>
            <w:r w:rsidRPr="000B65DE">
              <w:rPr>
                <w:rFonts w:ascii="Bookman Old Style" w:hAnsi="Bookman Old Style"/>
                <w:color w:val="000000"/>
                <w:sz w:val="22"/>
              </w:rPr>
              <w:t>Comercial</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437"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r>
      <w:tr w:rsidR="000B65DE" w:rsidRPr="000B65DE" w:rsidTr="00D373D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right"/>
              <w:rPr>
                <w:rFonts w:ascii="Bookman Old Style" w:hAnsi="Bookman Old Style"/>
                <w:color w:val="000000"/>
                <w:sz w:val="22"/>
              </w:rPr>
            </w:pPr>
            <w:r w:rsidRPr="000B65DE">
              <w:rPr>
                <w:rFonts w:ascii="Bookman Old Style" w:hAnsi="Bookman Old Style"/>
                <w:color w:val="000000"/>
                <w:sz w:val="22"/>
              </w:rPr>
              <w:t>Industrial</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437"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r>
      <w:tr w:rsidR="000B65DE" w:rsidRPr="000B65DE" w:rsidTr="00D373D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right"/>
              <w:rPr>
                <w:rFonts w:ascii="Bookman Old Style" w:hAnsi="Bookman Old Style"/>
                <w:color w:val="000000"/>
                <w:sz w:val="22"/>
              </w:rPr>
            </w:pPr>
            <w:r w:rsidRPr="000B65DE">
              <w:rPr>
                <w:rFonts w:ascii="Bookman Old Style" w:hAnsi="Bookman Old Style"/>
                <w:color w:val="000000"/>
                <w:sz w:val="22"/>
              </w:rPr>
              <w:t>GNCV</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437"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r>
      <w:tr w:rsidR="000B65DE" w:rsidRPr="000B65DE" w:rsidTr="00D373D2">
        <w:trPr>
          <w:trHeight w:val="330"/>
          <w:jc w:val="center"/>
        </w:trPr>
        <w:tc>
          <w:tcPr>
            <w:tcW w:w="3280" w:type="dxa"/>
            <w:tcBorders>
              <w:top w:val="single" w:sz="8" w:space="0" w:color="auto"/>
              <w:left w:val="single" w:sz="8" w:space="0" w:color="auto"/>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RDefault="000B65DE" w:rsidP="000B65DE">
            <w:pPr>
              <w:ind w:hanging="477"/>
              <w:jc w:val="right"/>
              <w:rPr>
                <w:rFonts w:ascii="Bookman Old Style" w:hAnsi="Bookman Old Style"/>
                <w:color w:val="000000"/>
                <w:sz w:val="22"/>
              </w:rPr>
            </w:pPr>
            <w:r w:rsidRPr="000B65DE">
              <w:rPr>
                <w:rFonts w:ascii="Bookman Old Style" w:hAnsi="Bookman Old Style"/>
                <w:color w:val="000000"/>
                <w:sz w:val="22"/>
              </w:rPr>
              <w:t>Otros</w:t>
            </w:r>
          </w:p>
        </w:tc>
        <w:tc>
          <w:tcPr>
            <w:tcW w:w="1275"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134"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c>
          <w:tcPr>
            <w:tcW w:w="1437" w:type="dxa"/>
            <w:tcBorders>
              <w:top w:val="single" w:sz="8" w:space="0" w:color="auto"/>
              <w:left w:val="nil"/>
              <w:bottom w:val="single" w:sz="8" w:space="0" w:color="auto"/>
              <w:right w:val="single" w:sz="8" w:space="0" w:color="auto"/>
            </w:tcBorders>
            <w:shd w:val="clear" w:color="000000" w:fill="FFFFFF"/>
            <w:noWrap/>
            <w:tcMar>
              <w:top w:w="19" w:type="dxa"/>
              <w:left w:w="19" w:type="dxa"/>
              <w:bottom w:w="0" w:type="dxa"/>
              <w:right w:w="19" w:type="dxa"/>
            </w:tcMar>
            <w:vAlign w:val="bottom"/>
          </w:tcPr>
          <w:p w:rsidR="000B65DE" w:rsidRPr="000B65DE" w:rsidDel="00C07603" w:rsidRDefault="000B65DE" w:rsidP="000B65DE">
            <w:pPr>
              <w:rPr>
                <w:rFonts w:ascii="Bookman Old Style" w:hAnsi="Bookman Old Style"/>
                <w:color w:val="000000"/>
                <w:sz w:val="22"/>
              </w:rPr>
            </w:pPr>
          </w:p>
        </w:tc>
      </w:tr>
    </w:tbl>
    <w:p w:rsidR="009E6EA8" w:rsidRDefault="009E6EA8" w:rsidP="009E6EA8">
      <w:pPr>
        <w:ind w:left="720"/>
        <w:rPr>
          <w:rFonts w:ascii="Bookman Old Style" w:hAnsi="Bookman Old Style"/>
          <w:sz w:val="20"/>
          <w:szCs w:val="20"/>
          <w:lang w:val="es-CO"/>
        </w:rPr>
      </w:pPr>
    </w:p>
    <w:p w:rsidR="00D373D2" w:rsidRPr="00D373D2" w:rsidRDefault="00D373D2" w:rsidP="009E6EA8">
      <w:pPr>
        <w:ind w:left="720"/>
        <w:rPr>
          <w:rFonts w:ascii="Bookman Old Style" w:hAnsi="Bookman Old Style"/>
          <w:sz w:val="20"/>
          <w:szCs w:val="20"/>
          <w:lang w:val="es-CO"/>
        </w:rPr>
      </w:pPr>
      <w:r w:rsidRPr="00D373D2">
        <w:rPr>
          <w:rFonts w:ascii="Bookman Old Style" w:hAnsi="Bookman Old Style"/>
          <w:sz w:val="20"/>
          <w:szCs w:val="20"/>
          <w:lang w:val="es-CO"/>
        </w:rPr>
        <w:t xml:space="preserve">Nota: </w:t>
      </w:r>
      <w:r w:rsidR="003613BB">
        <w:rPr>
          <w:rFonts w:ascii="Bookman Old Style" w:hAnsi="Bookman Old Style"/>
          <w:sz w:val="20"/>
          <w:szCs w:val="20"/>
          <w:lang w:val="es-ES_tradnl"/>
        </w:rPr>
        <w:t>El volumen s</w:t>
      </w:r>
      <w:r w:rsidRPr="00D373D2">
        <w:rPr>
          <w:rFonts w:ascii="Bookman Old Style" w:hAnsi="Bookman Old Style"/>
          <w:sz w:val="20"/>
          <w:szCs w:val="20"/>
          <w:lang w:val="es-ES_tradnl"/>
        </w:rPr>
        <w:t>e calcula conforme a la Resolución 127 de 2013</w:t>
      </w:r>
    </w:p>
    <w:p w:rsidR="00D373D2" w:rsidRDefault="00D373D2" w:rsidP="009E6EA8">
      <w:pPr>
        <w:ind w:left="720"/>
        <w:rPr>
          <w:rFonts w:ascii="Bookman Old Style" w:hAnsi="Bookman Old Style"/>
          <w:sz w:val="20"/>
          <w:szCs w:val="20"/>
          <w:lang w:val="es-CO"/>
        </w:rPr>
      </w:pPr>
    </w:p>
    <w:p w:rsidR="00D373D2" w:rsidRDefault="00D373D2" w:rsidP="009E6EA8">
      <w:pPr>
        <w:ind w:left="720"/>
        <w:rPr>
          <w:rFonts w:ascii="Bookman Old Style" w:hAnsi="Bookman Old Style"/>
          <w:sz w:val="20"/>
          <w:szCs w:val="20"/>
          <w:lang w:val="es-CO"/>
        </w:rPr>
      </w:pPr>
    </w:p>
    <w:p w:rsidR="0036751B" w:rsidRDefault="0036751B" w:rsidP="009E6EA8">
      <w:pPr>
        <w:ind w:left="720"/>
        <w:rPr>
          <w:rFonts w:ascii="Bookman Old Style" w:hAnsi="Bookman Old Style"/>
          <w:sz w:val="20"/>
          <w:szCs w:val="20"/>
          <w:lang w:val="es-CO"/>
        </w:rPr>
      </w:pPr>
    </w:p>
    <w:p w:rsidR="0036751B" w:rsidRPr="000B65DE" w:rsidRDefault="0036751B" w:rsidP="009E6EA8">
      <w:pPr>
        <w:ind w:left="720"/>
        <w:rPr>
          <w:rFonts w:ascii="Bookman Old Style" w:hAnsi="Bookman Old Style"/>
          <w:sz w:val="20"/>
          <w:szCs w:val="20"/>
          <w:lang w:val="es-CO"/>
        </w:rPr>
      </w:pPr>
    </w:p>
    <w:tbl>
      <w:tblPr>
        <w:tblW w:w="9659" w:type="dxa"/>
        <w:jc w:val="right"/>
        <w:tblLayout w:type="fixed"/>
        <w:tblCellMar>
          <w:left w:w="70" w:type="dxa"/>
          <w:right w:w="70" w:type="dxa"/>
        </w:tblCellMar>
        <w:tblLook w:val="04A0" w:firstRow="1" w:lastRow="0" w:firstColumn="1" w:lastColumn="0" w:noHBand="0" w:noVBand="1"/>
      </w:tblPr>
      <w:tblGrid>
        <w:gridCol w:w="4875"/>
        <w:gridCol w:w="89"/>
        <w:gridCol w:w="4606"/>
        <w:gridCol w:w="89"/>
      </w:tblGrid>
      <w:tr w:rsidR="009E6EA8" w:rsidRPr="000B65DE" w:rsidTr="00B76CE3">
        <w:trPr>
          <w:gridAfter w:val="1"/>
          <w:wAfter w:w="89" w:type="dxa"/>
          <w:jc w:val="right"/>
        </w:trPr>
        <w:tc>
          <w:tcPr>
            <w:tcW w:w="4875" w:type="dxa"/>
            <w:hideMark/>
          </w:tcPr>
          <w:p w:rsidR="009E6EA8" w:rsidRPr="000B65DE" w:rsidRDefault="009E6EA8" w:rsidP="00B76CE3">
            <w:pPr>
              <w:ind w:left="0"/>
              <w:jc w:val="center"/>
              <w:rPr>
                <w:rFonts w:ascii="Bookman Old Style" w:hAnsi="Bookman Old Style" w:cs="Arial"/>
                <w:b/>
                <w:spacing w:val="-3"/>
                <w:lang w:val="es-ES_tradnl"/>
              </w:rPr>
            </w:pPr>
            <w:r>
              <w:rPr>
                <w:rFonts w:ascii="Bookman Old Style" w:hAnsi="Bookman Old Style" w:cs="Arial"/>
                <w:b/>
                <w:color w:val="000000"/>
              </w:rPr>
              <w:t>ORLANDO CABRALES SEGOVIA</w:t>
            </w:r>
          </w:p>
        </w:tc>
        <w:tc>
          <w:tcPr>
            <w:tcW w:w="4695" w:type="dxa"/>
            <w:gridSpan w:val="2"/>
            <w:hideMark/>
          </w:tcPr>
          <w:p w:rsidR="009E6EA8" w:rsidRPr="000B65DE" w:rsidRDefault="009E6EA8" w:rsidP="00B76CE3">
            <w:pPr>
              <w:ind w:left="161" w:right="567"/>
              <w:jc w:val="center"/>
              <w:rPr>
                <w:rFonts w:ascii="Bookman Old Style" w:hAnsi="Bookman Old Style" w:cs="Arial"/>
                <w:b/>
                <w:spacing w:val="-3"/>
                <w:lang w:val="es-ES_tradnl"/>
              </w:rPr>
            </w:pPr>
            <w:r w:rsidRPr="000B65DE">
              <w:rPr>
                <w:rFonts w:ascii="Bookman Old Style" w:hAnsi="Bookman Old Style" w:cs="Arial"/>
                <w:b/>
                <w:spacing w:val="-3"/>
                <w:lang w:val="es-ES_tradnl"/>
              </w:rPr>
              <w:t>GERMÁN CASTRO FERREIRA</w:t>
            </w:r>
          </w:p>
        </w:tc>
      </w:tr>
      <w:tr w:rsidR="009E6EA8" w:rsidRPr="000B65DE" w:rsidTr="00B76CE3">
        <w:trPr>
          <w:jc w:val="right"/>
        </w:trPr>
        <w:tc>
          <w:tcPr>
            <w:tcW w:w="4964" w:type="dxa"/>
            <w:gridSpan w:val="2"/>
            <w:hideMark/>
          </w:tcPr>
          <w:tbl>
            <w:tblPr>
              <w:tblW w:w="4891" w:type="dxa"/>
              <w:tblLayout w:type="fixed"/>
              <w:tblCellMar>
                <w:left w:w="0" w:type="dxa"/>
                <w:right w:w="0" w:type="dxa"/>
              </w:tblCellMar>
              <w:tblLook w:val="04A0" w:firstRow="1" w:lastRow="0" w:firstColumn="1" w:lastColumn="0" w:noHBand="0" w:noVBand="1"/>
            </w:tblPr>
            <w:tblGrid>
              <w:gridCol w:w="4891"/>
            </w:tblGrid>
            <w:tr w:rsidR="009E6EA8" w:rsidTr="00B76CE3">
              <w:tc>
                <w:tcPr>
                  <w:tcW w:w="4891" w:type="dxa"/>
                  <w:hideMark/>
                </w:tcPr>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Viceministro de Energía</w:t>
                  </w:r>
                </w:p>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Delegado del Ministro de Minas y Energía</w:t>
                  </w:r>
                </w:p>
              </w:tc>
            </w:tr>
            <w:tr w:rsidR="009E6EA8" w:rsidTr="00B76CE3">
              <w:tc>
                <w:tcPr>
                  <w:tcW w:w="4891" w:type="dxa"/>
                  <w:hideMark/>
                </w:tcPr>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Presidente</w:t>
                  </w:r>
                </w:p>
              </w:tc>
            </w:tr>
          </w:tbl>
          <w:p w:rsidR="009E6EA8" w:rsidRPr="000B65DE" w:rsidRDefault="009E6EA8" w:rsidP="00B76CE3">
            <w:pPr>
              <w:ind w:left="0"/>
              <w:jc w:val="center"/>
              <w:rPr>
                <w:rFonts w:ascii="Bookman Old Style" w:hAnsi="Bookman Old Style" w:cs="Arial"/>
                <w:spacing w:val="-3"/>
                <w:lang w:val="es-ES_tradnl"/>
              </w:rPr>
            </w:pPr>
          </w:p>
        </w:tc>
        <w:tc>
          <w:tcPr>
            <w:tcW w:w="4695" w:type="dxa"/>
            <w:gridSpan w:val="2"/>
            <w:hideMark/>
          </w:tcPr>
          <w:p w:rsidR="009E6EA8" w:rsidRPr="000B65DE" w:rsidRDefault="009E6EA8" w:rsidP="00B76CE3">
            <w:pPr>
              <w:jc w:val="center"/>
              <w:rPr>
                <w:rFonts w:ascii="Bookman Old Style" w:hAnsi="Bookman Old Style" w:cs="Arial"/>
                <w:spacing w:val="-3"/>
                <w:lang w:val="es-ES_tradnl"/>
              </w:rPr>
            </w:pPr>
            <w:r w:rsidRPr="000B65DE">
              <w:rPr>
                <w:rFonts w:ascii="Bookman Old Style" w:hAnsi="Bookman Old Style" w:cs="Arial"/>
                <w:spacing w:val="-3"/>
                <w:lang w:val="es-ES_tradnl"/>
              </w:rPr>
              <w:t>Director Ejecutivo</w:t>
            </w:r>
          </w:p>
        </w:tc>
      </w:tr>
    </w:tbl>
    <w:p w:rsidR="009E6EA8" w:rsidRDefault="009E6EA8" w:rsidP="009E6EA8">
      <w:pPr>
        <w:ind w:left="720"/>
        <w:rPr>
          <w:rFonts w:ascii="Bookman Old Style" w:hAnsi="Bookman Old Style"/>
          <w:sz w:val="20"/>
          <w:szCs w:val="20"/>
          <w:lang w:val="es-CO"/>
        </w:rPr>
      </w:pPr>
    </w:p>
    <w:p w:rsidR="009E6EA8" w:rsidRDefault="009E6EA8">
      <w:pPr>
        <w:ind w:left="0"/>
        <w:rPr>
          <w:rFonts w:ascii="Bookman Old Style" w:hAnsi="Bookman Old Style"/>
          <w:sz w:val="20"/>
          <w:szCs w:val="20"/>
          <w:lang w:val="es-CO"/>
        </w:rPr>
      </w:pPr>
      <w:r>
        <w:rPr>
          <w:rFonts w:ascii="Bookman Old Style" w:hAnsi="Bookman Old Style"/>
          <w:sz w:val="20"/>
          <w:szCs w:val="20"/>
          <w:lang w:val="es-CO"/>
        </w:rPr>
        <w:br w:type="page"/>
      </w:r>
    </w:p>
    <w:p w:rsidR="000B65DE" w:rsidRPr="000B65DE" w:rsidRDefault="000B65DE" w:rsidP="009E6EA8">
      <w:pPr>
        <w:ind w:left="720"/>
        <w:rPr>
          <w:rFonts w:ascii="Bookman Old Style" w:hAnsi="Bookman Old Style"/>
          <w:sz w:val="20"/>
          <w:szCs w:val="20"/>
          <w:lang w:val="es-CO"/>
        </w:rPr>
      </w:pPr>
    </w:p>
    <w:p w:rsidR="000B65DE" w:rsidRPr="000B65DE" w:rsidRDefault="000B65DE" w:rsidP="000B65DE">
      <w:pPr>
        <w:ind w:left="720"/>
        <w:rPr>
          <w:rFonts w:ascii="Bookman Old Style" w:hAnsi="Bookman Old Style"/>
          <w:sz w:val="20"/>
          <w:szCs w:val="20"/>
          <w:lang w:val="es-CO"/>
        </w:rPr>
      </w:pPr>
    </w:p>
    <w:p w:rsidR="000B65DE" w:rsidRPr="000B65DE" w:rsidRDefault="000B65DE" w:rsidP="00E528F6">
      <w:pPr>
        <w:numPr>
          <w:ilvl w:val="0"/>
          <w:numId w:val="41"/>
        </w:numPr>
        <w:jc w:val="center"/>
        <w:outlineLvl w:val="0"/>
        <w:rPr>
          <w:rFonts w:ascii="Bookman Old Style" w:hAnsi="Bookman Old Style"/>
          <w:b/>
          <w:lang w:val="es-ES_tradnl"/>
        </w:rPr>
      </w:pPr>
      <w:bookmarkStart w:id="58" w:name="_Ref332874333"/>
    </w:p>
    <w:bookmarkEnd w:id="58"/>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center"/>
        <w:outlineLvl w:val="0"/>
        <w:rPr>
          <w:rFonts w:ascii="Bookman Old Style" w:hAnsi="Bookman Old Style"/>
          <w:b/>
          <w:lang w:val="es-ES_tradnl"/>
        </w:rPr>
      </w:pPr>
      <w:r w:rsidRPr="000B65DE">
        <w:rPr>
          <w:rFonts w:ascii="Bookman Old Style" w:hAnsi="Bookman Old Style"/>
          <w:b/>
          <w:lang w:val="es-ES_tradnl"/>
        </w:rPr>
        <w:t>CONVERSIÓN DE CARGOS DE DISTRIBUCIÓN DE GAS NATURAL Y CARGOS DE DISTRIBUCIÓN DE GLP</w:t>
      </w:r>
    </w:p>
    <w:p w:rsidR="000B65DE" w:rsidRPr="000B65DE" w:rsidRDefault="000B65DE" w:rsidP="000B65DE">
      <w:pPr>
        <w:ind w:left="0"/>
        <w:jc w:val="center"/>
        <w:rPr>
          <w:rFonts w:ascii="Bookman Old Style" w:hAnsi="Bookman Old Style"/>
          <w:b/>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 xml:space="preserve">La metodología para establecer los factores de equivalencia energética, </w:t>
      </w:r>
      <w:r w:rsidRPr="000B65DE">
        <w:rPr>
          <w:rFonts w:ascii="Bookman Old Style" w:hAnsi="Bookman Old Style"/>
          <w:i/>
          <w:lang w:val="es-ES_tradnl"/>
        </w:rPr>
        <w:t>f</w:t>
      </w:r>
      <w:r w:rsidRPr="000B65DE">
        <w:rPr>
          <w:rFonts w:ascii="Bookman Old Style" w:hAnsi="Bookman Old Style"/>
          <w:i/>
          <w:vertAlign w:val="subscript"/>
          <w:lang w:val="es-ES_tradnl"/>
        </w:rPr>
        <w:t xml:space="preserve">e, </w:t>
      </w:r>
      <w:r w:rsidRPr="000B65DE">
        <w:rPr>
          <w:rFonts w:ascii="Bookman Old Style" w:hAnsi="Bookman Old Style"/>
          <w:lang w:val="es-ES_tradnl"/>
        </w:rPr>
        <w:t>para hacer correspondientes los Cargos de Distribución de gas natural con los Cargos de Distribución de GLP por redes de tubería, expresados en $/m</w:t>
      </w:r>
      <w:r w:rsidRPr="000B65DE">
        <w:rPr>
          <w:rFonts w:ascii="Bookman Old Style" w:hAnsi="Bookman Old Style"/>
          <w:vertAlign w:val="superscript"/>
          <w:lang w:val="es-ES_tradnl"/>
        </w:rPr>
        <w:t>3</w:t>
      </w:r>
      <w:r w:rsidRPr="000B65DE">
        <w:rPr>
          <w:rFonts w:ascii="Bookman Old Style" w:hAnsi="Bookman Old Style"/>
          <w:lang w:val="es-ES_tradnl"/>
        </w:rPr>
        <w:t xml:space="preserve">, requerirá los siguientes procedimientos: </w:t>
      </w:r>
    </w:p>
    <w:p w:rsidR="000B65DE" w:rsidRPr="000B65DE" w:rsidRDefault="000B65DE" w:rsidP="000B65DE">
      <w:pPr>
        <w:ind w:left="0"/>
        <w:jc w:val="both"/>
        <w:rPr>
          <w:rFonts w:ascii="Bookman Old Style" w:hAnsi="Bookman Old Style"/>
          <w:b/>
          <w:lang w:val="es-ES_tradnl"/>
        </w:rPr>
      </w:pPr>
    </w:p>
    <w:p w:rsidR="000B65DE" w:rsidRPr="000B65DE" w:rsidRDefault="000B65DE" w:rsidP="000B65DE">
      <w:pPr>
        <w:ind w:left="709" w:hanging="709"/>
        <w:jc w:val="both"/>
        <w:rPr>
          <w:rFonts w:ascii="Bookman Old Style" w:hAnsi="Bookman Old Style"/>
          <w:b/>
          <w:color w:val="000000"/>
        </w:rPr>
      </w:pPr>
      <w:r w:rsidRPr="000B65DE">
        <w:rPr>
          <w:rFonts w:ascii="Bookman Old Style" w:hAnsi="Bookman Old Style"/>
          <w:b/>
          <w:color w:val="000000"/>
        </w:rPr>
        <w:t>a)</w:t>
      </w:r>
      <w:r w:rsidRPr="000B65DE">
        <w:rPr>
          <w:rFonts w:ascii="Bookman Old Style" w:hAnsi="Bookman Old Style"/>
          <w:b/>
          <w:color w:val="000000"/>
        </w:rPr>
        <w:tab/>
        <w:t>Procedimiento para la Conversión de Cargos de Distribución de GLP a Cargos de Distribución de Gas Natural.</w:t>
      </w:r>
    </w:p>
    <w:p w:rsidR="000B65DE" w:rsidRPr="000B65DE" w:rsidRDefault="000B65DE" w:rsidP="000B65DE">
      <w:pPr>
        <w:ind w:left="0"/>
        <w:jc w:val="both"/>
        <w:rPr>
          <w:rFonts w:ascii="Bookman Old Style" w:hAnsi="Bookman Old Style"/>
          <w:color w:val="000000"/>
        </w:rPr>
      </w:pPr>
    </w:p>
    <w:p w:rsidR="000B65DE" w:rsidRPr="000B65DE" w:rsidRDefault="000B65DE" w:rsidP="000B65DE">
      <w:pPr>
        <w:ind w:left="0"/>
        <w:jc w:val="both"/>
        <w:rPr>
          <w:rFonts w:ascii="Bookman Old Style" w:hAnsi="Bookman Old Style"/>
          <w:color w:val="000000"/>
        </w:rPr>
      </w:pPr>
      <w:r w:rsidRPr="000B65DE">
        <w:rPr>
          <w:rFonts w:ascii="Bookman Old Style" w:hAnsi="Bookman Old Style"/>
          <w:color w:val="000000"/>
        </w:rPr>
        <w:t>Para efectuar la conversión de Cargos de Distribución de GLP a Cargos equivalentes de distribución de gas natural se procederá como se indica a continuación:</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709" w:hanging="709"/>
        <w:jc w:val="both"/>
        <w:rPr>
          <w:rFonts w:ascii="Bookman Old Style" w:hAnsi="Bookman Old Style"/>
          <w:lang w:val="es-ES_tradnl"/>
        </w:rPr>
      </w:pPr>
      <w:r w:rsidRPr="000B65DE">
        <w:rPr>
          <w:rFonts w:ascii="Bookman Old Style" w:hAnsi="Bookman Old Style"/>
          <w:lang w:val="es-ES_tradnl"/>
        </w:rPr>
        <w:t>1.</w:t>
      </w:r>
      <w:r w:rsidRPr="000B65DE">
        <w:rPr>
          <w:rFonts w:ascii="Bookman Old Style" w:hAnsi="Bookman Old Style"/>
          <w:lang w:val="es-ES_tradnl"/>
        </w:rPr>
        <w:tab/>
        <w:t xml:space="preserve">La empresa que distribuye GLP y proyecta distribuir gas natural, deberá informar a la CREG, además de su intención de cambio, la localización de su Estación Reguladora de Puerta de Ciudad y la fuente de donde se venía abasteciendo del GLP. </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709" w:hanging="709"/>
        <w:jc w:val="both"/>
        <w:rPr>
          <w:rFonts w:ascii="Bookman Old Style" w:hAnsi="Bookman Old Style"/>
          <w:lang w:val="es-ES_tradnl"/>
        </w:rPr>
      </w:pPr>
      <w:r w:rsidRPr="000B65DE">
        <w:rPr>
          <w:rFonts w:ascii="Bookman Old Style" w:hAnsi="Bookman Old Style"/>
          <w:lang w:val="es-ES_tradnl"/>
        </w:rPr>
        <w:t>2.</w:t>
      </w:r>
      <w:r w:rsidRPr="000B65DE">
        <w:rPr>
          <w:rFonts w:ascii="Bookman Old Style" w:hAnsi="Bookman Old Style"/>
          <w:lang w:val="es-ES_tradnl"/>
        </w:rPr>
        <w:tab/>
        <w:t>Para efectos de determinar el poder calorífico del GLP que estaba distribuyendo, se tomará el valor de poder calorífico indicado en la solicitud tarifaria, con base en el cual se estimaron demandas y se aprobó el Cargo de Distribución correspondiente.</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709" w:hanging="709"/>
        <w:jc w:val="both"/>
        <w:rPr>
          <w:rFonts w:ascii="Bookman Old Style" w:hAnsi="Bookman Old Style"/>
          <w:lang w:val="es-ES_tradnl"/>
        </w:rPr>
      </w:pPr>
      <w:r w:rsidRPr="000B65DE">
        <w:rPr>
          <w:rFonts w:ascii="Bookman Old Style" w:hAnsi="Bookman Old Style"/>
          <w:lang w:val="es-ES_tradnl"/>
        </w:rPr>
        <w:t>3.</w:t>
      </w:r>
      <w:r w:rsidRPr="000B65DE">
        <w:rPr>
          <w:rFonts w:ascii="Bookman Old Style" w:hAnsi="Bookman Old Style"/>
          <w:lang w:val="es-ES_tradnl"/>
        </w:rPr>
        <w:tab/>
        <w:t>Con base en la información obtenida de los transportadores de gas natural, el Distribuidor establecerá el valor promedio del poder calorífico del gas entregado en el Punto de Entrada al Sistema de Transporte más cercano aguas arriba de la nueva Estación Reguladora de Puerta de Ciudad.</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709"/>
        <w:jc w:val="both"/>
        <w:rPr>
          <w:rFonts w:ascii="Bookman Old Style" w:hAnsi="Bookman Old Style"/>
          <w:lang w:val="es-ES_tradnl"/>
        </w:rPr>
      </w:pPr>
      <w:r w:rsidRPr="000B65DE">
        <w:rPr>
          <w:rFonts w:ascii="Bookman Old Style" w:hAnsi="Bookman Old Style"/>
          <w:lang w:val="es-ES_tradnl"/>
        </w:rPr>
        <w:t>Los transportadores de gas natural deberán tener a disposición de los distribuidores de gas combustible por redes de tubería, cuando éstos lo soliciten, la información de que trata el numeral 5.4 del Anexo General de la Resolución CREG-071 de 1999, para períodos mínimos de 12 meses.</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709" w:hanging="709"/>
        <w:jc w:val="both"/>
        <w:rPr>
          <w:rFonts w:ascii="Bookman Old Style" w:hAnsi="Bookman Old Style"/>
          <w:lang w:val="es-ES_tradnl"/>
        </w:rPr>
      </w:pPr>
      <w:r w:rsidRPr="000B65DE">
        <w:rPr>
          <w:rFonts w:ascii="Bookman Old Style" w:hAnsi="Bookman Old Style"/>
          <w:lang w:val="es-ES_tradnl"/>
        </w:rPr>
        <w:t>4.</w:t>
      </w:r>
      <w:r w:rsidRPr="000B65DE">
        <w:rPr>
          <w:rFonts w:ascii="Bookman Old Style" w:hAnsi="Bookman Old Style"/>
          <w:lang w:val="es-ES_tradnl"/>
        </w:rPr>
        <w:tab/>
        <w:t xml:space="preserve">Con base en los poderes caloríficos del GLP y del gas natural, el Distribuidor determinará el factor de equivalencia energética </w:t>
      </w:r>
      <w:r w:rsidRPr="000B65DE">
        <w:rPr>
          <w:rFonts w:ascii="Bookman Old Style" w:hAnsi="Bookman Old Style"/>
          <w:i/>
          <w:lang w:val="es-ES_tradnl"/>
        </w:rPr>
        <w:t>f</w:t>
      </w:r>
      <w:r w:rsidRPr="000B65DE">
        <w:rPr>
          <w:rFonts w:ascii="Bookman Old Style" w:hAnsi="Bookman Old Style"/>
          <w:i/>
          <w:vertAlign w:val="subscript"/>
          <w:lang w:val="es-ES_tradnl"/>
        </w:rPr>
        <w:t>e</w:t>
      </w:r>
      <w:r w:rsidRPr="000B65DE">
        <w:rPr>
          <w:rFonts w:ascii="Bookman Old Style" w:hAnsi="Bookman Old Style"/>
          <w:lang w:val="es-ES_tradnl"/>
        </w:rPr>
        <w:t xml:space="preserve"> correspondiente y solicitará a la CREG la aprobación del nuevo </w:t>
      </w:r>
      <w:r w:rsidRPr="000B65DE">
        <w:rPr>
          <w:rFonts w:ascii="Bookman Old Style" w:hAnsi="Bookman Old Style"/>
          <w:i/>
          <w:lang w:val="es-ES_tradnl"/>
        </w:rPr>
        <w:t>D</w:t>
      </w:r>
      <w:r w:rsidRPr="000B65DE">
        <w:rPr>
          <w:rFonts w:ascii="Bookman Old Style" w:hAnsi="Bookman Old Style"/>
          <w:i/>
          <w:vertAlign w:val="subscript"/>
          <w:lang w:val="es-ES_tradnl"/>
        </w:rPr>
        <w:t>m</w:t>
      </w:r>
      <w:r w:rsidRPr="000B65DE">
        <w:rPr>
          <w:rFonts w:ascii="Bookman Old Style" w:hAnsi="Bookman Old Style"/>
          <w:lang w:val="es-ES_tradnl"/>
        </w:rPr>
        <w:t xml:space="preserve"> equivalente. La CREG, con base en la información reportada verificará los cálculos aportados por el Distribuidor solicitante para proceder a definir y aprobar el </w:t>
      </w:r>
      <w:r w:rsidRPr="000B65DE">
        <w:rPr>
          <w:rFonts w:ascii="Bookman Old Style" w:hAnsi="Bookman Old Style"/>
          <w:i/>
          <w:lang w:val="es-ES_tradnl"/>
        </w:rPr>
        <w:t>D</w:t>
      </w:r>
      <w:r w:rsidRPr="000B65DE">
        <w:rPr>
          <w:rFonts w:ascii="Bookman Old Style" w:hAnsi="Bookman Old Style"/>
          <w:i/>
          <w:vertAlign w:val="subscript"/>
          <w:lang w:val="es-ES_tradnl"/>
        </w:rPr>
        <w:t>m</w:t>
      </w:r>
      <w:r w:rsidRPr="000B65DE">
        <w:rPr>
          <w:rFonts w:ascii="Bookman Old Style" w:hAnsi="Bookman Old Style"/>
          <w:lang w:val="es-ES_tradnl"/>
        </w:rPr>
        <w:t xml:space="preserve"> convertido y equivalente.</w:t>
      </w:r>
    </w:p>
    <w:p w:rsidR="000B65DE" w:rsidRPr="000B65DE" w:rsidRDefault="000B65DE" w:rsidP="000B65DE">
      <w:pPr>
        <w:ind w:left="709" w:hanging="709"/>
        <w:jc w:val="both"/>
        <w:rPr>
          <w:rFonts w:ascii="Bookman Old Style" w:hAnsi="Bookman Old Style"/>
          <w:lang w:val="es-ES_tradnl"/>
        </w:rPr>
      </w:pPr>
    </w:p>
    <w:p w:rsidR="000B65DE" w:rsidRPr="000B65DE" w:rsidRDefault="000B65DE" w:rsidP="000B65DE">
      <w:pPr>
        <w:ind w:left="709" w:hanging="709"/>
        <w:jc w:val="both"/>
        <w:rPr>
          <w:rFonts w:ascii="Bookman Old Style" w:hAnsi="Bookman Old Style"/>
          <w:b/>
          <w:color w:val="000000"/>
        </w:rPr>
      </w:pPr>
      <w:r w:rsidRPr="000B65DE">
        <w:rPr>
          <w:rFonts w:ascii="Bookman Old Style" w:hAnsi="Bookman Old Style"/>
          <w:b/>
          <w:color w:val="000000"/>
        </w:rPr>
        <w:t>b)</w:t>
      </w:r>
      <w:r w:rsidRPr="000B65DE">
        <w:rPr>
          <w:rFonts w:ascii="Bookman Old Style" w:hAnsi="Bookman Old Style"/>
          <w:b/>
          <w:color w:val="000000"/>
        </w:rPr>
        <w:tab/>
        <w:t>Procedimiento para la Conversión de Cargos de Distribución de Gas Natural a Cargos de Distribución de GLP.</w:t>
      </w:r>
    </w:p>
    <w:p w:rsidR="000B65DE" w:rsidRPr="000B65DE" w:rsidRDefault="000B65DE" w:rsidP="000B65DE">
      <w:pPr>
        <w:ind w:left="0"/>
        <w:jc w:val="both"/>
        <w:rPr>
          <w:rFonts w:ascii="Bookman Old Style" w:hAnsi="Bookman Old Style"/>
          <w:color w:val="000000"/>
        </w:rPr>
      </w:pPr>
    </w:p>
    <w:p w:rsidR="000B65DE" w:rsidRPr="000B65DE" w:rsidRDefault="000B65DE" w:rsidP="000B65DE">
      <w:pPr>
        <w:ind w:left="0"/>
        <w:jc w:val="both"/>
        <w:rPr>
          <w:rFonts w:ascii="Bookman Old Style" w:hAnsi="Bookman Old Style"/>
          <w:color w:val="000000"/>
        </w:rPr>
      </w:pPr>
      <w:r w:rsidRPr="000B65DE">
        <w:rPr>
          <w:rFonts w:ascii="Bookman Old Style" w:hAnsi="Bookman Old Style"/>
          <w:color w:val="000000"/>
        </w:rPr>
        <w:lastRenderedPageBreak/>
        <w:t>Para efectuar la conversión de Cargos de Distribución de gas natural a Cargos equivalentes de Distribución de GLP se procederá como se indica a continuación:</w:t>
      </w:r>
    </w:p>
    <w:p w:rsidR="000B65DE" w:rsidRPr="000B65DE" w:rsidRDefault="000B65DE" w:rsidP="000B65DE">
      <w:pPr>
        <w:ind w:left="0"/>
        <w:jc w:val="both"/>
        <w:rPr>
          <w:rFonts w:ascii="Bookman Old Style" w:hAnsi="Bookman Old Style"/>
          <w:color w:val="000000"/>
        </w:rPr>
      </w:pPr>
    </w:p>
    <w:p w:rsidR="000B65DE" w:rsidRPr="000B65DE" w:rsidRDefault="000B65DE" w:rsidP="000B65DE">
      <w:pPr>
        <w:ind w:left="709" w:hanging="709"/>
        <w:jc w:val="both"/>
        <w:rPr>
          <w:rFonts w:ascii="Bookman Old Style" w:hAnsi="Bookman Old Style"/>
          <w:lang w:val="es-ES_tradnl"/>
        </w:rPr>
      </w:pPr>
      <w:r w:rsidRPr="000B65DE">
        <w:rPr>
          <w:rFonts w:ascii="Bookman Old Style" w:hAnsi="Bookman Old Style"/>
          <w:lang w:val="es-ES_tradnl"/>
        </w:rPr>
        <w:t>1.</w:t>
      </w:r>
      <w:r w:rsidRPr="000B65DE">
        <w:rPr>
          <w:rFonts w:ascii="Bookman Old Style" w:hAnsi="Bookman Old Style"/>
          <w:lang w:val="es-ES_tradnl"/>
        </w:rPr>
        <w:tab/>
        <w:t>La empresa que distribuye gas natural y proyecta distribuir GLP, deberá informar a la CREG, además de su intención de cambio, la fuente de suministro del gas natural y la localización de su actual Estación Reguladora de Puerta de Ciudad.</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709" w:hanging="709"/>
        <w:jc w:val="both"/>
        <w:rPr>
          <w:rFonts w:ascii="Bookman Old Style" w:hAnsi="Bookman Old Style"/>
          <w:lang w:val="es-ES_tradnl"/>
        </w:rPr>
      </w:pPr>
      <w:r w:rsidRPr="000B65DE">
        <w:rPr>
          <w:rFonts w:ascii="Bookman Old Style" w:hAnsi="Bookman Old Style"/>
          <w:lang w:val="es-ES_tradnl"/>
        </w:rPr>
        <w:t>2.</w:t>
      </w:r>
      <w:r w:rsidRPr="000B65DE">
        <w:rPr>
          <w:rFonts w:ascii="Bookman Old Style" w:hAnsi="Bookman Old Style"/>
          <w:lang w:val="es-ES_tradnl"/>
        </w:rPr>
        <w:tab/>
        <w:t>Para efectos de determinar el poder calorífico del gas natural que estaba distribuyendo, se tomará el valor de poder calorífico del gas natural que estaba distribuyendo con anterioridad a la solicitud de conversión.</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709" w:hanging="709"/>
        <w:jc w:val="both"/>
        <w:rPr>
          <w:rFonts w:ascii="Bookman Old Style" w:hAnsi="Bookman Old Style"/>
          <w:lang w:val="es-ES_tradnl"/>
        </w:rPr>
      </w:pPr>
      <w:r w:rsidRPr="000B65DE">
        <w:rPr>
          <w:rFonts w:ascii="Bookman Old Style" w:hAnsi="Bookman Old Style"/>
          <w:lang w:val="es-ES_tradnl"/>
        </w:rPr>
        <w:t>3.</w:t>
      </w:r>
      <w:r w:rsidRPr="000B65DE">
        <w:rPr>
          <w:rFonts w:ascii="Bookman Old Style" w:hAnsi="Bookman Old Style"/>
          <w:lang w:val="es-ES_tradnl"/>
        </w:rPr>
        <w:tab/>
        <w:t>Los Distribuidores establecerán el valor promedio del poder calorífico (BTU por unidad de volumen de gas) del gas comercializado en la fuente de producción y/o importación del cual piensa abastecerse de la mezcla con base en la información obtenida de los grandes Comercializadores de GLP, durante los últimos doce meses anteriores a su solicitud, en caso de no disponerse de lo anterior utilizarán la mejor información disponible.</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709" w:hanging="709"/>
        <w:jc w:val="both"/>
        <w:rPr>
          <w:rFonts w:ascii="Bookman Old Style" w:hAnsi="Bookman Old Style"/>
          <w:lang w:val="es-ES_tradnl"/>
        </w:rPr>
      </w:pPr>
      <w:r w:rsidRPr="000B65DE">
        <w:rPr>
          <w:rFonts w:ascii="Bookman Old Style" w:hAnsi="Bookman Old Style"/>
          <w:lang w:val="es-ES_tradnl"/>
        </w:rPr>
        <w:t>4.</w:t>
      </w:r>
      <w:r w:rsidRPr="000B65DE">
        <w:rPr>
          <w:rFonts w:ascii="Bookman Old Style" w:hAnsi="Bookman Old Style"/>
          <w:lang w:val="es-ES_tradnl"/>
        </w:rPr>
        <w:tab/>
        <w:t xml:space="preserve">Con base en los valores promedio de poder calorífico tanto del GLP como del gas natural, el Distribuidor determinará el factor de equivalencia energética </w:t>
      </w:r>
      <w:r w:rsidRPr="000B65DE">
        <w:rPr>
          <w:rFonts w:ascii="Bookman Old Style" w:hAnsi="Bookman Old Style"/>
          <w:i/>
          <w:lang w:val="es-ES_tradnl"/>
        </w:rPr>
        <w:t>f</w:t>
      </w:r>
      <w:r w:rsidRPr="000B65DE">
        <w:rPr>
          <w:rFonts w:ascii="Bookman Old Style" w:hAnsi="Bookman Old Style"/>
          <w:i/>
          <w:vertAlign w:val="subscript"/>
          <w:lang w:val="es-ES_tradnl"/>
        </w:rPr>
        <w:t>e</w:t>
      </w:r>
      <w:r w:rsidRPr="000B65DE">
        <w:rPr>
          <w:rFonts w:ascii="Bookman Old Style" w:hAnsi="Bookman Old Style"/>
          <w:lang w:val="es-ES_tradnl"/>
        </w:rPr>
        <w:t xml:space="preserve"> correspondiente y solicitará a la CREG la aprobación del nuevo </w:t>
      </w:r>
      <w:r w:rsidRPr="000B65DE">
        <w:rPr>
          <w:rFonts w:ascii="Bookman Old Style" w:hAnsi="Bookman Old Style"/>
          <w:i/>
          <w:lang w:val="es-ES_tradnl"/>
        </w:rPr>
        <w:t>Dm</w:t>
      </w:r>
      <w:r w:rsidRPr="000B65DE">
        <w:rPr>
          <w:rFonts w:ascii="Bookman Old Style" w:hAnsi="Bookman Old Style"/>
          <w:lang w:val="es-ES_tradnl"/>
        </w:rPr>
        <w:t xml:space="preserve"> convertido y equivalente. La CREG, con base en la información reportada verificará los cálculos aportados por el Distribuidor solicitante para proceder a definir y aprobar el </w:t>
      </w:r>
      <w:r w:rsidRPr="000B65DE">
        <w:rPr>
          <w:rFonts w:ascii="Bookman Old Style" w:hAnsi="Bookman Old Style"/>
          <w:i/>
          <w:lang w:val="es-ES_tradnl"/>
        </w:rPr>
        <w:t>Dm</w:t>
      </w:r>
      <w:r w:rsidRPr="000B65DE">
        <w:rPr>
          <w:rFonts w:ascii="Bookman Old Style" w:hAnsi="Bookman Old Style"/>
          <w:lang w:val="es-ES_tradnl"/>
        </w:rPr>
        <w:t xml:space="preserve"> correspondiente.</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 xml:space="preserve">Si como resultado de la reglamentación de la calidad del servicio de gas natural por redes de tubería, se determinan puntos de medición del poder calorífico del gas que se distribuye al interior de las redes o en la Estación Reguladora de Puerta de Ciudad, la CREG podrá modificar la fuente de la información utilizada para determinar promedios de poder calorífico de acuerdo con las responsabilidades de los distribuidores. </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 xml:space="preserve">Los factores </w:t>
      </w:r>
      <w:r w:rsidRPr="000B65DE">
        <w:rPr>
          <w:rFonts w:ascii="Bookman Old Style" w:hAnsi="Bookman Old Style"/>
          <w:i/>
          <w:lang w:val="es-ES_tradnl"/>
        </w:rPr>
        <w:t>f</w:t>
      </w:r>
      <w:r w:rsidRPr="000B65DE">
        <w:rPr>
          <w:rFonts w:ascii="Bookman Old Style" w:hAnsi="Bookman Old Style"/>
          <w:i/>
          <w:vertAlign w:val="subscript"/>
          <w:lang w:val="es-ES_tradnl"/>
        </w:rPr>
        <w:t>e</w:t>
      </w:r>
      <w:r w:rsidRPr="000B65DE">
        <w:rPr>
          <w:rFonts w:ascii="Bookman Old Style" w:hAnsi="Bookman Old Style"/>
          <w:lang w:val="es-ES_tradnl"/>
        </w:rPr>
        <w:t xml:space="preserve"> determinados por los distribuidores serán de aplicación particular y deberán satisfacer las siguientes igualdades:</w: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center"/>
        <w:rPr>
          <w:rFonts w:ascii="Bookman Old Style" w:hAnsi="Bookman Old Style"/>
          <w:lang w:val="es-ES_tradnl"/>
        </w:rPr>
      </w:pPr>
      <w:r w:rsidRPr="000B65DE">
        <w:rPr>
          <w:rFonts w:ascii="Bookman Old Style" w:hAnsi="Bookman Old Style"/>
          <w:position w:val="-14"/>
          <w:lang w:val="es-ES_tradnl"/>
        </w:rPr>
        <w:object w:dxaOrig="1840" w:dyaOrig="380">
          <v:shape id="_x0000_i1026" type="#_x0000_t75" style="width:92.25pt;height:16.5pt" o:ole="" fillcolor="window">
            <v:imagedata r:id="rId160" o:title=""/>
          </v:shape>
          <o:OLEObject Type="Embed" ProgID="Equation.3" ShapeID="_x0000_i1026" DrawAspect="Content" ObjectID="_1453528799" r:id="rId161"/>
        </w:object>
      </w:r>
    </w:p>
    <w:p w:rsidR="000B65DE" w:rsidRPr="000B65DE" w:rsidRDefault="000B65DE" w:rsidP="000B65DE">
      <w:pPr>
        <w:ind w:left="0"/>
        <w:jc w:val="both"/>
        <w:rPr>
          <w:rFonts w:ascii="Bookman Old Style" w:hAnsi="Bookman Old Style"/>
          <w:lang w:val="es-ES_tradnl"/>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donde,</w:t>
      </w:r>
    </w:p>
    <w:p w:rsidR="000B65DE" w:rsidRPr="000B65DE" w:rsidRDefault="000B65DE" w:rsidP="000B65DE">
      <w:pPr>
        <w:tabs>
          <w:tab w:val="left" w:pos="993"/>
        </w:tabs>
        <w:ind w:left="0" w:right="720"/>
        <w:jc w:val="both"/>
        <w:rPr>
          <w:rFonts w:ascii="Bookman Old Style" w:hAnsi="Bookman Old Style"/>
          <w:lang w:val="es-ES_tradnl"/>
        </w:rPr>
      </w:pPr>
    </w:p>
    <w:p w:rsidR="000B65DE" w:rsidRPr="000B65DE" w:rsidRDefault="000B65DE" w:rsidP="000B65DE">
      <w:pPr>
        <w:tabs>
          <w:tab w:val="left" w:pos="858"/>
        </w:tabs>
        <w:ind w:left="1248" w:right="-23" w:hanging="1248"/>
        <w:jc w:val="both"/>
        <w:rPr>
          <w:rFonts w:ascii="Bookman Old Style" w:hAnsi="Bookman Old Style"/>
          <w:lang w:val="es-ES_tradnl"/>
        </w:rPr>
      </w:pPr>
      <w:r w:rsidRPr="000B65DE">
        <w:rPr>
          <w:rFonts w:ascii="Bookman Old Style" w:hAnsi="Bookman Old Style"/>
          <w:i/>
          <w:lang w:val="es-ES_tradnl"/>
        </w:rPr>
        <w:t>Dm</w:t>
      </w:r>
      <w:r w:rsidRPr="000B65DE">
        <w:rPr>
          <w:rFonts w:ascii="Bookman Old Style" w:hAnsi="Bookman Old Style"/>
          <w:i/>
          <w:vertAlign w:val="subscript"/>
          <w:lang w:val="es-ES_tradnl"/>
        </w:rPr>
        <w:t>egn</w:t>
      </w:r>
      <w:r w:rsidRPr="000B65DE">
        <w:rPr>
          <w:rFonts w:ascii="Bookman Old Style" w:hAnsi="Bookman Old Style"/>
          <w:i/>
          <w:vertAlign w:val="subscript"/>
          <w:lang w:val="es-ES_tradnl"/>
        </w:rPr>
        <w:tab/>
      </w:r>
      <w:r w:rsidRPr="000B65DE">
        <w:rPr>
          <w:rFonts w:ascii="Bookman Old Style" w:hAnsi="Bookman Old Style"/>
          <w:i/>
          <w:lang w:val="es-ES_tradnl"/>
        </w:rPr>
        <w:t>=</w:t>
      </w:r>
      <w:r w:rsidRPr="000B65DE">
        <w:rPr>
          <w:rFonts w:ascii="Bookman Old Style" w:hAnsi="Bookman Old Style"/>
          <w:i/>
          <w:lang w:val="es-ES_tradnl"/>
        </w:rPr>
        <w:tab/>
      </w:r>
      <w:r w:rsidRPr="000B65DE">
        <w:rPr>
          <w:rFonts w:ascii="Bookman Old Style" w:hAnsi="Bookman Old Style"/>
          <w:lang w:val="es-ES_tradnl"/>
        </w:rPr>
        <w:t xml:space="preserve">Cargo equivalente Promedio de Distribución de gas natural en el mes </w:t>
      </w:r>
      <w:r w:rsidRPr="000B65DE">
        <w:rPr>
          <w:rFonts w:ascii="Bookman Old Style" w:hAnsi="Bookman Old Style"/>
          <w:i/>
          <w:lang w:val="es-ES_tradnl"/>
        </w:rPr>
        <w:t>m</w:t>
      </w:r>
      <w:r w:rsidRPr="000B65DE">
        <w:rPr>
          <w:rFonts w:ascii="Bookman Old Style" w:hAnsi="Bookman Old Style"/>
          <w:lang w:val="es-ES_tradnl"/>
        </w:rPr>
        <w:t>, expresado en $/m</w:t>
      </w:r>
      <w:r w:rsidRPr="000B65DE">
        <w:rPr>
          <w:rFonts w:ascii="Bookman Old Style" w:hAnsi="Bookman Old Style"/>
          <w:vertAlign w:val="superscript"/>
          <w:lang w:val="es-ES_tradnl"/>
        </w:rPr>
        <w:t>3</w:t>
      </w:r>
      <w:r w:rsidRPr="000B65DE">
        <w:rPr>
          <w:rFonts w:ascii="Bookman Old Style" w:hAnsi="Bookman Old Style"/>
          <w:lang w:val="es-ES_tradnl"/>
        </w:rPr>
        <w:t>.</w:t>
      </w:r>
    </w:p>
    <w:p w:rsidR="000B65DE" w:rsidRPr="000B65DE" w:rsidRDefault="000B65DE" w:rsidP="000B65DE">
      <w:pPr>
        <w:tabs>
          <w:tab w:val="left" w:pos="858"/>
        </w:tabs>
        <w:ind w:left="1248" w:right="-23" w:hanging="1248"/>
        <w:jc w:val="both"/>
        <w:rPr>
          <w:rFonts w:ascii="Bookman Old Style" w:hAnsi="Bookman Old Style"/>
          <w:lang w:val="es-ES_tradnl"/>
        </w:rPr>
      </w:pPr>
      <w:r w:rsidRPr="000B65DE">
        <w:rPr>
          <w:rFonts w:ascii="Bookman Old Style" w:hAnsi="Bookman Old Style"/>
          <w:i/>
          <w:lang w:val="es-ES_tradnl"/>
        </w:rPr>
        <w:t>Dm</w:t>
      </w:r>
      <w:r w:rsidRPr="000B65DE">
        <w:rPr>
          <w:rFonts w:ascii="Bookman Old Style" w:hAnsi="Bookman Old Style"/>
          <w:i/>
          <w:vertAlign w:val="subscript"/>
          <w:lang w:val="es-ES_tradnl"/>
        </w:rPr>
        <w:t>glp</w:t>
      </w:r>
      <w:r w:rsidRPr="000B65DE">
        <w:rPr>
          <w:rFonts w:ascii="Bookman Old Style" w:hAnsi="Bookman Old Style"/>
          <w:b/>
          <w:lang w:val="es-ES_tradnl"/>
        </w:rPr>
        <w:t xml:space="preserve"> </w:t>
      </w:r>
      <w:r w:rsidRPr="000B65DE">
        <w:rPr>
          <w:rFonts w:ascii="Bookman Old Style" w:hAnsi="Bookman Old Style"/>
          <w:b/>
          <w:lang w:val="es-ES_tradnl"/>
        </w:rPr>
        <w:tab/>
      </w:r>
      <w:r w:rsidRPr="000B65DE">
        <w:rPr>
          <w:rFonts w:ascii="Bookman Old Style" w:hAnsi="Bookman Old Style"/>
          <w:lang w:val="es-ES_tradnl"/>
        </w:rPr>
        <w:t>=</w:t>
      </w:r>
      <w:r w:rsidRPr="000B65DE">
        <w:rPr>
          <w:rFonts w:ascii="Bookman Old Style" w:hAnsi="Bookman Old Style"/>
          <w:lang w:val="es-ES_tradnl"/>
        </w:rPr>
        <w:tab/>
        <w:t xml:space="preserve">Cargo de Distribución de GLP vigente en el mes </w:t>
      </w:r>
      <w:r w:rsidRPr="000B65DE">
        <w:rPr>
          <w:rFonts w:ascii="Bookman Old Style" w:hAnsi="Bookman Old Style"/>
          <w:i/>
          <w:lang w:val="es-ES_tradnl"/>
        </w:rPr>
        <w:t>m</w:t>
      </w:r>
      <w:r w:rsidRPr="000B65DE">
        <w:rPr>
          <w:rFonts w:ascii="Bookman Old Style" w:hAnsi="Bookman Old Style"/>
          <w:lang w:val="es-ES_tradnl"/>
        </w:rPr>
        <w:t>, en $/m</w:t>
      </w:r>
      <w:r w:rsidRPr="000B65DE">
        <w:rPr>
          <w:rFonts w:ascii="Bookman Old Style" w:hAnsi="Bookman Old Style"/>
          <w:vertAlign w:val="superscript"/>
          <w:lang w:val="es-ES_tradnl"/>
        </w:rPr>
        <w:t>3</w:t>
      </w:r>
    </w:p>
    <w:p w:rsidR="000B65DE" w:rsidRPr="000B65DE" w:rsidRDefault="000B65DE" w:rsidP="000B65DE">
      <w:pPr>
        <w:tabs>
          <w:tab w:val="left" w:pos="858"/>
        </w:tabs>
        <w:ind w:left="1248" w:right="-23" w:hanging="1248"/>
        <w:jc w:val="both"/>
        <w:rPr>
          <w:rFonts w:ascii="Bookman Old Style" w:hAnsi="Bookman Old Style"/>
          <w:i/>
          <w:lang w:val="es-ES_tradnl"/>
        </w:rPr>
      </w:pPr>
    </w:p>
    <w:p w:rsidR="000B65DE" w:rsidRPr="000B65DE" w:rsidRDefault="000B65DE" w:rsidP="000B65DE">
      <w:pPr>
        <w:tabs>
          <w:tab w:val="left" w:pos="858"/>
        </w:tabs>
        <w:ind w:left="1248" w:right="-23" w:hanging="1248"/>
        <w:jc w:val="both"/>
        <w:rPr>
          <w:rFonts w:ascii="Bookman Old Style" w:hAnsi="Bookman Old Style"/>
          <w:lang w:val="es-ES_tradnl"/>
        </w:rPr>
      </w:pPr>
      <w:r w:rsidRPr="000B65DE">
        <w:rPr>
          <w:rFonts w:ascii="Bookman Old Style" w:hAnsi="Bookman Old Style"/>
          <w:i/>
          <w:lang w:val="es-ES_tradnl"/>
        </w:rPr>
        <w:t>f</w:t>
      </w:r>
      <w:r w:rsidRPr="000B65DE">
        <w:rPr>
          <w:rFonts w:ascii="Bookman Old Style" w:hAnsi="Bookman Old Style"/>
          <w:i/>
          <w:vertAlign w:val="subscript"/>
          <w:lang w:val="es-ES_tradnl"/>
        </w:rPr>
        <w:t xml:space="preserve">e </w:t>
      </w:r>
      <w:r w:rsidRPr="000B65DE">
        <w:rPr>
          <w:rFonts w:ascii="Bookman Old Style" w:hAnsi="Bookman Old Style"/>
          <w:b/>
          <w:vertAlign w:val="subscript"/>
          <w:lang w:val="es-ES_tradnl"/>
        </w:rPr>
        <w:tab/>
      </w:r>
      <w:r w:rsidRPr="000B65DE">
        <w:rPr>
          <w:rFonts w:ascii="Bookman Old Style" w:hAnsi="Bookman Old Style"/>
          <w:lang w:val="es-ES_tradnl"/>
        </w:rPr>
        <w:t>=</w:t>
      </w:r>
      <w:r w:rsidRPr="000B65DE">
        <w:rPr>
          <w:rFonts w:ascii="Bookman Old Style" w:hAnsi="Bookman Old Style"/>
          <w:lang w:val="es-ES_tradnl"/>
        </w:rPr>
        <w:tab/>
        <w:t>Factor de equivalencia energética:</w:t>
      </w:r>
    </w:p>
    <w:p w:rsidR="000B65DE" w:rsidRPr="000B65DE" w:rsidRDefault="000B65DE" w:rsidP="000B65DE">
      <w:pPr>
        <w:tabs>
          <w:tab w:val="left" w:pos="720"/>
        </w:tabs>
        <w:ind w:left="1418" w:right="720" w:hanging="1418"/>
        <w:jc w:val="both"/>
        <w:rPr>
          <w:rFonts w:ascii="Bookman Old Style" w:hAnsi="Bookman Old Style"/>
          <w:lang w:val="es-ES_tradnl"/>
        </w:rPr>
      </w:pPr>
    </w:p>
    <w:p w:rsidR="000B65DE" w:rsidRPr="000B65DE" w:rsidRDefault="000B65DE" w:rsidP="000B65DE">
      <w:pPr>
        <w:tabs>
          <w:tab w:val="left" w:pos="720"/>
        </w:tabs>
        <w:ind w:left="1418" w:right="720" w:hanging="1418"/>
        <w:jc w:val="center"/>
        <w:rPr>
          <w:rFonts w:ascii="Bookman Old Style" w:hAnsi="Bookman Old Style"/>
          <w:lang w:val="es-ES_tradnl"/>
        </w:rPr>
      </w:pPr>
      <w:r w:rsidRPr="000B65DE">
        <w:rPr>
          <w:rFonts w:ascii="Bookman Old Style" w:hAnsi="Bookman Old Style"/>
          <w:position w:val="-30"/>
          <w:lang w:val="es-ES_tradnl"/>
        </w:rPr>
        <w:object w:dxaOrig="3680" w:dyaOrig="680">
          <v:shape id="_x0000_i1027" type="#_x0000_t75" style="width:152.25pt;height:27.75pt" o:ole="" fillcolor="window">
            <v:imagedata r:id="rId162" o:title=""/>
          </v:shape>
          <o:OLEObject Type="Embed" ProgID="Equation.3" ShapeID="_x0000_i1027" DrawAspect="Content" ObjectID="_1453528800" r:id="rId163"/>
        </w:object>
      </w:r>
    </w:p>
    <w:p w:rsidR="000B65DE" w:rsidRPr="000B65DE" w:rsidRDefault="000B65DE" w:rsidP="000B65DE">
      <w:pPr>
        <w:tabs>
          <w:tab w:val="left" w:pos="1260"/>
        </w:tabs>
        <w:ind w:left="0" w:right="720"/>
        <w:jc w:val="both"/>
        <w:rPr>
          <w:rFonts w:ascii="Bookman Old Style" w:hAnsi="Bookman Old Style"/>
          <w:lang w:val="es-ES_tradnl"/>
        </w:rPr>
      </w:pPr>
    </w:p>
    <w:p w:rsidR="000B65DE" w:rsidRPr="000B65DE" w:rsidRDefault="000B65DE" w:rsidP="000B65DE">
      <w:pPr>
        <w:ind w:left="1404" w:right="17" w:firstLine="12"/>
        <w:jc w:val="both"/>
        <w:rPr>
          <w:rFonts w:ascii="Bookman Old Style" w:hAnsi="Bookman Old Style"/>
          <w:lang w:val="es-ES_tradnl"/>
        </w:rPr>
      </w:pPr>
      <w:r w:rsidRPr="000B65DE">
        <w:rPr>
          <w:rFonts w:ascii="Bookman Old Style" w:hAnsi="Bookman Old Style"/>
          <w:lang w:val="es-ES_tradnl"/>
        </w:rPr>
        <w:t>(los poderes caloríficos deben estar expresados en las mismas unidades)</w:t>
      </w:r>
    </w:p>
    <w:p w:rsidR="000B65DE" w:rsidRPr="000B65DE" w:rsidRDefault="000B65DE" w:rsidP="000B65DE">
      <w:pPr>
        <w:ind w:left="720" w:hanging="705"/>
        <w:jc w:val="both"/>
        <w:rPr>
          <w:rFonts w:ascii="Bookman Old Style" w:hAnsi="Bookman Old Style"/>
          <w:lang w:val="es-ES_tradnl"/>
        </w:rPr>
      </w:pPr>
    </w:p>
    <w:p w:rsidR="000B65DE" w:rsidRPr="000B65DE" w:rsidRDefault="000B65DE" w:rsidP="000B65DE">
      <w:pPr>
        <w:ind w:left="0" w:firstLine="15"/>
        <w:jc w:val="both"/>
        <w:rPr>
          <w:rFonts w:ascii="Bookman Old Style" w:hAnsi="Bookman Old Style"/>
          <w:lang w:val="es-ES_tradnl"/>
        </w:rPr>
      </w:pPr>
      <w:r w:rsidRPr="000B65DE">
        <w:rPr>
          <w:rFonts w:ascii="Bookman Old Style" w:hAnsi="Bookman Old Style"/>
          <w:lang w:val="es-ES_tradnl"/>
        </w:rPr>
        <w:t>y,</w:t>
      </w:r>
    </w:p>
    <w:p w:rsidR="000B65DE" w:rsidRPr="000B65DE" w:rsidRDefault="000B65DE" w:rsidP="000B65DE">
      <w:pPr>
        <w:ind w:left="0" w:firstLine="15"/>
        <w:jc w:val="both"/>
        <w:rPr>
          <w:rFonts w:ascii="Bookman Old Style" w:hAnsi="Bookman Old Style"/>
          <w:lang w:val="es-ES_tradnl"/>
        </w:rPr>
      </w:pPr>
    </w:p>
    <w:p w:rsidR="000B65DE" w:rsidRPr="000B65DE" w:rsidRDefault="000B65DE" w:rsidP="000B65DE">
      <w:pPr>
        <w:ind w:left="0" w:firstLine="15"/>
        <w:jc w:val="center"/>
        <w:rPr>
          <w:rFonts w:ascii="Bookman Old Style" w:hAnsi="Bookman Old Style"/>
          <w:lang w:val="es-ES_tradnl"/>
        </w:rPr>
      </w:pPr>
      <w:r w:rsidRPr="000B65DE">
        <w:rPr>
          <w:rFonts w:ascii="Bookman Old Style" w:hAnsi="Bookman Old Style"/>
          <w:position w:val="-30"/>
          <w:lang w:val="es-ES_tradnl"/>
        </w:rPr>
        <w:object w:dxaOrig="1540" w:dyaOrig="720">
          <v:shape id="_x0000_i1028" type="#_x0000_t75" style="width:77.25pt;height:36.75pt" o:ole="" fillcolor="window">
            <v:imagedata r:id="rId164" o:title=""/>
          </v:shape>
          <o:OLEObject Type="Embed" ProgID="Equation.3" ShapeID="_x0000_i1028" DrawAspect="Content" ObjectID="_1453528801" r:id="rId165"/>
        </w:object>
      </w:r>
    </w:p>
    <w:p w:rsidR="000B65DE" w:rsidRPr="000B65DE" w:rsidRDefault="000B65DE" w:rsidP="000B65DE">
      <w:pPr>
        <w:ind w:left="720" w:hanging="705"/>
        <w:jc w:val="both"/>
        <w:rPr>
          <w:rFonts w:ascii="Bookman Old Style" w:hAnsi="Bookman Old Style"/>
          <w:lang w:val="es-MX"/>
        </w:rPr>
      </w:pPr>
    </w:p>
    <w:p w:rsidR="000B65DE" w:rsidRPr="000B65DE" w:rsidRDefault="000B65DE" w:rsidP="000B65DE">
      <w:pPr>
        <w:ind w:left="0"/>
        <w:jc w:val="both"/>
        <w:rPr>
          <w:rFonts w:ascii="Bookman Old Style" w:hAnsi="Bookman Old Style"/>
          <w:lang w:val="es-ES_tradnl"/>
        </w:rPr>
      </w:pPr>
      <w:r w:rsidRPr="000B65DE">
        <w:rPr>
          <w:rFonts w:ascii="Bookman Old Style" w:hAnsi="Bookman Old Style"/>
          <w:lang w:val="es-ES_tradnl"/>
        </w:rPr>
        <w:t>donde,</w:t>
      </w:r>
    </w:p>
    <w:p w:rsidR="000B65DE" w:rsidRPr="000B65DE" w:rsidRDefault="000B65DE" w:rsidP="000B65DE">
      <w:pPr>
        <w:ind w:left="720" w:hanging="705"/>
        <w:jc w:val="both"/>
        <w:rPr>
          <w:rFonts w:ascii="Bookman Old Style" w:hAnsi="Bookman Old Style"/>
          <w:lang w:val="es-ES_tradnl"/>
        </w:rPr>
      </w:pPr>
    </w:p>
    <w:p w:rsidR="000B65DE" w:rsidRPr="000B65DE" w:rsidRDefault="000B65DE" w:rsidP="000B65DE">
      <w:pPr>
        <w:tabs>
          <w:tab w:val="left" w:pos="858"/>
        </w:tabs>
        <w:ind w:left="1326" w:right="-23" w:hanging="1326"/>
        <w:jc w:val="both"/>
        <w:rPr>
          <w:rFonts w:ascii="Bookman Old Style" w:hAnsi="Bookman Old Style"/>
          <w:lang w:val="es-ES_tradnl"/>
        </w:rPr>
      </w:pPr>
      <w:r w:rsidRPr="000B65DE">
        <w:rPr>
          <w:rFonts w:ascii="Bookman Old Style" w:hAnsi="Bookman Old Style"/>
          <w:i/>
          <w:lang w:val="es-ES_tradnl"/>
        </w:rPr>
        <w:t>Dm</w:t>
      </w:r>
      <w:r w:rsidRPr="000B65DE">
        <w:rPr>
          <w:rFonts w:ascii="Bookman Old Style" w:hAnsi="Bookman Old Style"/>
          <w:i/>
          <w:vertAlign w:val="subscript"/>
          <w:lang w:val="es-ES_tradnl"/>
        </w:rPr>
        <w:t>eglp</w:t>
      </w:r>
      <w:r w:rsidRPr="000B65DE">
        <w:rPr>
          <w:rFonts w:ascii="Bookman Old Style" w:hAnsi="Bookman Old Style"/>
          <w:i/>
          <w:lang w:val="es-ES_tradnl"/>
        </w:rPr>
        <w:tab/>
        <w:t>=</w:t>
      </w:r>
      <w:r w:rsidRPr="000B65DE">
        <w:rPr>
          <w:rFonts w:ascii="Bookman Old Style" w:hAnsi="Bookman Old Style"/>
          <w:i/>
          <w:lang w:val="es-ES_tradnl"/>
        </w:rPr>
        <w:tab/>
      </w:r>
      <w:r w:rsidRPr="000B65DE">
        <w:rPr>
          <w:rFonts w:ascii="Bookman Old Style" w:hAnsi="Bookman Old Style"/>
          <w:lang w:val="es-ES_tradnl"/>
        </w:rPr>
        <w:t xml:space="preserve">Cargo equivalente Promedio de Distribución de GLP en el mes </w:t>
      </w:r>
      <w:r w:rsidRPr="000B65DE">
        <w:rPr>
          <w:rFonts w:ascii="Bookman Old Style" w:hAnsi="Bookman Old Style"/>
          <w:i/>
          <w:lang w:val="es-ES_tradnl"/>
        </w:rPr>
        <w:t>m</w:t>
      </w:r>
      <w:r w:rsidRPr="000B65DE">
        <w:rPr>
          <w:rFonts w:ascii="Bookman Old Style" w:hAnsi="Bookman Old Style"/>
          <w:lang w:val="es-ES_tradnl"/>
        </w:rPr>
        <w:t>, expresado en $/m</w:t>
      </w:r>
      <w:r w:rsidRPr="000B65DE">
        <w:rPr>
          <w:rFonts w:ascii="Bookman Old Style" w:hAnsi="Bookman Old Style"/>
          <w:vertAlign w:val="superscript"/>
          <w:lang w:val="es-ES_tradnl"/>
        </w:rPr>
        <w:t>3</w:t>
      </w:r>
      <w:r w:rsidRPr="000B65DE">
        <w:rPr>
          <w:rFonts w:ascii="Bookman Old Style" w:hAnsi="Bookman Old Style"/>
          <w:lang w:val="es-ES_tradnl"/>
        </w:rPr>
        <w:t>.</w:t>
      </w:r>
    </w:p>
    <w:p w:rsidR="000B65DE" w:rsidRPr="000B65DE" w:rsidRDefault="000B65DE" w:rsidP="000B65DE">
      <w:pPr>
        <w:tabs>
          <w:tab w:val="left" w:pos="858"/>
        </w:tabs>
        <w:ind w:left="1326" w:right="-23" w:hanging="1326"/>
        <w:jc w:val="both"/>
        <w:rPr>
          <w:rFonts w:ascii="Bookman Old Style" w:hAnsi="Bookman Old Style"/>
          <w:i/>
          <w:lang w:val="es-ES_tradnl"/>
        </w:rPr>
      </w:pPr>
    </w:p>
    <w:p w:rsidR="000B65DE" w:rsidRPr="000B65DE" w:rsidRDefault="000B65DE" w:rsidP="000B65DE">
      <w:pPr>
        <w:tabs>
          <w:tab w:val="left" w:pos="858"/>
        </w:tabs>
        <w:ind w:left="1326" w:right="-23" w:hanging="1326"/>
        <w:jc w:val="both"/>
        <w:rPr>
          <w:rFonts w:ascii="Bookman Old Style" w:hAnsi="Bookman Old Style"/>
          <w:lang w:val="es-ES_tradnl"/>
        </w:rPr>
      </w:pPr>
      <w:r w:rsidRPr="000B65DE">
        <w:rPr>
          <w:rFonts w:ascii="Bookman Old Style" w:hAnsi="Bookman Old Style"/>
          <w:i/>
          <w:lang w:val="es-ES_tradnl"/>
        </w:rPr>
        <w:t>Dm</w:t>
      </w:r>
      <w:r w:rsidRPr="000B65DE">
        <w:rPr>
          <w:rFonts w:ascii="Bookman Old Style" w:hAnsi="Bookman Old Style"/>
          <w:i/>
          <w:vertAlign w:val="subscript"/>
          <w:lang w:val="es-ES_tradnl"/>
        </w:rPr>
        <w:t>gn</w:t>
      </w:r>
      <w:r w:rsidRPr="000B65DE">
        <w:rPr>
          <w:rFonts w:ascii="Bookman Old Style" w:hAnsi="Bookman Old Style"/>
          <w:i/>
          <w:lang w:val="es-ES_tradnl"/>
        </w:rPr>
        <w:tab/>
        <w:t>=</w:t>
      </w:r>
      <w:r w:rsidRPr="000B65DE">
        <w:rPr>
          <w:rFonts w:ascii="Bookman Old Style" w:hAnsi="Bookman Old Style"/>
          <w:i/>
          <w:lang w:val="es-ES_tradnl"/>
        </w:rPr>
        <w:tab/>
      </w:r>
      <w:r w:rsidRPr="000B65DE">
        <w:rPr>
          <w:rFonts w:ascii="Bookman Old Style" w:hAnsi="Bookman Old Style"/>
          <w:lang w:val="es-ES_tradnl"/>
        </w:rPr>
        <w:t xml:space="preserve">Cargo Promedio de Distribución de gas natural vigente en el mes </w:t>
      </w:r>
      <w:r w:rsidRPr="000B65DE">
        <w:rPr>
          <w:rFonts w:ascii="Bookman Old Style" w:hAnsi="Bookman Old Style"/>
          <w:i/>
          <w:lang w:val="es-ES_tradnl"/>
        </w:rPr>
        <w:t>m</w:t>
      </w:r>
      <w:r w:rsidRPr="000B65DE">
        <w:rPr>
          <w:rFonts w:ascii="Bookman Old Style" w:hAnsi="Bookman Old Style"/>
          <w:lang w:val="es-ES_tradnl"/>
        </w:rPr>
        <w:t>, en $/m</w:t>
      </w:r>
      <w:r w:rsidRPr="000B65DE">
        <w:rPr>
          <w:rFonts w:ascii="Bookman Old Style" w:hAnsi="Bookman Old Style"/>
          <w:vertAlign w:val="superscript"/>
          <w:lang w:val="es-ES_tradnl"/>
        </w:rPr>
        <w:t>3</w:t>
      </w:r>
      <w:r w:rsidRPr="000B65DE">
        <w:rPr>
          <w:rFonts w:ascii="Bookman Old Style" w:hAnsi="Bookman Old Style"/>
          <w:lang w:val="es-ES_tradnl"/>
        </w:rPr>
        <w:t>.</w:t>
      </w:r>
    </w:p>
    <w:p w:rsidR="000B65DE" w:rsidRPr="000B65DE" w:rsidRDefault="000B65DE" w:rsidP="000B65DE">
      <w:pPr>
        <w:tabs>
          <w:tab w:val="left" w:pos="858"/>
        </w:tabs>
        <w:ind w:left="1326" w:right="-23" w:hanging="1326"/>
        <w:jc w:val="both"/>
        <w:rPr>
          <w:rFonts w:ascii="Bookman Old Style" w:hAnsi="Bookman Old Style"/>
          <w:i/>
          <w:lang w:val="es-ES_tradnl"/>
        </w:rPr>
      </w:pPr>
    </w:p>
    <w:p w:rsidR="000B65DE" w:rsidRPr="000B65DE" w:rsidRDefault="000B65DE" w:rsidP="000B65DE">
      <w:pPr>
        <w:tabs>
          <w:tab w:val="left" w:pos="858"/>
        </w:tabs>
        <w:ind w:left="1326" w:right="-23" w:hanging="1326"/>
        <w:jc w:val="both"/>
        <w:rPr>
          <w:rFonts w:ascii="Bookman Old Style" w:hAnsi="Bookman Old Style"/>
          <w:i/>
          <w:lang w:val="es-ES_tradnl"/>
        </w:rPr>
      </w:pPr>
      <w:r w:rsidRPr="000B65DE">
        <w:rPr>
          <w:rFonts w:ascii="Bookman Old Style" w:hAnsi="Bookman Old Style"/>
          <w:i/>
          <w:lang w:val="es-ES_tradnl"/>
        </w:rPr>
        <w:t>f</w:t>
      </w:r>
      <w:r w:rsidRPr="000B65DE">
        <w:rPr>
          <w:rFonts w:ascii="Bookman Old Style" w:hAnsi="Bookman Old Style"/>
          <w:i/>
          <w:vertAlign w:val="subscript"/>
          <w:lang w:val="es-ES_tradnl"/>
        </w:rPr>
        <w:t>e</w:t>
      </w:r>
      <w:r w:rsidRPr="000B65DE">
        <w:rPr>
          <w:rFonts w:ascii="Bookman Old Style" w:hAnsi="Bookman Old Style"/>
          <w:i/>
          <w:lang w:val="es-ES_tradnl"/>
        </w:rPr>
        <w:t xml:space="preserve"> </w:t>
      </w:r>
      <w:r w:rsidRPr="000B65DE">
        <w:rPr>
          <w:rFonts w:ascii="Bookman Old Style" w:hAnsi="Bookman Old Style"/>
          <w:lang w:val="es-ES_tradnl"/>
        </w:rPr>
        <w:tab/>
      </w:r>
      <w:r w:rsidRPr="000B65DE">
        <w:rPr>
          <w:rFonts w:ascii="Bookman Old Style" w:hAnsi="Bookman Old Style"/>
          <w:i/>
          <w:lang w:val="es-ES_tradnl"/>
        </w:rPr>
        <w:t>=</w:t>
      </w:r>
      <w:r w:rsidRPr="000B65DE">
        <w:rPr>
          <w:rFonts w:ascii="Bookman Old Style" w:hAnsi="Bookman Old Style"/>
          <w:i/>
          <w:lang w:val="es-ES_tradnl"/>
        </w:rPr>
        <w:tab/>
      </w:r>
      <w:r w:rsidRPr="000B65DE">
        <w:rPr>
          <w:rFonts w:ascii="Bookman Old Style" w:hAnsi="Bookman Old Style"/>
          <w:lang w:val="es-ES_tradnl"/>
        </w:rPr>
        <w:t>Factor de equivalencia energética, como se indicó anteriormente.</w:t>
      </w:r>
    </w:p>
    <w:p w:rsidR="000B65DE" w:rsidRPr="000B65DE" w:rsidRDefault="000B65DE" w:rsidP="000B65DE">
      <w:pPr>
        <w:ind w:left="0"/>
        <w:jc w:val="center"/>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tbl>
      <w:tblPr>
        <w:tblW w:w="9570" w:type="dxa"/>
        <w:jc w:val="right"/>
        <w:tblLayout w:type="fixed"/>
        <w:tblCellMar>
          <w:left w:w="70" w:type="dxa"/>
          <w:right w:w="70" w:type="dxa"/>
        </w:tblCellMar>
        <w:tblLook w:val="04A0" w:firstRow="1" w:lastRow="0" w:firstColumn="1" w:lastColumn="0" w:noHBand="0" w:noVBand="1"/>
      </w:tblPr>
      <w:tblGrid>
        <w:gridCol w:w="4875"/>
        <w:gridCol w:w="4695"/>
      </w:tblGrid>
      <w:tr w:rsidR="009E6EA8" w:rsidRPr="000B65DE" w:rsidTr="009E6EA8">
        <w:trPr>
          <w:jc w:val="right"/>
        </w:trPr>
        <w:tc>
          <w:tcPr>
            <w:tcW w:w="4875" w:type="dxa"/>
            <w:hideMark/>
          </w:tcPr>
          <w:p w:rsidR="009E6EA8" w:rsidRPr="000B65DE" w:rsidRDefault="009E6EA8" w:rsidP="00B76CE3">
            <w:pPr>
              <w:ind w:left="0"/>
              <w:jc w:val="center"/>
              <w:rPr>
                <w:rFonts w:ascii="Bookman Old Style" w:hAnsi="Bookman Old Style" w:cs="Arial"/>
                <w:b/>
                <w:spacing w:val="-3"/>
                <w:lang w:val="es-ES_tradnl"/>
              </w:rPr>
            </w:pPr>
            <w:r>
              <w:rPr>
                <w:rFonts w:ascii="Bookman Old Style" w:hAnsi="Bookman Old Style" w:cs="Arial"/>
                <w:b/>
                <w:color w:val="000000"/>
              </w:rPr>
              <w:t>ORLANDO CABRALES SEGOVIA</w:t>
            </w:r>
          </w:p>
        </w:tc>
        <w:tc>
          <w:tcPr>
            <w:tcW w:w="4695" w:type="dxa"/>
            <w:hideMark/>
          </w:tcPr>
          <w:p w:rsidR="009E6EA8" w:rsidRPr="000B65DE" w:rsidRDefault="009E6EA8" w:rsidP="00B76CE3">
            <w:pPr>
              <w:ind w:left="161" w:right="567"/>
              <w:jc w:val="center"/>
              <w:rPr>
                <w:rFonts w:ascii="Bookman Old Style" w:hAnsi="Bookman Old Style" w:cs="Arial"/>
                <w:b/>
                <w:spacing w:val="-3"/>
                <w:lang w:val="es-ES_tradnl"/>
              </w:rPr>
            </w:pPr>
            <w:r w:rsidRPr="000B65DE">
              <w:rPr>
                <w:rFonts w:ascii="Bookman Old Style" w:hAnsi="Bookman Old Style" w:cs="Arial"/>
                <w:b/>
                <w:spacing w:val="-3"/>
                <w:lang w:val="es-ES_tradnl"/>
              </w:rPr>
              <w:t>GERMÁN CASTRO FERREIRA</w:t>
            </w:r>
          </w:p>
        </w:tc>
      </w:tr>
      <w:tr w:rsidR="009E6EA8" w:rsidRPr="000B65DE" w:rsidTr="009E6EA8">
        <w:trPr>
          <w:jc w:val="right"/>
        </w:trPr>
        <w:tc>
          <w:tcPr>
            <w:tcW w:w="4875" w:type="dxa"/>
            <w:hideMark/>
          </w:tcPr>
          <w:tbl>
            <w:tblPr>
              <w:tblW w:w="4891" w:type="dxa"/>
              <w:tblLayout w:type="fixed"/>
              <w:tblCellMar>
                <w:left w:w="0" w:type="dxa"/>
                <w:right w:w="0" w:type="dxa"/>
              </w:tblCellMar>
              <w:tblLook w:val="04A0" w:firstRow="1" w:lastRow="0" w:firstColumn="1" w:lastColumn="0" w:noHBand="0" w:noVBand="1"/>
            </w:tblPr>
            <w:tblGrid>
              <w:gridCol w:w="4891"/>
            </w:tblGrid>
            <w:tr w:rsidR="009E6EA8" w:rsidTr="00B76CE3">
              <w:tc>
                <w:tcPr>
                  <w:tcW w:w="4891" w:type="dxa"/>
                  <w:hideMark/>
                </w:tcPr>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Viceministro de Energía</w:t>
                  </w:r>
                </w:p>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Delegado del Ministro de Minas y Energía</w:t>
                  </w:r>
                </w:p>
              </w:tc>
            </w:tr>
            <w:tr w:rsidR="009E6EA8" w:rsidTr="00B76CE3">
              <w:tc>
                <w:tcPr>
                  <w:tcW w:w="4891" w:type="dxa"/>
                  <w:hideMark/>
                </w:tcPr>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Presidente</w:t>
                  </w:r>
                </w:p>
              </w:tc>
            </w:tr>
          </w:tbl>
          <w:p w:rsidR="009E6EA8" w:rsidRPr="000B65DE" w:rsidRDefault="009E6EA8" w:rsidP="00B76CE3">
            <w:pPr>
              <w:ind w:left="0"/>
              <w:jc w:val="center"/>
              <w:rPr>
                <w:rFonts w:ascii="Bookman Old Style" w:hAnsi="Bookman Old Style" w:cs="Arial"/>
                <w:spacing w:val="-3"/>
                <w:lang w:val="es-ES_tradnl"/>
              </w:rPr>
            </w:pPr>
          </w:p>
        </w:tc>
        <w:tc>
          <w:tcPr>
            <w:tcW w:w="4695" w:type="dxa"/>
            <w:hideMark/>
          </w:tcPr>
          <w:p w:rsidR="009E6EA8" w:rsidRPr="000B65DE" w:rsidRDefault="009E6EA8" w:rsidP="00B76CE3">
            <w:pPr>
              <w:jc w:val="center"/>
              <w:rPr>
                <w:rFonts w:ascii="Bookman Old Style" w:hAnsi="Bookman Old Style" w:cs="Arial"/>
                <w:spacing w:val="-3"/>
                <w:lang w:val="es-ES_tradnl"/>
              </w:rPr>
            </w:pPr>
            <w:r w:rsidRPr="000B65DE">
              <w:rPr>
                <w:rFonts w:ascii="Bookman Old Style" w:hAnsi="Bookman Old Style" w:cs="Arial"/>
                <w:spacing w:val="-3"/>
                <w:lang w:val="es-ES_tradnl"/>
              </w:rPr>
              <w:t>Director Ejecutivo</w:t>
            </w:r>
          </w:p>
        </w:tc>
      </w:tr>
      <w:tr w:rsidR="009E6EA8" w:rsidRPr="000B65DE" w:rsidTr="009E6EA8">
        <w:trPr>
          <w:jc w:val="right"/>
        </w:trPr>
        <w:tc>
          <w:tcPr>
            <w:tcW w:w="4875" w:type="dxa"/>
          </w:tcPr>
          <w:p w:rsidR="009E6EA8" w:rsidRPr="000B65DE" w:rsidRDefault="009E6EA8" w:rsidP="00B76CE3">
            <w:pPr>
              <w:ind w:left="0"/>
              <w:jc w:val="center"/>
              <w:rPr>
                <w:rFonts w:ascii="Bookman Old Style" w:hAnsi="Bookman Old Style" w:cs="Arial"/>
                <w:b/>
                <w:spacing w:val="-3"/>
                <w:lang w:val="es-ES_tradnl"/>
              </w:rPr>
            </w:pPr>
          </w:p>
        </w:tc>
        <w:tc>
          <w:tcPr>
            <w:tcW w:w="4695" w:type="dxa"/>
          </w:tcPr>
          <w:p w:rsidR="009E6EA8" w:rsidRPr="000B65DE" w:rsidRDefault="009E6EA8" w:rsidP="00B76CE3">
            <w:pPr>
              <w:ind w:left="161" w:right="567"/>
              <w:jc w:val="center"/>
              <w:rPr>
                <w:rFonts w:ascii="Bookman Old Style" w:hAnsi="Bookman Old Style" w:cs="Arial"/>
                <w:b/>
                <w:spacing w:val="-3"/>
                <w:lang w:val="es-ES_tradnl"/>
              </w:rPr>
            </w:pPr>
          </w:p>
        </w:tc>
      </w:tr>
    </w:tbl>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0B65DE">
      <w:pPr>
        <w:ind w:left="0"/>
        <w:jc w:val="both"/>
        <w:rPr>
          <w:rFonts w:ascii="Bookman Old Style" w:hAnsi="Bookman Old Style"/>
        </w:rPr>
      </w:pPr>
    </w:p>
    <w:p w:rsidR="000B65DE" w:rsidRPr="000B65DE" w:rsidRDefault="000B65DE" w:rsidP="00E528F6">
      <w:pPr>
        <w:numPr>
          <w:ilvl w:val="0"/>
          <w:numId w:val="41"/>
        </w:numPr>
        <w:jc w:val="center"/>
        <w:outlineLvl w:val="0"/>
        <w:rPr>
          <w:rFonts w:ascii="Bookman Old Style" w:hAnsi="Bookman Old Style"/>
          <w:b/>
          <w:lang w:val="es-ES_tradnl"/>
        </w:rPr>
      </w:pPr>
      <w:bookmarkStart w:id="59" w:name="_Ref332876141"/>
    </w:p>
    <w:bookmarkEnd w:id="59"/>
    <w:p w:rsidR="000B65DE" w:rsidRPr="000B65DE" w:rsidRDefault="000B65DE" w:rsidP="000B65DE">
      <w:pPr>
        <w:tabs>
          <w:tab w:val="left" w:pos="5655"/>
        </w:tabs>
        <w:ind w:left="0"/>
        <w:jc w:val="both"/>
        <w:rPr>
          <w:rFonts w:ascii="Bookman Old Style" w:hAnsi="Bookman Old Style"/>
          <w:lang w:val="es-ES_tradnl"/>
        </w:rPr>
      </w:pPr>
      <w:r w:rsidRPr="000B65DE">
        <w:rPr>
          <w:rFonts w:ascii="Bookman Old Style" w:hAnsi="Bookman Old Style"/>
          <w:lang w:val="es-ES_tradnl"/>
        </w:rPr>
        <w:tab/>
      </w:r>
    </w:p>
    <w:p w:rsidR="000B65DE" w:rsidRPr="000B65DE" w:rsidRDefault="000B65DE" w:rsidP="000B65DE">
      <w:pPr>
        <w:ind w:left="0"/>
        <w:jc w:val="center"/>
        <w:outlineLvl w:val="0"/>
        <w:rPr>
          <w:rFonts w:ascii="Bookman Old Style" w:hAnsi="Bookman Old Style"/>
          <w:b/>
          <w:lang w:val="es-ES_tradnl"/>
        </w:rPr>
      </w:pPr>
      <w:r w:rsidRPr="000B65DE">
        <w:rPr>
          <w:rFonts w:ascii="Bookman Old Style" w:hAnsi="Bookman Old Style"/>
          <w:b/>
          <w:lang w:val="es-ES_tradnl"/>
        </w:rPr>
        <w:t>PROGRAMA DE REPOSICIÓN DE ACTIVOS</w:t>
      </w:r>
    </w:p>
    <w:p w:rsidR="000B65DE" w:rsidRPr="000B65DE" w:rsidRDefault="000B65DE" w:rsidP="000B65DE">
      <w:pPr>
        <w:ind w:left="0"/>
        <w:jc w:val="center"/>
        <w:rPr>
          <w:rFonts w:ascii="Bookman Old Style" w:hAnsi="Bookman Old Style"/>
          <w:b/>
          <w:lang w:val="es-ES_tradnl"/>
        </w:rPr>
      </w:pPr>
    </w:p>
    <w:p w:rsidR="000B65DE" w:rsidRPr="000B65DE" w:rsidRDefault="000B65DE" w:rsidP="000B65DE">
      <w:pPr>
        <w:ind w:left="0"/>
        <w:jc w:val="center"/>
        <w:rPr>
          <w:rFonts w:ascii="Bookman Old Style" w:hAnsi="Bookman Old Style"/>
          <w:b/>
          <w:lang w:val="es-ES_tradnl"/>
        </w:rPr>
      </w:pPr>
    </w:p>
    <w:p w:rsidR="000B65DE" w:rsidRPr="000B65DE" w:rsidRDefault="0092172B" w:rsidP="000B65DE">
      <w:pPr>
        <w:ind w:left="0"/>
        <w:jc w:val="center"/>
        <w:rPr>
          <w:rFonts w:ascii="Bookman Old Style" w:hAnsi="Bookman Old Style"/>
          <w:b/>
          <w:lang w:val="es-ES_tradnl"/>
        </w:rPr>
      </w:pPr>
      <w:r>
        <w:rPr>
          <w:noProof/>
          <w:lang w:val="es-CO" w:eastAsia="es-CO"/>
        </w:rPr>
        <w:drawing>
          <wp:inline distT="0" distB="0" distL="0" distR="0" wp14:anchorId="1F678A9C" wp14:editId="623D3DA4">
            <wp:extent cx="6248400" cy="3714750"/>
            <wp:effectExtent l="0" t="9525" r="9525" b="9525"/>
            <wp:docPr id="277"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rot="-5400000">
                      <a:off x="0" y="0"/>
                      <a:ext cx="6248400" cy="3714750"/>
                    </a:xfrm>
                    <a:prstGeom prst="rect">
                      <a:avLst/>
                    </a:prstGeom>
                    <a:noFill/>
                    <a:ln>
                      <a:noFill/>
                    </a:ln>
                  </pic:spPr>
                </pic:pic>
              </a:graphicData>
            </a:graphic>
          </wp:inline>
        </w:drawing>
      </w:r>
    </w:p>
    <w:p w:rsidR="000B65DE" w:rsidRPr="000B65DE" w:rsidRDefault="000B65DE" w:rsidP="000B65DE">
      <w:pPr>
        <w:ind w:left="0"/>
        <w:jc w:val="center"/>
        <w:rPr>
          <w:rFonts w:ascii="Bookman Old Style" w:hAnsi="Bookman Old Style"/>
          <w:b/>
          <w:lang w:val="es-ES_tradnl"/>
        </w:rPr>
      </w:pPr>
    </w:p>
    <w:p w:rsidR="000B65DE" w:rsidRDefault="000B65DE" w:rsidP="000B65DE">
      <w:pPr>
        <w:ind w:left="0"/>
        <w:jc w:val="center"/>
        <w:rPr>
          <w:rFonts w:ascii="Bookman Old Style" w:hAnsi="Bookman Old Style"/>
          <w:b/>
          <w:lang w:val="es-ES_tradnl"/>
        </w:rPr>
      </w:pPr>
    </w:p>
    <w:tbl>
      <w:tblPr>
        <w:tblW w:w="9570" w:type="dxa"/>
        <w:jc w:val="right"/>
        <w:tblLayout w:type="fixed"/>
        <w:tblCellMar>
          <w:left w:w="70" w:type="dxa"/>
          <w:right w:w="70" w:type="dxa"/>
        </w:tblCellMar>
        <w:tblLook w:val="04A0" w:firstRow="1" w:lastRow="0" w:firstColumn="1" w:lastColumn="0" w:noHBand="0" w:noVBand="1"/>
      </w:tblPr>
      <w:tblGrid>
        <w:gridCol w:w="4875"/>
        <w:gridCol w:w="4695"/>
      </w:tblGrid>
      <w:tr w:rsidR="009E6EA8" w:rsidRPr="000B65DE" w:rsidTr="009E6EA8">
        <w:trPr>
          <w:jc w:val="right"/>
        </w:trPr>
        <w:tc>
          <w:tcPr>
            <w:tcW w:w="4875" w:type="dxa"/>
            <w:hideMark/>
          </w:tcPr>
          <w:p w:rsidR="009E6EA8" w:rsidRPr="000B65DE" w:rsidRDefault="009E6EA8" w:rsidP="00B76CE3">
            <w:pPr>
              <w:ind w:left="0"/>
              <w:jc w:val="center"/>
              <w:rPr>
                <w:rFonts w:ascii="Bookman Old Style" w:hAnsi="Bookman Old Style" w:cs="Arial"/>
                <w:b/>
                <w:spacing w:val="-3"/>
                <w:lang w:val="es-ES_tradnl"/>
              </w:rPr>
            </w:pPr>
            <w:r>
              <w:rPr>
                <w:rFonts w:ascii="Bookman Old Style" w:hAnsi="Bookman Old Style" w:cs="Arial"/>
                <w:b/>
                <w:color w:val="000000"/>
              </w:rPr>
              <w:t>ORLANDO CABRALES SEGOVIA</w:t>
            </w:r>
          </w:p>
        </w:tc>
        <w:tc>
          <w:tcPr>
            <w:tcW w:w="4695" w:type="dxa"/>
            <w:hideMark/>
          </w:tcPr>
          <w:p w:rsidR="009E6EA8" w:rsidRPr="000B65DE" w:rsidRDefault="009E6EA8" w:rsidP="00B76CE3">
            <w:pPr>
              <w:ind w:left="161" w:right="567"/>
              <w:jc w:val="center"/>
              <w:rPr>
                <w:rFonts w:ascii="Bookman Old Style" w:hAnsi="Bookman Old Style" w:cs="Arial"/>
                <w:b/>
                <w:spacing w:val="-3"/>
                <w:lang w:val="es-ES_tradnl"/>
              </w:rPr>
            </w:pPr>
            <w:r w:rsidRPr="000B65DE">
              <w:rPr>
                <w:rFonts w:ascii="Bookman Old Style" w:hAnsi="Bookman Old Style" w:cs="Arial"/>
                <w:b/>
                <w:spacing w:val="-3"/>
                <w:lang w:val="es-ES_tradnl"/>
              </w:rPr>
              <w:t>GERMÁN CASTRO FERREIRA</w:t>
            </w:r>
          </w:p>
        </w:tc>
      </w:tr>
      <w:tr w:rsidR="009E6EA8" w:rsidRPr="000B65DE" w:rsidTr="009E6EA8">
        <w:trPr>
          <w:jc w:val="right"/>
        </w:trPr>
        <w:tc>
          <w:tcPr>
            <w:tcW w:w="4875" w:type="dxa"/>
            <w:hideMark/>
          </w:tcPr>
          <w:tbl>
            <w:tblPr>
              <w:tblW w:w="4891" w:type="dxa"/>
              <w:tblLayout w:type="fixed"/>
              <w:tblCellMar>
                <w:left w:w="0" w:type="dxa"/>
                <w:right w:w="0" w:type="dxa"/>
              </w:tblCellMar>
              <w:tblLook w:val="04A0" w:firstRow="1" w:lastRow="0" w:firstColumn="1" w:lastColumn="0" w:noHBand="0" w:noVBand="1"/>
            </w:tblPr>
            <w:tblGrid>
              <w:gridCol w:w="4891"/>
            </w:tblGrid>
            <w:tr w:rsidR="009E6EA8" w:rsidTr="00B76CE3">
              <w:tc>
                <w:tcPr>
                  <w:tcW w:w="4891" w:type="dxa"/>
                  <w:hideMark/>
                </w:tcPr>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Viceministro de Energía</w:t>
                  </w:r>
                </w:p>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Delegado del Ministro de Minas y Energía</w:t>
                  </w:r>
                </w:p>
              </w:tc>
            </w:tr>
            <w:tr w:rsidR="009E6EA8" w:rsidTr="00B76CE3">
              <w:tc>
                <w:tcPr>
                  <w:tcW w:w="4891" w:type="dxa"/>
                  <w:hideMark/>
                </w:tcPr>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Presidente</w:t>
                  </w:r>
                </w:p>
              </w:tc>
            </w:tr>
          </w:tbl>
          <w:p w:rsidR="009E6EA8" w:rsidRPr="000B65DE" w:rsidRDefault="009E6EA8" w:rsidP="00B76CE3">
            <w:pPr>
              <w:ind w:left="0"/>
              <w:jc w:val="center"/>
              <w:rPr>
                <w:rFonts w:ascii="Bookman Old Style" w:hAnsi="Bookman Old Style" w:cs="Arial"/>
                <w:spacing w:val="-3"/>
                <w:lang w:val="es-ES_tradnl"/>
              </w:rPr>
            </w:pPr>
          </w:p>
        </w:tc>
        <w:tc>
          <w:tcPr>
            <w:tcW w:w="4695" w:type="dxa"/>
            <w:hideMark/>
          </w:tcPr>
          <w:p w:rsidR="009E6EA8" w:rsidRPr="000B65DE" w:rsidRDefault="009E6EA8" w:rsidP="00B76CE3">
            <w:pPr>
              <w:jc w:val="center"/>
              <w:rPr>
                <w:rFonts w:ascii="Bookman Old Style" w:hAnsi="Bookman Old Style" w:cs="Arial"/>
                <w:spacing w:val="-3"/>
                <w:lang w:val="es-ES_tradnl"/>
              </w:rPr>
            </w:pPr>
            <w:r w:rsidRPr="000B65DE">
              <w:rPr>
                <w:rFonts w:ascii="Bookman Old Style" w:hAnsi="Bookman Old Style" w:cs="Arial"/>
                <w:spacing w:val="-3"/>
                <w:lang w:val="es-ES_tradnl"/>
              </w:rPr>
              <w:t>Director Ejecutivo</w:t>
            </w:r>
          </w:p>
        </w:tc>
      </w:tr>
      <w:tr w:rsidR="009E6EA8" w:rsidRPr="000B65DE" w:rsidTr="009E6EA8">
        <w:trPr>
          <w:jc w:val="right"/>
        </w:trPr>
        <w:tc>
          <w:tcPr>
            <w:tcW w:w="4875" w:type="dxa"/>
          </w:tcPr>
          <w:p w:rsidR="009E6EA8" w:rsidRPr="000B65DE" w:rsidRDefault="009E6EA8" w:rsidP="00B76CE3">
            <w:pPr>
              <w:ind w:left="0"/>
              <w:jc w:val="center"/>
              <w:rPr>
                <w:rFonts w:ascii="Bookman Old Style" w:hAnsi="Bookman Old Style" w:cs="Arial"/>
                <w:b/>
                <w:spacing w:val="-3"/>
                <w:lang w:val="es-ES_tradnl"/>
              </w:rPr>
            </w:pPr>
          </w:p>
        </w:tc>
        <w:tc>
          <w:tcPr>
            <w:tcW w:w="4695" w:type="dxa"/>
          </w:tcPr>
          <w:p w:rsidR="009E6EA8" w:rsidRPr="000B65DE" w:rsidRDefault="009E6EA8" w:rsidP="00B76CE3">
            <w:pPr>
              <w:ind w:left="161" w:right="567"/>
              <w:jc w:val="center"/>
              <w:rPr>
                <w:rFonts w:ascii="Bookman Old Style" w:hAnsi="Bookman Old Style" w:cs="Arial"/>
                <w:b/>
                <w:spacing w:val="-3"/>
                <w:lang w:val="es-ES_tradnl"/>
              </w:rPr>
            </w:pPr>
          </w:p>
        </w:tc>
      </w:tr>
    </w:tbl>
    <w:p w:rsidR="000B65DE" w:rsidRPr="000B65DE" w:rsidRDefault="000B65DE" w:rsidP="000B65DE">
      <w:pPr>
        <w:ind w:left="0"/>
        <w:rPr>
          <w:rFonts w:ascii="Bookman Old Style" w:hAnsi="Bookman Old Style"/>
          <w:b/>
          <w:lang w:val="es-ES_tradnl"/>
        </w:rPr>
      </w:pPr>
      <w:r w:rsidRPr="000B65DE">
        <w:rPr>
          <w:rFonts w:ascii="Bookman Old Style" w:hAnsi="Bookman Old Style"/>
          <w:b/>
          <w:lang w:val="es-ES_tradnl"/>
        </w:rPr>
        <w:br w:type="page"/>
      </w:r>
    </w:p>
    <w:p w:rsidR="000B65DE" w:rsidRPr="000B65DE" w:rsidRDefault="000B65DE" w:rsidP="00E528F6">
      <w:pPr>
        <w:numPr>
          <w:ilvl w:val="0"/>
          <w:numId w:val="41"/>
        </w:numPr>
        <w:jc w:val="center"/>
        <w:outlineLvl w:val="0"/>
        <w:rPr>
          <w:rFonts w:ascii="Bookman Old Style" w:hAnsi="Bookman Old Style"/>
          <w:b/>
          <w:lang w:val="es-ES_tradnl"/>
        </w:rPr>
      </w:pPr>
      <w:bookmarkStart w:id="60" w:name="_Ref332876115"/>
    </w:p>
    <w:bookmarkEnd w:id="60"/>
    <w:p w:rsidR="000B65DE" w:rsidRPr="000B65DE" w:rsidRDefault="000B65DE" w:rsidP="000B65DE">
      <w:pPr>
        <w:tabs>
          <w:tab w:val="left" w:pos="5655"/>
        </w:tabs>
        <w:ind w:left="0"/>
        <w:jc w:val="both"/>
        <w:rPr>
          <w:rFonts w:ascii="Bookman Old Style" w:hAnsi="Bookman Old Style"/>
          <w:lang w:val="es-ES_tradnl"/>
        </w:rPr>
      </w:pPr>
      <w:r w:rsidRPr="000B65DE">
        <w:rPr>
          <w:rFonts w:ascii="Bookman Old Style" w:hAnsi="Bookman Old Style"/>
          <w:lang w:val="es-ES_tradnl"/>
        </w:rPr>
        <w:tab/>
      </w:r>
    </w:p>
    <w:p w:rsidR="000B65DE" w:rsidRPr="000B65DE" w:rsidRDefault="000B65DE" w:rsidP="000B65DE">
      <w:pPr>
        <w:ind w:left="0"/>
        <w:jc w:val="center"/>
        <w:outlineLvl w:val="0"/>
        <w:rPr>
          <w:rFonts w:ascii="Bookman Old Style" w:hAnsi="Bookman Old Style"/>
          <w:b/>
          <w:lang w:val="es-ES_tradnl"/>
        </w:rPr>
      </w:pPr>
      <w:r w:rsidRPr="000B65DE">
        <w:rPr>
          <w:rFonts w:ascii="Bookman Old Style" w:hAnsi="Bookman Old Style"/>
          <w:b/>
          <w:lang w:val="es-ES_tradnl"/>
        </w:rPr>
        <w:t>REPORTE DE INFORMACIÓN DE ENTRADA EN OPERACIÓN DE ACTIVOS</w:t>
      </w:r>
    </w:p>
    <w:p w:rsidR="000B65DE" w:rsidRPr="000B65DE" w:rsidRDefault="000B65DE" w:rsidP="000B65DE">
      <w:pPr>
        <w:rPr>
          <w:lang w:val="es-ES_tradnl"/>
        </w:rPr>
      </w:pPr>
    </w:p>
    <w:p w:rsidR="000B65DE" w:rsidRPr="000B65DE" w:rsidRDefault="0092172B" w:rsidP="000B65DE">
      <w:pPr>
        <w:ind w:left="0"/>
        <w:jc w:val="center"/>
        <w:rPr>
          <w:lang w:val="es-ES_tradnl"/>
        </w:rPr>
      </w:pPr>
      <w:r>
        <w:rPr>
          <w:noProof/>
          <w:lang w:val="es-CO" w:eastAsia="es-CO"/>
        </w:rPr>
        <w:drawing>
          <wp:inline distT="0" distB="0" distL="0" distR="0" wp14:anchorId="1A8EF71D" wp14:editId="79AACE33">
            <wp:extent cx="5705475" cy="3714750"/>
            <wp:effectExtent l="0" t="0" r="9525" b="0"/>
            <wp:docPr id="278"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9"/>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05475" cy="3714750"/>
                    </a:xfrm>
                    <a:prstGeom prst="rect">
                      <a:avLst/>
                    </a:prstGeom>
                    <a:noFill/>
                    <a:ln>
                      <a:noFill/>
                    </a:ln>
                  </pic:spPr>
                </pic:pic>
              </a:graphicData>
            </a:graphic>
          </wp:inline>
        </w:drawing>
      </w:r>
    </w:p>
    <w:p w:rsidR="000B65DE" w:rsidRPr="000B65DE" w:rsidRDefault="000B65DE" w:rsidP="000B65DE">
      <w:pPr>
        <w:ind w:left="0"/>
        <w:jc w:val="center"/>
        <w:outlineLvl w:val="0"/>
        <w:rPr>
          <w:rFonts w:ascii="Bookman Old Style" w:hAnsi="Bookman Old Style"/>
          <w:b/>
          <w:lang w:val="es-ES_tradnl"/>
        </w:rPr>
      </w:pPr>
    </w:p>
    <w:p w:rsidR="000B65DE" w:rsidRPr="000B65DE" w:rsidRDefault="000B65DE" w:rsidP="000B65DE">
      <w:pPr>
        <w:ind w:left="0"/>
        <w:jc w:val="center"/>
        <w:rPr>
          <w:rFonts w:ascii="Bookman Old Style" w:hAnsi="Bookman Old Style"/>
          <w:b/>
          <w:lang w:val="es-ES_tradnl"/>
        </w:rPr>
      </w:pPr>
    </w:p>
    <w:p w:rsidR="000B65DE" w:rsidRPr="000B65DE" w:rsidRDefault="000B65DE" w:rsidP="000B65DE">
      <w:pPr>
        <w:tabs>
          <w:tab w:val="left" w:pos="-720"/>
          <w:tab w:val="left" w:pos="0"/>
          <w:tab w:val="left" w:pos="720"/>
          <w:tab w:val="left" w:pos="1440"/>
        </w:tabs>
        <w:suppressAutoHyphens/>
        <w:spacing w:after="240"/>
        <w:ind w:left="0"/>
        <w:jc w:val="both"/>
        <w:rPr>
          <w:rFonts w:ascii="Bookman Old Style" w:hAnsi="Bookman Old Style"/>
          <w:lang w:val="es-ES_tradnl"/>
        </w:rPr>
      </w:pPr>
    </w:p>
    <w:p w:rsidR="000B65DE" w:rsidRPr="000B65DE" w:rsidRDefault="000B65DE" w:rsidP="000B65DE">
      <w:pPr>
        <w:tabs>
          <w:tab w:val="left" w:pos="-720"/>
          <w:tab w:val="left" w:pos="0"/>
          <w:tab w:val="left" w:pos="720"/>
          <w:tab w:val="left" w:pos="1440"/>
        </w:tabs>
        <w:suppressAutoHyphens/>
        <w:spacing w:after="240"/>
        <w:ind w:left="0"/>
        <w:jc w:val="both"/>
        <w:rPr>
          <w:rFonts w:ascii="Bookman Old Style" w:hAnsi="Bookman Old Style"/>
          <w:lang w:val="es-ES_tradnl"/>
        </w:rPr>
      </w:pPr>
    </w:p>
    <w:tbl>
      <w:tblPr>
        <w:tblW w:w="9570" w:type="dxa"/>
        <w:jc w:val="right"/>
        <w:tblLayout w:type="fixed"/>
        <w:tblCellMar>
          <w:left w:w="70" w:type="dxa"/>
          <w:right w:w="70" w:type="dxa"/>
        </w:tblCellMar>
        <w:tblLook w:val="04A0" w:firstRow="1" w:lastRow="0" w:firstColumn="1" w:lastColumn="0" w:noHBand="0" w:noVBand="1"/>
      </w:tblPr>
      <w:tblGrid>
        <w:gridCol w:w="4875"/>
        <w:gridCol w:w="4695"/>
      </w:tblGrid>
      <w:tr w:rsidR="009E6EA8" w:rsidRPr="000B65DE" w:rsidTr="009E6EA8">
        <w:trPr>
          <w:jc w:val="right"/>
        </w:trPr>
        <w:tc>
          <w:tcPr>
            <w:tcW w:w="4875" w:type="dxa"/>
            <w:hideMark/>
          </w:tcPr>
          <w:p w:rsidR="009E6EA8" w:rsidRPr="000B65DE" w:rsidRDefault="009E6EA8" w:rsidP="00B76CE3">
            <w:pPr>
              <w:ind w:left="0"/>
              <w:jc w:val="center"/>
              <w:rPr>
                <w:rFonts w:ascii="Bookman Old Style" w:hAnsi="Bookman Old Style" w:cs="Arial"/>
                <w:b/>
                <w:spacing w:val="-3"/>
                <w:lang w:val="es-ES_tradnl"/>
              </w:rPr>
            </w:pPr>
            <w:r>
              <w:rPr>
                <w:rFonts w:ascii="Bookman Old Style" w:hAnsi="Bookman Old Style" w:cs="Arial"/>
                <w:b/>
                <w:color w:val="000000"/>
              </w:rPr>
              <w:t>ORLANDO CABRALES SEGOVIA</w:t>
            </w:r>
          </w:p>
        </w:tc>
        <w:tc>
          <w:tcPr>
            <w:tcW w:w="4695" w:type="dxa"/>
            <w:hideMark/>
          </w:tcPr>
          <w:p w:rsidR="009E6EA8" w:rsidRPr="000B65DE" w:rsidRDefault="009E6EA8" w:rsidP="00B76CE3">
            <w:pPr>
              <w:ind w:left="161" w:right="567"/>
              <w:jc w:val="center"/>
              <w:rPr>
                <w:rFonts w:ascii="Bookman Old Style" w:hAnsi="Bookman Old Style" w:cs="Arial"/>
                <w:b/>
                <w:spacing w:val="-3"/>
                <w:lang w:val="es-ES_tradnl"/>
              </w:rPr>
            </w:pPr>
            <w:r w:rsidRPr="000B65DE">
              <w:rPr>
                <w:rFonts w:ascii="Bookman Old Style" w:hAnsi="Bookman Old Style" w:cs="Arial"/>
                <w:b/>
                <w:spacing w:val="-3"/>
                <w:lang w:val="es-ES_tradnl"/>
              </w:rPr>
              <w:t>GERMÁN CASTRO FERREIRA</w:t>
            </w:r>
          </w:p>
        </w:tc>
      </w:tr>
      <w:tr w:rsidR="009E6EA8" w:rsidRPr="000B65DE" w:rsidTr="009E6EA8">
        <w:trPr>
          <w:jc w:val="right"/>
        </w:trPr>
        <w:tc>
          <w:tcPr>
            <w:tcW w:w="4875" w:type="dxa"/>
            <w:hideMark/>
          </w:tcPr>
          <w:tbl>
            <w:tblPr>
              <w:tblW w:w="4891" w:type="dxa"/>
              <w:tblLayout w:type="fixed"/>
              <w:tblCellMar>
                <w:left w:w="0" w:type="dxa"/>
                <w:right w:w="0" w:type="dxa"/>
              </w:tblCellMar>
              <w:tblLook w:val="04A0" w:firstRow="1" w:lastRow="0" w:firstColumn="1" w:lastColumn="0" w:noHBand="0" w:noVBand="1"/>
            </w:tblPr>
            <w:tblGrid>
              <w:gridCol w:w="4891"/>
            </w:tblGrid>
            <w:tr w:rsidR="009E6EA8" w:rsidTr="00B76CE3">
              <w:tc>
                <w:tcPr>
                  <w:tcW w:w="4891" w:type="dxa"/>
                  <w:hideMark/>
                </w:tcPr>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Viceministro de Energía</w:t>
                  </w:r>
                </w:p>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Delegado del Ministro de Minas y Energía</w:t>
                  </w:r>
                </w:p>
              </w:tc>
            </w:tr>
            <w:tr w:rsidR="009E6EA8" w:rsidTr="00B76CE3">
              <w:tc>
                <w:tcPr>
                  <w:tcW w:w="4891" w:type="dxa"/>
                  <w:hideMark/>
                </w:tcPr>
                <w:p w:rsidR="009E6EA8" w:rsidRDefault="009E6EA8" w:rsidP="00B76CE3">
                  <w:pPr>
                    <w:snapToGrid w:val="0"/>
                    <w:ind w:left="0"/>
                    <w:jc w:val="center"/>
                    <w:rPr>
                      <w:rFonts w:ascii="Bookman Old Style" w:hAnsi="Bookman Old Style" w:cs="Arial"/>
                      <w:color w:val="000000"/>
                    </w:rPr>
                  </w:pPr>
                  <w:r>
                    <w:rPr>
                      <w:rFonts w:ascii="Bookman Old Style" w:hAnsi="Bookman Old Style" w:cs="Arial"/>
                      <w:color w:val="000000"/>
                    </w:rPr>
                    <w:t>Presidente</w:t>
                  </w:r>
                </w:p>
              </w:tc>
            </w:tr>
          </w:tbl>
          <w:p w:rsidR="009E6EA8" w:rsidRPr="000B65DE" w:rsidRDefault="009E6EA8" w:rsidP="00B76CE3">
            <w:pPr>
              <w:ind w:left="0"/>
              <w:jc w:val="center"/>
              <w:rPr>
                <w:rFonts w:ascii="Bookman Old Style" w:hAnsi="Bookman Old Style" w:cs="Arial"/>
                <w:spacing w:val="-3"/>
                <w:lang w:val="es-ES_tradnl"/>
              </w:rPr>
            </w:pPr>
          </w:p>
        </w:tc>
        <w:tc>
          <w:tcPr>
            <w:tcW w:w="4695" w:type="dxa"/>
            <w:hideMark/>
          </w:tcPr>
          <w:p w:rsidR="009E6EA8" w:rsidRPr="000B65DE" w:rsidRDefault="009E6EA8" w:rsidP="00B76CE3">
            <w:pPr>
              <w:jc w:val="center"/>
              <w:rPr>
                <w:rFonts w:ascii="Bookman Old Style" w:hAnsi="Bookman Old Style" w:cs="Arial"/>
                <w:spacing w:val="-3"/>
                <w:lang w:val="es-ES_tradnl"/>
              </w:rPr>
            </w:pPr>
            <w:r w:rsidRPr="000B65DE">
              <w:rPr>
                <w:rFonts w:ascii="Bookman Old Style" w:hAnsi="Bookman Old Style" w:cs="Arial"/>
                <w:spacing w:val="-3"/>
                <w:lang w:val="es-ES_tradnl"/>
              </w:rPr>
              <w:t>Director Ejecutivo</w:t>
            </w:r>
          </w:p>
        </w:tc>
      </w:tr>
      <w:tr w:rsidR="009E6EA8" w:rsidRPr="000B65DE" w:rsidTr="009E6EA8">
        <w:trPr>
          <w:jc w:val="right"/>
        </w:trPr>
        <w:tc>
          <w:tcPr>
            <w:tcW w:w="4875" w:type="dxa"/>
          </w:tcPr>
          <w:p w:rsidR="009E6EA8" w:rsidRPr="000B65DE" w:rsidRDefault="009E6EA8" w:rsidP="00B76CE3">
            <w:pPr>
              <w:ind w:left="0"/>
              <w:jc w:val="center"/>
              <w:rPr>
                <w:rFonts w:ascii="Bookman Old Style" w:hAnsi="Bookman Old Style" w:cs="Arial"/>
                <w:b/>
                <w:spacing w:val="-3"/>
                <w:lang w:val="es-ES_tradnl"/>
              </w:rPr>
            </w:pPr>
          </w:p>
        </w:tc>
        <w:tc>
          <w:tcPr>
            <w:tcW w:w="4695" w:type="dxa"/>
          </w:tcPr>
          <w:p w:rsidR="009E6EA8" w:rsidRPr="000B65DE" w:rsidRDefault="009E6EA8" w:rsidP="00B76CE3">
            <w:pPr>
              <w:ind w:left="161" w:right="567"/>
              <w:jc w:val="center"/>
              <w:rPr>
                <w:rFonts w:ascii="Bookman Old Style" w:hAnsi="Bookman Old Style" w:cs="Arial"/>
                <w:b/>
                <w:spacing w:val="-3"/>
                <w:lang w:val="es-ES_tradnl"/>
              </w:rPr>
            </w:pPr>
          </w:p>
        </w:tc>
      </w:tr>
    </w:tbl>
    <w:p w:rsidR="000B65DE" w:rsidRPr="000B65DE" w:rsidRDefault="000B65DE" w:rsidP="000B65DE">
      <w:pPr>
        <w:ind w:left="0"/>
        <w:rPr>
          <w:lang w:val="es-ES_tradnl"/>
        </w:rPr>
      </w:pPr>
    </w:p>
    <w:p w:rsidR="000B65DE" w:rsidRPr="000B65DE" w:rsidRDefault="000B65DE" w:rsidP="000B65DE">
      <w:pPr>
        <w:ind w:left="0"/>
        <w:rPr>
          <w:lang w:val="es-ES_tradnl"/>
        </w:rPr>
      </w:pPr>
    </w:p>
    <w:p w:rsidR="00B351B4" w:rsidRPr="006B4647" w:rsidRDefault="00B351B4" w:rsidP="00012259">
      <w:pPr>
        <w:ind w:left="0"/>
        <w:rPr>
          <w:rFonts w:ascii="Bookman Old Style" w:hAnsi="Bookman Old Style"/>
          <w:bCs/>
          <w:lang w:val="es-CO"/>
        </w:rPr>
      </w:pPr>
    </w:p>
    <w:p w:rsidR="00C435C3" w:rsidRPr="006B4647" w:rsidRDefault="00C435C3" w:rsidP="00C435C3">
      <w:pPr>
        <w:ind w:left="0"/>
        <w:rPr>
          <w:rFonts w:ascii="Bookman Old Style" w:hAnsi="Bookman Old Style"/>
          <w:bCs/>
          <w:lang w:val="es-CO"/>
        </w:rPr>
      </w:pPr>
    </w:p>
    <w:p w:rsidR="00B351B4" w:rsidRPr="006B4647" w:rsidRDefault="00B351B4" w:rsidP="00012259">
      <w:pPr>
        <w:ind w:left="0"/>
        <w:rPr>
          <w:rFonts w:ascii="Bookman Old Style" w:hAnsi="Bookman Old Style"/>
          <w:bCs/>
          <w:lang w:val="es-CO"/>
        </w:rPr>
      </w:pPr>
    </w:p>
    <w:p w:rsidR="00B351B4" w:rsidRPr="006B4647" w:rsidRDefault="00B351B4" w:rsidP="00012259">
      <w:pPr>
        <w:ind w:left="0"/>
        <w:rPr>
          <w:rFonts w:ascii="Bookman Old Style" w:hAnsi="Bookman Old Style"/>
          <w:bCs/>
          <w:lang w:val="es-CO"/>
        </w:rPr>
      </w:pPr>
    </w:p>
    <w:sectPr w:rsidR="00B351B4" w:rsidRPr="006B4647" w:rsidSect="005A59EF">
      <w:headerReference w:type="default" r:id="rId168"/>
      <w:headerReference w:type="first" r:id="rId169"/>
      <w:type w:val="continuous"/>
      <w:pgSz w:w="12242" w:h="18722" w:code="123"/>
      <w:pgMar w:top="2341" w:right="1185" w:bottom="1758"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90813" w:rsidRDefault="00F90813">
      <w:r>
        <w:separator/>
      </w:r>
    </w:p>
  </w:endnote>
  <w:endnote w:type="continuationSeparator" w:id="0">
    <w:p w:rsidR="00F90813" w:rsidRDefault="00F908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Comic Sans MS">
    <w:panose1 w:val="030F0702030302020204"/>
    <w:charset w:val="00"/>
    <w:family w:val="script"/>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Helv">
    <w:panose1 w:val="020B060402020203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90813" w:rsidRDefault="00F90813">
      <w:r>
        <w:separator/>
      </w:r>
    </w:p>
  </w:footnote>
  <w:footnote w:type="continuationSeparator" w:id="0">
    <w:p w:rsidR="00F90813" w:rsidRDefault="00F9081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0813" w:rsidRDefault="00F90813" w:rsidP="00951F79">
    <w:pPr>
      <w:pStyle w:val="Ttulo1"/>
      <w:ind w:right="6"/>
      <w:jc w:val="left"/>
      <w:rPr>
        <w:rFonts w:ascii="Bookman Old Style" w:hAnsi="Bookman Old Style" w:cs="Arial"/>
        <w:b w:val="0"/>
        <w:sz w:val="22"/>
        <w:szCs w:val="22"/>
      </w:rPr>
    </w:pPr>
  </w:p>
  <w:p w:rsidR="00F90813" w:rsidRPr="00951F79" w:rsidRDefault="00F90813" w:rsidP="009F4BEC">
    <w:pPr>
      <w:pStyle w:val="Ttulo1"/>
      <w:ind w:left="0" w:right="6"/>
      <w:jc w:val="left"/>
      <w:rPr>
        <w:rFonts w:ascii="Bookman Old Style" w:hAnsi="Bookman Old Style" w:cs="Arial"/>
        <w:b w:val="0"/>
        <w:sz w:val="22"/>
        <w:szCs w:val="22"/>
      </w:rPr>
    </w:pPr>
    <w:r w:rsidRPr="00654384">
      <w:rPr>
        <w:rFonts w:ascii="Bookman Old Style" w:hAnsi="Bookman Old Style" w:cs="Arial"/>
        <w:b w:val="0"/>
        <w:sz w:val="22"/>
        <w:szCs w:val="22"/>
      </w:rPr>
      <w:t>RESOLUCIÓN No.</w:t>
    </w:r>
    <w:r>
      <w:rPr>
        <w:rFonts w:ascii="Bookman Old Style" w:hAnsi="Bookman Old Style" w:cs="Arial"/>
        <w:b w:val="0"/>
        <w:sz w:val="22"/>
        <w:szCs w:val="22"/>
      </w:rPr>
      <w:t xml:space="preserve">  ________________</w:t>
    </w:r>
    <w:r w:rsidRPr="00654384">
      <w:rPr>
        <w:rFonts w:ascii="Bookman Old Style" w:hAnsi="Bookman Old Style" w:cs="Arial"/>
        <w:b w:val="0"/>
        <w:sz w:val="22"/>
        <w:szCs w:val="22"/>
      </w:rPr>
      <w:tab/>
    </w:r>
    <w:r>
      <w:rPr>
        <w:rFonts w:ascii="Bookman Old Style" w:hAnsi="Bookman Old Style" w:cs="Arial"/>
        <w:b w:val="0"/>
        <w:sz w:val="22"/>
        <w:szCs w:val="22"/>
      </w:rPr>
      <w:t>DE ________________</w:t>
    </w:r>
    <w:r>
      <w:rPr>
        <w:rFonts w:ascii="Bookman Old Style" w:hAnsi="Bookman Old Style" w:cs="Arial"/>
        <w:b w:val="0"/>
        <w:sz w:val="22"/>
        <w:szCs w:val="22"/>
      </w:rPr>
      <w:tab/>
    </w:r>
    <w:r w:rsidRPr="00654384">
      <w:rPr>
        <w:rFonts w:ascii="Bookman Old Style" w:hAnsi="Bookman Old Style" w:cs="Arial"/>
        <w:b w:val="0"/>
        <w:sz w:val="22"/>
        <w:szCs w:val="22"/>
      </w:rPr>
      <w:t xml:space="preserve">HOJA No. </w:t>
    </w:r>
    <w:r w:rsidRPr="00654384">
      <w:rPr>
        <w:rFonts w:ascii="Bookman Old Style" w:hAnsi="Bookman Old Style" w:cs="Arial"/>
        <w:b w:val="0"/>
        <w:sz w:val="22"/>
        <w:szCs w:val="22"/>
      </w:rPr>
      <w:fldChar w:fldCharType="begin"/>
    </w:r>
    <w:r w:rsidRPr="00654384">
      <w:rPr>
        <w:rFonts w:ascii="Bookman Old Style" w:hAnsi="Bookman Old Style" w:cs="Arial"/>
        <w:b w:val="0"/>
        <w:sz w:val="22"/>
        <w:szCs w:val="22"/>
      </w:rPr>
      <w:instrText xml:space="preserve"> PAGE   \* MERGEFORMAT </w:instrText>
    </w:r>
    <w:r w:rsidRPr="00654384">
      <w:rPr>
        <w:rFonts w:ascii="Bookman Old Style" w:hAnsi="Bookman Old Style" w:cs="Arial"/>
        <w:b w:val="0"/>
        <w:sz w:val="22"/>
        <w:szCs w:val="22"/>
      </w:rPr>
      <w:fldChar w:fldCharType="separate"/>
    </w:r>
    <w:r w:rsidR="00364E59">
      <w:rPr>
        <w:rFonts w:ascii="Bookman Old Style" w:hAnsi="Bookman Old Style" w:cs="Arial"/>
        <w:b w:val="0"/>
        <w:noProof/>
        <w:sz w:val="22"/>
        <w:szCs w:val="22"/>
      </w:rPr>
      <w:t>66</w:t>
    </w:r>
    <w:r w:rsidRPr="00654384">
      <w:rPr>
        <w:rFonts w:ascii="Bookman Old Style" w:hAnsi="Bookman Old Style" w:cs="Arial"/>
        <w:b w:val="0"/>
        <w:sz w:val="22"/>
        <w:szCs w:val="22"/>
      </w:rPr>
      <w:fldChar w:fldCharType="end"/>
    </w:r>
    <w:r w:rsidRPr="00654384">
      <w:rPr>
        <w:rFonts w:ascii="Bookman Old Style" w:hAnsi="Bookman Old Style" w:cs="Arial"/>
        <w:b w:val="0"/>
        <w:sz w:val="22"/>
        <w:szCs w:val="22"/>
      </w:rPr>
      <w:t>/</w:t>
    </w:r>
    <w:fldSimple w:instr=" NUMPAGES  \* MERGEFORMAT ">
      <w:r w:rsidR="00364E59" w:rsidRPr="00364E59">
        <w:rPr>
          <w:rFonts w:ascii="Bookman Old Style" w:hAnsi="Bookman Old Style" w:cs="Arial"/>
          <w:b w:val="0"/>
          <w:noProof/>
          <w:sz w:val="22"/>
          <w:szCs w:val="22"/>
        </w:rPr>
        <w:t>204</w:t>
      </w:r>
    </w:fldSimple>
  </w:p>
  <w:p w:rsidR="00F90813" w:rsidRDefault="00F90813" w:rsidP="00AD01E4">
    <w:pPr>
      <w:ind w:left="142" w:right="148"/>
      <w:rPr>
        <w:rFonts w:ascii="Bookman Old Style" w:hAnsi="Bookman Old Style" w:cs="Arial"/>
      </w:rPr>
    </w:pPr>
    <w:r>
      <w:rPr>
        <w:noProof/>
        <w:lang w:val="es-CO" w:eastAsia="es-CO"/>
      </w:rPr>
      <mc:AlternateContent>
        <mc:Choice Requires="wps">
          <w:drawing>
            <wp:anchor distT="0" distB="0" distL="114300" distR="114300" simplePos="0" relativeHeight="251657216" behindDoc="0" locked="0" layoutInCell="1" allowOverlap="1" wp14:anchorId="6DA53E70" wp14:editId="77593AF5">
              <wp:simplePos x="0" y="0"/>
              <wp:positionH relativeFrom="column">
                <wp:posOffset>-175260</wp:posOffset>
              </wp:positionH>
              <wp:positionV relativeFrom="paragraph">
                <wp:posOffset>139065</wp:posOffset>
              </wp:positionV>
              <wp:extent cx="6267450" cy="9900920"/>
              <wp:effectExtent l="0" t="0" r="19050" b="24130"/>
              <wp:wrapNone/>
              <wp:docPr id="3"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67450" cy="990092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13.8pt;margin-top:10.95pt;width:493.5pt;height:779.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fuzegIAAP0EAAAOAAAAZHJzL2Uyb0RvYy54bWysVFFv0zAQfkfiP1h+75J0addES6eqaRHS&#10;gInBD3Btp7FwbGO7TcfEf+fstKVjLwiRh8SXO5+/7+47394dOon23DqhVYWzqxQjrqhmQm0r/PXL&#10;ejTDyHmiGJFa8Qo/cYfv5m/f3Pam5GPdasm4RZBEubI3FW69N2WSONryjrgrbbgCZ6NtRzyYdpsw&#10;S3rI3slknKbTpNeWGaspdw7+1oMTz2P+puHUf2oaxz2SFQZsPr5tfG/CO5nfknJriWkFPcIg/4Ci&#10;I0LBoedUNfEE7ax4laoT1GqnG39FdZfophGURw7AJkv/YPPYEsMjFyiOM+cyuf+Xln7cP1gkWIWv&#10;MVKkgxZ9hqIRtZUcZaE8vXElRD2aBxsIOnOv6TeHlF62EMUX1uq+5YQBqBifvNgQDAdb0ab/oBlk&#10;JzuvY6UOje1CQqgBOsSGPJ0bwg8eUfg5HU9v8gn0jYKvKNK0GMeWJaQ8bTfW+XdcdygsKmwBfExP&#10;9vfOA3wIPYWE05ReCylj16VCPWAuUjggMtNSsOCNht1ultKiPQnCiU8oBmRzl2Gd8CBfKboKz85B&#10;pAz1WCkWj/FEyGENm6UKyYEegDuuBpk8F2mxmq1m+SgfT1ejPK3r0WK9zEfTdXYzqa/r5bLOfgac&#10;WV62gjGuAtSTZLP87yRxHJ5BbGfRvqDkLpmv4/OaefISRiwMsDp9I7sohND7QUMbzZ5AB1YPMwh3&#10;BixabX9g1MP8Vdh93xHLMZLvFWipyPI8DGw08skNNB7ZS8/m0kMUhVQV9hgNy6UfhnxnrNi2cFIW&#10;e6z0AvTXiKiMoM0BFeAOBsxYZHC8D8IQX9ox6vetNf8FAAD//wMAUEsDBBQABgAIAAAAIQBXFkFY&#10;4wAAAAsBAAAPAAAAZHJzL2Rvd25yZXYueG1sTI9BS8NAEIXvgv9hGcGLtJuENk1iNqUInhSk0UJ7&#10;2+6OSTC7G7PbNv33jic9Du/jvW/K9WR6dsbRd84KiOcRMLTK6c42Aj7en2cZMB+k1bJ3FgVc0cO6&#10;ur0pZaHdxW7xXIeGUYn1hRTQhjAUnHvVopF+7ga0lH260chA59hwPcoLlZueJ1GUciM7SwutHPCp&#10;RfVVn4yAh0Vq9G7/fR0P9ct+95apzatXQtzfTZtHYAGn8AfDrz6pQ0VOR3ey2rNewCxZpYQKSOIc&#10;GAH5Ml8AOxK5zOIYeFXy/z9UPwAAAP//AwBQSwECLQAUAAYACAAAACEAtoM4kv4AAADhAQAAEwAA&#10;AAAAAAAAAAAAAAAAAAAAW0NvbnRlbnRfVHlwZXNdLnhtbFBLAQItABQABgAIAAAAIQA4/SH/1gAA&#10;AJQBAAALAAAAAAAAAAAAAAAAAC8BAABfcmVscy8ucmVsc1BLAQItABQABgAIAAAAIQCpdfuzegIA&#10;AP0EAAAOAAAAAAAAAAAAAAAAAC4CAABkcnMvZTJvRG9jLnhtbFBLAQItABQABgAIAAAAIQBXFkFY&#10;4wAAAAsBAAAPAAAAAAAAAAAAAAAAANQEAABkcnMvZG93bnJldi54bWxQSwUGAAAAAAQABADzAAAA&#10;5AUAAAAA&#10;" filled="f" strokeweight="1.5pt"/>
          </w:pict>
        </mc:Fallback>
      </mc:AlternateContent>
    </w:r>
  </w:p>
  <w:p w:rsidR="00F90813" w:rsidRPr="00C7068E" w:rsidRDefault="00F90813" w:rsidP="00C7068E">
    <w:pPr>
      <w:ind w:left="0" w:right="340"/>
      <w:jc w:val="both"/>
      <w:rPr>
        <w:rFonts w:ascii="Bookman Old Style" w:hAnsi="Bookman Old Style"/>
        <w:sz w:val="22"/>
        <w:szCs w:val="22"/>
        <w:lang w:val="es-ES_tradnl"/>
      </w:rPr>
    </w:pPr>
    <w:r w:rsidRPr="00C7068E">
      <w:rPr>
        <w:rFonts w:ascii="Bookman Old Style" w:hAnsi="Bookman Old Style"/>
        <w:sz w:val="22"/>
        <w:szCs w:val="22"/>
        <w:lang w:val="es-ES_tradnl" w:eastAsia="es-CO"/>
      </w:rPr>
      <w:t xml:space="preserve">Por la cual se </w:t>
    </w:r>
    <w:r w:rsidRPr="00C7068E">
      <w:rPr>
        <w:rFonts w:ascii="Bookman Old Style" w:hAnsi="Bookman Old Style"/>
        <w:sz w:val="22"/>
        <w:szCs w:val="22"/>
        <w:lang w:val="es-ES_tradnl"/>
      </w:rPr>
      <w:t>establecen los criterios generales para remunerar la actividad de distribución de gas combustible por redes de tubería y se dictan otras disposiciones.</w:t>
    </w:r>
  </w:p>
  <w:p w:rsidR="00F90813" w:rsidRPr="000B65DE" w:rsidRDefault="00F90813" w:rsidP="00AD01E4">
    <w:pPr>
      <w:pBdr>
        <w:bottom w:val="single" w:sz="4" w:space="1" w:color="auto"/>
      </w:pBdr>
      <w:ind w:left="142" w:right="148"/>
      <w:rPr>
        <w:b/>
        <w:lang w:val="es-ES_tradnl"/>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0813" w:rsidRDefault="00F90813" w:rsidP="00025383">
    <w:pPr>
      <w:pStyle w:val="Encabezado"/>
      <w:jc w:val="both"/>
      <w:rPr>
        <w:rFonts w:ascii="Arial" w:hAnsi="Arial" w:cs="Arial"/>
        <w:spacing w:val="20"/>
        <w:sz w:val="20"/>
      </w:rPr>
    </w:pPr>
    <w:r>
      <w:rPr>
        <w:rFonts w:ascii="Arial" w:hAnsi="Arial" w:cs="Arial"/>
        <w:spacing w:val="20"/>
        <w:sz w:val="20"/>
      </w:rPr>
      <w:t xml:space="preserve">                                   República de Colombia</w:t>
    </w:r>
  </w:p>
  <w:p w:rsidR="00F90813" w:rsidRDefault="00F90813">
    <w:pPr>
      <w:pStyle w:val="Encabezado"/>
      <w:jc w:val="center"/>
      <w:rPr>
        <w:rFonts w:ascii="Arial" w:hAnsi="Arial" w:cs="Arial"/>
        <w:spacing w:val="20"/>
        <w:sz w:val="20"/>
      </w:rPr>
    </w:pPr>
  </w:p>
  <w:p w:rsidR="00F90813" w:rsidRDefault="00F90813" w:rsidP="00CA77FB">
    <w:pPr>
      <w:pStyle w:val="Encabezado"/>
      <w:jc w:val="center"/>
    </w:pPr>
    <w:r>
      <w:rPr>
        <w:rFonts w:ascii="Arial" w:hAnsi="Arial" w:cs="Arial"/>
        <w:noProof/>
        <w:spacing w:val="20"/>
        <w:sz w:val="20"/>
        <w:lang w:eastAsia="es-CO"/>
      </w:rPr>
      <mc:AlternateContent>
        <mc:Choice Requires="wps">
          <w:drawing>
            <wp:anchor distT="0" distB="0" distL="114300" distR="114300" simplePos="0" relativeHeight="251658240" behindDoc="0" locked="0" layoutInCell="1" allowOverlap="1">
              <wp:simplePos x="0" y="0"/>
              <wp:positionH relativeFrom="column">
                <wp:posOffset>-213360</wp:posOffset>
              </wp:positionH>
              <wp:positionV relativeFrom="paragraph">
                <wp:posOffset>377190</wp:posOffset>
              </wp:positionV>
              <wp:extent cx="6343650" cy="9839325"/>
              <wp:effectExtent l="0" t="0" r="19050" b="28575"/>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43650" cy="983932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16.8pt;margin-top:29.7pt;width:499.5pt;height:774.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xB0eQIAAP0EAAAOAAAAZHJzL2Uyb0RvYy54bWysVG1v0zAQ/o7Ef7D8vctL066Nlk5T0yKk&#10;ARODH+DaTmPh2MZ2m46J/87ZaUvHviBEPiS++Hz3PHfP+eb20Em059YJrSqcXaUYcUU1E2pb4a9f&#10;1qMZRs4TxYjUilf4iTt8u3j75qY3Jc91qyXjFkEQ5creVLj13pRJ4mjLO+KutOEKNhttO+LBtNuE&#10;WdJD9E4meZpOk15bZqym3Dn4Ww+beBHjNw2n/lPTOO6RrDBg8/Ft43sT3snihpRbS0wr6BEG+QcU&#10;HREKkp5D1cQTtLPiVahOUKudbvwV1V2im0ZQHjkAmyz9g81jSwyPXKA4zpzL5P5fWPpx/2CRYBXO&#10;MVKkgxZ9hqIRtZUc5aE8vXEleD2aBxsIOnOv6TeHlF624MXvrNV9ywkDUFnwT14cCIaDo2jTf9AM&#10;opOd17FSh8Z2ISDUAB1iQ57ODeEHjyj8nI6L8XQCfaOwN5+N5+N8EnOQ8nTcWOffcd2hsKiwBfAx&#10;PNnfOx/gkPLkErIpvRZSxq5LhXrAPE8hQWSmpWBhNxp2u1lKi/YkCCc+x8Tu0q0THuQrRVfh2dmJ&#10;lKEeK8ViGk+EHNYARaoQHOgBuONqkMnzPJ2vZqtZMSry6WpUpHU9ulsvi9F0nV1P6nG9XNbZz4Az&#10;K8pWMMZVgHqSbFb8nSSOwzOI7SzaF5TcJfN1fF4zT17CiGUGVqdvZBeFEHo/aGij2RPowOphBuHO&#10;gEWr7Q+Mepi/CrvvO2I5RvK9Ai3Ns6IIAxuNYnKdg2EvdzaXO0RRCFVhj9GwXPphyHfGim0LmbLY&#10;Y6XvQH+NiMoI2hxQHVULMxYZHO+DMMSXdvT6fWstfgEAAP//AwBQSwMEFAAGAAgAAAAhAKhwkK7i&#10;AAAACwEAAA8AAABkcnMvZG93bnJldi54bWxMj8FOwzAMhu9IvENkJC5oS2Fb1Jam04TECSREYdK4&#10;ZUloKxqnJNnWvT3mBDdb/vT7+6v15AZ2tCH2HiXczjNgFrU3PbYS3t8eZzmwmBQaNXi0Es42wrq+&#10;vKhUafwJX+2xSS2jEIylktClNJacR91Zp+Lcjxbp9umDU4nW0HIT1InC3cDvskxwp3qkD50a7UNn&#10;9VdzcBJulsKZ7e77HD6ap932Jdeb56ilvL6aNvfAkp3SHwy/+qQONTnt/QFNZIOE2WIhCJWwKpbA&#10;CCjEioY9kSLLC+B1xf93qH8AAAD//wMAUEsBAi0AFAAGAAgAAAAhALaDOJL+AAAA4QEAABMAAAAA&#10;AAAAAAAAAAAAAAAAAFtDb250ZW50X1R5cGVzXS54bWxQSwECLQAUAAYACAAAACEAOP0h/9YAAACU&#10;AQAACwAAAAAAAAAAAAAAAAAvAQAAX3JlbHMvLnJlbHNQSwECLQAUAAYACAAAACEAVL8QdHkCAAD9&#10;BAAADgAAAAAAAAAAAAAAAAAuAgAAZHJzL2Uyb0RvYy54bWxQSwECLQAUAAYACAAAACEAqHCQruIA&#10;AAALAQAADwAAAAAAAAAAAAAAAADTBAAAZHJzL2Rvd25yZXYueG1sUEsFBgAAAAAEAAQA8wAAAOIF&#10;AAAAAA==&#10;" filled="f" strokeweight="1.5p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F"/>
    <w:multiLevelType w:val="multilevel"/>
    <w:tmpl w:val="0000001F"/>
    <w:name w:val="WW8StyleNum"/>
    <w:lvl w:ilvl="0">
      <w:start w:val="1"/>
      <w:numFmt w:val="lowerLetter"/>
      <w:pStyle w:val="Vietaletra"/>
      <w:lvlText w:val="%1)"/>
      <w:lvlJc w:val="left"/>
      <w:pPr>
        <w:tabs>
          <w:tab w:val="num" w:pos="360"/>
        </w:tabs>
      </w:pPr>
    </w:lvl>
    <w:lvl w:ilvl="1">
      <w:start w:val="1"/>
      <w:numFmt w:val="decimal"/>
      <w:lvlText w:val="%2."/>
      <w:lvlJc w:val="left"/>
      <w:pPr>
        <w:tabs>
          <w:tab w:val="num" w:pos="1080"/>
        </w:tabs>
      </w:pPr>
    </w:lvl>
    <w:lvl w:ilvl="2">
      <w:start w:val="1"/>
      <w:numFmt w:val="decimal"/>
      <w:lvlText w:val="%3."/>
      <w:lvlJc w:val="left"/>
      <w:pPr>
        <w:tabs>
          <w:tab w:val="num" w:pos="1440"/>
        </w:tabs>
      </w:pPr>
    </w:lvl>
    <w:lvl w:ilvl="3">
      <w:start w:val="1"/>
      <w:numFmt w:val="decimal"/>
      <w:lvlText w:val="%4."/>
      <w:lvlJc w:val="left"/>
      <w:pPr>
        <w:tabs>
          <w:tab w:val="num" w:pos="1800"/>
        </w:tabs>
      </w:pPr>
    </w:lvl>
    <w:lvl w:ilvl="4">
      <w:start w:val="1"/>
      <w:numFmt w:val="decimal"/>
      <w:lvlText w:val="%5."/>
      <w:lvlJc w:val="left"/>
      <w:pPr>
        <w:tabs>
          <w:tab w:val="num" w:pos="2160"/>
        </w:tabs>
      </w:pPr>
    </w:lvl>
    <w:lvl w:ilvl="5">
      <w:start w:val="1"/>
      <w:numFmt w:val="decimal"/>
      <w:lvlText w:val="%6."/>
      <w:lvlJc w:val="left"/>
      <w:pPr>
        <w:tabs>
          <w:tab w:val="num" w:pos="2520"/>
        </w:tabs>
      </w:pPr>
    </w:lvl>
    <w:lvl w:ilvl="6">
      <w:start w:val="1"/>
      <w:numFmt w:val="decimal"/>
      <w:lvlText w:val="%7."/>
      <w:lvlJc w:val="left"/>
      <w:pPr>
        <w:tabs>
          <w:tab w:val="num" w:pos="2880"/>
        </w:tabs>
      </w:pPr>
    </w:lvl>
    <w:lvl w:ilvl="7">
      <w:start w:val="1"/>
      <w:numFmt w:val="decimal"/>
      <w:lvlText w:val="%8."/>
      <w:lvlJc w:val="left"/>
      <w:pPr>
        <w:tabs>
          <w:tab w:val="num" w:pos="3240"/>
        </w:tabs>
      </w:pPr>
    </w:lvl>
    <w:lvl w:ilvl="8">
      <w:start w:val="1"/>
      <w:numFmt w:val="decimal"/>
      <w:lvlText w:val="%9."/>
      <w:lvlJc w:val="left"/>
      <w:pPr>
        <w:tabs>
          <w:tab w:val="num" w:pos="3600"/>
        </w:tabs>
      </w:pPr>
    </w:lvl>
  </w:abstractNum>
  <w:abstractNum w:abstractNumId="1">
    <w:nsid w:val="0A4952ED"/>
    <w:multiLevelType w:val="hybridMultilevel"/>
    <w:tmpl w:val="9F62041A"/>
    <w:lvl w:ilvl="0" w:tplc="FFFFFFFF">
      <w:start w:val="1"/>
      <w:numFmt w:val="bullet"/>
      <w:lvlText w:val=""/>
      <w:lvlJc w:val="left"/>
      <w:pPr>
        <w:tabs>
          <w:tab w:val="num" w:pos="720"/>
        </w:tabs>
        <w:ind w:left="720" w:hanging="360"/>
      </w:pPr>
      <w:rPr>
        <w:rFonts w:ascii="Symbol" w:hAnsi="Symbol" w:hint="default"/>
      </w:rPr>
    </w:lvl>
    <w:lvl w:ilvl="1" w:tplc="DA36E0AE">
      <w:start w:val="2"/>
      <w:numFmt w:val="bullet"/>
      <w:lvlText w:val="-"/>
      <w:lvlJc w:val="left"/>
      <w:pPr>
        <w:tabs>
          <w:tab w:val="num" w:pos="1440"/>
        </w:tabs>
        <w:ind w:left="1440" w:hanging="360"/>
      </w:pPr>
      <w:rPr>
        <w:rFonts w:ascii="Times New Roman" w:eastAsia="Times New Roman" w:hAnsi="Times New Roman" w:cs="Times New Roman" w:hint="default"/>
        <w:b/>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nsid w:val="10F83ED8"/>
    <w:multiLevelType w:val="hybridMultilevel"/>
    <w:tmpl w:val="45CCF798"/>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nsid w:val="13DA474D"/>
    <w:multiLevelType w:val="hybridMultilevel"/>
    <w:tmpl w:val="7EA03D72"/>
    <w:lvl w:ilvl="0" w:tplc="D0B2FBD0">
      <w:start w:val="1"/>
      <w:numFmt w:val="lowerLetter"/>
      <w:lvlText w:val="%1)"/>
      <w:lvlJc w:val="left"/>
      <w:pPr>
        <w:ind w:left="720" w:hanging="360"/>
      </w:pPr>
      <w:rPr>
        <w:rFonts w:ascii="Bookman Old Style" w:hAnsi="Bookman Old Style" w:hint="default"/>
        <w:b w:val="0"/>
        <w:i w:val="0"/>
        <w:caps w:val="0"/>
        <w:strike w:val="0"/>
        <w:dstrike w:val="0"/>
        <w:vanish w:val="0"/>
        <w:color w:val="auto"/>
        <w:sz w:val="24"/>
        <w:effect w:val="none"/>
        <w:vertAlign w:val="baseline"/>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13ED1F47"/>
    <w:multiLevelType w:val="multilevel"/>
    <w:tmpl w:val="287A55FE"/>
    <w:lvl w:ilvl="0">
      <w:start w:val="1"/>
      <w:numFmt w:val="decimal"/>
      <w:lvlText w:val="%1."/>
      <w:lvlJc w:val="left"/>
      <w:pPr>
        <w:ind w:left="720" w:hanging="360"/>
      </w:pPr>
    </w:lvl>
    <w:lvl w:ilvl="1">
      <w:start w:val="1"/>
      <w:numFmt w:val="decimal"/>
      <w:lvlText w:val="%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5">
    <w:nsid w:val="14C156DD"/>
    <w:multiLevelType w:val="hybridMultilevel"/>
    <w:tmpl w:val="3FF4DB16"/>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14C74E14"/>
    <w:multiLevelType w:val="hybridMultilevel"/>
    <w:tmpl w:val="7EA03D72"/>
    <w:lvl w:ilvl="0" w:tplc="D0B2FBD0">
      <w:start w:val="1"/>
      <w:numFmt w:val="lowerLetter"/>
      <w:lvlText w:val="%1)"/>
      <w:lvlJc w:val="left"/>
      <w:pPr>
        <w:ind w:left="720" w:hanging="360"/>
      </w:pPr>
      <w:rPr>
        <w:rFonts w:ascii="Bookman Old Style" w:hAnsi="Bookman Old Style" w:hint="default"/>
        <w:b w:val="0"/>
        <w:i w:val="0"/>
        <w:caps w:val="0"/>
        <w:strike w:val="0"/>
        <w:dstrike w:val="0"/>
        <w:vanish w:val="0"/>
        <w:color w:val="auto"/>
        <w:sz w:val="24"/>
        <w:effect w:val="none"/>
        <w:vertAlign w:val="baseline"/>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1B721DEC"/>
    <w:multiLevelType w:val="hybridMultilevel"/>
    <w:tmpl w:val="1BE2FE7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nsid w:val="1C1E5ACE"/>
    <w:multiLevelType w:val="hybridMultilevel"/>
    <w:tmpl w:val="4FAAAF8A"/>
    <w:lvl w:ilvl="0" w:tplc="BFE8D5BC">
      <w:start w:val="2"/>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1D0D45C0"/>
    <w:multiLevelType w:val="hybridMultilevel"/>
    <w:tmpl w:val="48FC64C4"/>
    <w:lvl w:ilvl="0" w:tplc="27486A00">
      <w:start w:val="1"/>
      <w:numFmt w:val="lowerRoman"/>
      <w:lvlText w:val="(%1)"/>
      <w:lvlJc w:val="left"/>
      <w:pPr>
        <w:ind w:left="1425" w:hanging="720"/>
      </w:pPr>
      <w:rPr>
        <w:rFonts w:hint="default"/>
        <w:lang w:val="es-ES"/>
      </w:rPr>
    </w:lvl>
    <w:lvl w:ilvl="1" w:tplc="240A0019" w:tentative="1">
      <w:start w:val="1"/>
      <w:numFmt w:val="lowerLetter"/>
      <w:lvlText w:val="%2."/>
      <w:lvlJc w:val="left"/>
      <w:pPr>
        <w:ind w:left="1785" w:hanging="360"/>
      </w:pPr>
    </w:lvl>
    <w:lvl w:ilvl="2" w:tplc="240A001B" w:tentative="1">
      <w:start w:val="1"/>
      <w:numFmt w:val="lowerRoman"/>
      <w:lvlText w:val="%3."/>
      <w:lvlJc w:val="right"/>
      <w:pPr>
        <w:ind w:left="2505" w:hanging="180"/>
      </w:pPr>
    </w:lvl>
    <w:lvl w:ilvl="3" w:tplc="240A000F" w:tentative="1">
      <w:start w:val="1"/>
      <w:numFmt w:val="decimal"/>
      <w:lvlText w:val="%4."/>
      <w:lvlJc w:val="left"/>
      <w:pPr>
        <w:ind w:left="3225" w:hanging="360"/>
      </w:pPr>
    </w:lvl>
    <w:lvl w:ilvl="4" w:tplc="240A0019" w:tentative="1">
      <w:start w:val="1"/>
      <w:numFmt w:val="lowerLetter"/>
      <w:lvlText w:val="%5."/>
      <w:lvlJc w:val="left"/>
      <w:pPr>
        <w:ind w:left="3945" w:hanging="360"/>
      </w:pPr>
    </w:lvl>
    <w:lvl w:ilvl="5" w:tplc="240A001B" w:tentative="1">
      <w:start w:val="1"/>
      <w:numFmt w:val="lowerRoman"/>
      <w:lvlText w:val="%6."/>
      <w:lvlJc w:val="right"/>
      <w:pPr>
        <w:ind w:left="4665" w:hanging="180"/>
      </w:pPr>
    </w:lvl>
    <w:lvl w:ilvl="6" w:tplc="240A000F" w:tentative="1">
      <w:start w:val="1"/>
      <w:numFmt w:val="decimal"/>
      <w:lvlText w:val="%7."/>
      <w:lvlJc w:val="left"/>
      <w:pPr>
        <w:ind w:left="5385" w:hanging="360"/>
      </w:pPr>
    </w:lvl>
    <w:lvl w:ilvl="7" w:tplc="240A0019" w:tentative="1">
      <w:start w:val="1"/>
      <w:numFmt w:val="lowerLetter"/>
      <w:lvlText w:val="%8."/>
      <w:lvlJc w:val="left"/>
      <w:pPr>
        <w:ind w:left="6105" w:hanging="360"/>
      </w:pPr>
    </w:lvl>
    <w:lvl w:ilvl="8" w:tplc="240A001B" w:tentative="1">
      <w:start w:val="1"/>
      <w:numFmt w:val="lowerRoman"/>
      <w:lvlText w:val="%9."/>
      <w:lvlJc w:val="right"/>
      <w:pPr>
        <w:ind w:left="6825" w:hanging="180"/>
      </w:pPr>
    </w:lvl>
  </w:abstractNum>
  <w:abstractNum w:abstractNumId="10">
    <w:nsid w:val="205C1ED8"/>
    <w:multiLevelType w:val="hybridMultilevel"/>
    <w:tmpl w:val="D3CA7888"/>
    <w:lvl w:ilvl="0" w:tplc="9C921368">
      <w:start w:val="1"/>
      <w:numFmt w:val="decimal"/>
      <w:lvlText w:val="%1."/>
      <w:lvlJc w:val="left"/>
      <w:pPr>
        <w:ind w:left="644" w:hanging="360"/>
      </w:pPr>
      <w:rPr>
        <w:rFonts w:hint="default"/>
      </w:rPr>
    </w:lvl>
    <w:lvl w:ilvl="1" w:tplc="240A0019" w:tentative="1">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11">
    <w:nsid w:val="23984298"/>
    <w:multiLevelType w:val="hybridMultilevel"/>
    <w:tmpl w:val="2870C84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nsid w:val="2537743D"/>
    <w:multiLevelType w:val="hybridMultilevel"/>
    <w:tmpl w:val="4CBA051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nsid w:val="27633CB7"/>
    <w:multiLevelType w:val="hybridMultilevel"/>
    <w:tmpl w:val="114E4688"/>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nsid w:val="293D4EEE"/>
    <w:multiLevelType w:val="hybridMultilevel"/>
    <w:tmpl w:val="9C0296E0"/>
    <w:lvl w:ilvl="0" w:tplc="FFFFFFFF">
      <w:start w:val="1"/>
      <w:numFmt w:val="bullet"/>
      <w:lvlText w:val=""/>
      <w:lvlJc w:val="left"/>
      <w:pPr>
        <w:tabs>
          <w:tab w:val="num" w:pos="1069"/>
        </w:tabs>
        <w:ind w:left="1069" w:hanging="360"/>
      </w:pPr>
      <w:rPr>
        <w:rFonts w:ascii="Symbol" w:hAnsi="Symbol" w:hint="default"/>
      </w:rPr>
    </w:lvl>
    <w:lvl w:ilvl="1" w:tplc="FFFFFFFF" w:tentative="1">
      <w:start w:val="1"/>
      <w:numFmt w:val="bullet"/>
      <w:lvlText w:val="o"/>
      <w:lvlJc w:val="left"/>
      <w:pPr>
        <w:tabs>
          <w:tab w:val="num" w:pos="1789"/>
        </w:tabs>
        <w:ind w:left="1789" w:hanging="360"/>
      </w:pPr>
      <w:rPr>
        <w:rFonts w:ascii="Courier New" w:hAnsi="Courier New" w:cs="Courier New" w:hint="default"/>
      </w:rPr>
    </w:lvl>
    <w:lvl w:ilvl="2" w:tplc="FFFFFFFF" w:tentative="1">
      <w:start w:val="1"/>
      <w:numFmt w:val="bullet"/>
      <w:lvlText w:val=""/>
      <w:lvlJc w:val="left"/>
      <w:pPr>
        <w:tabs>
          <w:tab w:val="num" w:pos="2509"/>
        </w:tabs>
        <w:ind w:left="2509" w:hanging="360"/>
      </w:pPr>
      <w:rPr>
        <w:rFonts w:ascii="Wingdings" w:hAnsi="Wingdings" w:hint="default"/>
      </w:rPr>
    </w:lvl>
    <w:lvl w:ilvl="3" w:tplc="FFFFFFFF" w:tentative="1">
      <w:start w:val="1"/>
      <w:numFmt w:val="bullet"/>
      <w:lvlText w:val=""/>
      <w:lvlJc w:val="left"/>
      <w:pPr>
        <w:tabs>
          <w:tab w:val="num" w:pos="3229"/>
        </w:tabs>
        <w:ind w:left="3229" w:hanging="360"/>
      </w:pPr>
      <w:rPr>
        <w:rFonts w:ascii="Symbol" w:hAnsi="Symbol" w:hint="default"/>
      </w:rPr>
    </w:lvl>
    <w:lvl w:ilvl="4" w:tplc="FFFFFFFF" w:tentative="1">
      <w:start w:val="1"/>
      <w:numFmt w:val="bullet"/>
      <w:lvlText w:val="o"/>
      <w:lvlJc w:val="left"/>
      <w:pPr>
        <w:tabs>
          <w:tab w:val="num" w:pos="3949"/>
        </w:tabs>
        <w:ind w:left="3949" w:hanging="360"/>
      </w:pPr>
      <w:rPr>
        <w:rFonts w:ascii="Courier New" w:hAnsi="Courier New" w:cs="Courier New" w:hint="default"/>
      </w:rPr>
    </w:lvl>
    <w:lvl w:ilvl="5" w:tplc="FFFFFFFF" w:tentative="1">
      <w:start w:val="1"/>
      <w:numFmt w:val="bullet"/>
      <w:lvlText w:val=""/>
      <w:lvlJc w:val="left"/>
      <w:pPr>
        <w:tabs>
          <w:tab w:val="num" w:pos="4669"/>
        </w:tabs>
        <w:ind w:left="4669" w:hanging="360"/>
      </w:pPr>
      <w:rPr>
        <w:rFonts w:ascii="Wingdings" w:hAnsi="Wingdings" w:hint="default"/>
      </w:rPr>
    </w:lvl>
    <w:lvl w:ilvl="6" w:tplc="FFFFFFFF" w:tentative="1">
      <w:start w:val="1"/>
      <w:numFmt w:val="bullet"/>
      <w:lvlText w:val=""/>
      <w:lvlJc w:val="left"/>
      <w:pPr>
        <w:tabs>
          <w:tab w:val="num" w:pos="5389"/>
        </w:tabs>
        <w:ind w:left="5389" w:hanging="360"/>
      </w:pPr>
      <w:rPr>
        <w:rFonts w:ascii="Symbol" w:hAnsi="Symbol" w:hint="default"/>
      </w:rPr>
    </w:lvl>
    <w:lvl w:ilvl="7" w:tplc="FFFFFFFF" w:tentative="1">
      <w:start w:val="1"/>
      <w:numFmt w:val="bullet"/>
      <w:lvlText w:val="o"/>
      <w:lvlJc w:val="left"/>
      <w:pPr>
        <w:tabs>
          <w:tab w:val="num" w:pos="6109"/>
        </w:tabs>
        <w:ind w:left="6109" w:hanging="360"/>
      </w:pPr>
      <w:rPr>
        <w:rFonts w:ascii="Courier New" w:hAnsi="Courier New" w:cs="Courier New" w:hint="default"/>
      </w:rPr>
    </w:lvl>
    <w:lvl w:ilvl="8" w:tplc="FFFFFFFF" w:tentative="1">
      <w:start w:val="1"/>
      <w:numFmt w:val="bullet"/>
      <w:lvlText w:val=""/>
      <w:lvlJc w:val="left"/>
      <w:pPr>
        <w:tabs>
          <w:tab w:val="num" w:pos="6829"/>
        </w:tabs>
        <w:ind w:left="6829" w:hanging="360"/>
      </w:pPr>
      <w:rPr>
        <w:rFonts w:ascii="Wingdings" w:hAnsi="Wingdings" w:hint="default"/>
      </w:rPr>
    </w:lvl>
  </w:abstractNum>
  <w:abstractNum w:abstractNumId="15">
    <w:nsid w:val="2C027A52"/>
    <w:multiLevelType w:val="hybridMultilevel"/>
    <w:tmpl w:val="FDF437C8"/>
    <w:lvl w:ilvl="0" w:tplc="240A0013">
      <w:start w:val="1"/>
      <w:numFmt w:val="upperRoman"/>
      <w:lvlText w:val="%1."/>
      <w:lvlJc w:val="righ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16">
    <w:nsid w:val="2C1A119B"/>
    <w:multiLevelType w:val="hybridMultilevel"/>
    <w:tmpl w:val="4E72F21C"/>
    <w:lvl w:ilvl="0" w:tplc="0C0A0017">
      <w:start w:val="1"/>
      <w:numFmt w:val="lowerLetter"/>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7">
    <w:nsid w:val="2C951427"/>
    <w:multiLevelType w:val="multilevel"/>
    <w:tmpl w:val="8EB0A2C0"/>
    <w:lvl w:ilvl="0">
      <w:start w:val="13"/>
      <w:numFmt w:val="decimal"/>
      <w:lvlText w:val="%1."/>
      <w:lvlJc w:val="left"/>
      <w:pPr>
        <w:ind w:left="645" w:hanging="64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8">
    <w:nsid w:val="2E1818EF"/>
    <w:multiLevelType w:val="multilevel"/>
    <w:tmpl w:val="641CED70"/>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9">
    <w:nsid w:val="314C747C"/>
    <w:multiLevelType w:val="hybridMultilevel"/>
    <w:tmpl w:val="F0DEFF3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nsid w:val="359B4B2D"/>
    <w:multiLevelType w:val="hybridMultilevel"/>
    <w:tmpl w:val="6B980156"/>
    <w:lvl w:ilvl="0" w:tplc="240A000F">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nsid w:val="3761348B"/>
    <w:multiLevelType w:val="hybridMultilevel"/>
    <w:tmpl w:val="25268878"/>
    <w:lvl w:ilvl="0" w:tplc="44C0DFD0">
      <w:start w:val="1"/>
      <w:numFmt w:val="lowerLetter"/>
      <w:lvlText w:val="%1)"/>
      <w:lvlJc w:val="left"/>
      <w:pPr>
        <w:tabs>
          <w:tab w:val="num" w:pos="738"/>
        </w:tabs>
        <w:ind w:left="738" w:hanging="454"/>
      </w:pPr>
      <w:rPr>
        <w:rFonts w:ascii="Bookman Old Style" w:hAnsi="Bookman Old Style" w:hint="default"/>
        <w:b w:val="0"/>
        <w:i w:val="0"/>
        <w:caps w:val="0"/>
        <w:strike w:val="0"/>
        <w:dstrike w:val="0"/>
        <w:vanish w:val="0"/>
        <w:color w:val="auto"/>
        <w:sz w:val="24"/>
        <w:effect w:val="none"/>
        <w:vertAlign w:val="baseline"/>
      </w:r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nsid w:val="439E4EE9"/>
    <w:multiLevelType w:val="hybridMultilevel"/>
    <w:tmpl w:val="18FCC2BC"/>
    <w:lvl w:ilvl="0" w:tplc="D5FE2D58">
      <w:start w:val="16"/>
      <w:numFmt w:val="decimal"/>
      <w:lvlText w:val="%1."/>
      <w:lvlJc w:val="left"/>
      <w:pPr>
        <w:ind w:left="2453" w:hanging="390"/>
      </w:pPr>
      <w:rPr>
        <w:rFonts w:hint="default"/>
        <w:color w:val="auto"/>
      </w:rPr>
    </w:lvl>
    <w:lvl w:ilvl="1" w:tplc="240A0019">
      <w:start w:val="1"/>
      <w:numFmt w:val="lowerLetter"/>
      <w:lvlText w:val="%2."/>
      <w:lvlJc w:val="left"/>
      <w:pPr>
        <w:ind w:left="3143" w:hanging="360"/>
      </w:pPr>
    </w:lvl>
    <w:lvl w:ilvl="2" w:tplc="240A001B">
      <w:start w:val="1"/>
      <w:numFmt w:val="lowerRoman"/>
      <w:lvlText w:val="%3."/>
      <w:lvlJc w:val="right"/>
      <w:pPr>
        <w:ind w:left="3863" w:hanging="180"/>
      </w:pPr>
    </w:lvl>
    <w:lvl w:ilvl="3" w:tplc="240A000F" w:tentative="1">
      <w:start w:val="1"/>
      <w:numFmt w:val="decimal"/>
      <w:lvlText w:val="%4."/>
      <w:lvlJc w:val="left"/>
      <w:pPr>
        <w:ind w:left="4583" w:hanging="360"/>
      </w:pPr>
    </w:lvl>
    <w:lvl w:ilvl="4" w:tplc="240A0019" w:tentative="1">
      <w:start w:val="1"/>
      <w:numFmt w:val="lowerLetter"/>
      <w:lvlText w:val="%5."/>
      <w:lvlJc w:val="left"/>
      <w:pPr>
        <w:ind w:left="5303" w:hanging="360"/>
      </w:pPr>
    </w:lvl>
    <w:lvl w:ilvl="5" w:tplc="240A001B" w:tentative="1">
      <w:start w:val="1"/>
      <w:numFmt w:val="lowerRoman"/>
      <w:lvlText w:val="%6."/>
      <w:lvlJc w:val="right"/>
      <w:pPr>
        <w:ind w:left="6023" w:hanging="180"/>
      </w:pPr>
    </w:lvl>
    <w:lvl w:ilvl="6" w:tplc="240A000F" w:tentative="1">
      <w:start w:val="1"/>
      <w:numFmt w:val="decimal"/>
      <w:lvlText w:val="%7."/>
      <w:lvlJc w:val="left"/>
      <w:pPr>
        <w:ind w:left="6743" w:hanging="360"/>
      </w:pPr>
    </w:lvl>
    <w:lvl w:ilvl="7" w:tplc="240A0019" w:tentative="1">
      <w:start w:val="1"/>
      <w:numFmt w:val="lowerLetter"/>
      <w:lvlText w:val="%8."/>
      <w:lvlJc w:val="left"/>
      <w:pPr>
        <w:ind w:left="7463" w:hanging="360"/>
      </w:pPr>
    </w:lvl>
    <w:lvl w:ilvl="8" w:tplc="240A001B" w:tentative="1">
      <w:start w:val="1"/>
      <w:numFmt w:val="lowerRoman"/>
      <w:lvlText w:val="%9."/>
      <w:lvlJc w:val="right"/>
      <w:pPr>
        <w:ind w:left="8183" w:hanging="180"/>
      </w:pPr>
    </w:lvl>
  </w:abstractNum>
  <w:abstractNum w:abstractNumId="23">
    <w:nsid w:val="48B22921"/>
    <w:multiLevelType w:val="multilevel"/>
    <w:tmpl w:val="56708290"/>
    <w:lvl w:ilvl="0">
      <w:start w:val="1"/>
      <w:numFmt w:val="decimal"/>
      <w:lvlText w:val="ANEXO %1"/>
      <w:lvlJc w:val="center"/>
      <w:pPr>
        <w:ind w:left="-288" w:firstLine="288"/>
      </w:pPr>
      <w:rPr>
        <w:rFonts w:hint="default"/>
      </w:rPr>
    </w:lvl>
    <w:lvl w:ilvl="1">
      <w:start w:val="1"/>
      <w:numFmt w:val="decimalZero"/>
      <w:isLgl/>
      <w:lvlText w:val="Sección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24">
    <w:nsid w:val="490B70CF"/>
    <w:multiLevelType w:val="hybridMultilevel"/>
    <w:tmpl w:val="EA4C0D66"/>
    <w:lvl w:ilvl="0" w:tplc="240A000F">
      <w:start w:val="1"/>
      <w:numFmt w:val="decimal"/>
      <w:lvlText w:val="%1."/>
      <w:lvlJc w:val="left"/>
      <w:pPr>
        <w:ind w:left="1287" w:hanging="360"/>
      </w:pPr>
    </w:lvl>
    <w:lvl w:ilvl="1" w:tplc="240A0019" w:tentative="1">
      <w:start w:val="1"/>
      <w:numFmt w:val="lowerLetter"/>
      <w:lvlText w:val="%2."/>
      <w:lvlJc w:val="left"/>
      <w:pPr>
        <w:ind w:left="2007" w:hanging="360"/>
      </w:pPr>
    </w:lvl>
    <w:lvl w:ilvl="2" w:tplc="240A001B" w:tentative="1">
      <w:start w:val="1"/>
      <w:numFmt w:val="lowerRoman"/>
      <w:lvlText w:val="%3."/>
      <w:lvlJc w:val="right"/>
      <w:pPr>
        <w:ind w:left="2727" w:hanging="180"/>
      </w:pPr>
    </w:lvl>
    <w:lvl w:ilvl="3" w:tplc="240A000F" w:tentative="1">
      <w:start w:val="1"/>
      <w:numFmt w:val="decimal"/>
      <w:lvlText w:val="%4."/>
      <w:lvlJc w:val="left"/>
      <w:pPr>
        <w:ind w:left="3447" w:hanging="360"/>
      </w:pPr>
    </w:lvl>
    <w:lvl w:ilvl="4" w:tplc="240A0019" w:tentative="1">
      <w:start w:val="1"/>
      <w:numFmt w:val="lowerLetter"/>
      <w:lvlText w:val="%5."/>
      <w:lvlJc w:val="left"/>
      <w:pPr>
        <w:ind w:left="4167" w:hanging="360"/>
      </w:pPr>
    </w:lvl>
    <w:lvl w:ilvl="5" w:tplc="240A001B" w:tentative="1">
      <w:start w:val="1"/>
      <w:numFmt w:val="lowerRoman"/>
      <w:lvlText w:val="%6."/>
      <w:lvlJc w:val="right"/>
      <w:pPr>
        <w:ind w:left="4887" w:hanging="180"/>
      </w:pPr>
    </w:lvl>
    <w:lvl w:ilvl="6" w:tplc="240A000F" w:tentative="1">
      <w:start w:val="1"/>
      <w:numFmt w:val="decimal"/>
      <w:lvlText w:val="%7."/>
      <w:lvlJc w:val="left"/>
      <w:pPr>
        <w:ind w:left="5607" w:hanging="360"/>
      </w:pPr>
    </w:lvl>
    <w:lvl w:ilvl="7" w:tplc="240A0019" w:tentative="1">
      <w:start w:val="1"/>
      <w:numFmt w:val="lowerLetter"/>
      <w:lvlText w:val="%8."/>
      <w:lvlJc w:val="left"/>
      <w:pPr>
        <w:ind w:left="6327" w:hanging="360"/>
      </w:pPr>
    </w:lvl>
    <w:lvl w:ilvl="8" w:tplc="240A001B" w:tentative="1">
      <w:start w:val="1"/>
      <w:numFmt w:val="lowerRoman"/>
      <w:lvlText w:val="%9."/>
      <w:lvlJc w:val="right"/>
      <w:pPr>
        <w:ind w:left="7047" w:hanging="180"/>
      </w:pPr>
    </w:lvl>
  </w:abstractNum>
  <w:abstractNum w:abstractNumId="25">
    <w:nsid w:val="52345A5A"/>
    <w:multiLevelType w:val="multilevel"/>
    <w:tmpl w:val="7598ABC2"/>
    <w:lvl w:ilvl="0">
      <w:start w:val="13"/>
      <w:numFmt w:val="decimal"/>
      <w:lvlText w:val="ANEXO %1"/>
      <w:lvlJc w:val="center"/>
      <w:pPr>
        <w:ind w:left="-288" w:firstLine="288"/>
      </w:pPr>
      <w:rPr>
        <w:rFonts w:hint="default"/>
      </w:rPr>
    </w:lvl>
    <w:lvl w:ilvl="1">
      <w:start w:val="1"/>
      <w:numFmt w:val="decimalZero"/>
      <w:isLgl/>
      <w:lvlText w:val="Sección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26">
    <w:nsid w:val="526C49F3"/>
    <w:multiLevelType w:val="hybridMultilevel"/>
    <w:tmpl w:val="6512D954"/>
    <w:lvl w:ilvl="0" w:tplc="240A000D">
      <w:start w:val="1"/>
      <w:numFmt w:val="lowerLetter"/>
      <w:lvlText w:val="%1)"/>
      <w:lvlJc w:val="left"/>
      <w:pPr>
        <w:ind w:left="723" w:hanging="360"/>
      </w:pPr>
    </w:lvl>
    <w:lvl w:ilvl="1" w:tplc="240A0003" w:tentative="1">
      <w:start w:val="1"/>
      <w:numFmt w:val="lowerLetter"/>
      <w:lvlText w:val="%2."/>
      <w:lvlJc w:val="left"/>
      <w:pPr>
        <w:ind w:left="1443" w:hanging="360"/>
      </w:pPr>
    </w:lvl>
    <w:lvl w:ilvl="2" w:tplc="240A0005" w:tentative="1">
      <w:start w:val="1"/>
      <w:numFmt w:val="lowerRoman"/>
      <w:lvlText w:val="%3."/>
      <w:lvlJc w:val="right"/>
      <w:pPr>
        <w:ind w:left="2163" w:hanging="180"/>
      </w:pPr>
    </w:lvl>
    <w:lvl w:ilvl="3" w:tplc="240A0001" w:tentative="1">
      <w:start w:val="1"/>
      <w:numFmt w:val="decimal"/>
      <w:lvlText w:val="%4."/>
      <w:lvlJc w:val="left"/>
      <w:pPr>
        <w:ind w:left="2883" w:hanging="360"/>
      </w:pPr>
    </w:lvl>
    <w:lvl w:ilvl="4" w:tplc="240A0003" w:tentative="1">
      <w:start w:val="1"/>
      <w:numFmt w:val="lowerLetter"/>
      <w:lvlText w:val="%5."/>
      <w:lvlJc w:val="left"/>
      <w:pPr>
        <w:ind w:left="3603" w:hanging="360"/>
      </w:pPr>
    </w:lvl>
    <w:lvl w:ilvl="5" w:tplc="240A0005" w:tentative="1">
      <w:start w:val="1"/>
      <w:numFmt w:val="lowerRoman"/>
      <w:lvlText w:val="%6."/>
      <w:lvlJc w:val="right"/>
      <w:pPr>
        <w:ind w:left="4323" w:hanging="180"/>
      </w:pPr>
    </w:lvl>
    <w:lvl w:ilvl="6" w:tplc="240A0001" w:tentative="1">
      <w:start w:val="1"/>
      <w:numFmt w:val="decimal"/>
      <w:lvlText w:val="%7."/>
      <w:lvlJc w:val="left"/>
      <w:pPr>
        <w:ind w:left="5043" w:hanging="360"/>
      </w:pPr>
    </w:lvl>
    <w:lvl w:ilvl="7" w:tplc="240A0003" w:tentative="1">
      <w:start w:val="1"/>
      <w:numFmt w:val="lowerLetter"/>
      <w:lvlText w:val="%8."/>
      <w:lvlJc w:val="left"/>
      <w:pPr>
        <w:ind w:left="5763" w:hanging="360"/>
      </w:pPr>
    </w:lvl>
    <w:lvl w:ilvl="8" w:tplc="240A0005" w:tentative="1">
      <w:start w:val="1"/>
      <w:numFmt w:val="lowerRoman"/>
      <w:lvlText w:val="%9."/>
      <w:lvlJc w:val="right"/>
      <w:pPr>
        <w:ind w:left="6483" w:hanging="180"/>
      </w:pPr>
    </w:lvl>
  </w:abstractNum>
  <w:abstractNum w:abstractNumId="27">
    <w:nsid w:val="56E30EDC"/>
    <w:multiLevelType w:val="multilevel"/>
    <w:tmpl w:val="AFE42CC2"/>
    <w:lvl w:ilvl="0">
      <w:start w:val="1"/>
      <w:numFmt w:val="decimal"/>
      <w:lvlText w:val="Artículo %1."/>
      <w:lvlJc w:val="right"/>
      <w:pPr>
        <w:tabs>
          <w:tab w:val="num" w:pos="1721"/>
        </w:tabs>
        <w:ind w:left="0" w:firstLine="1361"/>
      </w:pPr>
      <w:rPr>
        <w:rFonts w:ascii="Bookman Old Style" w:hAnsi="Bookman Old Style" w:cs="Arial" w:hint="default"/>
        <w:b/>
        <w:i w:val="0"/>
        <w:color w:val="auto"/>
        <w:sz w:val="24"/>
        <w:szCs w:val="22"/>
      </w:rPr>
    </w:lvl>
    <w:lvl w:ilvl="1">
      <w:start w:val="1"/>
      <w:numFmt w:val="decimal"/>
      <w:lvlText w:val="%1.%2"/>
      <w:lvlJc w:val="left"/>
      <w:pPr>
        <w:tabs>
          <w:tab w:val="num" w:pos="720"/>
        </w:tabs>
        <w:ind w:left="0" w:firstLine="0"/>
      </w:pPr>
      <w:rPr>
        <w:rFonts w:hint="default"/>
        <w:b/>
      </w:rPr>
    </w:lvl>
    <w:lvl w:ilvl="2">
      <w:start w:val="1"/>
      <w:numFmt w:val="decimal"/>
      <w:lvlText w:val="%3."/>
      <w:lvlJc w:val="left"/>
      <w:pPr>
        <w:tabs>
          <w:tab w:val="num" w:pos="720"/>
        </w:tabs>
        <w:ind w:left="0" w:firstLine="0"/>
      </w:pPr>
      <w:rPr>
        <w:rFonts w:hint="default"/>
      </w:rPr>
    </w:lvl>
    <w:lvl w:ilvl="3">
      <w:start w:val="1"/>
      <w:numFmt w:val="decimal"/>
      <w:lvlText w:val="%1.%2.%3.%4"/>
      <w:lvlJc w:val="right"/>
      <w:pPr>
        <w:tabs>
          <w:tab w:val="num" w:pos="360"/>
        </w:tabs>
        <w:ind w:left="0" w:firstLine="0"/>
      </w:pPr>
      <w:rPr>
        <w:rFonts w:hint="default"/>
      </w:rPr>
    </w:lvl>
    <w:lvl w:ilvl="4">
      <w:start w:val="1"/>
      <w:numFmt w:val="lowerLetter"/>
      <w:lvlText w:val="%5)"/>
      <w:lvlJc w:val="left"/>
      <w:pPr>
        <w:tabs>
          <w:tab w:val="num" w:pos="360"/>
        </w:tabs>
        <w:ind w:left="0" w:firstLine="0"/>
      </w:pPr>
      <w:rPr>
        <w:rFonts w:hint="default"/>
        <w:b/>
      </w:rPr>
    </w:lvl>
    <w:lvl w:ilvl="5">
      <w:start w:val="1"/>
      <w:numFmt w:val="lowerRoman"/>
      <w:lvlText w:val="%6)"/>
      <w:lvlJc w:val="left"/>
      <w:pPr>
        <w:tabs>
          <w:tab w:val="num" w:pos="720"/>
        </w:tabs>
        <w:ind w:left="0" w:firstLine="0"/>
      </w:pPr>
      <w:rPr>
        <w:rFonts w:hint="default"/>
      </w:rPr>
    </w:lvl>
    <w:lvl w:ilvl="6">
      <w:start w:val="1"/>
      <w:numFmt w:val="lowerRoman"/>
      <w:lvlText w:val="%7)"/>
      <w:lvlJc w:val="right"/>
      <w:pPr>
        <w:tabs>
          <w:tab w:val="num" w:pos="360"/>
        </w:tabs>
        <w:ind w:left="0" w:firstLine="0"/>
      </w:pPr>
      <w:rPr>
        <w:rFonts w:hint="default"/>
      </w:rPr>
    </w:lvl>
    <w:lvl w:ilvl="7">
      <w:start w:val="1"/>
      <w:numFmt w:val="lowerLetter"/>
      <w:lvlText w:val="%7.%8."/>
      <w:lvlJc w:val="left"/>
      <w:pPr>
        <w:tabs>
          <w:tab w:val="num" w:pos="720"/>
        </w:tabs>
        <w:ind w:left="0" w:firstLine="0"/>
      </w:pPr>
      <w:rPr>
        <w:rFonts w:hint="default"/>
      </w:rPr>
    </w:lvl>
    <w:lvl w:ilvl="8">
      <w:start w:val="1"/>
      <w:numFmt w:val="lowerRoman"/>
      <w:lvlText w:val="%9."/>
      <w:lvlJc w:val="right"/>
      <w:pPr>
        <w:tabs>
          <w:tab w:val="num" w:pos="360"/>
        </w:tabs>
        <w:ind w:left="0" w:firstLine="0"/>
      </w:pPr>
      <w:rPr>
        <w:rFonts w:hint="default"/>
      </w:rPr>
    </w:lvl>
  </w:abstractNum>
  <w:abstractNum w:abstractNumId="28">
    <w:nsid w:val="5AE71CA3"/>
    <w:multiLevelType w:val="hybridMultilevel"/>
    <w:tmpl w:val="A4F01590"/>
    <w:lvl w:ilvl="0" w:tplc="240A001B">
      <w:start w:val="1"/>
      <w:numFmt w:val="lowerRoman"/>
      <w:lvlText w:val="%1."/>
      <w:lvlJc w:val="right"/>
      <w:pPr>
        <w:ind w:left="1287" w:hanging="360"/>
      </w:pPr>
    </w:lvl>
    <w:lvl w:ilvl="1" w:tplc="240A0019" w:tentative="1">
      <w:start w:val="1"/>
      <w:numFmt w:val="lowerLetter"/>
      <w:lvlText w:val="%2."/>
      <w:lvlJc w:val="left"/>
      <w:pPr>
        <w:ind w:left="2007" w:hanging="360"/>
      </w:pPr>
    </w:lvl>
    <w:lvl w:ilvl="2" w:tplc="240A001B" w:tentative="1">
      <w:start w:val="1"/>
      <w:numFmt w:val="lowerRoman"/>
      <w:lvlText w:val="%3."/>
      <w:lvlJc w:val="right"/>
      <w:pPr>
        <w:ind w:left="2727" w:hanging="180"/>
      </w:pPr>
    </w:lvl>
    <w:lvl w:ilvl="3" w:tplc="240A000F" w:tentative="1">
      <w:start w:val="1"/>
      <w:numFmt w:val="decimal"/>
      <w:lvlText w:val="%4."/>
      <w:lvlJc w:val="left"/>
      <w:pPr>
        <w:ind w:left="3447" w:hanging="360"/>
      </w:pPr>
    </w:lvl>
    <w:lvl w:ilvl="4" w:tplc="240A0019" w:tentative="1">
      <w:start w:val="1"/>
      <w:numFmt w:val="lowerLetter"/>
      <w:lvlText w:val="%5."/>
      <w:lvlJc w:val="left"/>
      <w:pPr>
        <w:ind w:left="4167" w:hanging="360"/>
      </w:pPr>
    </w:lvl>
    <w:lvl w:ilvl="5" w:tplc="240A001B" w:tentative="1">
      <w:start w:val="1"/>
      <w:numFmt w:val="lowerRoman"/>
      <w:lvlText w:val="%6."/>
      <w:lvlJc w:val="right"/>
      <w:pPr>
        <w:ind w:left="4887" w:hanging="180"/>
      </w:pPr>
    </w:lvl>
    <w:lvl w:ilvl="6" w:tplc="240A000F" w:tentative="1">
      <w:start w:val="1"/>
      <w:numFmt w:val="decimal"/>
      <w:lvlText w:val="%7."/>
      <w:lvlJc w:val="left"/>
      <w:pPr>
        <w:ind w:left="5607" w:hanging="360"/>
      </w:pPr>
    </w:lvl>
    <w:lvl w:ilvl="7" w:tplc="240A0019" w:tentative="1">
      <w:start w:val="1"/>
      <w:numFmt w:val="lowerLetter"/>
      <w:lvlText w:val="%8."/>
      <w:lvlJc w:val="left"/>
      <w:pPr>
        <w:ind w:left="6327" w:hanging="360"/>
      </w:pPr>
    </w:lvl>
    <w:lvl w:ilvl="8" w:tplc="240A001B" w:tentative="1">
      <w:start w:val="1"/>
      <w:numFmt w:val="lowerRoman"/>
      <w:lvlText w:val="%9."/>
      <w:lvlJc w:val="right"/>
      <w:pPr>
        <w:ind w:left="7047" w:hanging="180"/>
      </w:pPr>
    </w:lvl>
  </w:abstractNum>
  <w:abstractNum w:abstractNumId="29">
    <w:nsid w:val="5F923C06"/>
    <w:multiLevelType w:val="hybridMultilevel"/>
    <w:tmpl w:val="0170A826"/>
    <w:lvl w:ilvl="0" w:tplc="240A0019">
      <w:start w:val="1"/>
      <w:numFmt w:val="lowerLetter"/>
      <w:lvlText w:val="%1."/>
      <w:lvlJc w:val="left"/>
      <w:pPr>
        <w:ind w:left="1287" w:hanging="360"/>
      </w:pPr>
    </w:lvl>
    <w:lvl w:ilvl="1" w:tplc="240A0019" w:tentative="1">
      <w:start w:val="1"/>
      <w:numFmt w:val="lowerLetter"/>
      <w:lvlText w:val="%2."/>
      <w:lvlJc w:val="left"/>
      <w:pPr>
        <w:ind w:left="2007" w:hanging="360"/>
      </w:pPr>
    </w:lvl>
    <w:lvl w:ilvl="2" w:tplc="240A001B" w:tentative="1">
      <w:start w:val="1"/>
      <w:numFmt w:val="lowerRoman"/>
      <w:lvlText w:val="%3."/>
      <w:lvlJc w:val="right"/>
      <w:pPr>
        <w:ind w:left="2727" w:hanging="180"/>
      </w:pPr>
    </w:lvl>
    <w:lvl w:ilvl="3" w:tplc="240A000F" w:tentative="1">
      <w:start w:val="1"/>
      <w:numFmt w:val="decimal"/>
      <w:lvlText w:val="%4."/>
      <w:lvlJc w:val="left"/>
      <w:pPr>
        <w:ind w:left="3447" w:hanging="360"/>
      </w:pPr>
    </w:lvl>
    <w:lvl w:ilvl="4" w:tplc="240A0019" w:tentative="1">
      <w:start w:val="1"/>
      <w:numFmt w:val="lowerLetter"/>
      <w:lvlText w:val="%5."/>
      <w:lvlJc w:val="left"/>
      <w:pPr>
        <w:ind w:left="4167" w:hanging="360"/>
      </w:pPr>
    </w:lvl>
    <w:lvl w:ilvl="5" w:tplc="240A001B" w:tentative="1">
      <w:start w:val="1"/>
      <w:numFmt w:val="lowerRoman"/>
      <w:lvlText w:val="%6."/>
      <w:lvlJc w:val="right"/>
      <w:pPr>
        <w:ind w:left="4887" w:hanging="180"/>
      </w:pPr>
    </w:lvl>
    <w:lvl w:ilvl="6" w:tplc="240A000F" w:tentative="1">
      <w:start w:val="1"/>
      <w:numFmt w:val="decimal"/>
      <w:lvlText w:val="%7."/>
      <w:lvlJc w:val="left"/>
      <w:pPr>
        <w:ind w:left="5607" w:hanging="360"/>
      </w:pPr>
    </w:lvl>
    <w:lvl w:ilvl="7" w:tplc="240A0019" w:tentative="1">
      <w:start w:val="1"/>
      <w:numFmt w:val="lowerLetter"/>
      <w:lvlText w:val="%8."/>
      <w:lvlJc w:val="left"/>
      <w:pPr>
        <w:ind w:left="6327" w:hanging="360"/>
      </w:pPr>
    </w:lvl>
    <w:lvl w:ilvl="8" w:tplc="240A001B" w:tentative="1">
      <w:start w:val="1"/>
      <w:numFmt w:val="lowerRoman"/>
      <w:lvlText w:val="%9."/>
      <w:lvlJc w:val="right"/>
      <w:pPr>
        <w:ind w:left="7047" w:hanging="180"/>
      </w:pPr>
    </w:lvl>
  </w:abstractNum>
  <w:abstractNum w:abstractNumId="30">
    <w:nsid w:val="63D53A21"/>
    <w:multiLevelType w:val="hybridMultilevel"/>
    <w:tmpl w:val="7A8CB3C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nsid w:val="641D7B55"/>
    <w:multiLevelType w:val="multilevel"/>
    <w:tmpl w:val="A2841244"/>
    <w:lvl w:ilvl="0">
      <w:start w:val="10"/>
      <w:numFmt w:val="decimal"/>
      <w:lvlText w:val="%1."/>
      <w:lvlJc w:val="left"/>
      <w:pPr>
        <w:ind w:left="645" w:hanging="64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2">
    <w:nsid w:val="648C21F0"/>
    <w:multiLevelType w:val="hybridMultilevel"/>
    <w:tmpl w:val="6DDAC71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nsid w:val="65496F16"/>
    <w:multiLevelType w:val="hybridMultilevel"/>
    <w:tmpl w:val="0306391C"/>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nsid w:val="6F1E18E4"/>
    <w:multiLevelType w:val="multilevel"/>
    <w:tmpl w:val="36886136"/>
    <w:lvl w:ilvl="0">
      <w:start w:val="5"/>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5">
    <w:nsid w:val="733339DD"/>
    <w:multiLevelType w:val="multilevel"/>
    <w:tmpl w:val="498851FC"/>
    <w:lvl w:ilvl="0">
      <w:start w:val="9"/>
      <w:numFmt w:val="decimal"/>
      <w:lvlText w:val="%1."/>
      <w:lvlJc w:val="left"/>
      <w:pPr>
        <w:ind w:left="720" w:hanging="72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572" w:hanging="144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4141" w:hanging="2160"/>
      </w:pPr>
      <w:rPr>
        <w:rFonts w:hint="default"/>
      </w:rPr>
    </w:lvl>
    <w:lvl w:ilvl="8">
      <w:start w:val="1"/>
      <w:numFmt w:val="decimal"/>
      <w:lvlText w:val="%1.%2.%3.%4.%5.%6.%7.%8.%9."/>
      <w:lvlJc w:val="left"/>
      <w:pPr>
        <w:ind w:left="4424" w:hanging="2160"/>
      </w:pPr>
      <w:rPr>
        <w:rFonts w:hint="default"/>
      </w:rPr>
    </w:lvl>
  </w:abstractNum>
  <w:abstractNum w:abstractNumId="36">
    <w:nsid w:val="738B7B21"/>
    <w:multiLevelType w:val="hybridMultilevel"/>
    <w:tmpl w:val="E8B2BA9A"/>
    <w:lvl w:ilvl="0" w:tplc="53DCBA16">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7">
    <w:nsid w:val="76403D53"/>
    <w:multiLevelType w:val="hybridMultilevel"/>
    <w:tmpl w:val="330CD1D0"/>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8">
    <w:nsid w:val="767A6AEB"/>
    <w:multiLevelType w:val="hybridMultilevel"/>
    <w:tmpl w:val="FD5EB3D8"/>
    <w:lvl w:ilvl="0" w:tplc="D5FE2D58">
      <w:start w:val="16"/>
      <w:numFmt w:val="decimal"/>
      <w:lvlText w:val="%1."/>
      <w:lvlJc w:val="left"/>
      <w:pPr>
        <w:ind w:left="2453" w:hanging="390"/>
      </w:pPr>
      <w:rPr>
        <w:rFonts w:hint="default"/>
        <w:color w:val="auto"/>
      </w:rPr>
    </w:lvl>
    <w:lvl w:ilvl="1" w:tplc="240A0019">
      <w:start w:val="1"/>
      <w:numFmt w:val="lowerLetter"/>
      <w:lvlText w:val="%2."/>
      <w:lvlJc w:val="left"/>
      <w:pPr>
        <w:ind w:left="3143" w:hanging="360"/>
      </w:pPr>
    </w:lvl>
    <w:lvl w:ilvl="2" w:tplc="240A000F">
      <w:start w:val="1"/>
      <w:numFmt w:val="decimal"/>
      <w:lvlText w:val="%3."/>
      <w:lvlJc w:val="left"/>
      <w:pPr>
        <w:ind w:left="3863" w:hanging="180"/>
      </w:pPr>
    </w:lvl>
    <w:lvl w:ilvl="3" w:tplc="240A000F" w:tentative="1">
      <w:start w:val="1"/>
      <w:numFmt w:val="decimal"/>
      <w:lvlText w:val="%4."/>
      <w:lvlJc w:val="left"/>
      <w:pPr>
        <w:ind w:left="4583" w:hanging="360"/>
      </w:pPr>
    </w:lvl>
    <w:lvl w:ilvl="4" w:tplc="240A0019" w:tentative="1">
      <w:start w:val="1"/>
      <w:numFmt w:val="lowerLetter"/>
      <w:lvlText w:val="%5."/>
      <w:lvlJc w:val="left"/>
      <w:pPr>
        <w:ind w:left="5303" w:hanging="360"/>
      </w:pPr>
    </w:lvl>
    <w:lvl w:ilvl="5" w:tplc="240A001B" w:tentative="1">
      <w:start w:val="1"/>
      <w:numFmt w:val="lowerRoman"/>
      <w:lvlText w:val="%6."/>
      <w:lvlJc w:val="right"/>
      <w:pPr>
        <w:ind w:left="6023" w:hanging="180"/>
      </w:pPr>
    </w:lvl>
    <w:lvl w:ilvl="6" w:tplc="240A000F" w:tentative="1">
      <w:start w:val="1"/>
      <w:numFmt w:val="decimal"/>
      <w:lvlText w:val="%7."/>
      <w:lvlJc w:val="left"/>
      <w:pPr>
        <w:ind w:left="6743" w:hanging="360"/>
      </w:pPr>
    </w:lvl>
    <w:lvl w:ilvl="7" w:tplc="240A0019" w:tentative="1">
      <w:start w:val="1"/>
      <w:numFmt w:val="lowerLetter"/>
      <w:lvlText w:val="%8."/>
      <w:lvlJc w:val="left"/>
      <w:pPr>
        <w:ind w:left="7463" w:hanging="360"/>
      </w:pPr>
    </w:lvl>
    <w:lvl w:ilvl="8" w:tplc="240A001B" w:tentative="1">
      <w:start w:val="1"/>
      <w:numFmt w:val="lowerRoman"/>
      <w:lvlText w:val="%9."/>
      <w:lvlJc w:val="right"/>
      <w:pPr>
        <w:ind w:left="8183" w:hanging="180"/>
      </w:pPr>
    </w:lvl>
  </w:abstractNum>
  <w:abstractNum w:abstractNumId="39">
    <w:nsid w:val="76F90BD9"/>
    <w:multiLevelType w:val="hybridMultilevel"/>
    <w:tmpl w:val="8A0C5016"/>
    <w:lvl w:ilvl="0" w:tplc="D0B2FBD0">
      <w:start w:val="1"/>
      <w:numFmt w:val="lowerLetter"/>
      <w:lvlText w:val="%1)"/>
      <w:lvlJc w:val="left"/>
      <w:pPr>
        <w:tabs>
          <w:tab w:val="num" w:pos="454"/>
        </w:tabs>
        <w:ind w:left="454" w:hanging="454"/>
      </w:pPr>
      <w:rPr>
        <w:rFonts w:ascii="Bookman Old Style" w:hAnsi="Bookman Old Style" w:hint="default"/>
        <w:b w:val="0"/>
        <w:i w:val="0"/>
        <w:caps w:val="0"/>
        <w:strike w:val="0"/>
        <w:dstrike w:val="0"/>
        <w:vanish w:val="0"/>
        <w:color w:val="auto"/>
        <w:sz w:val="24"/>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0">
    <w:nsid w:val="78994683"/>
    <w:multiLevelType w:val="hybridMultilevel"/>
    <w:tmpl w:val="4912B446"/>
    <w:lvl w:ilvl="0" w:tplc="240A001B">
      <w:start w:val="1"/>
      <w:numFmt w:val="low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 w:numId="2">
    <w:abstractNumId w:val="27"/>
  </w:num>
  <w:num w:numId="3">
    <w:abstractNumId w:val="39"/>
  </w:num>
  <w:num w:numId="4">
    <w:abstractNumId w:val="40"/>
  </w:num>
  <w:num w:numId="5">
    <w:abstractNumId w:val="12"/>
  </w:num>
  <w:num w:numId="6">
    <w:abstractNumId w:val="34"/>
  </w:num>
  <w:num w:numId="7">
    <w:abstractNumId w:val="26"/>
  </w:num>
  <w:num w:numId="8">
    <w:abstractNumId w:val="21"/>
  </w:num>
  <w:num w:numId="9">
    <w:abstractNumId w:val="7"/>
  </w:num>
  <w:num w:numId="10">
    <w:abstractNumId w:val="18"/>
  </w:num>
  <w:num w:numId="11">
    <w:abstractNumId w:val="4"/>
  </w:num>
  <w:num w:numId="12">
    <w:abstractNumId w:val="5"/>
  </w:num>
  <w:num w:numId="13">
    <w:abstractNumId w:val="2"/>
  </w:num>
  <w:num w:numId="14">
    <w:abstractNumId w:val="23"/>
  </w:num>
  <w:num w:numId="15">
    <w:abstractNumId w:val="9"/>
  </w:num>
  <w:num w:numId="16">
    <w:abstractNumId w:val="35"/>
  </w:num>
  <w:num w:numId="17">
    <w:abstractNumId w:val="8"/>
  </w:num>
  <w:num w:numId="18">
    <w:abstractNumId w:val="10"/>
  </w:num>
  <w:num w:numId="19">
    <w:abstractNumId w:val="22"/>
  </w:num>
  <w:num w:numId="20">
    <w:abstractNumId w:val="16"/>
  </w:num>
  <w:num w:numId="21">
    <w:abstractNumId w:val="36"/>
  </w:num>
  <w:num w:numId="22">
    <w:abstractNumId w:val="30"/>
  </w:num>
  <w:num w:numId="23">
    <w:abstractNumId w:val="1"/>
  </w:num>
  <w:num w:numId="24">
    <w:abstractNumId w:val="33"/>
  </w:num>
  <w:num w:numId="25">
    <w:abstractNumId w:val="11"/>
  </w:num>
  <w:num w:numId="26">
    <w:abstractNumId w:val="13"/>
  </w:num>
  <w:num w:numId="27">
    <w:abstractNumId w:val="14"/>
  </w:num>
  <w:num w:numId="28">
    <w:abstractNumId w:val="37"/>
  </w:num>
  <w:num w:numId="29">
    <w:abstractNumId w:val="3"/>
  </w:num>
  <w:num w:numId="30">
    <w:abstractNumId w:val="31"/>
  </w:num>
  <w:num w:numId="31">
    <w:abstractNumId w:val="17"/>
  </w:num>
  <w:num w:numId="32">
    <w:abstractNumId w:val="6"/>
  </w:num>
  <w:num w:numId="33">
    <w:abstractNumId w:val="19"/>
  </w:num>
  <w:num w:numId="34">
    <w:abstractNumId w:val="24"/>
  </w:num>
  <w:num w:numId="35">
    <w:abstractNumId w:val="28"/>
  </w:num>
  <w:num w:numId="36">
    <w:abstractNumId w:val="29"/>
  </w:num>
  <w:num w:numId="37">
    <w:abstractNumId w:val="15"/>
  </w:num>
  <w:num w:numId="38">
    <w:abstractNumId w:val="20"/>
  </w:num>
  <w:num w:numId="39">
    <w:abstractNumId w:val="38"/>
  </w:num>
  <w:num w:numId="40">
    <w:abstractNumId w:val="32"/>
  </w:num>
  <w:num w:numId="41">
    <w:abstractNumId w:val="25"/>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ttachedTemplate r:id="rId1"/>
  <w:defaultTabStop w:val="708"/>
  <w:hyphenationZone w:val="425"/>
  <w:drawingGridHorizontalSpacing w:val="120"/>
  <w:displayHorizontalDrawingGridEvery w:val="2"/>
  <w:noPunctuationKerning/>
  <w:characterSpacingControl w:val="doNotCompress"/>
  <w:hdrShapeDefaults>
    <o:shapedefaults v:ext="edit" spidmax="532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7340"/>
    <w:rsid w:val="00006AE2"/>
    <w:rsid w:val="000073E8"/>
    <w:rsid w:val="000076A1"/>
    <w:rsid w:val="00012259"/>
    <w:rsid w:val="00017FFE"/>
    <w:rsid w:val="00025383"/>
    <w:rsid w:val="00025907"/>
    <w:rsid w:val="00027BE5"/>
    <w:rsid w:val="000334B2"/>
    <w:rsid w:val="0004477F"/>
    <w:rsid w:val="00050FDF"/>
    <w:rsid w:val="000521D5"/>
    <w:rsid w:val="000547C2"/>
    <w:rsid w:val="0005499D"/>
    <w:rsid w:val="00054BFB"/>
    <w:rsid w:val="0006217D"/>
    <w:rsid w:val="00062F97"/>
    <w:rsid w:val="00063657"/>
    <w:rsid w:val="00065511"/>
    <w:rsid w:val="00076680"/>
    <w:rsid w:val="00076A1D"/>
    <w:rsid w:val="0008073E"/>
    <w:rsid w:val="00085D51"/>
    <w:rsid w:val="00091CDB"/>
    <w:rsid w:val="0009302D"/>
    <w:rsid w:val="000958D9"/>
    <w:rsid w:val="000A19AC"/>
    <w:rsid w:val="000A1C2D"/>
    <w:rsid w:val="000A6DBB"/>
    <w:rsid w:val="000B0EFE"/>
    <w:rsid w:val="000B24A8"/>
    <w:rsid w:val="000B2618"/>
    <w:rsid w:val="000B4AC2"/>
    <w:rsid w:val="000B65DE"/>
    <w:rsid w:val="000B752D"/>
    <w:rsid w:val="000B799E"/>
    <w:rsid w:val="000B7F6F"/>
    <w:rsid w:val="000C6430"/>
    <w:rsid w:val="000C7E06"/>
    <w:rsid w:val="000D0A10"/>
    <w:rsid w:val="000D26F8"/>
    <w:rsid w:val="000E366F"/>
    <w:rsid w:val="000E7BD5"/>
    <w:rsid w:val="000F22F8"/>
    <w:rsid w:val="000F3A9E"/>
    <w:rsid w:val="00103665"/>
    <w:rsid w:val="00121211"/>
    <w:rsid w:val="001255B8"/>
    <w:rsid w:val="001324B7"/>
    <w:rsid w:val="00133EAD"/>
    <w:rsid w:val="001405C6"/>
    <w:rsid w:val="00141013"/>
    <w:rsid w:val="00147B69"/>
    <w:rsid w:val="00155D55"/>
    <w:rsid w:val="001572F2"/>
    <w:rsid w:val="001818A0"/>
    <w:rsid w:val="00181BAD"/>
    <w:rsid w:val="001848A3"/>
    <w:rsid w:val="00187958"/>
    <w:rsid w:val="00192CBF"/>
    <w:rsid w:val="00192FF1"/>
    <w:rsid w:val="001A215C"/>
    <w:rsid w:val="001A39FA"/>
    <w:rsid w:val="001A5F1B"/>
    <w:rsid w:val="001A6C44"/>
    <w:rsid w:val="001B1C22"/>
    <w:rsid w:val="001B34C6"/>
    <w:rsid w:val="001B75AC"/>
    <w:rsid w:val="001D143C"/>
    <w:rsid w:val="001D4E8E"/>
    <w:rsid w:val="001D6277"/>
    <w:rsid w:val="001D6604"/>
    <w:rsid w:val="001D7832"/>
    <w:rsid w:val="001E3A08"/>
    <w:rsid w:val="001E58C9"/>
    <w:rsid w:val="001E594C"/>
    <w:rsid w:val="001E74EE"/>
    <w:rsid w:val="001F2259"/>
    <w:rsid w:val="00211D34"/>
    <w:rsid w:val="00214F04"/>
    <w:rsid w:val="002375A0"/>
    <w:rsid w:val="002433DC"/>
    <w:rsid w:val="00246FEC"/>
    <w:rsid w:val="00247034"/>
    <w:rsid w:val="0025178C"/>
    <w:rsid w:val="00252641"/>
    <w:rsid w:val="00252FE8"/>
    <w:rsid w:val="00255C25"/>
    <w:rsid w:val="0026023C"/>
    <w:rsid w:val="00260A29"/>
    <w:rsid w:val="00264F37"/>
    <w:rsid w:val="002667C2"/>
    <w:rsid w:val="00266CD6"/>
    <w:rsid w:val="002705A8"/>
    <w:rsid w:val="0027498B"/>
    <w:rsid w:val="00275401"/>
    <w:rsid w:val="00275DAB"/>
    <w:rsid w:val="0029186D"/>
    <w:rsid w:val="0029277F"/>
    <w:rsid w:val="00293D5F"/>
    <w:rsid w:val="002A611A"/>
    <w:rsid w:val="002A782A"/>
    <w:rsid w:val="002B11E2"/>
    <w:rsid w:val="002B13CF"/>
    <w:rsid w:val="002B24B8"/>
    <w:rsid w:val="002C12C5"/>
    <w:rsid w:val="002D3AE9"/>
    <w:rsid w:val="002D4510"/>
    <w:rsid w:val="002D596F"/>
    <w:rsid w:val="002D6650"/>
    <w:rsid w:val="002E2E62"/>
    <w:rsid w:val="002F0734"/>
    <w:rsid w:val="002F46E7"/>
    <w:rsid w:val="002F4E82"/>
    <w:rsid w:val="002F650D"/>
    <w:rsid w:val="002F7CBE"/>
    <w:rsid w:val="00302145"/>
    <w:rsid w:val="003058F0"/>
    <w:rsid w:val="003078F2"/>
    <w:rsid w:val="003101DA"/>
    <w:rsid w:val="00313128"/>
    <w:rsid w:val="0031459E"/>
    <w:rsid w:val="00314757"/>
    <w:rsid w:val="00314B81"/>
    <w:rsid w:val="003211CE"/>
    <w:rsid w:val="003226D0"/>
    <w:rsid w:val="00340BCE"/>
    <w:rsid w:val="0034473D"/>
    <w:rsid w:val="00345083"/>
    <w:rsid w:val="003467C2"/>
    <w:rsid w:val="00351B46"/>
    <w:rsid w:val="0035403A"/>
    <w:rsid w:val="003540B4"/>
    <w:rsid w:val="00357C9C"/>
    <w:rsid w:val="003601F7"/>
    <w:rsid w:val="003613BB"/>
    <w:rsid w:val="0036394B"/>
    <w:rsid w:val="00364E59"/>
    <w:rsid w:val="00365A72"/>
    <w:rsid w:val="00365AA0"/>
    <w:rsid w:val="0036751B"/>
    <w:rsid w:val="003709B5"/>
    <w:rsid w:val="003713D8"/>
    <w:rsid w:val="00373A0D"/>
    <w:rsid w:val="003753CD"/>
    <w:rsid w:val="003759C2"/>
    <w:rsid w:val="00382E27"/>
    <w:rsid w:val="0038618E"/>
    <w:rsid w:val="00397365"/>
    <w:rsid w:val="003A083D"/>
    <w:rsid w:val="003A31F6"/>
    <w:rsid w:val="003A3414"/>
    <w:rsid w:val="003A7E7A"/>
    <w:rsid w:val="003C04C7"/>
    <w:rsid w:val="003C312A"/>
    <w:rsid w:val="003C3447"/>
    <w:rsid w:val="003D076C"/>
    <w:rsid w:val="003D1FEB"/>
    <w:rsid w:val="003E3E78"/>
    <w:rsid w:val="003E78B5"/>
    <w:rsid w:val="003E7D64"/>
    <w:rsid w:val="003F3E0B"/>
    <w:rsid w:val="003F52C8"/>
    <w:rsid w:val="003F5BEB"/>
    <w:rsid w:val="003F6F17"/>
    <w:rsid w:val="00402165"/>
    <w:rsid w:val="0041355E"/>
    <w:rsid w:val="004149DF"/>
    <w:rsid w:val="00415BAB"/>
    <w:rsid w:val="00415ED2"/>
    <w:rsid w:val="00416300"/>
    <w:rsid w:val="004163C5"/>
    <w:rsid w:val="00416F0F"/>
    <w:rsid w:val="0042068C"/>
    <w:rsid w:val="004357F2"/>
    <w:rsid w:val="0046004A"/>
    <w:rsid w:val="0047122B"/>
    <w:rsid w:val="00472401"/>
    <w:rsid w:val="00472B0E"/>
    <w:rsid w:val="00473B7A"/>
    <w:rsid w:val="0047510C"/>
    <w:rsid w:val="004860F4"/>
    <w:rsid w:val="00491D67"/>
    <w:rsid w:val="00494EF6"/>
    <w:rsid w:val="004960E9"/>
    <w:rsid w:val="004A2E88"/>
    <w:rsid w:val="004A5305"/>
    <w:rsid w:val="004B3E7B"/>
    <w:rsid w:val="004B486A"/>
    <w:rsid w:val="004B5353"/>
    <w:rsid w:val="004D5C18"/>
    <w:rsid w:val="004D7634"/>
    <w:rsid w:val="004E3E50"/>
    <w:rsid w:val="004E696C"/>
    <w:rsid w:val="004F0DDA"/>
    <w:rsid w:val="00500790"/>
    <w:rsid w:val="00500A2D"/>
    <w:rsid w:val="005039C7"/>
    <w:rsid w:val="00506F56"/>
    <w:rsid w:val="00507D74"/>
    <w:rsid w:val="00520730"/>
    <w:rsid w:val="00523305"/>
    <w:rsid w:val="00523FF1"/>
    <w:rsid w:val="005266F7"/>
    <w:rsid w:val="005300D3"/>
    <w:rsid w:val="00531F1C"/>
    <w:rsid w:val="005363C3"/>
    <w:rsid w:val="005411F7"/>
    <w:rsid w:val="00544F82"/>
    <w:rsid w:val="00547822"/>
    <w:rsid w:val="00550A62"/>
    <w:rsid w:val="005543A8"/>
    <w:rsid w:val="005630CE"/>
    <w:rsid w:val="00566770"/>
    <w:rsid w:val="00585209"/>
    <w:rsid w:val="0058522A"/>
    <w:rsid w:val="005927FF"/>
    <w:rsid w:val="00593C4F"/>
    <w:rsid w:val="005946A8"/>
    <w:rsid w:val="005A1B51"/>
    <w:rsid w:val="005A4189"/>
    <w:rsid w:val="005A4407"/>
    <w:rsid w:val="005A5989"/>
    <w:rsid w:val="005A59EF"/>
    <w:rsid w:val="005B17AB"/>
    <w:rsid w:val="005B1FCE"/>
    <w:rsid w:val="005B3E20"/>
    <w:rsid w:val="005B4C46"/>
    <w:rsid w:val="005D6400"/>
    <w:rsid w:val="005E1E46"/>
    <w:rsid w:val="005F085E"/>
    <w:rsid w:val="005F26AF"/>
    <w:rsid w:val="005F547A"/>
    <w:rsid w:val="005F6F41"/>
    <w:rsid w:val="00600D15"/>
    <w:rsid w:val="0061176F"/>
    <w:rsid w:val="0061312F"/>
    <w:rsid w:val="006202E2"/>
    <w:rsid w:val="006214D0"/>
    <w:rsid w:val="0062301C"/>
    <w:rsid w:val="00625DC6"/>
    <w:rsid w:val="00627CA6"/>
    <w:rsid w:val="00632807"/>
    <w:rsid w:val="00635913"/>
    <w:rsid w:val="0064391D"/>
    <w:rsid w:val="00650B30"/>
    <w:rsid w:val="00651821"/>
    <w:rsid w:val="00653145"/>
    <w:rsid w:val="00654384"/>
    <w:rsid w:val="00663DFF"/>
    <w:rsid w:val="00666658"/>
    <w:rsid w:val="006667CD"/>
    <w:rsid w:val="00667022"/>
    <w:rsid w:val="006675CD"/>
    <w:rsid w:val="00673FF9"/>
    <w:rsid w:val="0067525D"/>
    <w:rsid w:val="0068227D"/>
    <w:rsid w:val="00684D9B"/>
    <w:rsid w:val="006938AB"/>
    <w:rsid w:val="0069494E"/>
    <w:rsid w:val="00697556"/>
    <w:rsid w:val="00697854"/>
    <w:rsid w:val="006A1BBA"/>
    <w:rsid w:val="006A5D5E"/>
    <w:rsid w:val="006B4647"/>
    <w:rsid w:val="006B4C2B"/>
    <w:rsid w:val="006B6D47"/>
    <w:rsid w:val="006C18B6"/>
    <w:rsid w:val="006C247E"/>
    <w:rsid w:val="006C3460"/>
    <w:rsid w:val="006C3671"/>
    <w:rsid w:val="006C39C1"/>
    <w:rsid w:val="006C43E1"/>
    <w:rsid w:val="006C5AFE"/>
    <w:rsid w:val="006D661B"/>
    <w:rsid w:val="006F177A"/>
    <w:rsid w:val="006F6D95"/>
    <w:rsid w:val="00702466"/>
    <w:rsid w:val="00705E60"/>
    <w:rsid w:val="00706F13"/>
    <w:rsid w:val="007072E8"/>
    <w:rsid w:val="00710850"/>
    <w:rsid w:val="007160B8"/>
    <w:rsid w:val="0071618D"/>
    <w:rsid w:val="00725FA4"/>
    <w:rsid w:val="00730715"/>
    <w:rsid w:val="0073315D"/>
    <w:rsid w:val="00734983"/>
    <w:rsid w:val="007369BA"/>
    <w:rsid w:val="00740446"/>
    <w:rsid w:val="0074090D"/>
    <w:rsid w:val="007438A9"/>
    <w:rsid w:val="0074491E"/>
    <w:rsid w:val="007501C3"/>
    <w:rsid w:val="00750EA3"/>
    <w:rsid w:val="00755106"/>
    <w:rsid w:val="00760173"/>
    <w:rsid w:val="007609A5"/>
    <w:rsid w:val="0076247A"/>
    <w:rsid w:val="00763F41"/>
    <w:rsid w:val="00765E20"/>
    <w:rsid w:val="007676BE"/>
    <w:rsid w:val="00775964"/>
    <w:rsid w:val="007765FE"/>
    <w:rsid w:val="00784550"/>
    <w:rsid w:val="00790387"/>
    <w:rsid w:val="00795BDC"/>
    <w:rsid w:val="00795BFB"/>
    <w:rsid w:val="007A43CC"/>
    <w:rsid w:val="007B2760"/>
    <w:rsid w:val="007B4771"/>
    <w:rsid w:val="007C2642"/>
    <w:rsid w:val="007C33B0"/>
    <w:rsid w:val="007D6680"/>
    <w:rsid w:val="007D6EB1"/>
    <w:rsid w:val="007D755D"/>
    <w:rsid w:val="007D792C"/>
    <w:rsid w:val="007F02D4"/>
    <w:rsid w:val="00806C01"/>
    <w:rsid w:val="00807104"/>
    <w:rsid w:val="00810819"/>
    <w:rsid w:val="008148CC"/>
    <w:rsid w:val="00816131"/>
    <w:rsid w:val="008211A4"/>
    <w:rsid w:val="00822892"/>
    <w:rsid w:val="00830ED6"/>
    <w:rsid w:val="00834DA6"/>
    <w:rsid w:val="00853C56"/>
    <w:rsid w:val="00864736"/>
    <w:rsid w:val="00870963"/>
    <w:rsid w:val="00873150"/>
    <w:rsid w:val="00873D0C"/>
    <w:rsid w:val="0087657D"/>
    <w:rsid w:val="008807D5"/>
    <w:rsid w:val="00880832"/>
    <w:rsid w:val="00881242"/>
    <w:rsid w:val="00883245"/>
    <w:rsid w:val="0088344B"/>
    <w:rsid w:val="00886EE1"/>
    <w:rsid w:val="0088710A"/>
    <w:rsid w:val="0088727D"/>
    <w:rsid w:val="008942AD"/>
    <w:rsid w:val="0089584E"/>
    <w:rsid w:val="008964F3"/>
    <w:rsid w:val="00897C75"/>
    <w:rsid w:val="008A3B62"/>
    <w:rsid w:val="008A6331"/>
    <w:rsid w:val="008B0F98"/>
    <w:rsid w:val="008B26D0"/>
    <w:rsid w:val="008B5F84"/>
    <w:rsid w:val="008C1130"/>
    <w:rsid w:val="008D18E6"/>
    <w:rsid w:val="008D558B"/>
    <w:rsid w:val="008D7A9B"/>
    <w:rsid w:val="008E426C"/>
    <w:rsid w:val="008E76AC"/>
    <w:rsid w:val="008F21F6"/>
    <w:rsid w:val="008F4D9F"/>
    <w:rsid w:val="008F7595"/>
    <w:rsid w:val="00900913"/>
    <w:rsid w:val="0090460E"/>
    <w:rsid w:val="00905336"/>
    <w:rsid w:val="00905C12"/>
    <w:rsid w:val="00913BF8"/>
    <w:rsid w:val="0092172B"/>
    <w:rsid w:val="00930945"/>
    <w:rsid w:val="009321B7"/>
    <w:rsid w:val="009400EB"/>
    <w:rsid w:val="00940C7C"/>
    <w:rsid w:val="009448FC"/>
    <w:rsid w:val="00945B36"/>
    <w:rsid w:val="00951F79"/>
    <w:rsid w:val="0095297C"/>
    <w:rsid w:val="00954CA2"/>
    <w:rsid w:val="0096095F"/>
    <w:rsid w:val="009622F4"/>
    <w:rsid w:val="00964819"/>
    <w:rsid w:val="00965051"/>
    <w:rsid w:val="00974AB5"/>
    <w:rsid w:val="00980A69"/>
    <w:rsid w:val="00986586"/>
    <w:rsid w:val="0098706D"/>
    <w:rsid w:val="009935FB"/>
    <w:rsid w:val="009A2B9E"/>
    <w:rsid w:val="009A310B"/>
    <w:rsid w:val="009A7DFE"/>
    <w:rsid w:val="009C1766"/>
    <w:rsid w:val="009D40B8"/>
    <w:rsid w:val="009D75D5"/>
    <w:rsid w:val="009E4CBD"/>
    <w:rsid w:val="009E5B24"/>
    <w:rsid w:val="009E6EA8"/>
    <w:rsid w:val="009F12EC"/>
    <w:rsid w:val="009F4A54"/>
    <w:rsid w:val="009F4BEC"/>
    <w:rsid w:val="009F6252"/>
    <w:rsid w:val="00A0298E"/>
    <w:rsid w:val="00A06B17"/>
    <w:rsid w:val="00A07B06"/>
    <w:rsid w:val="00A12E40"/>
    <w:rsid w:val="00A179EE"/>
    <w:rsid w:val="00A2045D"/>
    <w:rsid w:val="00A206C9"/>
    <w:rsid w:val="00A215B6"/>
    <w:rsid w:val="00A23758"/>
    <w:rsid w:val="00A25FD7"/>
    <w:rsid w:val="00A26022"/>
    <w:rsid w:val="00A263A5"/>
    <w:rsid w:val="00A36623"/>
    <w:rsid w:val="00A4064F"/>
    <w:rsid w:val="00A43AFF"/>
    <w:rsid w:val="00A523D8"/>
    <w:rsid w:val="00A5249C"/>
    <w:rsid w:val="00A57553"/>
    <w:rsid w:val="00A613AA"/>
    <w:rsid w:val="00A64ACA"/>
    <w:rsid w:val="00A71AF1"/>
    <w:rsid w:val="00A7793A"/>
    <w:rsid w:val="00AA4CC7"/>
    <w:rsid w:val="00AA5E8E"/>
    <w:rsid w:val="00AA6FBF"/>
    <w:rsid w:val="00AB038D"/>
    <w:rsid w:val="00AB686E"/>
    <w:rsid w:val="00AB6CA7"/>
    <w:rsid w:val="00AC2A6A"/>
    <w:rsid w:val="00AC7927"/>
    <w:rsid w:val="00AD01E4"/>
    <w:rsid w:val="00AD0858"/>
    <w:rsid w:val="00AE7340"/>
    <w:rsid w:val="00AF1032"/>
    <w:rsid w:val="00AF1BBD"/>
    <w:rsid w:val="00AF5789"/>
    <w:rsid w:val="00AF6018"/>
    <w:rsid w:val="00AF7DA6"/>
    <w:rsid w:val="00B051A9"/>
    <w:rsid w:val="00B10207"/>
    <w:rsid w:val="00B141E7"/>
    <w:rsid w:val="00B219D6"/>
    <w:rsid w:val="00B351B4"/>
    <w:rsid w:val="00B352A8"/>
    <w:rsid w:val="00B40834"/>
    <w:rsid w:val="00B40D20"/>
    <w:rsid w:val="00B46BCA"/>
    <w:rsid w:val="00B512DC"/>
    <w:rsid w:val="00B51C0E"/>
    <w:rsid w:val="00B61B19"/>
    <w:rsid w:val="00B7048B"/>
    <w:rsid w:val="00B76CE3"/>
    <w:rsid w:val="00B80C8E"/>
    <w:rsid w:val="00B87806"/>
    <w:rsid w:val="00B87EC9"/>
    <w:rsid w:val="00B9245F"/>
    <w:rsid w:val="00B967DA"/>
    <w:rsid w:val="00BA0B86"/>
    <w:rsid w:val="00BA3BEF"/>
    <w:rsid w:val="00BA5F97"/>
    <w:rsid w:val="00BA73DD"/>
    <w:rsid w:val="00BB6DA5"/>
    <w:rsid w:val="00BB7864"/>
    <w:rsid w:val="00BC3448"/>
    <w:rsid w:val="00BC38FD"/>
    <w:rsid w:val="00BC57F9"/>
    <w:rsid w:val="00BC76C6"/>
    <w:rsid w:val="00C034CB"/>
    <w:rsid w:val="00C051A8"/>
    <w:rsid w:val="00C054BC"/>
    <w:rsid w:val="00C17897"/>
    <w:rsid w:val="00C24409"/>
    <w:rsid w:val="00C35BA5"/>
    <w:rsid w:val="00C409D5"/>
    <w:rsid w:val="00C42ACD"/>
    <w:rsid w:val="00C435C3"/>
    <w:rsid w:val="00C46E0E"/>
    <w:rsid w:val="00C6234B"/>
    <w:rsid w:val="00C63EAE"/>
    <w:rsid w:val="00C651F3"/>
    <w:rsid w:val="00C6679E"/>
    <w:rsid w:val="00C7068E"/>
    <w:rsid w:val="00C75016"/>
    <w:rsid w:val="00C7629F"/>
    <w:rsid w:val="00C8661B"/>
    <w:rsid w:val="00C92948"/>
    <w:rsid w:val="00C93840"/>
    <w:rsid w:val="00CA0643"/>
    <w:rsid w:val="00CA139A"/>
    <w:rsid w:val="00CA2899"/>
    <w:rsid w:val="00CA3A3D"/>
    <w:rsid w:val="00CA77FB"/>
    <w:rsid w:val="00CB379B"/>
    <w:rsid w:val="00CB5DD0"/>
    <w:rsid w:val="00CB6E66"/>
    <w:rsid w:val="00CC038C"/>
    <w:rsid w:val="00CC2C87"/>
    <w:rsid w:val="00CC51D4"/>
    <w:rsid w:val="00CC585B"/>
    <w:rsid w:val="00CC65DA"/>
    <w:rsid w:val="00CD15EB"/>
    <w:rsid w:val="00CD68AD"/>
    <w:rsid w:val="00CE3DA1"/>
    <w:rsid w:val="00CE4DCE"/>
    <w:rsid w:val="00CF004A"/>
    <w:rsid w:val="00CF21B9"/>
    <w:rsid w:val="00CF2B16"/>
    <w:rsid w:val="00CF4F4C"/>
    <w:rsid w:val="00CF6BF9"/>
    <w:rsid w:val="00D010FE"/>
    <w:rsid w:val="00D03800"/>
    <w:rsid w:val="00D065D3"/>
    <w:rsid w:val="00D06F63"/>
    <w:rsid w:val="00D14A65"/>
    <w:rsid w:val="00D14C94"/>
    <w:rsid w:val="00D1583F"/>
    <w:rsid w:val="00D21E8E"/>
    <w:rsid w:val="00D33FF6"/>
    <w:rsid w:val="00D342A6"/>
    <w:rsid w:val="00D373D2"/>
    <w:rsid w:val="00D37E6E"/>
    <w:rsid w:val="00D464BF"/>
    <w:rsid w:val="00D53E26"/>
    <w:rsid w:val="00D67391"/>
    <w:rsid w:val="00D73713"/>
    <w:rsid w:val="00D7484D"/>
    <w:rsid w:val="00D76AF3"/>
    <w:rsid w:val="00D812E1"/>
    <w:rsid w:val="00D81C05"/>
    <w:rsid w:val="00D830E1"/>
    <w:rsid w:val="00D83291"/>
    <w:rsid w:val="00D83BBE"/>
    <w:rsid w:val="00D864B1"/>
    <w:rsid w:val="00D908B2"/>
    <w:rsid w:val="00DA1F59"/>
    <w:rsid w:val="00DA4F74"/>
    <w:rsid w:val="00DB0916"/>
    <w:rsid w:val="00DB0A73"/>
    <w:rsid w:val="00DB1BC2"/>
    <w:rsid w:val="00DB57F8"/>
    <w:rsid w:val="00DB779E"/>
    <w:rsid w:val="00DC4F5E"/>
    <w:rsid w:val="00DD4F0E"/>
    <w:rsid w:val="00DD6880"/>
    <w:rsid w:val="00DE1F93"/>
    <w:rsid w:val="00DE2140"/>
    <w:rsid w:val="00DE4152"/>
    <w:rsid w:val="00DF0884"/>
    <w:rsid w:val="00DF0BF0"/>
    <w:rsid w:val="00DF111B"/>
    <w:rsid w:val="00E05E0A"/>
    <w:rsid w:val="00E10310"/>
    <w:rsid w:val="00E1135A"/>
    <w:rsid w:val="00E124B0"/>
    <w:rsid w:val="00E13412"/>
    <w:rsid w:val="00E139B1"/>
    <w:rsid w:val="00E15760"/>
    <w:rsid w:val="00E278C0"/>
    <w:rsid w:val="00E33DD0"/>
    <w:rsid w:val="00E4047F"/>
    <w:rsid w:val="00E413E0"/>
    <w:rsid w:val="00E42D58"/>
    <w:rsid w:val="00E44DC1"/>
    <w:rsid w:val="00E455A9"/>
    <w:rsid w:val="00E528F6"/>
    <w:rsid w:val="00E534CF"/>
    <w:rsid w:val="00E54045"/>
    <w:rsid w:val="00E81CB4"/>
    <w:rsid w:val="00E830B4"/>
    <w:rsid w:val="00E84E94"/>
    <w:rsid w:val="00E8585B"/>
    <w:rsid w:val="00E922A0"/>
    <w:rsid w:val="00E96C30"/>
    <w:rsid w:val="00EA0812"/>
    <w:rsid w:val="00EA3F15"/>
    <w:rsid w:val="00EA7847"/>
    <w:rsid w:val="00EB0A40"/>
    <w:rsid w:val="00EB1A03"/>
    <w:rsid w:val="00EB2D9B"/>
    <w:rsid w:val="00EB2E82"/>
    <w:rsid w:val="00EB7D1B"/>
    <w:rsid w:val="00EC1D64"/>
    <w:rsid w:val="00EC3AB2"/>
    <w:rsid w:val="00ED7442"/>
    <w:rsid w:val="00EE2E6E"/>
    <w:rsid w:val="00EF6CF2"/>
    <w:rsid w:val="00EF76D5"/>
    <w:rsid w:val="00F06DBE"/>
    <w:rsid w:val="00F0759E"/>
    <w:rsid w:val="00F123E8"/>
    <w:rsid w:val="00F173B2"/>
    <w:rsid w:val="00F22475"/>
    <w:rsid w:val="00F33504"/>
    <w:rsid w:val="00F33A20"/>
    <w:rsid w:val="00F35954"/>
    <w:rsid w:val="00F56EAE"/>
    <w:rsid w:val="00F57BE0"/>
    <w:rsid w:val="00F715FB"/>
    <w:rsid w:val="00F76FD0"/>
    <w:rsid w:val="00F821A3"/>
    <w:rsid w:val="00F8548D"/>
    <w:rsid w:val="00F87F77"/>
    <w:rsid w:val="00F90813"/>
    <w:rsid w:val="00F9314A"/>
    <w:rsid w:val="00FA5EC1"/>
    <w:rsid w:val="00FA5FDB"/>
    <w:rsid w:val="00FA6A59"/>
    <w:rsid w:val="00FA7643"/>
    <w:rsid w:val="00FB1731"/>
    <w:rsid w:val="00FB213D"/>
    <w:rsid w:val="00FB606F"/>
    <w:rsid w:val="00FC58EF"/>
    <w:rsid w:val="00FC718B"/>
    <w:rsid w:val="00FC79BF"/>
    <w:rsid w:val="00FD33DF"/>
    <w:rsid w:val="00FE39D7"/>
    <w:rsid w:val="00FE715A"/>
    <w:rsid w:val="00FF0C99"/>
    <w:rsid w:val="00FF364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CO" w:eastAsia="es-C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0"/>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101DA"/>
    <w:pPr>
      <w:ind w:left="567"/>
    </w:pPr>
    <w:rPr>
      <w:sz w:val="24"/>
      <w:szCs w:val="24"/>
      <w:lang w:val="es-ES" w:eastAsia="es-ES"/>
    </w:rPr>
  </w:style>
  <w:style w:type="paragraph" w:styleId="Ttulo1">
    <w:name w:val="heading 1"/>
    <w:basedOn w:val="Normal"/>
    <w:next w:val="Normal"/>
    <w:link w:val="Ttulo1Car"/>
    <w:uiPriority w:val="9"/>
    <w:qFormat/>
    <w:rsid w:val="003101DA"/>
    <w:pPr>
      <w:keepNext/>
      <w:jc w:val="center"/>
      <w:outlineLvl w:val="0"/>
    </w:pPr>
    <w:rPr>
      <w:rFonts w:ascii="CG Times" w:hAnsi="CG Times"/>
      <w:b/>
      <w:szCs w:val="20"/>
      <w:lang w:val="es-CO"/>
    </w:rPr>
  </w:style>
  <w:style w:type="paragraph" w:styleId="Ttulo2">
    <w:name w:val="heading 2"/>
    <w:aliases w:val="Neg"/>
    <w:basedOn w:val="Normal"/>
    <w:next w:val="Normal"/>
    <w:link w:val="Ttulo2Car"/>
    <w:unhideWhenUsed/>
    <w:qFormat/>
    <w:rsid w:val="000B65DE"/>
    <w:pPr>
      <w:keepNext/>
      <w:keepLines/>
      <w:spacing w:before="200"/>
      <w:outlineLvl w:val="1"/>
    </w:pPr>
    <w:rPr>
      <w:rFonts w:ascii="Cambria" w:hAnsi="Cambria"/>
      <w:b/>
      <w:bCs/>
      <w:color w:val="4F81BD"/>
      <w:sz w:val="26"/>
      <w:szCs w:val="26"/>
    </w:rPr>
  </w:style>
  <w:style w:type="paragraph" w:styleId="Ttulo3">
    <w:name w:val="heading 3"/>
    <w:basedOn w:val="Normal"/>
    <w:next w:val="Normal"/>
    <w:link w:val="Ttulo3Car"/>
    <w:qFormat/>
    <w:rsid w:val="003101DA"/>
    <w:pPr>
      <w:keepNext/>
      <w:jc w:val="center"/>
      <w:outlineLvl w:val="2"/>
    </w:pPr>
    <w:rPr>
      <w:rFonts w:ascii="CG Times" w:hAnsi="CG Times"/>
      <w:b/>
      <w:snapToGrid w:val="0"/>
      <w:color w:val="000000"/>
      <w:szCs w:val="20"/>
      <w:lang w:val="es-ES_tradnl"/>
    </w:rPr>
  </w:style>
  <w:style w:type="paragraph" w:styleId="Ttulo4">
    <w:name w:val="heading 4"/>
    <w:basedOn w:val="Normal"/>
    <w:next w:val="Normal"/>
    <w:link w:val="Ttulo4Car"/>
    <w:qFormat/>
    <w:rsid w:val="003101DA"/>
    <w:pPr>
      <w:keepNext/>
      <w:jc w:val="center"/>
      <w:outlineLvl w:val="3"/>
    </w:pPr>
    <w:rPr>
      <w:rFonts w:ascii="Arial" w:hAnsi="Arial" w:cs="Arial"/>
      <w:b/>
      <w:snapToGrid w:val="0"/>
      <w:color w:val="000000"/>
      <w:spacing w:val="20"/>
      <w:sz w:val="20"/>
      <w:szCs w:val="20"/>
      <w:lang w:val="es-ES_tradnl"/>
    </w:rPr>
  </w:style>
  <w:style w:type="paragraph" w:styleId="Ttulo5">
    <w:name w:val="heading 5"/>
    <w:basedOn w:val="Normal"/>
    <w:next w:val="Normal"/>
    <w:link w:val="Ttulo5Car"/>
    <w:qFormat/>
    <w:rsid w:val="003101DA"/>
    <w:pPr>
      <w:keepNext/>
      <w:jc w:val="center"/>
      <w:outlineLvl w:val="4"/>
    </w:pPr>
    <w:rPr>
      <w:rFonts w:ascii="Arial" w:hAnsi="Arial" w:cs="Arial"/>
      <w:b/>
      <w:snapToGrid w:val="0"/>
      <w:color w:val="000000"/>
      <w:spacing w:val="20"/>
      <w:sz w:val="28"/>
      <w:szCs w:val="20"/>
      <w:lang w:val="es-ES_tradnl"/>
    </w:rPr>
  </w:style>
  <w:style w:type="paragraph" w:styleId="Ttulo6">
    <w:name w:val="heading 6"/>
    <w:basedOn w:val="Normal"/>
    <w:next w:val="Normal"/>
    <w:link w:val="Ttulo6Car"/>
    <w:unhideWhenUsed/>
    <w:qFormat/>
    <w:rsid w:val="00795BFB"/>
    <w:pPr>
      <w:spacing w:before="240" w:after="60"/>
      <w:outlineLvl w:val="5"/>
    </w:pPr>
    <w:rPr>
      <w:rFonts w:ascii="Calibri" w:hAnsi="Calibri"/>
      <w:b/>
      <w:bCs/>
      <w:sz w:val="22"/>
      <w:szCs w:val="22"/>
    </w:rPr>
  </w:style>
  <w:style w:type="paragraph" w:styleId="Ttulo7">
    <w:name w:val="heading 7"/>
    <w:basedOn w:val="Normal"/>
    <w:next w:val="Normal"/>
    <w:link w:val="Ttulo7Car"/>
    <w:unhideWhenUsed/>
    <w:qFormat/>
    <w:rsid w:val="006B4647"/>
    <w:pPr>
      <w:spacing w:before="240" w:after="60"/>
      <w:outlineLvl w:val="6"/>
    </w:pPr>
    <w:rPr>
      <w:rFonts w:ascii="Calibri" w:hAnsi="Calibri"/>
    </w:rPr>
  </w:style>
  <w:style w:type="paragraph" w:styleId="Ttulo8">
    <w:name w:val="heading 8"/>
    <w:basedOn w:val="Normal"/>
    <w:next w:val="Normal"/>
    <w:link w:val="Ttulo8Car"/>
    <w:qFormat/>
    <w:rsid w:val="000B65DE"/>
    <w:pPr>
      <w:tabs>
        <w:tab w:val="num" w:pos="1440"/>
      </w:tabs>
      <w:spacing w:before="240" w:after="60"/>
      <w:ind w:left="1440" w:hanging="432"/>
      <w:jc w:val="both"/>
      <w:outlineLvl w:val="7"/>
    </w:pPr>
    <w:rPr>
      <w:rFonts w:ascii="Bookman Old Style" w:hAnsi="Bookman Old Style"/>
      <w:i/>
      <w:iCs/>
      <w:lang w:val="es-ES_tradnl"/>
    </w:rPr>
  </w:style>
  <w:style w:type="paragraph" w:styleId="Ttulo9">
    <w:name w:val="heading 9"/>
    <w:basedOn w:val="Normal"/>
    <w:next w:val="Normal"/>
    <w:link w:val="Ttulo9Car"/>
    <w:qFormat/>
    <w:rsid w:val="000B65DE"/>
    <w:pPr>
      <w:tabs>
        <w:tab w:val="num" w:pos="1584"/>
      </w:tabs>
      <w:spacing w:before="240" w:after="60"/>
      <w:ind w:left="1584" w:hanging="144"/>
      <w:jc w:val="both"/>
      <w:outlineLvl w:val="8"/>
    </w:pPr>
    <w:rPr>
      <w:rFonts w:ascii="Arial" w:hAnsi="Arial" w:cs="Arial"/>
      <w:sz w:val="22"/>
      <w:szCs w:val="22"/>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3101DA"/>
    <w:pPr>
      <w:tabs>
        <w:tab w:val="center" w:pos="4252"/>
        <w:tab w:val="right" w:pos="8504"/>
      </w:tabs>
    </w:pPr>
    <w:rPr>
      <w:rFonts w:ascii="CG Times" w:hAnsi="CG Times"/>
      <w:szCs w:val="20"/>
      <w:lang w:val="es-CO"/>
    </w:rPr>
  </w:style>
  <w:style w:type="paragraph" w:styleId="Piedepgina">
    <w:name w:val="footer"/>
    <w:basedOn w:val="Normal"/>
    <w:link w:val="PiedepginaCar"/>
    <w:semiHidden/>
    <w:rsid w:val="003101DA"/>
    <w:pPr>
      <w:tabs>
        <w:tab w:val="center" w:pos="4252"/>
        <w:tab w:val="right" w:pos="8504"/>
      </w:tabs>
    </w:pPr>
  </w:style>
  <w:style w:type="paragraph" w:customStyle="1" w:styleId="Estilo1">
    <w:name w:val="Estilo1"/>
    <w:basedOn w:val="Normal"/>
    <w:rsid w:val="003101DA"/>
    <w:pPr>
      <w:shd w:val="clear" w:color="auto" w:fill="C0C0C0"/>
      <w:jc w:val="center"/>
    </w:pPr>
    <w:rPr>
      <w:rFonts w:ascii="Comic Sans MS" w:hAnsi="Comic Sans MS"/>
      <w:color w:val="0000FF"/>
      <w:sz w:val="36"/>
      <w:szCs w:val="20"/>
      <w:lang w:val="es-CO"/>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character" w:styleId="Nmerodepgina">
    <w:name w:val="page number"/>
    <w:basedOn w:val="Fuentedeprrafopredeter"/>
    <w:semiHidden/>
    <w:rsid w:val="003101DA"/>
  </w:style>
  <w:style w:type="paragraph" w:styleId="Textoindependiente">
    <w:name w:val="Body Text"/>
    <w:basedOn w:val="Normal"/>
    <w:link w:val="TextoindependienteCar"/>
    <w:semiHidden/>
    <w:rsid w:val="003101DA"/>
    <w:pPr>
      <w:jc w:val="center"/>
    </w:pPr>
    <w:rPr>
      <w:rFonts w:ascii="Arial" w:hAnsi="Arial" w:cs="Arial"/>
      <w:b/>
      <w:bCs/>
    </w:rPr>
  </w:style>
  <w:style w:type="paragraph" w:styleId="Textoindependiente3">
    <w:name w:val="Body Text 3"/>
    <w:basedOn w:val="Normal"/>
    <w:link w:val="Textoindependiente3Car"/>
    <w:semiHidden/>
    <w:rsid w:val="003101DA"/>
    <w:pPr>
      <w:jc w:val="center"/>
      <w:outlineLvl w:val="0"/>
    </w:pPr>
    <w:rPr>
      <w:rFonts w:ascii="Arial" w:hAnsi="Arial" w:cs="Arial"/>
      <w:b/>
      <w:bCs/>
      <w:spacing w:val="-3"/>
    </w:rPr>
  </w:style>
  <w:style w:type="paragraph" w:styleId="Textodeglobo">
    <w:name w:val="Balloon Text"/>
    <w:basedOn w:val="Normal"/>
    <w:link w:val="TextodegloboCar"/>
    <w:uiPriority w:val="99"/>
    <w:semiHidden/>
    <w:unhideWhenUsed/>
    <w:rsid w:val="00725FA4"/>
    <w:rPr>
      <w:rFonts w:ascii="Tahoma" w:hAnsi="Tahoma" w:cs="Tahoma"/>
      <w:sz w:val="16"/>
      <w:szCs w:val="16"/>
    </w:rPr>
  </w:style>
  <w:style w:type="character" w:customStyle="1" w:styleId="TextodegloboCar">
    <w:name w:val="Texto de globo Car"/>
    <w:link w:val="Textodeglobo"/>
    <w:uiPriority w:val="99"/>
    <w:semiHidden/>
    <w:rsid w:val="00725FA4"/>
    <w:rPr>
      <w:rFonts w:ascii="Tahoma" w:hAnsi="Tahoma" w:cs="Tahoma"/>
      <w:sz w:val="16"/>
      <w:szCs w:val="16"/>
    </w:rPr>
  </w:style>
  <w:style w:type="character" w:customStyle="1" w:styleId="EncabezadoCar">
    <w:name w:val="Encabezado Car"/>
    <w:link w:val="Encabezado"/>
    <w:rsid w:val="00593C4F"/>
    <w:rPr>
      <w:rFonts w:ascii="CG Times" w:hAnsi="CG Times"/>
      <w:sz w:val="24"/>
      <w:lang w:val="es-CO"/>
    </w:rPr>
  </w:style>
  <w:style w:type="character" w:customStyle="1" w:styleId="Ttulo3Car">
    <w:name w:val="Título 3 Car"/>
    <w:link w:val="Ttulo3"/>
    <w:rsid w:val="00141013"/>
    <w:rPr>
      <w:rFonts w:ascii="CG Times" w:hAnsi="CG Times"/>
      <w:b/>
      <w:snapToGrid w:val="0"/>
      <w:color w:val="000000"/>
      <w:sz w:val="24"/>
      <w:lang w:val="es-ES_tradnl"/>
    </w:rPr>
  </w:style>
  <w:style w:type="character" w:customStyle="1" w:styleId="Ttulo4Car">
    <w:name w:val="Título 4 Car"/>
    <w:link w:val="Ttulo4"/>
    <w:rsid w:val="00141013"/>
    <w:rPr>
      <w:rFonts w:ascii="Arial" w:hAnsi="Arial" w:cs="Arial"/>
      <w:b/>
      <w:snapToGrid w:val="0"/>
      <w:color w:val="000000"/>
      <w:spacing w:val="20"/>
      <w:lang w:val="es-ES_tradnl"/>
    </w:rPr>
  </w:style>
  <w:style w:type="character" w:customStyle="1" w:styleId="Ttulo5Car">
    <w:name w:val="Título 5 Car"/>
    <w:link w:val="Ttulo5"/>
    <w:rsid w:val="00141013"/>
    <w:rPr>
      <w:rFonts w:ascii="Arial" w:hAnsi="Arial" w:cs="Arial"/>
      <w:b/>
      <w:snapToGrid w:val="0"/>
      <w:color w:val="000000"/>
      <w:spacing w:val="20"/>
      <w:sz w:val="28"/>
      <w:lang w:val="es-ES_tradnl"/>
    </w:rPr>
  </w:style>
  <w:style w:type="character" w:customStyle="1" w:styleId="TextoindependienteCar">
    <w:name w:val="Texto independiente Car"/>
    <w:link w:val="Textoindependiente"/>
    <w:semiHidden/>
    <w:rsid w:val="00141013"/>
    <w:rPr>
      <w:rFonts w:ascii="Arial" w:hAnsi="Arial" w:cs="Arial"/>
      <w:b/>
      <w:bCs/>
      <w:sz w:val="24"/>
      <w:szCs w:val="24"/>
    </w:rPr>
  </w:style>
  <w:style w:type="character" w:customStyle="1" w:styleId="Textoindependiente3Car">
    <w:name w:val="Texto independiente 3 Car"/>
    <w:link w:val="Textoindependiente3"/>
    <w:semiHidden/>
    <w:rsid w:val="00141013"/>
    <w:rPr>
      <w:rFonts w:ascii="Arial" w:hAnsi="Arial" w:cs="Arial"/>
      <w:b/>
      <w:bCs/>
      <w:spacing w:val="-3"/>
      <w:sz w:val="24"/>
      <w:szCs w:val="24"/>
    </w:rPr>
  </w:style>
  <w:style w:type="table" w:styleId="Tablaconcuadrcula">
    <w:name w:val="Table Grid"/>
    <w:basedOn w:val="Tablanormal"/>
    <w:uiPriority w:val="59"/>
    <w:rsid w:val="0014101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6Car">
    <w:name w:val="Título 6 Car"/>
    <w:link w:val="Ttulo6"/>
    <w:rsid w:val="00795BFB"/>
    <w:rPr>
      <w:rFonts w:ascii="Calibri" w:eastAsia="Times New Roman" w:hAnsi="Calibri" w:cs="Times New Roman"/>
      <w:b/>
      <w:bCs/>
      <w:sz w:val="22"/>
      <w:szCs w:val="22"/>
    </w:rPr>
  </w:style>
  <w:style w:type="paragraph" w:styleId="Ttulo">
    <w:name w:val="Title"/>
    <w:basedOn w:val="Normal"/>
    <w:link w:val="TtuloCar"/>
    <w:qFormat/>
    <w:rsid w:val="00795BFB"/>
    <w:pPr>
      <w:widowControl w:val="0"/>
      <w:adjustRightInd w:val="0"/>
      <w:spacing w:line="360" w:lineRule="atLeast"/>
      <w:jc w:val="center"/>
      <w:textAlignment w:val="baseline"/>
    </w:pPr>
    <w:rPr>
      <w:rFonts w:ascii="Arial" w:hAnsi="Arial" w:cs="Arial"/>
      <w:b/>
      <w:bCs/>
    </w:rPr>
  </w:style>
  <w:style w:type="character" w:customStyle="1" w:styleId="TtuloCar">
    <w:name w:val="Título Car"/>
    <w:link w:val="Ttulo"/>
    <w:rsid w:val="00795BFB"/>
    <w:rPr>
      <w:rFonts w:ascii="Arial" w:hAnsi="Arial" w:cs="Arial"/>
      <w:b/>
      <w:bCs/>
      <w:sz w:val="24"/>
      <w:szCs w:val="24"/>
    </w:rPr>
  </w:style>
  <w:style w:type="paragraph" w:styleId="Prrafodelista">
    <w:name w:val="List Paragraph"/>
    <w:basedOn w:val="Normal"/>
    <w:link w:val="PrrafodelistaCar"/>
    <w:uiPriority w:val="34"/>
    <w:qFormat/>
    <w:rsid w:val="001405C6"/>
    <w:pPr>
      <w:ind w:left="708"/>
    </w:pPr>
    <w:rPr>
      <w:sz w:val="20"/>
      <w:szCs w:val="20"/>
      <w:lang w:val="es-CO"/>
    </w:rPr>
  </w:style>
  <w:style w:type="character" w:customStyle="1" w:styleId="PrrafodelistaCar">
    <w:name w:val="Párrafo de lista Car"/>
    <w:link w:val="Prrafodelista"/>
    <w:uiPriority w:val="34"/>
    <w:rsid w:val="001405C6"/>
    <w:rPr>
      <w:lang w:val="es-CO"/>
    </w:rPr>
  </w:style>
  <w:style w:type="paragraph" w:styleId="TDC1">
    <w:name w:val="toc 1"/>
    <w:basedOn w:val="Normal"/>
    <w:next w:val="Normal"/>
    <w:autoRedefine/>
    <w:semiHidden/>
    <w:rsid w:val="00D03800"/>
    <w:pPr>
      <w:tabs>
        <w:tab w:val="left" w:pos="480"/>
        <w:tab w:val="right" w:leader="dot" w:pos="8828"/>
      </w:tabs>
      <w:spacing w:before="120"/>
      <w:jc w:val="both"/>
    </w:pPr>
    <w:rPr>
      <w:rFonts w:ascii="Arial" w:hAnsi="Arial"/>
      <w:noProof/>
    </w:rPr>
  </w:style>
  <w:style w:type="paragraph" w:styleId="Textodebloque">
    <w:name w:val="Block Text"/>
    <w:basedOn w:val="Normal"/>
    <w:rsid w:val="00D03800"/>
    <w:pPr>
      <w:suppressAutoHyphens/>
      <w:spacing w:after="240"/>
      <w:ind w:right="788"/>
      <w:jc w:val="both"/>
    </w:pPr>
    <w:rPr>
      <w:rFonts w:ascii="Arial" w:hAnsi="Arial"/>
      <w:spacing w:val="-3"/>
      <w:szCs w:val="20"/>
      <w:lang w:val="es-ES_tradnl"/>
    </w:rPr>
  </w:style>
  <w:style w:type="paragraph" w:styleId="Textoindependiente2">
    <w:name w:val="Body Text 2"/>
    <w:basedOn w:val="Normal"/>
    <w:link w:val="Textoindependiente2Car"/>
    <w:semiHidden/>
    <w:unhideWhenUsed/>
    <w:rsid w:val="00006AE2"/>
    <w:pPr>
      <w:spacing w:after="120" w:line="480" w:lineRule="auto"/>
    </w:pPr>
  </w:style>
  <w:style w:type="character" w:customStyle="1" w:styleId="Textoindependiente2Car">
    <w:name w:val="Texto independiente 2 Car"/>
    <w:link w:val="Textoindependiente2"/>
    <w:semiHidden/>
    <w:rsid w:val="00006AE2"/>
    <w:rPr>
      <w:sz w:val="24"/>
      <w:szCs w:val="24"/>
    </w:rPr>
  </w:style>
  <w:style w:type="paragraph" w:styleId="Epgrafe">
    <w:name w:val="caption"/>
    <w:basedOn w:val="Normal"/>
    <w:next w:val="Normal"/>
    <w:qFormat/>
    <w:rsid w:val="003A31F6"/>
    <w:pPr>
      <w:widowControl w:val="0"/>
      <w:adjustRightInd w:val="0"/>
      <w:spacing w:before="120" w:after="120" w:line="360" w:lineRule="atLeast"/>
      <w:ind w:left="0"/>
      <w:jc w:val="center"/>
      <w:textAlignment w:val="baseline"/>
    </w:pPr>
    <w:rPr>
      <w:rFonts w:ascii="Arial" w:hAnsi="Arial"/>
      <w:sz w:val="20"/>
      <w:szCs w:val="20"/>
    </w:rPr>
  </w:style>
  <w:style w:type="paragraph" w:styleId="Sinespaciado">
    <w:name w:val="No Spacing"/>
    <w:uiPriority w:val="1"/>
    <w:qFormat/>
    <w:rsid w:val="003A31F6"/>
    <w:rPr>
      <w:rFonts w:ascii="Calibri" w:hAnsi="Calibri" w:cs="Calibri"/>
      <w:sz w:val="22"/>
      <w:szCs w:val="22"/>
      <w:lang w:val="es-ES" w:eastAsia="en-US"/>
    </w:rPr>
  </w:style>
  <w:style w:type="character" w:customStyle="1" w:styleId="apple-style-span">
    <w:name w:val="apple-style-span"/>
    <w:rsid w:val="003A31F6"/>
    <w:rPr>
      <w:rFonts w:ascii="Times New Roman" w:hAnsi="Times New Roman" w:cs="Times New Roman"/>
    </w:rPr>
  </w:style>
  <w:style w:type="paragraph" w:styleId="Subttulo">
    <w:name w:val="Subtitle"/>
    <w:basedOn w:val="Normal"/>
    <w:link w:val="SubttuloCar"/>
    <w:qFormat/>
    <w:rsid w:val="003A31F6"/>
    <w:pPr>
      <w:ind w:left="0"/>
    </w:pPr>
    <w:rPr>
      <w:rFonts w:ascii="Century Gothic" w:hAnsi="Century Gothic"/>
      <w:b/>
      <w:bCs/>
    </w:rPr>
  </w:style>
  <w:style w:type="character" w:customStyle="1" w:styleId="SubttuloCar">
    <w:name w:val="Subtítulo Car"/>
    <w:link w:val="Subttulo"/>
    <w:rsid w:val="003A31F6"/>
    <w:rPr>
      <w:rFonts w:ascii="Century Gothic" w:hAnsi="Century Gothic"/>
      <w:b/>
      <w:bCs/>
      <w:sz w:val="24"/>
      <w:szCs w:val="24"/>
    </w:rPr>
  </w:style>
  <w:style w:type="character" w:customStyle="1" w:styleId="apple-converted-space">
    <w:name w:val="apple-converted-space"/>
    <w:basedOn w:val="Fuentedeprrafopredeter"/>
    <w:rsid w:val="003A31F6"/>
  </w:style>
  <w:style w:type="paragraph" w:customStyle="1" w:styleId="BodyText21">
    <w:name w:val="Body Text 21"/>
    <w:basedOn w:val="Normal"/>
    <w:uiPriority w:val="99"/>
    <w:rsid w:val="00C034CB"/>
    <w:pPr>
      <w:widowControl w:val="0"/>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640"/>
      </w:tabs>
      <w:suppressAutoHyphens/>
      <w:adjustRightInd w:val="0"/>
      <w:spacing w:before="120" w:after="120" w:line="240" w:lineRule="exact"/>
      <w:ind w:left="0"/>
      <w:jc w:val="both"/>
      <w:textAlignment w:val="baseline"/>
    </w:pPr>
    <w:rPr>
      <w:rFonts w:ascii="Arial" w:hAnsi="Arial"/>
      <w:sz w:val="22"/>
      <w:szCs w:val="20"/>
    </w:rPr>
  </w:style>
  <w:style w:type="character" w:customStyle="1" w:styleId="Ttulo7Car">
    <w:name w:val="Título 7 Car"/>
    <w:link w:val="Ttulo7"/>
    <w:rsid w:val="006B4647"/>
    <w:rPr>
      <w:rFonts w:ascii="Calibri" w:eastAsia="Times New Roman" w:hAnsi="Calibri" w:cs="Times New Roman"/>
      <w:sz w:val="24"/>
      <w:szCs w:val="24"/>
      <w:lang w:val="es-ES" w:eastAsia="es-ES"/>
    </w:rPr>
  </w:style>
  <w:style w:type="character" w:customStyle="1" w:styleId="Ttulo2Car">
    <w:name w:val="Título 2 Car"/>
    <w:aliases w:val="Neg Car"/>
    <w:link w:val="Ttulo2"/>
    <w:rsid w:val="000B65DE"/>
    <w:rPr>
      <w:rFonts w:ascii="Cambria" w:hAnsi="Cambria"/>
      <w:b/>
      <w:bCs/>
      <w:color w:val="4F81BD"/>
      <w:sz w:val="26"/>
      <w:szCs w:val="26"/>
      <w:lang w:val="es-ES" w:eastAsia="es-ES"/>
    </w:rPr>
  </w:style>
  <w:style w:type="character" w:customStyle="1" w:styleId="Ttulo8Car">
    <w:name w:val="Título 8 Car"/>
    <w:link w:val="Ttulo8"/>
    <w:rsid w:val="000B65DE"/>
    <w:rPr>
      <w:rFonts w:ascii="Bookman Old Style" w:hAnsi="Bookman Old Style"/>
      <w:i/>
      <w:iCs/>
      <w:sz w:val="24"/>
      <w:szCs w:val="24"/>
      <w:lang w:val="es-ES_tradnl" w:eastAsia="es-ES"/>
    </w:rPr>
  </w:style>
  <w:style w:type="character" w:customStyle="1" w:styleId="Ttulo9Car">
    <w:name w:val="Título 9 Car"/>
    <w:link w:val="Ttulo9"/>
    <w:rsid w:val="000B65DE"/>
    <w:rPr>
      <w:rFonts w:ascii="Arial" w:hAnsi="Arial" w:cs="Arial"/>
      <w:sz w:val="22"/>
      <w:szCs w:val="22"/>
      <w:lang w:val="es-ES_tradnl" w:eastAsia="es-ES"/>
    </w:rPr>
  </w:style>
  <w:style w:type="paragraph" w:styleId="Sangradetextonormal">
    <w:name w:val="Body Text Indent"/>
    <w:basedOn w:val="Normal"/>
    <w:link w:val="SangradetextonormalCar"/>
    <w:semiHidden/>
    <w:unhideWhenUsed/>
    <w:rsid w:val="000B65DE"/>
    <w:pPr>
      <w:spacing w:after="120"/>
      <w:ind w:left="283"/>
    </w:pPr>
  </w:style>
  <w:style w:type="character" w:customStyle="1" w:styleId="SangradetextonormalCar">
    <w:name w:val="Sangría de texto normal Car"/>
    <w:link w:val="Sangradetextonormal"/>
    <w:semiHidden/>
    <w:rsid w:val="000B65DE"/>
    <w:rPr>
      <w:sz w:val="24"/>
      <w:szCs w:val="24"/>
      <w:lang w:val="es-ES" w:eastAsia="es-ES"/>
    </w:rPr>
  </w:style>
  <w:style w:type="paragraph" w:customStyle="1" w:styleId="Vietaletra">
    <w:name w:val="Viñeta letra"/>
    <w:aliases w:val="ALT-V-L"/>
    <w:basedOn w:val="Normal"/>
    <w:next w:val="Normal"/>
    <w:rsid w:val="000B65DE"/>
    <w:pPr>
      <w:numPr>
        <w:numId w:val="1"/>
      </w:numPr>
      <w:suppressAutoHyphens/>
      <w:overflowPunct w:val="0"/>
      <w:autoSpaceDE w:val="0"/>
      <w:ind w:left="0"/>
      <w:jc w:val="both"/>
      <w:textAlignment w:val="baseline"/>
    </w:pPr>
    <w:rPr>
      <w:rFonts w:ascii="Arial" w:hAnsi="Arial"/>
      <w:szCs w:val="20"/>
      <w:lang w:val="es-ES_tradnl" w:eastAsia="ar-SA"/>
    </w:rPr>
  </w:style>
  <w:style w:type="paragraph" w:customStyle="1" w:styleId="TableHeading">
    <w:name w:val="Table Heading"/>
    <w:basedOn w:val="Normal"/>
    <w:rsid w:val="000B65DE"/>
    <w:pPr>
      <w:suppressLineNumbers/>
      <w:suppressAutoHyphens/>
      <w:ind w:left="0"/>
      <w:jc w:val="center"/>
    </w:pPr>
    <w:rPr>
      <w:rFonts w:ascii="Arial" w:hAnsi="Arial"/>
      <w:b/>
      <w:bCs/>
      <w:sz w:val="22"/>
      <w:lang w:eastAsia="ar-SA"/>
    </w:rPr>
  </w:style>
  <w:style w:type="paragraph" w:styleId="Sangra2detindependiente">
    <w:name w:val="Body Text Indent 2"/>
    <w:basedOn w:val="Normal"/>
    <w:link w:val="Sangra2detindependienteCar"/>
    <w:semiHidden/>
    <w:unhideWhenUsed/>
    <w:rsid w:val="000B65DE"/>
    <w:pPr>
      <w:spacing w:after="120" w:line="480" w:lineRule="auto"/>
      <w:ind w:left="283"/>
    </w:pPr>
  </w:style>
  <w:style w:type="character" w:customStyle="1" w:styleId="Sangra2detindependienteCar">
    <w:name w:val="Sangría 2 de t. independiente Car"/>
    <w:link w:val="Sangra2detindependiente"/>
    <w:semiHidden/>
    <w:rsid w:val="000B65DE"/>
    <w:rPr>
      <w:sz w:val="24"/>
      <w:szCs w:val="24"/>
      <w:lang w:val="es-ES" w:eastAsia="es-ES"/>
    </w:rPr>
  </w:style>
  <w:style w:type="paragraph" w:styleId="Lista">
    <w:name w:val="List"/>
    <w:basedOn w:val="Textoindependiente"/>
    <w:semiHidden/>
    <w:rsid w:val="000B65DE"/>
    <w:pPr>
      <w:suppressAutoHyphens/>
      <w:spacing w:after="120"/>
      <w:ind w:left="0"/>
      <w:jc w:val="both"/>
    </w:pPr>
    <w:rPr>
      <w:rFonts w:cs="Tahoma"/>
      <w:b w:val="0"/>
      <w:bCs w:val="0"/>
      <w:sz w:val="22"/>
      <w:lang w:eastAsia="ar-SA"/>
    </w:rPr>
  </w:style>
  <w:style w:type="paragraph" w:styleId="Sangra3detindependiente">
    <w:name w:val="Body Text Indent 3"/>
    <w:basedOn w:val="Normal"/>
    <w:link w:val="Sangra3detindependienteCar"/>
    <w:semiHidden/>
    <w:unhideWhenUsed/>
    <w:rsid w:val="000B65DE"/>
    <w:pPr>
      <w:spacing w:after="120"/>
      <w:ind w:left="283"/>
    </w:pPr>
    <w:rPr>
      <w:sz w:val="16"/>
      <w:szCs w:val="16"/>
    </w:rPr>
  </w:style>
  <w:style w:type="character" w:customStyle="1" w:styleId="Sangra3detindependienteCar">
    <w:name w:val="Sangría 3 de t. independiente Car"/>
    <w:link w:val="Sangra3detindependiente"/>
    <w:semiHidden/>
    <w:rsid w:val="000B65DE"/>
    <w:rPr>
      <w:sz w:val="16"/>
      <w:szCs w:val="16"/>
      <w:lang w:val="es-ES" w:eastAsia="es-ES"/>
    </w:rPr>
  </w:style>
  <w:style w:type="paragraph" w:styleId="NormalWeb">
    <w:name w:val="Normal (Web)"/>
    <w:basedOn w:val="Normal"/>
    <w:rsid w:val="000B65DE"/>
    <w:pPr>
      <w:spacing w:before="100" w:beforeAutospacing="1" w:after="100" w:afterAutospacing="1"/>
      <w:ind w:left="0"/>
    </w:pPr>
    <w:rPr>
      <w:rFonts w:ascii="Arial Unicode MS" w:eastAsia="Arial Unicode MS" w:hAnsi="Arial Unicode MS" w:cs="Arial Unicode MS"/>
      <w:color w:val="000000"/>
    </w:rPr>
  </w:style>
  <w:style w:type="paragraph" w:customStyle="1" w:styleId="Textoindependiente21">
    <w:name w:val="Texto independiente 21"/>
    <w:basedOn w:val="Normal"/>
    <w:rsid w:val="000B65DE"/>
    <w:pPr>
      <w:ind w:left="0"/>
      <w:jc w:val="both"/>
    </w:pPr>
    <w:rPr>
      <w:rFonts w:ascii="Arial" w:hAnsi="Arial"/>
      <w:sz w:val="22"/>
      <w:szCs w:val="20"/>
      <w:lang w:val="es-CO"/>
    </w:rPr>
  </w:style>
  <w:style w:type="character" w:styleId="Refdecomentario">
    <w:name w:val="annotation reference"/>
    <w:uiPriority w:val="99"/>
    <w:semiHidden/>
    <w:unhideWhenUsed/>
    <w:rsid w:val="000B65DE"/>
    <w:rPr>
      <w:sz w:val="16"/>
      <w:szCs w:val="16"/>
    </w:rPr>
  </w:style>
  <w:style w:type="paragraph" w:styleId="Textocomentario">
    <w:name w:val="annotation text"/>
    <w:basedOn w:val="Normal"/>
    <w:link w:val="TextocomentarioCar"/>
    <w:uiPriority w:val="99"/>
    <w:semiHidden/>
    <w:unhideWhenUsed/>
    <w:rsid w:val="000B65DE"/>
    <w:rPr>
      <w:sz w:val="20"/>
      <w:szCs w:val="20"/>
    </w:rPr>
  </w:style>
  <w:style w:type="character" w:customStyle="1" w:styleId="TextocomentarioCar">
    <w:name w:val="Texto comentario Car"/>
    <w:link w:val="Textocomentario"/>
    <w:uiPriority w:val="99"/>
    <w:semiHidden/>
    <w:rsid w:val="000B65DE"/>
    <w:rPr>
      <w:lang w:val="es-ES" w:eastAsia="es-ES"/>
    </w:rPr>
  </w:style>
  <w:style w:type="paragraph" w:styleId="Asuntodelcomentario">
    <w:name w:val="annotation subject"/>
    <w:basedOn w:val="Textocomentario"/>
    <w:next w:val="Textocomentario"/>
    <w:link w:val="AsuntodelcomentarioCar"/>
    <w:uiPriority w:val="99"/>
    <w:semiHidden/>
    <w:unhideWhenUsed/>
    <w:rsid w:val="000B65DE"/>
    <w:rPr>
      <w:b/>
      <w:bCs/>
    </w:rPr>
  </w:style>
  <w:style w:type="character" w:customStyle="1" w:styleId="AsuntodelcomentarioCar">
    <w:name w:val="Asunto del comentario Car"/>
    <w:link w:val="Asuntodelcomentario"/>
    <w:uiPriority w:val="99"/>
    <w:semiHidden/>
    <w:rsid w:val="000B65DE"/>
    <w:rPr>
      <w:b/>
      <w:bCs/>
      <w:lang w:val="es-ES" w:eastAsia="es-ES"/>
    </w:rPr>
  </w:style>
  <w:style w:type="character" w:customStyle="1" w:styleId="Ttulo1Car">
    <w:name w:val="Título 1 Car"/>
    <w:link w:val="Ttulo1"/>
    <w:uiPriority w:val="9"/>
    <w:rsid w:val="000B65DE"/>
    <w:rPr>
      <w:rFonts w:ascii="CG Times" w:hAnsi="CG Times"/>
      <w:b/>
      <w:sz w:val="24"/>
      <w:lang w:eastAsia="es-ES"/>
    </w:rPr>
  </w:style>
  <w:style w:type="character" w:customStyle="1" w:styleId="PiedepginaCar">
    <w:name w:val="Pie de página Car"/>
    <w:link w:val="Piedepgina"/>
    <w:semiHidden/>
    <w:rsid w:val="000B65DE"/>
    <w:rPr>
      <w:sz w:val="24"/>
      <w:szCs w:val="24"/>
      <w:lang w:val="es-ES" w:eastAsia="es-ES"/>
    </w:rPr>
  </w:style>
  <w:style w:type="numbering" w:customStyle="1" w:styleId="Sinlista1">
    <w:name w:val="Sin lista1"/>
    <w:next w:val="Sinlista"/>
    <w:uiPriority w:val="99"/>
    <w:semiHidden/>
    <w:unhideWhenUsed/>
    <w:rsid w:val="000B65DE"/>
  </w:style>
  <w:style w:type="character" w:styleId="Refdenotaalpie">
    <w:name w:val="footnote reference"/>
    <w:uiPriority w:val="99"/>
    <w:semiHidden/>
    <w:rsid w:val="000B65DE"/>
    <w:rPr>
      <w:vertAlign w:val="superscript"/>
    </w:rPr>
  </w:style>
  <w:style w:type="paragraph" w:styleId="Textonotapie">
    <w:name w:val="footnote text"/>
    <w:basedOn w:val="Normal"/>
    <w:link w:val="TextonotapieCar"/>
    <w:semiHidden/>
    <w:rsid w:val="000B65DE"/>
    <w:pPr>
      <w:ind w:left="0"/>
      <w:jc w:val="both"/>
    </w:pPr>
    <w:rPr>
      <w:rFonts w:ascii="CG Times (W1)" w:hAnsi="CG Times (W1)"/>
      <w:sz w:val="20"/>
      <w:szCs w:val="20"/>
      <w:lang w:val="es-ES_tradnl"/>
    </w:rPr>
  </w:style>
  <w:style w:type="character" w:customStyle="1" w:styleId="TextonotapieCar">
    <w:name w:val="Texto nota pie Car"/>
    <w:link w:val="Textonotapie"/>
    <w:semiHidden/>
    <w:rsid w:val="000B65DE"/>
    <w:rPr>
      <w:rFonts w:ascii="CG Times (W1)" w:hAnsi="CG Times (W1)"/>
      <w:lang w:val="es-ES_tradnl" w:eastAsia="es-ES"/>
    </w:rPr>
  </w:style>
  <w:style w:type="paragraph" w:customStyle="1" w:styleId="VietaLetra0">
    <w:name w:val="ViñetaLetra"/>
    <w:basedOn w:val="Vietaletra"/>
    <w:rsid w:val="000B65DE"/>
    <w:pPr>
      <w:numPr>
        <w:numId w:val="0"/>
      </w:numPr>
      <w:suppressAutoHyphens w:val="0"/>
      <w:autoSpaceDN w:val="0"/>
      <w:adjustRightInd w:val="0"/>
      <w:ind w:left="360" w:hanging="360"/>
    </w:pPr>
    <w:rPr>
      <w:lang w:eastAsia="es-ES"/>
    </w:rPr>
  </w:style>
  <w:style w:type="paragraph" w:customStyle="1" w:styleId="xl24">
    <w:name w:val="xl24"/>
    <w:basedOn w:val="Normal"/>
    <w:rsid w:val="000B65DE"/>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hAnsi="Arial" w:cs="Arial"/>
      <w:b/>
      <w:bCs/>
      <w:sz w:val="16"/>
      <w:szCs w:val="16"/>
    </w:rPr>
  </w:style>
  <w:style w:type="paragraph" w:customStyle="1" w:styleId="xl25">
    <w:name w:val="xl25"/>
    <w:basedOn w:val="Normal"/>
    <w:rsid w:val="000B65DE"/>
    <w:pPr>
      <w:spacing w:before="100" w:beforeAutospacing="1" w:after="100" w:afterAutospacing="1"/>
      <w:ind w:left="0"/>
      <w:jc w:val="both"/>
    </w:pPr>
    <w:rPr>
      <w:rFonts w:ascii="Arial" w:hAnsi="Arial" w:cs="Arial"/>
      <w:sz w:val="16"/>
      <w:szCs w:val="16"/>
    </w:rPr>
  </w:style>
  <w:style w:type="paragraph" w:customStyle="1" w:styleId="xl26">
    <w:name w:val="xl26"/>
    <w:basedOn w:val="Normal"/>
    <w:rsid w:val="000B65DE"/>
    <w:pPr>
      <w:pBdr>
        <w:top w:val="single" w:sz="4" w:space="0" w:color="auto"/>
        <w:left w:val="single" w:sz="4" w:space="0" w:color="auto"/>
        <w:bottom w:val="single" w:sz="4" w:space="0" w:color="auto"/>
        <w:right w:val="single" w:sz="4" w:space="0" w:color="auto"/>
      </w:pBdr>
      <w:spacing w:before="100" w:beforeAutospacing="1" w:after="100" w:afterAutospacing="1"/>
      <w:ind w:left="0"/>
      <w:jc w:val="both"/>
      <w:textAlignment w:val="center"/>
    </w:pPr>
    <w:rPr>
      <w:rFonts w:ascii="Arial" w:hAnsi="Arial" w:cs="Arial"/>
      <w:b/>
      <w:bCs/>
      <w:sz w:val="16"/>
      <w:szCs w:val="16"/>
    </w:rPr>
  </w:style>
  <w:style w:type="paragraph" w:customStyle="1" w:styleId="xl27">
    <w:name w:val="xl27"/>
    <w:basedOn w:val="Normal"/>
    <w:rsid w:val="000B65DE"/>
    <w:pPr>
      <w:pBdr>
        <w:top w:val="single" w:sz="4" w:space="0" w:color="auto"/>
        <w:left w:val="single" w:sz="4" w:space="0" w:color="auto"/>
        <w:bottom w:val="single" w:sz="4" w:space="0" w:color="auto"/>
        <w:right w:val="single" w:sz="4" w:space="0" w:color="auto"/>
      </w:pBdr>
      <w:spacing w:before="100" w:beforeAutospacing="1" w:after="100" w:afterAutospacing="1"/>
      <w:ind w:left="0"/>
      <w:jc w:val="both"/>
    </w:pPr>
    <w:rPr>
      <w:rFonts w:ascii="Arial" w:hAnsi="Arial" w:cs="Arial"/>
      <w:sz w:val="16"/>
      <w:szCs w:val="16"/>
    </w:rPr>
  </w:style>
  <w:style w:type="paragraph" w:customStyle="1" w:styleId="xl28">
    <w:name w:val="xl28"/>
    <w:basedOn w:val="Normal"/>
    <w:rsid w:val="000B65DE"/>
    <w:pPr>
      <w:pBdr>
        <w:top w:val="single" w:sz="4" w:space="0" w:color="auto"/>
        <w:left w:val="single" w:sz="4" w:space="0" w:color="auto"/>
        <w:bottom w:val="single" w:sz="4" w:space="0" w:color="auto"/>
        <w:right w:val="single" w:sz="4" w:space="0" w:color="auto"/>
      </w:pBdr>
      <w:spacing w:before="100" w:beforeAutospacing="1" w:after="100" w:afterAutospacing="1"/>
      <w:ind w:left="0"/>
      <w:jc w:val="both"/>
    </w:pPr>
    <w:rPr>
      <w:rFonts w:ascii="Arial" w:hAnsi="Arial" w:cs="Arial"/>
      <w:sz w:val="16"/>
      <w:szCs w:val="16"/>
    </w:rPr>
  </w:style>
  <w:style w:type="paragraph" w:customStyle="1" w:styleId="xl29">
    <w:name w:val="xl29"/>
    <w:basedOn w:val="Normal"/>
    <w:rsid w:val="000B65DE"/>
    <w:pPr>
      <w:pBdr>
        <w:top w:val="single" w:sz="4" w:space="0" w:color="auto"/>
        <w:bottom w:val="single" w:sz="4" w:space="0" w:color="auto"/>
      </w:pBdr>
      <w:spacing w:before="100" w:beforeAutospacing="1" w:after="100" w:afterAutospacing="1"/>
      <w:ind w:left="0"/>
      <w:jc w:val="both"/>
    </w:pPr>
    <w:rPr>
      <w:rFonts w:ascii="Arial" w:hAnsi="Arial" w:cs="Arial"/>
      <w:sz w:val="16"/>
      <w:szCs w:val="16"/>
    </w:rPr>
  </w:style>
  <w:style w:type="paragraph" w:customStyle="1" w:styleId="xl30">
    <w:name w:val="xl30"/>
    <w:basedOn w:val="Normal"/>
    <w:rsid w:val="000B65DE"/>
    <w:pPr>
      <w:pBdr>
        <w:top w:val="single" w:sz="4" w:space="0" w:color="auto"/>
        <w:bottom w:val="single" w:sz="4" w:space="0" w:color="auto"/>
        <w:right w:val="single" w:sz="4" w:space="0" w:color="auto"/>
      </w:pBdr>
      <w:spacing w:before="100" w:beforeAutospacing="1" w:after="100" w:afterAutospacing="1"/>
      <w:ind w:left="0"/>
      <w:jc w:val="both"/>
    </w:pPr>
    <w:rPr>
      <w:rFonts w:ascii="Arial" w:hAnsi="Arial" w:cs="Arial"/>
      <w:sz w:val="16"/>
      <w:szCs w:val="16"/>
    </w:rPr>
  </w:style>
  <w:style w:type="paragraph" w:customStyle="1" w:styleId="xl31">
    <w:name w:val="xl31"/>
    <w:basedOn w:val="Normal"/>
    <w:rsid w:val="000B65DE"/>
    <w:pPr>
      <w:spacing w:before="100" w:beforeAutospacing="1" w:after="100" w:afterAutospacing="1"/>
      <w:ind w:left="0"/>
      <w:jc w:val="both"/>
      <w:textAlignment w:val="center"/>
    </w:pPr>
    <w:rPr>
      <w:rFonts w:ascii="Arial" w:hAnsi="Arial" w:cs="Arial"/>
      <w:b/>
      <w:bCs/>
      <w:sz w:val="16"/>
      <w:szCs w:val="16"/>
    </w:rPr>
  </w:style>
  <w:style w:type="paragraph" w:customStyle="1" w:styleId="xl32">
    <w:name w:val="xl32"/>
    <w:basedOn w:val="Normal"/>
    <w:rsid w:val="000B65DE"/>
    <w:pPr>
      <w:pBdr>
        <w:top w:val="single" w:sz="4" w:space="0" w:color="auto"/>
        <w:left w:val="single" w:sz="4" w:space="0" w:color="auto"/>
        <w:bottom w:val="single" w:sz="4" w:space="0" w:color="auto"/>
        <w:right w:val="single" w:sz="4" w:space="0" w:color="auto"/>
      </w:pBdr>
      <w:spacing w:before="100" w:beforeAutospacing="1" w:after="100" w:afterAutospacing="1"/>
      <w:ind w:left="0"/>
      <w:jc w:val="both"/>
    </w:pPr>
    <w:rPr>
      <w:rFonts w:ascii="Arial" w:hAnsi="Arial" w:cs="Arial"/>
      <w:b/>
      <w:bCs/>
      <w:sz w:val="16"/>
      <w:szCs w:val="16"/>
    </w:rPr>
  </w:style>
  <w:style w:type="paragraph" w:customStyle="1" w:styleId="xl33">
    <w:name w:val="xl33"/>
    <w:basedOn w:val="Normal"/>
    <w:rsid w:val="000B65DE"/>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b/>
      <w:bCs/>
      <w:sz w:val="16"/>
      <w:szCs w:val="16"/>
    </w:rPr>
  </w:style>
  <w:style w:type="paragraph" w:customStyle="1" w:styleId="xl34">
    <w:name w:val="xl34"/>
    <w:basedOn w:val="Normal"/>
    <w:rsid w:val="000B65DE"/>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b/>
      <w:bCs/>
      <w:sz w:val="16"/>
      <w:szCs w:val="16"/>
    </w:rPr>
  </w:style>
  <w:style w:type="paragraph" w:customStyle="1" w:styleId="xl35">
    <w:name w:val="xl35"/>
    <w:basedOn w:val="Normal"/>
    <w:rsid w:val="000B65DE"/>
    <w:pPr>
      <w:pBdr>
        <w:left w:val="single" w:sz="4" w:space="0" w:color="auto"/>
        <w:bottom w:val="single" w:sz="4" w:space="0" w:color="auto"/>
        <w:right w:val="single" w:sz="4" w:space="0" w:color="auto"/>
      </w:pBdr>
      <w:spacing w:before="100" w:beforeAutospacing="1" w:after="100" w:afterAutospacing="1"/>
      <w:ind w:left="0"/>
      <w:jc w:val="both"/>
    </w:pPr>
    <w:rPr>
      <w:rFonts w:ascii="Arial" w:hAnsi="Arial" w:cs="Arial"/>
      <w:sz w:val="16"/>
      <w:szCs w:val="16"/>
    </w:rPr>
  </w:style>
  <w:style w:type="paragraph" w:customStyle="1" w:styleId="xl36">
    <w:name w:val="xl36"/>
    <w:basedOn w:val="Normal"/>
    <w:rsid w:val="000B65DE"/>
    <w:pPr>
      <w:pBdr>
        <w:top w:val="single" w:sz="4" w:space="0" w:color="auto"/>
        <w:left w:val="single" w:sz="4" w:space="0" w:color="auto"/>
        <w:bottom w:val="single" w:sz="4" w:space="0" w:color="auto"/>
      </w:pBdr>
      <w:spacing w:before="100" w:beforeAutospacing="1" w:after="100" w:afterAutospacing="1"/>
      <w:ind w:left="0"/>
      <w:jc w:val="both"/>
    </w:pPr>
    <w:rPr>
      <w:rFonts w:ascii="Arial" w:hAnsi="Arial" w:cs="Arial"/>
      <w:sz w:val="16"/>
      <w:szCs w:val="16"/>
    </w:rPr>
  </w:style>
  <w:style w:type="paragraph" w:customStyle="1" w:styleId="xl40">
    <w:name w:val="xl40"/>
    <w:basedOn w:val="Normal"/>
    <w:rsid w:val="000B65DE"/>
    <w:pPr>
      <w:pBdr>
        <w:left w:val="single" w:sz="4" w:space="0" w:color="auto"/>
        <w:right w:val="single" w:sz="4" w:space="0" w:color="auto"/>
      </w:pBdr>
      <w:spacing w:before="100" w:beforeAutospacing="1" w:after="100" w:afterAutospacing="1"/>
      <w:ind w:left="0"/>
      <w:jc w:val="center"/>
      <w:textAlignment w:val="center"/>
    </w:pPr>
    <w:rPr>
      <w:rFonts w:ascii="Arial" w:hAnsi="Arial" w:cs="Arial"/>
      <w:b/>
      <w:bCs/>
      <w:sz w:val="16"/>
      <w:szCs w:val="16"/>
    </w:rPr>
  </w:style>
  <w:style w:type="paragraph" w:customStyle="1" w:styleId="xl37">
    <w:name w:val="xl37"/>
    <w:basedOn w:val="Normal"/>
    <w:rsid w:val="000B65DE"/>
    <w:pPr>
      <w:pBdr>
        <w:top w:val="single" w:sz="4" w:space="0" w:color="auto"/>
        <w:left w:val="single" w:sz="4" w:space="0" w:color="auto"/>
        <w:right w:val="single" w:sz="4" w:space="0" w:color="auto"/>
      </w:pBdr>
      <w:spacing w:before="100" w:beforeAutospacing="1" w:after="100" w:afterAutospacing="1"/>
      <w:ind w:left="0"/>
      <w:jc w:val="center"/>
      <w:textAlignment w:val="center"/>
    </w:pPr>
    <w:rPr>
      <w:rFonts w:ascii="Arial" w:hAnsi="Arial" w:cs="Arial"/>
      <w:b/>
      <w:bCs/>
      <w:sz w:val="16"/>
      <w:szCs w:val="16"/>
    </w:rPr>
  </w:style>
  <w:style w:type="paragraph" w:customStyle="1" w:styleId="xl38">
    <w:name w:val="xl38"/>
    <w:basedOn w:val="Normal"/>
    <w:rsid w:val="000B65DE"/>
    <w:pPr>
      <w:pBdr>
        <w:left w:val="single" w:sz="4" w:space="0" w:color="auto"/>
        <w:right w:val="single" w:sz="4" w:space="0" w:color="auto"/>
      </w:pBdr>
      <w:spacing w:before="100" w:beforeAutospacing="1" w:after="100" w:afterAutospacing="1"/>
      <w:ind w:left="0"/>
      <w:jc w:val="center"/>
      <w:textAlignment w:val="center"/>
    </w:pPr>
    <w:rPr>
      <w:rFonts w:ascii="Arial" w:hAnsi="Arial" w:cs="Arial"/>
      <w:b/>
      <w:bCs/>
      <w:sz w:val="16"/>
      <w:szCs w:val="16"/>
    </w:rPr>
  </w:style>
  <w:style w:type="paragraph" w:customStyle="1" w:styleId="xl39">
    <w:name w:val="xl39"/>
    <w:basedOn w:val="Normal"/>
    <w:rsid w:val="000B65DE"/>
    <w:pPr>
      <w:pBdr>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hAnsi="Arial" w:cs="Arial"/>
      <w:b/>
      <w:bCs/>
      <w:sz w:val="16"/>
      <w:szCs w:val="16"/>
    </w:rPr>
  </w:style>
  <w:style w:type="paragraph" w:customStyle="1" w:styleId="xl41">
    <w:name w:val="xl41"/>
    <w:basedOn w:val="Normal"/>
    <w:rsid w:val="000B65DE"/>
    <w:pPr>
      <w:pBdr>
        <w:top w:val="single" w:sz="4" w:space="0" w:color="auto"/>
        <w:left w:val="single" w:sz="4" w:space="0" w:color="auto"/>
        <w:bottom w:val="single" w:sz="4" w:space="0" w:color="auto"/>
        <w:right w:val="single" w:sz="4" w:space="0" w:color="auto"/>
      </w:pBdr>
      <w:spacing w:before="100" w:beforeAutospacing="1" w:after="100" w:afterAutospacing="1"/>
      <w:ind w:left="0"/>
      <w:jc w:val="right"/>
      <w:textAlignment w:val="top"/>
    </w:pPr>
    <w:rPr>
      <w:rFonts w:ascii="Arial" w:hAnsi="Arial" w:cs="Arial"/>
      <w:sz w:val="16"/>
      <w:szCs w:val="16"/>
    </w:rPr>
  </w:style>
  <w:style w:type="paragraph" w:customStyle="1" w:styleId="xl42">
    <w:name w:val="xl42"/>
    <w:basedOn w:val="Normal"/>
    <w:rsid w:val="000B65DE"/>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hAnsi="Arial" w:cs="Arial"/>
      <w:b/>
      <w:bCs/>
      <w:sz w:val="16"/>
      <w:szCs w:val="16"/>
    </w:rPr>
  </w:style>
  <w:style w:type="paragraph" w:customStyle="1" w:styleId="xl43">
    <w:name w:val="xl43"/>
    <w:basedOn w:val="Normal"/>
    <w:rsid w:val="000B65DE"/>
    <w:pPr>
      <w:pBdr>
        <w:top w:val="single" w:sz="4" w:space="0" w:color="auto"/>
        <w:left w:val="single" w:sz="4" w:space="0" w:color="auto"/>
        <w:right w:val="single" w:sz="4" w:space="0" w:color="auto"/>
      </w:pBdr>
      <w:spacing w:before="100" w:beforeAutospacing="1" w:after="100" w:afterAutospacing="1"/>
      <w:ind w:left="0"/>
      <w:jc w:val="center"/>
      <w:textAlignment w:val="center"/>
    </w:pPr>
    <w:rPr>
      <w:rFonts w:ascii="Arial" w:hAnsi="Arial" w:cs="Arial"/>
      <w:b/>
      <w:bCs/>
      <w:sz w:val="16"/>
      <w:szCs w:val="16"/>
    </w:rPr>
  </w:style>
  <w:style w:type="paragraph" w:customStyle="1" w:styleId="xl44">
    <w:name w:val="xl44"/>
    <w:basedOn w:val="Normal"/>
    <w:rsid w:val="000B65DE"/>
    <w:pPr>
      <w:pBdr>
        <w:left w:val="single" w:sz="4" w:space="0" w:color="auto"/>
        <w:right w:val="single" w:sz="4" w:space="0" w:color="auto"/>
      </w:pBdr>
      <w:spacing w:before="100" w:beforeAutospacing="1" w:after="100" w:afterAutospacing="1"/>
      <w:ind w:left="0"/>
      <w:jc w:val="center"/>
      <w:textAlignment w:val="center"/>
    </w:pPr>
    <w:rPr>
      <w:rFonts w:ascii="Arial" w:hAnsi="Arial" w:cs="Arial"/>
      <w:b/>
      <w:bCs/>
      <w:sz w:val="16"/>
      <w:szCs w:val="16"/>
    </w:rPr>
  </w:style>
  <w:style w:type="paragraph" w:customStyle="1" w:styleId="xl45">
    <w:name w:val="xl45"/>
    <w:basedOn w:val="Normal"/>
    <w:rsid w:val="000B65DE"/>
    <w:pPr>
      <w:pBdr>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hAnsi="Arial" w:cs="Arial"/>
      <w:b/>
      <w:bCs/>
      <w:sz w:val="16"/>
      <w:szCs w:val="16"/>
    </w:rPr>
  </w:style>
  <w:style w:type="paragraph" w:customStyle="1" w:styleId="xl47">
    <w:name w:val="xl47"/>
    <w:basedOn w:val="Normal"/>
    <w:rsid w:val="000B65DE"/>
    <w:pPr>
      <w:pBdr>
        <w:left w:val="single" w:sz="4" w:space="0" w:color="auto"/>
        <w:bottom w:val="single" w:sz="4" w:space="0" w:color="auto"/>
        <w:right w:val="single" w:sz="4" w:space="0" w:color="auto"/>
      </w:pBdr>
      <w:spacing w:before="100" w:beforeAutospacing="1" w:after="100" w:afterAutospacing="1"/>
      <w:ind w:left="0"/>
      <w:jc w:val="center"/>
      <w:textAlignment w:val="center"/>
    </w:pPr>
    <w:rPr>
      <w:rFonts w:ascii="Bookman Old Style" w:eastAsia="Arial Unicode MS" w:hAnsi="Bookman Old Style" w:cs="Arial Unicode MS"/>
      <w:b/>
      <w:bCs/>
      <w:sz w:val="12"/>
      <w:szCs w:val="12"/>
    </w:rPr>
  </w:style>
  <w:style w:type="paragraph" w:styleId="TDC5">
    <w:name w:val="toc 5"/>
    <w:basedOn w:val="Normal"/>
    <w:next w:val="Normal"/>
    <w:autoRedefine/>
    <w:semiHidden/>
    <w:rsid w:val="000B65DE"/>
    <w:pPr>
      <w:ind w:left="960"/>
      <w:jc w:val="both"/>
    </w:pPr>
    <w:rPr>
      <w:rFonts w:ascii="Arial" w:hAnsi="Arial"/>
      <w:szCs w:val="20"/>
      <w:lang w:val="es-ES_tradnl"/>
    </w:rPr>
  </w:style>
  <w:style w:type="character" w:styleId="Hipervnculo">
    <w:name w:val="Hyperlink"/>
    <w:uiPriority w:val="99"/>
    <w:semiHidden/>
    <w:unhideWhenUsed/>
    <w:rsid w:val="000B65DE"/>
    <w:rPr>
      <w:color w:val="0000FF"/>
      <w:u w:val="single"/>
    </w:rPr>
  </w:style>
  <w:style w:type="paragraph" w:styleId="Mapadeldocumento">
    <w:name w:val="Document Map"/>
    <w:basedOn w:val="Normal"/>
    <w:link w:val="MapadeldocumentoCar"/>
    <w:uiPriority w:val="99"/>
    <w:semiHidden/>
    <w:unhideWhenUsed/>
    <w:rsid w:val="000B65DE"/>
    <w:pPr>
      <w:ind w:left="0"/>
      <w:jc w:val="both"/>
    </w:pPr>
    <w:rPr>
      <w:rFonts w:ascii="Tahoma" w:hAnsi="Tahoma" w:cs="Tahoma"/>
      <w:sz w:val="16"/>
      <w:szCs w:val="16"/>
      <w:lang w:val="es-ES_tradnl"/>
    </w:rPr>
  </w:style>
  <w:style w:type="character" w:customStyle="1" w:styleId="MapadeldocumentoCar">
    <w:name w:val="Mapa del documento Car"/>
    <w:link w:val="Mapadeldocumento"/>
    <w:uiPriority w:val="99"/>
    <w:semiHidden/>
    <w:rsid w:val="000B65DE"/>
    <w:rPr>
      <w:rFonts w:ascii="Tahoma" w:hAnsi="Tahoma" w:cs="Tahoma"/>
      <w:sz w:val="16"/>
      <w:szCs w:val="16"/>
      <w:lang w:val="es-ES_tradnl" w:eastAsia="es-ES"/>
    </w:rPr>
  </w:style>
  <w:style w:type="table" w:customStyle="1" w:styleId="Tablaconcuadrcula1">
    <w:name w:val="Tabla con cuadrícula1"/>
    <w:basedOn w:val="Tablanormal"/>
    <w:next w:val="Tablaconcuadrcula"/>
    <w:uiPriority w:val="59"/>
    <w:rsid w:val="000B65DE"/>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itas">
    <w:name w:val="Citas"/>
    <w:basedOn w:val="Normal"/>
    <w:rsid w:val="000B65DE"/>
    <w:pPr>
      <w:ind w:left="708" w:right="618"/>
      <w:jc w:val="both"/>
    </w:pPr>
    <w:rPr>
      <w:rFonts w:ascii="Bookman Old Style" w:hAnsi="Bookman Old Style" w:cs="Arial"/>
      <w:i/>
      <w:iCs/>
      <w:szCs w:val="20"/>
    </w:rPr>
  </w:style>
  <w:style w:type="paragraph" w:customStyle="1" w:styleId="xl65">
    <w:name w:val="xl65"/>
    <w:basedOn w:val="Normal"/>
    <w:rsid w:val="000B65D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left="0"/>
      <w:jc w:val="center"/>
      <w:textAlignment w:val="center"/>
    </w:pPr>
    <w:rPr>
      <w:rFonts w:ascii="Bookman Old Style" w:hAnsi="Bookman Old Style"/>
      <w:b/>
      <w:bCs/>
      <w:lang w:val="es-CO" w:eastAsia="es-CO"/>
    </w:rPr>
  </w:style>
  <w:style w:type="paragraph" w:customStyle="1" w:styleId="xl66">
    <w:name w:val="xl66"/>
    <w:basedOn w:val="Normal"/>
    <w:rsid w:val="000B65DE"/>
    <w:pPr>
      <w:shd w:val="clear" w:color="000000" w:fill="FFFFFF"/>
      <w:spacing w:before="100" w:beforeAutospacing="1" w:after="100" w:afterAutospacing="1"/>
      <w:ind w:left="0"/>
    </w:pPr>
    <w:rPr>
      <w:rFonts w:ascii="Bookman Old Style" w:hAnsi="Bookman Old Style"/>
      <w:lang w:val="es-CO" w:eastAsia="es-CO"/>
    </w:rPr>
  </w:style>
  <w:style w:type="paragraph" w:customStyle="1" w:styleId="xl67">
    <w:name w:val="xl67"/>
    <w:basedOn w:val="Normal"/>
    <w:rsid w:val="000B65DE"/>
    <w:pPr>
      <w:shd w:val="clear" w:color="000000" w:fill="FFFFFF"/>
      <w:spacing w:before="100" w:beforeAutospacing="1" w:after="100" w:afterAutospacing="1"/>
      <w:ind w:left="0"/>
    </w:pPr>
    <w:rPr>
      <w:rFonts w:ascii="Bookman Old Style" w:hAnsi="Bookman Old Style"/>
      <w:b/>
      <w:bCs/>
      <w:lang w:val="es-CO" w:eastAsia="es-CO"/>
    </w:rPr>
  </w:style>
  <w:style w:type="paragraph" w:customStyle="1" w:styleId="xl68">
    <w:name w:val="xl68"/>
    <w:basedOn w:val="Normal"/>
    <w:rsid w:val="000B65D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left="0"/>
      <w:jc w:val="center"/>
      <w:textAlignment w:val="center"/>
    </w:pPr>
    <w:rPr>
      <w:rFonts w:ascii="Bookman Old Style" w:hAnsi="Bookman Old Style"/>
      <w:b/>
      <w:bCs/>
      <w:lang w:val="es-CO" w:eastAsia="es-CO"/>
    </w:rPr>
  </w:style>
  <w:style w:type="paragraph" w:customStyle="1" w:styleId="xl69">
    <w:name w:val="xl69"/>
    <w:basedOn w:val="Normal"/>
    <w:rsid w:val="000B65DE"/>
    <w:pPr>
      <w:pBdr>
        <w:top w:val="single" w:sz="8" w:space="0" w:color="auto"/>
        <w:left w:val="single" w:sz="8" w:space="0" w:color="auto"/>
        <w:bottom w:val="single" w:sz="8" w:space="0" w:color="auto"/>
      </w:pBdr>
      <w:shd w:val="clear" w:color="000000" w:fill="FFFFFF"/>
      <w:spacing w:before="100" w:beforeAutospacing="1" w:after="100" w:afterAutospacing="1"/>
      <w:ind w:left="0"/>
      <w:jc w:val="center"/>
      <w:textAlignment w:val="center"/>
    </w:pPr>
    <w:rPr>
      <w:rFonts w:ascii="Bookman Old Style" w:hAnsi="Bookman Old Style"/>
      <w:b/>
      <w:bCs/>
      <w:lang w:val="es-CO" w:eastAsia="es-CO"/>
    </w:rPr>
  </w:style>
  <w:style w:type="paragraph" w:customStyle="1" w:styleId="xl70">
    <w:name w:val="xl70"/>
    <w:basedOn w:val="Normal"/>
    <w:rsid w:val="000B65DE"/>
    <w:pPr>
      <w:pBdr>
        <w:top w:val="single" w:sz="8" w:space="0" w:color="auto"/>
        <w:bottom w:val="single" w:sz="8" w:space="0" w:color="auto"/>
        <w:right w:val="single" w:sz="8" w:space="0" w:color="auto"/>
      </w:pBdr>
      <w:shd w:val="clear" w:color="000000" w:fill="FFFFFF"/>
      <w:spacing w:before="100" w:beforeAutospacing="1" w:after="100" w:afterAutospacing="1"/>
      <w:ind w:left="0"/>
      <w:jc w:val="center"/>
      <w:textAlignment w:val="center"/>
    </w:pPr>
    <w:rPr>
      <w:rFonts w:ascii="Bookman Old Style" w:hAnsi="Bookman Old Style"/>
      <w:b/>
      <w:bCs/>
      <w:lang w:val="es-CO" w:eastAsia="es-CO"/>
    </w:rPr>
  </w:style>
  <w:style w:type="paragraph" w:customStyle="1" w:styleId="xl71">
    <w:name w:val="xl71"/>
    <w:basedOn w:val="Normal"/>
    <w:rsid w:val="000B65DE"/>
    <w:pPr>
      <w:pBdr>
        <w:top w:val="single" w:sz="8" w:space="0" w:color="auto"/>
        <w:left w:val="single" w:sz="8" w:space="0" w:color="auto"/>
        <w:bottom w:val="single" w:sz="8" w:space="0" w:color="auto"/>
      </w:pBdr>
      <w:shd w:val="clear" w:color="000000" w:fill="FFFFFF"/>
      <w:spacing w:before="100" w:beforeAutospacing="1" w:after="100" w:afterAutospacing="1"/>
      <w:ind w:left="0"/>
      <w:jc w:val="center"/>
    </w:pPr>
    <w:rPr>
      <w:rFonts w:ascii="Bookman Old Style" w:hAnsi="Bookman Old Style"/>
      <w:b/>
      <w:bCs/>
      <w:lang w:val="es-CO" w:eastAsia="es-CO"/>
    </w:rPr>
  </w:style>
  <w:style w:type="paragraph" w:customStyle="1" w:styleId="xl72">
    <w:name w:val="xl72"/>
    <w:basedOn w:val="Normal"/>
    <w:rsid w:val="000B65DE"/>
    <w:pPr>
      <w:pBdr>
        <w:top w:val="single" w:sz="8" w:space="0" w:color="auto"/>
        <w:bottom w:val="single" w:sz="8" w:space="0" w:color="auto"/>
      </w:pBdr>
      <w:shd w:val="clear" w:color="000000" w:fill="FFFFFF"/>
      <w:spacing w:before="100" w:beforeAutospacing="1" w:after="100" w:afterAutospacing="1"/>
      <w:ind w:left="0"/>
      <w:jc w:val="center"/>
    </w:pPr>
    <w:rPr>
      <w:rFonts w:ascii="Bookman Old Style" w:hAnsi="Bookman Old Style"/>
      <w:b/>
      <w:bCs/>
      <w:lang w:val="es-CO" w:eastAsia="es-CO"/>
    </w:rPr>
  </w:style>
  <w:style w:type="paragraph" w:customStyle="1" w:styleId="xl73">
    <w:name w:val="xl73"/>
    <w:basedOn w:val="Normal"/>
    <w:rsid w:val="000B65DE"/>
    <w:pPr>
      <w:pBdr>
        <w:top w:val="single" w:sz="8" w:space="0" w:color="auto"/>
        <w:bottom w:val="single" w:sz="8" w:space="0" w:color="auto"/>
        <w:right w:val="single" w:sz="8" w:space="0" w:color="auto"/>
      </w:pBdr>
      <w:shd w:val="clear" w:color="000000" w:fill="FFFFFF"/>
      <w:spacing w:before="100" w:beforeAutospacing="1" w:after="100" w:afterAutospacing="1"/>
      <w:ind w:left="0"/>
      <w:jc w:val="center"/>
    </w:pPr>
    <w:rPr>
      <w:rFonts w:ascii="Bookman Old Style" w:hAnsi="Bookman Old Style"/>
      <w:b/>
      <w:bCs/>
      <w:lang w:val="es-CO" w:eastAsia="es-CO"/>
    </w:rPr>
  </w:style>
  <w:style w:type="paragraph" w:customStyle="1" w:styleId="xl74">
    <w:name w:val="xl74"/>
    <w:basedOn w:val="Normal"/>
    <w:rsid w:val="000B65DE"/>
    <w:pPr>
      <w:pBdr>
        <w:left w:val="single" w:sz="8" w:space="0" w:color="auto"/>
        <w:right w:val="single" w:sz="8" w:space="0" w:color="auto"/>
      </w:pBdr>
      <w:shd w:val="clear" w:color="000000" w:fill="FFFFFF"/>
      <w:spacing w:before="100" w:beforeAutospacing="1" w:after="100" w:afterAutospacing="1"/>
      <w:ind w:left="0"/>
    </w:pPr>
    <w:rPr>
      <w:rFonts w:ascii="Bookman Old Style" w:hAnsi="Bookman Old Style"/>
      <w:lang w:val="es-CO" w:eastAsia="es-CO"/>
    </w:rPr>
  </w:style>
  <w:style w:type="paragraph" w:customStyle="1" w:styleId="xl75">
    <w:name w:val="xl75"/>
    <w:basedOn w:val="Normal"/>
    <w:rsid w:val="000B65DE"/>
    <w:pPr>
      <w:pBdr>
        <w:left w:val="single" w:sz="8" w:space="0" w:color="auto"/>
        <w:right w:val="single" w:sz="8" w:space="0" w:color="auto"/>
      </w:pBdr>
      <w:shd w:val="clear" w:color="000000" w:fill="FFFFFF"/>
      <w:spacing w:before="100" w:beforeAutospacing="1" w:after="100" w:afterAutospacing="1"/>
      <w:ind w:left="0"/>
      <w:jc w:val="center"/>
      <w:textAlignment w:val="center"/>
    </w:pPr>
    <w:rPr>
      <w:rFonts w:ascii="Bookman Old Style" w:hAnsi="Bookman Old Style"/>
      <w:b/>
      <w:bCs/>
      <w:lang w:val="es-CO" w:eastAsia="es-CO"/>
    </w:rPr>
  </w:style>
  <w:style w:type="paragraph" w:customStyle="1" w:styleId="xl76">
    <w:name w:val="xl76"/>
    <w:basedOn w:val="Normal"/>
    <w:rsid w:val="000B65DE"/>
    <w:pPr>
      <w:pBdr>
        <w:left w:val="single" w:sz="8" w:space="0" w:color="auto"/>
        <w:bottom w:val="single" w:sz="8" w:space="0" w:color="auto"/>
        <w:right w:val="single" w:sz="8" w:space="0" w:color="auto"/>
      </w:pBdr>
      <w:shd w:val="clear" w:color="000000" w:fill="FFFFFF"/>
      <w:spacing w:before="100" w:beforeAutospacing="1" w:after="100" w:afterAutospacing="1"/>
      <w:ind w:left="0"/>
    </w:pPr>
    <w:rPr>
      <w:rFonts w:ascii="Bookman Old Style" w:hAnsi="Bookman Old Style"/>
      <w:lang w:val="es-CO" w:eastAsia="es-CO"/>
    </w:rPr>
  </w:style>
  <w:style w:type="paragraph" w:customStyle="1" w:styleId="xl77">
    <w:name w:val="xl77"/>
    <w:basedOn w:val="Normal"/>
    <w:rsid w:val="000B65DE"/>
    <w:pPr>
      <w:pBdr>
        <w:right w:val="single" w:sz="8" w:space="0" w:color="auto"/>
      </w:pBdr>
      <w:shd w:val="clear" w:color="000000" w:fill="FFFFFF"/>
      <w:spacing w:before="100" w:beforeAutospacing="1" w:after="100" w:afterAutospacing="1"/>
      <w:ind w:left="0"/>
    </w:pPr>
    <w:rPr>
      <w:rFonts w:ascii="Bookman Old Style" w:hAnsi="Bookman Old Style"/>
      <w:lang w:val="es-CO" w:eastAsia="es-CO"/>
    </w:rPr>
  </w:style>
  <w:style w:type="paragraph" w:customStyle="1" w:styleId="xl78">
    <w:name w:val="xl78"/>
    <w:basedOn w:val="Normal"/>
    <w:rsid w:val="000B65DE"/>
    <w:pPr>
      <w:pBdr>
        <w:top w:val="single" w:sz="8" w:space="0" w:color="auto"/>
        <w:left w:val="single" w:sz="8" w:space="0" w:color="auto"/>
      </w:pBdr>
      <w:shd w:val="clear" w:color="000000" w:fill="FFFFFF"/>
      <w:spacing w:before="100" w:beforeAutospacing="1" w:after="100" w:afterAutospacing="1"/>
      <w:ind w:left="0"/>
      <w:jc w:val="center"/>
      <w:textAlignment w:val="center"/>
    </w:pPr>
    <w:rPr>
      <w:rFonts w:ascii="Bookman Old Style" w:hAnsi="Bookman Old Style"/>
      <w:b/>
      <w:bCs/>
      <w:lang w:val="es-CO" w:eastAsia="es-CO"/>
    </w:rPr>
  </w:style>
  <w:style w:type="paragraph" w:customStyle="1" w:styleId="xl79">
    <w:name w:val="xl79"/>
    <w:basedOn w:val="Normal"/>
    <w:rsid w:val="000B65DE"/>
    <w:pPr>
      <w:pBdr>
        <w:left w:val="single" w:sz="8" w:space="0" w:color="auto"/>
      </w:pBdr>
      <w:shd w:val="clear" w:color="000000" w:fill="FFFFFF"/>
      <w:spacing w:before="100" w:beforeAutospacing="1" w:after="100" w:afterAutospacing="1"/>
      <w:ind w:left="0"/>
      <w:jc w:val="center"/>
      <w:textAlignment w:val="center"/>
    </w:pPr>
    <w:rPr>
      <w:rFonts w:ascii="Bookman Old Style" w:hAnsi="Bookman Old Style"/>
      <w:b/>
      <w:bCs/>
      <w:lang w:val="es-CO" w:eastAsia="es-CO"/>
    </w:rPr>
  </w:style>
  <w:style w:type="paragraph" w:customStyle="1" w:styleId="xl80">
    <w:name w:val="xl80"/>
    <w:basedOn w:val="Normal"/>
    <w:rsid w:val="000B65DE"/>
    <w:pPr>
      <w:pBdr>
        <w:top w:val="single" w:sz="8" w:space="0" w:color="auto"/>
        <w:left w:val="single" w:sz="8" w:space="0" w:color="auto"/>
        <w:right w:val="single" w:sz="8" w:space="0" w:color="auto"/>
      </w:pBdr>
      <w:shd w:val="clear" w:color="000000" w:fill="FFFFFF"/>
      <w:spacing w:before="100" w:beforeAutospacing="1" w:after="100" w:afterAutospacing="1"/>
      <w:ind w:left="0"/>
      <w:textAlignment w:val="center"/>
    </w:pPr>
    <w:rPr>
      <w:rFonts w:ascii="Bookman Old Style" w:hAnsi="Bookman Old Style"/>
      <w:b/>
      <w:bCs/>
      <w:lang w:val="es-CO" w:eastAsia="es-CO"/>
    </w:rPr>
  </w:style>
  <w:style w:type="paragraph" w:customStyle="1" w:styleId="xl81">
    <w:name w:val="xl81"/>
    <w:basedOn w:val="Normal"/>
    <w:rsid w:val="000B65DE"/>
    <w:pPr>
      <w:pBdr>
        <w:top w:val="single" w:sz="8" w:space="0" w:color="auto"/>
        <w:bottom w:val="single" w:sz="8" w:space="0" w:color="auto"/>
      </w:pBdr>
      <w:shd w:val="clear" w:color="000000" w:fill="FFFFFF"/>
      <w:spacing w:before="100" w:beforeAutospacing="1" w:after="100" w:afterAutospacing="1"/>
      <w:ind w:left="0"/>
      <w:jc w:val="center"/>
      <w:textAlignment w:val="center"/>
    </w:pPr>
    <w:rPr>
      <w:rFonts w:ascii="Bookman Old Style" w:hAnsi="Bookman Old Style"/>
      <w:b/>
      <w:bCs/>
      <w:lang w:val="es-CO" w:eastAsia="es-CO"/>
    </w:rPr>
  </w:style>
  <w:style w:type="character" w:styleId="Referenciasutil">
    <w:name w:val="Subtle Reference"/>
    <w:uiPriority w:val="31"/>
    <w:qFormat/>
    <w:rsid w:val="000B65DE"/>
    <w:rPr>
      <w:smallCaps/>
      <w:color w:val="C0504D"/>
      <w:u w:val="single"/>
    </w:rPr>
  </w:style>
  <w:style w:type="character" w:styleId="Textoennegrita">
    <w:name w:val="Strong"/>
    <w:uiPriority w:val="22"/>
    <w:qFormat/>
    <w:rsid w:val="000B65DE"/>
    <w:rPr>
      <w:b/>
      <w:bCs/>
    </w:rPr>
  </w:style>
  <w:style w:type="paragraph" w:styleId="Revisin">
    <w:name w:val="Revision"/>
    <w:hidden/>
    <w:uiPriority w:val="99"/>
    <w:semiHidden/>
    <w:rsid w:val="000B65DE"/>
    <w:rPr>
      <w:sz w:val="24"/>
      <w:szCs w:val="24"/>
      <w:lang w:val="es-ES" w:eastAsia="es-ES"/>
    </w:rPr>
  </w:style>
  <w:style w:type="paragraph" w:customStyle="1" w:styleId="CM63">
    <w:name w:val="CM63"/>
    <w:basedOn w:val="Normal"/>
    <w:next w:val="Normal"/>
    <w:uiPriority w:val="99"/>
    <w:rsid w:val="000B65DE"/>
    <w:pPr>
      <w:autoSpaceDE w:val="0"/>
      <w:autoSpaceDN w:val="0"/>
      <w:adjustRightInd w:val="0"/>
      <w:ind w:left="0"/>
    </w:pPr>
    <w:rPr>
      <w:rFonts w:ascii="Arial" w:hAnsi="Arial" w:cs="Arial"/>
      <w:lang w:val="es-CO" w:eastAsia="es-CO"/>
    </w:rPr>
  </w:style>
  <w:style w:type="character" w:styleId="Textodelmarcadordeposicin">
    <w:name w:val="Placeholder Text"/>
    <w:basedOn w:val="Fuentedeprrafopredeter"/>
    <w:uiPriority w:val="99"/>
    <w:semiHidden/>
    <w:rsid w:val="00DB0A73"/>
    <w:rPr>
      <w:color w:val="808080"/>
    </w:rPr>
  </w:style>
  <w:style w:type="character" w:styleId="Hipervnculovisitado">
    <w:name w:val="FollowedHyperlink"/>
    <w:basedOn w:val="Fuentedeprrafopredeter"/>
    <w:uiPriority w:val="99"/>
    <w:semiHidden/>
    <w:unhideWhenUsed/>
    <w:rsid w:val="00834DA6"/>
    <w:rPr>
      <w:color w:val="800080"/>
      <w:u w:val="single"/>
    </w:rPr>
  </w:style>
  <w:style w:type="character" w:customStyle="1" w:styleId="Ttulo2Car1">
    <w:name w:val="Título 2 Car1"/>
    <w:aliases w:val="Neg Car1"/>
    <w:basedOn w:val="Fuentedeprrafopredeter"/>
    <w:semiHidden/>
    <w:rsid w:val="00834DA6"/>
    <w:rPr>
      <w:rFonts w:asciiTheme="majorHAnsi" w:eastAsiaTheme="majorEastAsia" w:hAnsiTheme="majorHAnsi" w:cstheme="majorBidi"/>
      <w:b/>
      <w:bCs/>
      <w:color w:val="4F81BD" w:themeColor="accent1"/>
      <w:sz w:val="26"/>
      <w:szCs w:val="26"/>
      <w:lang w:val="es-ES" w:eastAsia="es-ES"/>
    </w:rPr>
  </w:style>
  <w:style w:type="paragraph" w:customStyle="1" w:styleId="xl412">
    <w:name w:val="xl412"/>
    <w:basedOn w:val="Normal"/>
    <w:rsid w:val="00834DA6"/>
    <w:pPr>
      <w:spacing w:before="100" w:beforeAutospacing="1" w:after="100" w:afterAutospacing="1"/>
      <w:ind w:left="0"/>
    </w:pPr>
    <w:rPr>
      <w:rFonts w:ascii="Bookman Old Style" w:hAnsi="Bookman Old Style"/>
      <w:sz w:val="14"/>
      <w:szCs w:val="14"/>
      <w:lang w:val="es-CO" w:eastAsia="es-CO"/>
    </w:rPr>
  </w:style>
  <w:style w:type="paragraph" w:customStyle="1" w:styleId="xl413">
    <w:name w:val="xl413"/>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Bookman Old Style" w:hAnsi="Bookman Old Style"/>
      <w:b/>
      <w:bCs/>
      <w:sz w:val="14"/>
      <w:szCs w:val="14"/>
      <w:lang w:val="es-CO" w:eastAsia="es-CO"/>
    </w:rPr>
  </w:style>
  <w:style w:type="paragraph" w:customStyle="1" w:styleId="xl414">
    <w:name w:val="xl414"/>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Bookman Old Style" w:hAnsi="Bookman Old Style"/>
      <w:b/>
      <w:bCs/>
      <w:sz w:val="14"/>
      <w:szCs w:val="14"/>
      <w:lang w:val="es-CO" w:eastAsia="es-CO"/>
    </w:rPr>
  </w:style>
  <w:style w:type="paragraph" w:customStyle="1" w:styleId="xl415">
    <w:name w:val="xl415"/>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Bookman Old Style" w:hAnsi="Bookman Old Style"/>
      <w:color w:val="000000"/>
      <w:sz w:val="14"/>
      <w:szCs w:val="14"/>
      <w:lang w:val="es-CO" w:eastAsia="es-CO"/>
    </w:rPr>
  </w:style>
  <w:style w:type="paragraph" w:customStyle="1" w:styleId="xl416">
    <w:name w:val="xl416"/>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jc w:val="both"/>
    </w:pPr>
    <w:rPr>
      <w:rFonts w:ascii="Bookman Old Style" w:hAnsi="Bookman Old Style"/>
      <w:color w:val="000000"/>
      <w:sz w:val="14"/>
      <w:szCs w:val="14"/>
      <w:lang w:val="es-CO" w:eastAsia="es-CO"/>
    </w:rPr>
  </w:style>
  <w:style w:type="paragraph" w:customStyle="1" w:styleId="xl417">
    <w:name w:val="xl417"/>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jc w:val="right"/>
    </w:pPr>
    <w:rPr>
      <w:rFonts w:ascii="Bookman Old Style" w:hAnsi="Bookman Old Style"/>
      <w:color w:val="000000"/>
      <w:sz w:val="14"/>
      <w:szCs w:val="14"/>
      <w:lang w:val="es-CO" w:eastAsia="es-CO"/>
    </w:rPr>
  </w:style>
  <w:style w:type="paragraph" w:customStyle="1" w:styleId="xl418">
    <w:name w:val="xl418"/>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Bookman Old Style" w:hAnsi="Bookman Old Style"/>
      <w:sz w:val="14"/>
      <w:szCs w:val="14"/>
      <w:lang w:val="es-CO" w:eastAsia="es-CO"/>
    </w:rPr>
  </w:style>
  <w:style w:type="paragraph" w:customStyle="1" w:styleId="xl419">
    <w:name w:val="xl419"/>
    <w:basedOn w:val="Normal"/>
    <w:rsid w:val="00834DA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left="0"/>
      <w:jc w:val="right"/>
    </w:pPr>
    <w:rPr>
      <w:rFonts w:ascii="Bookman Old Style" w:hAnsi="Bookman Old Style"/>
      <w:color w:val="000000"/>
      <w:sz w:val="14"/>
      <w:szCs w:val="14"/>
      <w:lang w:val="es-CO" w:eastAsia="es-CO"/>
    </w:rPr>
  </w:style>
  <w:style w:type="paragraph" w:customStyle="1" w:styleId="xl420">
    <w:name w:val="xl420"/>
    <w:basedOn w:val="Normal"/>
    <w:rsid w:val="00834DA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left="0"/>
      <w:jc w:val="right"/>
    </w:pPr>
    <w:rPr>
      <w:rFonts w:ascii="Bookman Old Style" w:hAnsi="Bookman Old Style"/>
      <w:color w:val="000000"/>
      <w:sz w:val="14"/>
      <w:szCs w:val="14"/>
      <w:lang w:val="es-CO" w:eastAsia="es-CO"/>
    </w:rPr>
  </w:style>
  <w:style w:type="paragraph" w:customStyle="1" w:styleId="xl421">
    <w:name w:val="xl421"/>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jc w:val="right"/>
    </w:pPr>
    <w:rPr>
      <w:rFonts w:ascii="Bookman Old Style" w:hAnsi="Bookman Old Style"/>
      <w:color w:val="000000"/>
      <w:sz w:val="14"/>
      <w:szCs w:val="14"/>
      <w:lang w:val="es-CO" w:eastAsia="es-CO"/>
    </w:rPr>
  </w:style>
  <w:style w:type="paragraph" w:customStyle="1" w:styleId="xl422">
    <w:name w:val="xl422"/>
    <w:basedOn w:val="Normal"/>
    <w:rsid w:val="00834DA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left="0"/>
    </w:pPr>
    <w:rPr>
      <w:rFonts w:ascii="Bookman Old Style" w:hAnsi="Bookman Old Style"/>
      <w:sz w:val="14"/>
      <w:szCs w:val="14"/>
      <w:lang w:val="es-CO" w:eastAsia="es-CO"/>
    </w:rPr>
  </w:style>
  <w:style w:type="paragraph" w:customStyle="1" w:styleId="xl423">
    <w:name w:val="xl423"/>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Bookman Old Style" w:hAnsi="Bookman Old Style"/>
      <w:sz w:val="14"/>
      <w:szCs w:val="14"/>
      <w:lang w:val="es-CO" w:eastAsia="es-CO"/>
    </w:rPr>
  </w:style>
  <w:style w:type="paragraph" w:customStyle="1" w:styleId="xl424">
    <w:name w:val="xl424"/>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Bookman Old Style" w:hAnsi="Bookman Old Style"/>
      <w:sz w:val="14"/>
      <w:szCs w:val="14"/>
      <w:lang w:val="es-CO" w:eastAsia="es-CO"/>
    </w:rPr>
  </w:style>
  <w:style w:type="paragraph" w:customStyle="1" w:styleId="xl425">
    <w:name w:val="xl425"/>
    <w:basedOn w:val="Normal"/>
    <w:rsid w:val="00834DA6"/>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ind w:left="0"/>
    </w:pPr>
    <w:rPr>
      <w:rFonts w:ascii="Bookman Old Style" w:hAnsi="Bookman Old Style"/>
      <w:sz w:val="14"/>
      <w:szCs w:val="14"/>
      <w:lang w:val="es-CO" w:eastAsia="es-CO"/>
    </w:rPr>
  </w:style>
  <w:style w:type="paragraph" w:customStyle="1" w:styleId="xl426">
    <w:name w:val="xl426"/>
    <w:basedOn w:val="Normal"/>
    <w:rsid w:val="00834DA6"/>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ind w:left="0"/>
      <w:jc w:val="right"/>
    </w:pPr>
    <w:rPr>
      <w:rFonts w:ascii="Bookman Old Style" w:hAnsi="Bookman Old Style"/>
      <w:color w:val="000000"/>
      <w:sz w:val="14"/>
      <w:szCs w:val="14"/>
      <w:lang w:val="es-CO" w:eastAsia="es-CO"/>
    </w:rPr>
  </w:style>
  <w:style w:type="paragraph" w:customStyle="1" w:styleId="xl427">
    <w:name w:val="xl427"/>
    <w:basedOn w:val="Normal"/>
    <w:rsid w:val="00834DA6"/>
    <w:p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ind w:left="0"/>
      <w:jc w:val="right"/>
    </w:pPr>
    <w:rPr>
      <w:rFonts w:ascii="Bookman Old Style" w:hAnsi="Bookman Old Style"/>
      <w:color w:val="000000"/>
      <w:sz w:val="14"/>
      <w:szCs w:val="14"/>
      <w:lang w:val="es-CO" w:eastAsia="es-CO"/>
    </w:rPr>
  </w:style>
  <w:style w:type="paragraph" w:customStyle="1" w:styleId="xl428">
    <w:name w:val="xl428"/>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Bookman Old Style" w:hAnsi="Bookman Old Style"/>
      <w:sz w:val="14"/>
      <w:szCs w:val="14"/>
      <w:lang w:val="es-CO" w:eastAsia="es-CO"/>
    </w:rPr>
  </w:style>
  <w:style w:type="paragraph" w:customStyle="1" w:styleId="xl429">
    <w:name w:val="xl429"/>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Bookman Old Style" w:hAnsi="Bookman Old Style"/>
      <w:sz w:val="14"/>
      <w:szCs w:val="14"/>
      <w:lang w:val="es-CO" w:eastAsia="es-CO"/>
    </w:rPr>
  </w:style>
  <w:style w:type="paragraph" w:customStyle="1" w:styleId="xl430">
    <w:name w:val="xl430"/>
    <w:basedOn w:val="Normal"/>
    <w:rsid w:val="00834DA6"/>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ind w:left="0"/>
    </w:pPr>
    <w:rPr>
      <w:rFonts w:ascii="Bookman Old Style" w:hAnsi="Bookman Old Style"/>
      <w:sz w:val="14"/>
      <w:szCs w:val="14"/>
      <w:lang w:val="es-CO" w:eastAsia="es-CO"/>
    </w:rPr>
  </w:style>
  <w:style w:type="paragraph" w:customStyle="1" w:styleId="xl431">
    <w:name w:val="xl431"/>
    <w:basedOn w:val="Normal"/>
    <w:rsid w:val="00834DA6"/>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ind w:left="0"/>
    </w:pPr>
    <w:rPr>
      <w:rFonts w:ascii="Bookman Old Style" w:hAnsi="Bookman Old Style"/>
      <w:color w:val="000000"/>
      <w:sz w:val="14"/>
      <w:szCs w:val="14"/>
      <w:lang w:val="es-CO" w:eastAsia="es-CO"/>
    </w:rPr>
  </w:style>
  <w:style w:type="paragraph" w:customStyle="1" w:styleId="xl432">
    <w:name w:val="xl432"/>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Bookman Old Style" w:hAnsi="Bookman Old Style"/>
      <w:sz w:val="14"/>
      <w:szCs w:val="14"/>
      <w:lang w:val="es-CO" w:eastAsia="es-CO"/>
    </w:rPr>
  </w:style>
  <w:style w:type="paragraph" w:customStyle="1" w:styleId="xl433">
    <w:name w:val="xl433"/>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Bookman Old Style" w:hAnsi="Bookman Old Style"/>
      <w:b/>
      <w:bCs/>
      <w:sz w:val="14"/>
      <w:szCs w:val="14"/>
      <w:lang w:val="es-CO" w:eastAsia="es-CO"/>
    </w:rPr>
  </w:style>
  <w:style w:type="paragraph" w:customStyle="1" w:styleId="xl434">
    <w:name w:val="xl434"/>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Bookman Old Style" w:hAnsi="Bookman Old Style"/>
      <w:sz w:val="14"/>
      <w:szCs w:val="14"/>
      <w:lang w:val="es-CO" w:eastAsia="es-CO"/>
    </w:rPr>
  </w:style>
  <w:style w:type="paragraph" w:customStyle="1" w:styleId="xl435">
    <w:name w:val="xl435"/>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Bookman Old Style" w:hAnsi="Bookman Old Style"/>
      <w:b/>
      <w:bCs/>
      <w:sz w:val="14"/>
      <w:szCs w:val="14"/>
      <w:lang w:val="es-CO" w:eastAsia="es-CO"/>
    </w:rPr>
  </w:style>
  <w:style w:type="table" w:customStyle="1" w:styleId="Tablaconcuadrcula3">
    <w:name w:val="Tabla con cuadrícula3"/>
    <w:basedOn w:val="Tablanormal"/>
    <w:uiPriority w:val="59"/>
    <w:rsid w:val="00B76CE3"/>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00790"/>
    <w:pPr>
      <w:autoSpaceDE w:val="0"/>
      <w:autoSpaceDN w:val="0"/>
      <w:adjustRightInd w:val="0"/>
    </w:pPr>
    <w:rPr>
      <w:rFonts w:ascii="Verdana" w:eastAsia="Calibri" w:hAnsi="Verdana" w:cs="Verdana"/>
      <w:color w:val="000000"/>
      <w:sz w:val="24"/>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CO" w:eastAsia="es-C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0"/>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101DA"/>
    <w:pPr>
      <w:ind w:left="567"/>
    </w:pPr>
    <w:rPr>
      <w:sz w:val="24"/>
      <w:szCs w:val="24"/>
      <w:lang w:val="es-ES" w:eastAsia="es-ES"/>
    </w:rPr>
  </w:style>
  <w:style w:type="paragraph" w:styleId="Ttulo1">
    <w:name w:val="heading 1"/>
    <w:basedOn w:val="Normal"/>
    <w:next w:val="Normal"/>
    <w:link w:val="Ttulo1Car"/>
    <w:uiPriority w:val="9"/>
    <w:qFormat/>
    <w:rsid w:val="003101DA"/>
    <w:pPr>
      <w:keepNext/>
      <w:jc w:val="center"/>
      <w:outlineLvl w:val="0"/>
    </w:pPr>
    <w:rPr>
      <w:rFonts w:ascii="CG Times" w:hAnsi="CG Times"/>
      <w:b/>
      <w:szCs w:val="20"/>
      <w:lang w:val="es-CO"/>
    </w:rPr>
  </w:style>
  <w:style w:type="paragraph" w:styleId="Ttulo2">
    <w:name w:val="heading 2"/>
    <w:aliases w:val="Neg"/>
    <w:basedOn w:val="Normal"/>
    <w:next w:val="Normal"/>
    <w:link w:val="Ttulo2Car"/>
    <w:unhideWhenUsed/>
    <w:qFormat/>
    <w:rsid w:val="000B65DE"/>
    <w:pPr>
      <w:keepNext/>
      <w:keepLines/>
      <w:spacing w:before="200"/>
      <w:outlineLvl w:val="1"/>
    </w:pPr>
    <w:rPr>
      <w:rFonts w:ascii="Cambria" w:hAnsi="Cambria"/>
      <w:b/>
      <w:bCs/>
      <w:color w:val="4F81BD"/>
      <w:sz w:val="26"/>
      <w:szCs w:val="26"/>
    </w:rPr>
  </w:style>
  <w:style w:type="paragraph" w:styleId="Ttulo3">
    <w:name w:val="heading 3"/>
    <w:basedOn w:val="Normal"/>
    <w:next w:val="Normal"/>
    <w:link w:val="Ttulo3Car"/>
    <w:qFormat/>
    <w:rsid w:val="003101DA"/>
    <w:pPr>
      <w:keepNext/>
      <w:jc w:val="center"/>
      <w:outlineLvl w:val="2"/>
    </w:pPr>
    <w:rPr>
      <w:rFonts w:ascii="CG Times" w:hAnsi="CG Times"/>
      <w:b/>
      <w:snapToGrid w:val="0"/>
      <w:color w:val="000000"/>
      <w:szCs w:val="20"/>
      <w:lang w:val="es-ES_tradnl"/>
    </w:rPr>
  </w:style>
  <w:style w:type="paragraph" w:styleId="Ttulo4">
    <w:name w:val="heading 4"/>
    <w:basedOn w:val="Normal"/>
    <w:next w:val="Normal"/>
    <w:link w:val="Ttulo4Car"/>
    <w:qFormat/>
    <w:rsid w:val="003101DA"/>
    <w:pPr>
      <w:keepNext/>
      <w:jc w:val="center"/>
      <w:outlineLvl w:val="3"/>
    </w:pPr>
    <w:rPr>
      <w:rFonts w:ascii="Arial" w:hAnsi="Arial" w:cs="Arial"/>
      <w:b/>
      <w:snapToGrid w:val="0"/>
      <w:color w:val="000000"/>
      <w:spacing w:val="20"/>
      <w:sz w:val="20"/>
      <w:szCs w:val="20"/>
      <w:lang w:val="es-ES_tradnl"/>
    </w:rPr>
  </w:style>
  <w:style w:type="paragraph" w:styleId="Ttulo5">
    <w:name w:val="heading 5"/>
    <w:basedOn w:val="Normal"/>
    <w:next w:val="Normal"/>
    <w:link w:val="Ttulo5Car"/>
    <w:qFormat/>
    <w:rsid w:val="003101DA"/>
    <w:pPr>
      <w:keepNext/>
      <w:jc w:val="center"/>
      <w:outlineLvl w:val="4"/>
    </w:pPr>
    <w:rPr>
      <w:rFonts w:ascii="Arial" w:hAnsi="Arial" w:cs="Arial"/>
      <w:b/>
      <w:snapToGrid w:val="0"/>
      <w:color w:val="000000"/>
      <w:spacing w:val="20"/>
      <w:sz w:val="28"/>
      <w:szCs w:val="20"/>
      <w:lang w:val="es-ES_tradnl"/>
    </w:rPr>
  </w:style>
  <w:style w:type="paragraph" w:styleId="Ttulo6">
    <w:name w:val="heading 6"/>
    <w:basedOn w:val="Normal"/>
    <w:next w:val="Normal"/>
    <w:link w:val="Ttulo6Car"/>
    <w:unhideWhenUsed/>
    <w:qFormat/>
    <w:rsid w:val="00795BFB"/>
    <w:pPr>
      <w:spacing w:before="240" w:after="60"/>
      <w:outlineLvl w:val="5"/>
    </w:pPr>
    <w:rPr>
      <w:rFonts w:ascii="Calibri" w:hAnsi="Calibri"/>
      <w:b/>
      <w:bCs/>
      <w:sz w:val="22"/>
      <w:szCs w:val="22"/>
    </w:rPr>
  </w:style>
  <w:style w:type="paragraph" w:styleId="Ttulo7">
    <w:name w:val="heading 7"/>
    <w:basedOn w:val="Normal"/>
    <w:next w:val="Normal"/>
    <w:link w:val="Ttulo7Car"/>
    <w:unhideWhenUsed/>
    <w:qFormat/>
    <w:rsid w:val="006B4647"/>
    <w:pPr>
      <w:spacing w:before="240" w:after="60"/>
      <w:outlineLvl w:val="6"/>
    </w:pPr>
    <w:rPr>
      <w:rFonts w:ascii="Calibri" w:hAnsi="Calibri"/>
    </w:rPr>
  </w:style>
  <w:style w:type="paragraph" w:styleId="Ttulo8">
    <w:name w:val="heading 8"/>
    <w:basedOn w:val="Normal"/>
    <w:next w:val="Normal"/>
    <w:link w:val="Ttulo8Car"/>
    <w:qFormat/>
    <w:rsid w:val="000B65DE"/>
    <w:pPr>
      <w:tabs>
        <w:tab w:val="num" w:pos="1440"/>
      </w:tabs>
      <w:spacing w:before="240" w:after="60"/>
      <w:ind w:left="1440" w:hanging="432"/>
      <w:jc w:val="both"/>
      <w:outlineLvl w:val="7"/>
    </w:pPr>
    <w:rPr>
      <w:rFonts w:ascii="Bookman Old Style" w:hAnsi="Bookman Old Style"/>
      <w:i/>
      <w:iCs/>
      <w:lang w:val="es-ES_tradnl"/>
    </w:rPr>
  </w:style>
  <w:style w:type="paragraph" w:styleId="Ttulo9">
    <w:name w:val="heading 9"/>
    <w:basedOn w:val="Normal"/>
    <w:next w:val="Normal"/>
    <w:link w:val="Ttulo9Car"/>
    <w:qFormat/>
    <w:rsid w:val="000B65DE"/>
    <w:pPr>
      <w:tabs>
        <w:tab w:val="num" w:pos="1584"/>
      </w:tabs>
      <w:spacing w:before="240" w:after="60"/>
      <w:ind w:left="1584" w:hanging="144"/>
      <w:jc w:val="both"/>
      <w:outlineLvl w:val="8"/>
    </w:pPr>
    <w:rPr>
      <w:rFonts w:ascii="Arial" w:hAnsi="Arial" w:cs="Arial"/>
      <w:sz w:val="22"/>
      <w:szCs w:val="22"/>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3101DA"/>
    <w:pPr>
      <w:tabs>
        <w:tab w:val="center" w:pos="4252"/>
        <w:tab w:val="right" w:pos="8504"/>
      </w:tabs>
    </w:pPr>
    <w:rPr>
      <w:rFonts w:ascii="CG Times" w:hAnsi="CG Times"/>
      <w:szCs w:val="20"/>
      <w:lang w:val="es-CO"/>
    </w:rPr>
  </w:style>
  <w:style w:type="paragraph" w:styleId="Piedepgina">
    <w:name w:val="footer"/>
    <w:basedOn w:val="Normal"/>
    <w:link w:val="PiedepginaCar"/>
    <w:semiHidden/>
    <w:rsid w:val="003101DA"/>
    <w:pPr>
      <w:tabs>
        <w:tab w:val="center" w:pos="4252"/>
        <w:tab w:val="right" w:pos="8504"/>
      </w:tabs>
    </w:pPr>
  </w:style>
  <w:style w:type="paragraph" w:customStyle="1" w:styleId="Estilo1">
    <w:name w:val="Estilo1"/>
    <w:basedOn w:val="Normal"/>
    <w:rsid w:val="003101DA"/>
    <w:pPr>
      <w:shd w:val="clear" w:color="auto" w:fill="C0C0C0"/>
      <w:jc w:val="center"/>
    </w:pPr>
    <w:rPr>
      <w:rFonts w:ascii="Comic Sans MS" w:hAnsi="Comic Sans MS"/>
      <w:color w:val="0000FF"/>
      <w:sz w:val="36"/>
      <w:szCs w:val="20"/>
      <w:lang w:val="es-CO"/>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character" w:styleId="Nmerodepgina">
    <w:name w:val="page number"/>
    <w:basedOn w:val="Fuentedeprrafopredeter"/>
    <w:semiHidden/>
    <w:rsid w:val="003101DA"/>
  </w:style>
  <w:style w:type="paragraph" w:styleId="Textoindependiente">
    <w:name w:val="Body Text"/>
    <w:basedOn w:val="Normal"/>
    <w:link w:val="TextoindependienteCar"/>
    <w:semiHidden/>
    <w:rsid w:val="003101DA"/>
    <w:pPr>
      <w:jc w:val="center"/>
    </w:pPr>
    <w:rPr>
      <w:rFonts w:ascii="Arial" w:hAnsi="Arial" w:cs="Arial"/>
      <w:b/>
      <w:bCs/>
    </w:rPr>
  </w:style>
  <w:style w:type="paragraph" w:styleId="Textoindependiente3">
    <w:name w:val="Body Text 3"/>
    <w:basedOn w:val="Normal"/>
    <w:link w:val="Textoindependiente3Car"/>
    <w:semiHidden/>
    <w:rsid w:val="003101DA"/>
    <w:pPr>
      <w:jc w:val="center"/>
      <w:outlineLvl w:val="0"/>
    </w:pPr>
    <w:rPr>
      <w:rFonts w:ascii="Arial" w:hAnsi="Arial" w:cs="Arial"/>
      <w:b/>
      <w:bCs/>
      <w:spacing w:val="-3"/>
    </w:rPr>
  </w:style>
  <w:style w:type="paragraph" w:styleId="Textodeglobo">
    <w:name w:val="Balloon Text"/>
    <w:basedOn w:val="Normal"/>
    <w:link w:val="TextodegloboCar"/>
    <w:uiPriority w:val="99"/>
    <w:semiHidden/>
    <w:unhideWhenUsed/>
    <w:rsid w:val="00725FA4"/>
    <w:rPr>
      <w:rFonts w:ascii="Tahoma" w:hAnsi="Tahoma" w:cs="Tahoma"/>
      <w:sz w:val="16"/>
      <w:szCs w:val="16"/>
    </w:rPr>
  </w:style>
  <w:style w:type="character" w:customStyle="1" w:styleId="TextodegloboCar">
    <w:name w:val="Texto de globo Car"/>
    <w:link w:val="Textodeglobo"/>
    <w:uiPriority w:val="99"/>
    <w:semiHidden/>
    <w:rsid w:val="00725FA4"/>
    <w:rPr>
      <w:rFonts w:ascii="Tahoma" w:hAnsi="Tahoma" w:cs="Tahoma"/>
      <w:sz w:val="16"/>
      <w:szCs w:val="16"/>
    </w:rPr>
  </w:style>
  <w:style w:type="character" w:customStyle="1" w:styleId="EncabezadoCar">
    <w:name w:val="Encabezado Car"/>
    <w:link w:val="Encabezado"/>
    <w:rsid w:val="00593C4F"/>
    <w:rPr>
      <w:rFonts w:ascii="CG Times" w:hAnsi="CG Times"/>
      <w:sz w:val="24"/>
      <w:lang w:val="es-CO"/>
    </w:rPr>
  </w:style>
  <w:style w:type="character" w:customStyle="1" w:styleId="Ttulo3Car">
    <w:name w:val="Título 3 Car"/>
    <w:link w:val="Ttulo3"/>
    <w:rsid w:val="00141013"/>
    <w:rPr>
      <w:rFonts w:ascii="CG Times" w:hAnsi="CG Times"/>
      <w:b/>
      <w:snapToGrid w:val="0"/>
      <w:color w:val="000000"/>
      <w:sz w:val="24"/>
      <w:lang w:val="es-ES_tradnl"/>
    </w:rPr>
  </w:style>
  <w:style w:type="character" w:customStyle="1" w:styleId="Ttulo4Car">
    <w:name w:val="Título 4 Car"/>
    <w:link w:val="Ttulo4"/>
    <w:rsid w:val="00141013"/>
    <w:rPr>
      <w:rFonts w:ascii="Arial" w:hAnsi="Arial" w:cs="Arial"/>
      <w:b/>
      <w:snapToGrid w:val="0"/>
      <w:color w:val="000000"/>
      <w:spacing w:val="20"/>
      <w:lang w:val="es-ES_tradnl"/>
    </w:rPr>
  </w:style>
  <w:style w:type="character" w:customStyle="1" w:styleId="Ttulo5Car">
    <w:name w:val="Título 5 Car"/>
    <w:link w:val="Ttulo5"/>
    <w:rsid w:val="00141013"/>
    <w:rPr>
      <w:rFonts w:ascii="Arial" w:hAnsi="Arial" w:cs="Arial"/>
      <w:b/>
      <w:snapToGrid w:val="0"/>
      <w:color w:val="000000"/>
      <w:spacing w:val="20"/>
      <w:sz w:val="28"/>
      <w:lang w:val="es-ES_tradnl"/>
    </w:rPr>
  </w:style>
  <w:style w:type="character" w:customStyle="1" w:styleId="TextoindependienteCar">
    <w:name w:val="Texto independiente Car"/>
    <w:link w:val="Textoindependiente"/>
    <w:semiHidden/>
    <w:rsid w:val="00141013"/>
    <w:rPr>
      <w:rFonts w:ascii="Arial" w:hAnsi="Arial" w:cs="Arial"/>
      <w:b/>
      <w:bCs/>
      <w:sz w:val="24"/>
      <w:szCs w:val="24"/>
    </w:rPr>
  </w:style>
  <w:style w:type="character" w:customStyle="1" w:styleId="Textoindependiente3Car">
    <w:name w:val="Texto independiente 3 Car"/>
    <w:link w:val="Textoindependiente3"/>
    <w:semiHidden/>
    <w:rsid w:val="00141013"/>
    <w:rPr>
      <w:rFonts w:ascii="Arial" w:hAnsi="Arial" w:cs="Arial"/>
      <w:b/>
      <w:bCs/>
      <w:spacing w:val="-3"/>
      <w:sz w:val="24"/>
      <w:szCs w:val="24"/>
    </w:rPr>
  </w:style>
  <w:style w:type="table" w:styleId="Tablaconcuadrcula">
    <w:name w:val="Table Grid"/>
    <w:basedOn w:val="Tablanormal"/>
    <w:uiPriority w:val="59"/>
    <w:rsid w:val="0014101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6Car">
    <w:name w:val="Título 6 Car"/>
    <w:link w:val="Ttulo6"/>
    <w:rsid w:val="00795BFB"/>
    <w:rPr>
      <w:rFonts w:ascii="Calibri" w:eastAsia="Times New Roman" w:hAnsi="Calibri" w:cs="Times New Roman"/>
      <w:b/>
      <w:bCs/>
      <w:sz w:val="22"/>
      <w:szCs w:val="22"/>
    </w:rPr>
  </w:style>
  <w:style w:type="paragraph" w:styleId="Ttulo">
    <w:name w:val="Title"/>
    <w:basedOn w:val="Normal"/>
    <w:link w:val="TtuloCar"/>
    <w:qFormat/>
    <w:rsid w:val="00795BFB"/>
    <w:pPr>
      <w:widowControl w:val="0"/>
      <w:adjustRightInd w:val="0"/>
      <w:spacing w:line="360" w:lineRule="atLeast"/>
      <w:jc w:val="center"/>
      <w:textAlignment w:val="baseline"/>
    </w:pPr>
    <w:rPr>
      <w:rFonts w:ascii="Arial" w:hAnsi="Arial" w:cs="Arial"/>
      <w:b/>
      <w:bCs/>
    </w:rPr>
  </w:style>
  <w:style w:type="character" w:customStyle="1" w:styleId="TtuloCar">
    <w:name w:val="Título Car"/>
    <w:link w:val="Ttulo"/>
    <w:rsid w:val="00795BFB"/>
    <w:rPr>
      <w:rFonts w:ascii="Arial" w:hAnsi="Arial" w:cs="Arial"/>
      <w:b/>
      <w:bCs/>
      <w:sz w:val="24"/>
      <w:szCs w:val="24"/>
    </w:rPr>
  </w:style>
  <w:style w:type="paragraph" w:styleId="Prrafodelista">
    <w:name w:val="List Paragraph"/>
    <w:basedOn w:val="Normal"/>
    <w:link w:val="PrrafodelistaCar"/>
    <w:uiPriority w:val="34"/>
    <w:qFormat/>
    <w:rsid w:val="001405C6"/>
    <w:pPr>
      <w:ind w:left="708"/>
    </w:pPr>
    <w:rPr>
      <w:sz w:val="20"/>
      <w:szCs w:val="20"/>
      <w:lang w:val="es-CO"/>
    </w:rPr>
  </w:style>
  <w:style w:type="character" w:customStyle="1" w:styleId="PrrafodelistaCar">
    <w:name w:val="Párrafo de lista Car"/>
    <w:link w:val="Prrafodelista"/>
    <w:uiPriority w:val="34"/>
    <w:rsid w:val="001405C6"/>
    <w:rPr>
      <w:lang w:val="es-CO"/>
    </w:rPr>
  </w:style>
  <w:style w:type="paragraph" w:styleId="TDC1">
    <w:name w:val="toc 1"/>
    <w:basedOn w:val="Normal"/>
    <w:next w:val="Normal"/>
    <w:autoRedefine/>
    <w:semiHidden/>
    <w:rsid w:val="00D03800"/>
    <w:pPr>
      <w:tabs>
        <w:tab w:val="left" w:pos="480"/>
        <w:tab w:val="right" w:leader="dot" w:pos="8828"/>
      </w:tabs>
      <w:spacing w:before="120"/>
      <w:jc w:val="both"/>
    </w:pPr>
    <w:rPr>
      <w:rFonts w:ascii="Arial" w:hAnsi="Arial"/>
      <w:noProof/>
    </w:rPr>
  </w:style>
  <w:style w:type="paragraph" w:styleId="Textodebloque">
    <w:name w:val="Block Text"/>
    <w:basedOn w:val="Normal"/>
    <w:rsid w:val="00D03800"/>
    <w:pPr>
      <w:suppressAutoHyphens/>
      <w:spacing w:after="240"/>
      <w:ind w:right="788"/>
      <w:jc w:val="both"/>
    </w:pPr>
    <w:rPr>
      <w:rFonts w:ascii="Arial" w:hAnsi="Arial"/>
      <w:spacing w:val="-3"/>
      <w:szCs w:val="20"/>
      <w:lang w:val="es-ES_tradnl"/>
    </w:rPr>
  </w:style>
  <w:style w:type="paragraph" w:styleId="Textoindependiente2">
    <w:name w:val="Body Text 2"/>
    <w:basedOn w:val="Normal"/>
    <w:link w:val="Textoindependiente2Car"/>
    <w:semiHidden/>
    <w:unhideWhenUsed/>
    <w:rsid w:val="00006AE2"/>
    <w:pPr>
      <w:spacing w:after="120" w:line="480" w:lineRule="auto"/>
    </w:pPr>
  </w:style>
  <w:style w:type="character" w:customStyle="1" w:styleId="Textoindependiente2Car">
    <w:name w:val="Texto independiente 2 Car"/>
    <w:link w:val="Textoindependiente2"/>
    <w:semiHidden/>
    <w:rsid w:val="00006AE2"/>
    <w:rPr>
      <w:sz w:val="24"/>
      <w:szCs w:val="24"/>
    </w:rPr>
  </w:style>
  <w:style w:type="paragraph" w:styleId="Epgrafe">
    <w:name w:val="caption"/>
    <w:basedOn w:val="Normal"/>
    <w:next w:val="Normal"/>
    <w:qFormat/>
    <w:rsid w:val="003A31F6"/>
    <w:pPr>
      <w:widowControl w:val="0"/>
      <w:adjustRightInd w:val="0"/>
      <w:spacing w:before="120" w:after="120" w:line="360" w:lineRule="atLeast"/>
      <w:ind w:left="0"/>
      <w:jc w:val="center"/>
      <w:textAlignment w:val="baseline"/>
    </w:pPr>
    <w:rPr>
      <w:rFonts w:ascii="Arial" w:hAnsi="Arial"/>
      <w:sz w:val="20"/>
      <w:szCs w:val="20"/>
    </w:rPr>
  </w:style>
  <w:style w:type="paragraph" w:styleId="Sinespaciado">
    <w:name w:val="No Spacing"/>
    <w:uiPriority w:val="1"/>
    <w:qFormat/>
    <w:rsid w:val="003A31F6"/>
    <w:rPr>
      <w:rFonts w:ascii="Calibri" w:hAnsi="Calibri" w:cs="Calibri"/>
      <w:sz w:val="22"/>
      <w:szCs w:val="22"/>
      <w:lang w:val="es-ES" w:eastAsia="en-US"/>
    </w:rPr>
  </w:style>
  <w:style w:type="character" w:customStyle="1" w:styleId="apple-style-span">
    <w:name w:val="apple-style-span"/>
    <w:rsid w:val="003A31F6"/>
    <w:rPr>
      <w:rFonts w:ascii="Times New Roman" w:hAnsi="Times New Roman" w:cs="Times New Roman"/>
    </w:rPr>
  </w:style>
  <w:style w:type="paragraph" w:styleId="Subttulo">
    <w:name w:val="Subtitle"/>
    <w:basedOn w:val="Normal"/>
    <w:link w:val="SubttuloCar"/>
    <w:qFormat/>
    <w:rsid w:val="003A31F6"/>
    <w:pPr>
      <w:ind w:left="0"/>
    </w:pPr>
    <w:rPr>
      <w:rFonts w:ascii="Century Gothic" w:hAnsi="Century Gothic"/>
      <w:b/>
      <w:bCs/>
    </w:rPr>
  </w:style>
  <w:style w:type="character" w:customStyle="1" w:styleId="SubttuloCar">
    <w:name w:val="Subtítulo Car"/>
    <w:link w:val="Subttulo"/>
    <w:rsid w:val="003A31F6"/>
    <w:rPr>
      <w:rFonts w:ascii="Century Gothic" w:hAnsi="Century Gothic"/>
      <w:b/>
      <w:bCs/>
      <w:sz w:val="24"/>
      <w:szCs w:val="24"/>
    </w:rPr>
  </w:style>
  <w:style w:type="character" w:customStyle="1" w:styleId="apple-converted-space">
    <w:name w:val="apple-converted-space"/>
    <w:basedOn w:val="Fuentedeprrafopredeter"/>
    <w:rsid w:val="003A31F6"/>
  </w:style>
  <w:style w:type="paragraph" w:customStyle="1" w:styleId="BodyText21">
    <w:name w:val="Body Text 21"/>
    <w:basedOn w:val="Normal"/>
    <w:uiPriority w:val="99"/>
    <w:rsid w:val="00C034CB"/>
    <w:pPr>
      <w:widowControl w:val="0"/>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640"/>
      </w:tabs>
      <w:suppressAutoHyphens/>
      <w:adjustRightInd w:val="0"/>
      <w:spacing w:before="120" w:after="120" w:line="240" w:lineRule="exact"/>
      <w:ind w:left="0"/>
      <w:jc w:val="both"/>
      <w:textAlignment w:val="baseline"/>
    </w:pPr>
    <w:rPr>
      <w:rFonts w:ascii="Arial" w:hAnsi="Arial"/>
      <w:sz w:val="22"/>
      <w:szCs w:val="20"/>
    </w:rPr>
  </w:style>
  <w:style w:type="character" w:customStyle="1" w:styleId="Ttulo7Car">
    <w:name w:val="Título 7 Car"/>
    <w:link w:val="Ttulo7"/>
    <w:rsid w:val="006B4647"/>
    <w:rPr>
      <w:rFonts w:ascii="Calibri" w:eastAsia="Times New Roman" w:hAnsi="Calibri" w:cs="Times New Roman"/>
      <w:sz w:val="24"/>
      <w:szCs w:val="24"/>
      <w:lang w:val="es-ES" w:eastAsia="es-ES"/>
    </w:rPr>
  </w:style>
  <w:style w:type="character" w:customStyle="1" w:styleId="Ttulo2Car">
    <w:name w:val="Título 2 Car"/>
    <w:aliases w:val="Neg Car"/>
    <w:link w:val="Ttulo2"/>
    <w:rsid w:val="000B65DE"/>
    <w:rPr>
      <w:rFonts w:ascii="Cambria" w:hAnsi="Cambria"/>
      <w:b/>
      <w:bCs/>
      <w:color w:val="4F81BD"/>
      <w:sz w:val="26"/>
      <w:szCs w:val="26"/>
      <w:lang w:val="es-ES" w:eastAsia="es-ES"/>
    </w:rPr>
  </w:style>
  <w:style w:type="character" w:customStyle="1" w:styleId="Ttulo8Car">
    <w:name w:val="Título 8 Car"/>
    <w:link w:val="Ttulo8"/>
    <w:rsid w:val="000B65DE"/>
    <w:rPr>
      <w:rFonts w:ascii="Bookman Old Style" w:hAnsi="Bookman Old Style"/>
      <w:i/>
      <w:iCs/>
      <w:sz w:val="24"/>
      <w:szCs w:val="24"/>
      <w:lang w:val="es-ES_tradnl" w:eastAsia="es-ES"/>
    </w:rPr>
  </w:style>
  <w:style w:type="character" w:customStyle="1" w:styleId="Ttulo9Car">
    <w:name w:val="Título 9 Car"/>
    <w:link w:val="Ttulo9"/>
    <w:rsid w:val="000B65DE"/>
    <w:rPr>
      <w:rFonts w:ascii="Arial" w:hAnsi="Arial" w:cs="Arial"/>
      <w:sz w:val="22"/>
      <w:szCs w:val="22"/>
      <w:lang w:val="es-ES_tradnl" w:eastAsia="es-ES"/>
    </w:rPr>
  </w:style>
  <w:style w:type="paragraph" w:styleId="Sangradetextonormal">
    <w:name w:val="Body Text Indent"/>
    <w:basedOn w:val="Normal"/>
    <w:link w:val="SangradetextonormalCar"/>
    <w:semiHidden/>
    <w:unhideWhenUsed/>
    <w:rsid w:val="000B65DE"/>
    <w:pPr>
      <w:spacing w:after="120"/>
      <w:ind w:left="283"/>
    </w:pPr>
  </w:style>
  <w:style w:type="character" w:customStyle="1" w:styleId="SangradetextonormalCar">
    <w:name w:val="Sangría de texto normal Car"/>
    <w:link w:val="Sangradetextonormal"/>
    <w:semiHidden/>
    <w:rsid w:val="000B65DE"/>
    <w:rPr>
      <w:sz w:val="24"/>
      <w:szCs w:val="24"/>
      <w:lang w:val="es-ES" w:eastAsia="es-ES"/>
    </w:rPr>
  </w:style>
  <w:style w:type="paragraph" w:customStyle="1" w:styleId="Vietaletra">
    <w:name w:val="Viñeta letra"/>
    <w:aliases w:val="ALT-V-L"/>
    <w:basedOn w:val="Normal"/>
    <w:next w:val="Normal"/>
    <w:rsid w:val="000B65DE"/>
    <w:pPr>
      <w:numPr>
        <w:numId w:val="1"/>
      </w:numPr>
      <w:suppressAutoHyphens/>
      <w:overflowPunct w:val="0"/>
      <w:autoSpaceDE w:val="0"/>
      <w:ind w:left="0"/>
      <w:jc w:val="both"/>
      <w:textAlignment w:val="baseline"/>
    </w:pPr>
    <w:rPr>
      <w:rFonts w:ascii="Arial" w:hAnsi="Arial"/>
      <w:szCs w:val="20"/>
      <w:lang w:val="es-ES_tradnl" w:eastAsia="ar-SA"/>
    </w:rPr>
  </w:style>
  <w:style w:type="paragraph" w:customStyle="1" w:styleId="TableHeading">
    <w:name w:val="Table Heading"/>
    <w:basedOn w:val="Normal"/>
    <w:rsid w:val="000B65DE"/>
    <w:pPr>
      <w:suppressLineNumbers/>
      <w:suppressAutoHyphens/>
      <w:ind w:left="0"/>
      <w:jc w:val="center"/>
    </w:pPr>
    <w:rPr>
      <w:rFonts w:ascii="Arial" w:hAnsi="Arial"/>
      <w:b/>
      <w:bCs/>
      <w:sz w:val="22"/>
      <w:lang w:eastAsia="ar-SA"/>
    </w:rPr>
  </w:style>
  <w:style w:type="paragraph" w:styleId="Sangra2detindependiente">
    <w:name w:val="Body Text Indent 2"/>
    <w:basedOn w:val="Normal"/>
    <w:link w:val="Sangra2detindependienteCar"/>
    <w:semiHidden/>
    <w:unhideWhenUsed/>
    <w:rsid w:val="000B65DE"/>
    <w:pPr>
      <w:spacing w:after="120" w:line="480" w:lineRule="auto"/>
      <w:ind w:left="283"/>
    </w:pPr>
  </w:style>
  <w:style w:type="character" w:customStyle="1" w:styleId="Sangra2detindependienteCar">
    <w:name w:val="Sangría 2 de t. independiente Car"/>
    <w:link w:val="Sangra2detindependiente"/>
    <w:semiHidden/>
    <w:rsid w:val="000B65DE"/>
    <w:rPr>
      <w:sz w:val="24"/>
      <w:szCs w:val="24"/>
      <w:lang w:val="es-ES" w:eastAsia="es-ES"/>
    </w:rPr>
  </w:style>
  <w:style w:type="paragraph" w:styleId="Lista">
    <w:name w:val="List"/>
    <w:basedOn w:val="Textoindependiente"/>
    <w:semiHidden/>
    <w:rsid w:val="000B65DE"/>
    <w:pPr>
      <w:suppressAutoHyphens/>
      <w:spacing w:after="120"/>
      <w:ind w:left="0"/>
      <w:jc w:val="both"/>
    </w:pPr>
    <w:rPr>
      <w:rFonts w:cs="Tahoma"/>
      <w:b w:val="0"/>
      <w:bCs w:val="0"/>
      <w:sz w:val="22"/>
      <w:lang w:eastAsia="ar-SA"/>
    </w:rPr>
  </w:style>
  <w:style w:type="paragraph" w:styleId="Sangra3detindependiente">
    <w:name w:val="Body Text Indent 3"/>
    <w:basedOn w:val="Normal"/>
    <w:link w:val="Sangra3detindependienteCar"/>
    <w:semiHidden/>
    <w:unhideWhenUsed/>
    <w:rsid w:val="000B65DE"/>
    <w:pPr>
      <w:spacing w:after="120"/>
      <w:ind w:left="283"/>
    </w:pPr>
    <w:rPr>
      <w:sz w:val="16"/>
      <w:szCs w:val="16"/>
    </w:rPr>
  </w:style>
  <w:style w:type="character" w:customStyle="1" w:styleId="Sangra3detindependienteCar">
    <w:name w:val="Sangría 3 de t. independiente Car"/>
    <w:link w:val="Sangra3detindependiente"/>
    <w:semiHidden/>
    <w:rsid w:val="000B65DE"/>
    <w:rPr>
      <w:sz w:val="16"/>
      <w:szCs w:val="16"/>
      <w:lang w:val="es-ES" w:eastAsia="es-ES"/>
    </w:rPr>
  </w:style>
  <w:style w:type="paragraph" w:styleId="NormalWeb">
    <w:name w:val="Normal (Web)"/>
    <w:basedOn w:val="Normal"/>
    <w:rsid w:val="000B65DE"/>
    <w:pPr>
      <w:spacing w:before="100" w:beforeAutospacing="1" w:after="100" w:afterAutospacing="1"/>
      <w:ind w:left="0"/>
    </w:pPr>
    <w:rPr>
      <w:rFonts w:ascii="Arial Unicode MS" w:eastAsia="Arial Unicode MS" w:hAnsi="Arial Unicode MS" w:cs="Arial Unicode MS"/>
      <w:color w:val="000000"/>
    </w:rPr>
  </w:style>
  <w:style w:type="paragraph" w:customStyle="1" w:styleId="Textoindependiente21">
    <w:name w:val="Texto independiente 21"/>
    <w:basedOn w:val="Normal"/>
    <w:rsid w:val="000B65DE"/>
    <w:pPr>
      <w:ind w:left="0"/>
      <w:jc w:val="both"/>
    </w:pPr>
    <w:rPr>
      <w:rFonts w:ascii="Arial" w:hAnsi="Arial"/>
      <w:sz w:val="22"/>
      <w:szCs w:val="20"/>
      <w:lang w:val="es-CO"/>
    </w:rPr>
  </w:style>
  <w:style w:type="character" w:styleId="Refdecomentario">
    <w:name w:val="annotation reference"/>
    <w:uiPriority w:val="99"/>
    <w:semiHidden/>
    <w:unhideWhenUsed/>
    <w:rsid w:val="000B65DE"/>
    <w:rPr>
      <w:sz w:val="16"/>
      <w:szCs w:val="16"/>
    </w:rPr>
  </w:style>
  <w:style w:type="paragraph" w:styleId="Textocomentario">
    <w:name w:val="annotation text"/>
    <w:basedOn w:val="Normal"/>
    <w:link w:val="TextocomentarioCar"/>
    <w:uiPriority w:val="99"/>
    <w:semiHidden/>
    <w:unhideWhenUsed/>
    <w:rsid w:val="000B65DE"/>
    <w:rPr>
      <w:sz w:val="20"/>
      <w:szCs w:val="20"/>
    </w:rPr>
  </w:style>
  <w:style w:type="character" w:customStyle="1" w:styleId="TextocomentarioCar">
    <w:name w:val="Texto comentario Car"/>
    <w:link w:val="Textocomentario"/>
    <w:uiPriority w:val="99"/>
    <w:semiHidden/>
    <w:rsid w:val="000B65DE"/>
    <w:rPr>
      <w:lang w:val="es-ES" w:eastAsia="es-ES"/>
    </w:rPr>
  </w:style>
  <w:style w:type="paragraph" w:styleId="Asuntodelcomentario">
    <w:name w:val="annotation subject"/>
    <w:basedOn w:val="Textocomentario"/>
    <w:next w:val="Textocomentario"/>
    <w:link w:val="AsuntodelcomentarioCar"/>
    <w:uiPriority w:val="99"/>
    <w:semiHidden/>
    <w:unhideWhenUsed/>
    <w:rsid w:val="000B65DE"/>
    <w:rPr>
      <w:b/>
      <w:bCs/>
    </w:rPr>
  </w:style>
  <w:style w:type="character" w:customStyle="1" w:styleId="AsuntodelcomentarioCar">
    <w:name w:val="Asunto del comentario Car"/>
    <w:link w:val="Asuntodelcomentario"/>
    <w:uiPriority w:val="99"/>
    <w:semiHidden/>
    <w:rsid w:val="000B65DE"/>
    <w:rPr>
      <w:b/>
      <w:bCs/>
      <w:lang w:val="es-ES" w:eastAsia="es-ES"/>
    </w:rPr>
  </w:style>
  <w:style w:type="character" w:customStyle="1" w:styleId="Ttulo1Car">
    <w:name w:val="Título 1 Car"/>
    <w:link w:val="Ttulo1"/>
    <w:uiPriority w:val="9"/>
    <w:rsid w:val="000B65DE"/>
    <w:rPr>
      <w:rFonts w:ascii="CG Times" w:hAnsi="CG Times"/>
      <w:b/>
      <w:sz w:val="24"/>
      <w:lang w:eastAsia="es-ES"/>
    </w:rPr>
  </w:style>
  <w:style w:type="character" w:customStyle="1" w:styleId="PiedepginaCar">
    <w:name w:val="Pie de página Car"/>
    <w:link w:val="Piedepgina"/>
    <w:semiHidden/>
    <w:rsid w:val="000B65DE"/>
    <w:rPr>
      <w:sz w:val="24"/>
      <w:szCs w:val="24"/>
      <w:lang w:val="es-ES" w:eastAsia="es-ES"/>
    </w:rPr>
  </w:style>
  <w:style w:type="numbering" w:customStyle="1" w:styleId="Sinlista1">
    <w:name w:val="Sin lista1"/>
    <w:next w:val="Sinlista"/>
    <w:uiPriority w:val="99"/>
    <w:semiHidden/>
    <w:unhideWhenUsed/>
    <w:rsid w:val="000B65DE"/>
  </w:style>
  <w:style w:type="character" w:styleId="Refdenotaalpie">
    <w:name w:val="footnote reference"/>
    <w:uiPriority w:val="99"/>
    <w:semiHidden/>
    <w:rsid w:val="000B65DE"/>
    <w:rPr>
      <w:vertAlign w:val="superscript"/>
    </w:rPr>
  </w:style>
  <w:style w:type="paragraph" w:styleId="Textonotapie">
    <w:name w:val="footnote text"/>
    <w:basedOn w:val="Normal"/>
    <w:link w:val="TextonotapieCar"/>
    <w:semiHidden/>
    <w:rsid w:val="000B65DE"/>
    <w:pPr>
      <w:ind w:left="0"/>
      <w:jc w:val="both"/>
    </w:pPr>
    <w:rPr>
      <w:rFonts w:ascii="CG Times (W1)" w:hAnsi="CG Times (W1)"/>
      <w:sz w:val="20"/>
      <w:szCs w:val="20"/>
      <w:lang w:val="es-ES_tradnl"/>
    </w:rPr>
  </w:style>
  <w:style w:type="character" w:customStyle="1" w:styleId="TextonotapieCar">
    <w:name w:val="Texto nota pie Car"/>
    <w:link w:val="Textonotapie"/>
    <w:semiHidden/>
    <w:rsid w:val="000B65DE"/>
    <w:rPr>
      <w:rFonts w:ascii="CG Times (W1)" w:hAnsi="CG Times (W1)"/>
      <w:lang w:val="es-ES_tradnl" w:eastAsia="es-ES"/>
    </w:rPr>
  </w:style>
  <w:style w:type="paragraph" w:customStyle="1" w:styleId="VietaLetra0">
    <w:name w:val="ViñetaLetra"/>
    <w:basedOn w:val="Vietaletra"/>
    <w:rsid w:val="000B65DE"/>
    <w:pPr>
      <w:numPr>
        <w:numId w:val="0"/>
      </w:numPr>
      <w:suppressAutoHyphens w:val="0"/>
      <w:autoSpaceDN w:val="0"/>
      <w:adjustRightInd w:val="0"/>
      <w:ind w:left="360" w:hanging="360"/>
    </w:pPr>
    <w:rPr>
      <w:lang w:eastAsia="es-ES"/>
    </w:rPr>
  </w:style>
  <w:style w:type="paragraph" w:customStyle="1" w:styleId="xl24">
    <w:name w:val="xl24"/>
    <w:basedOn w:val="Normal"/>
    <w:rsid w:val="000B65DE"/>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hAnsi="Arial" w:cs="Arial"/>
      <w:b/>
      <w:bCs/>
      <w:sz w:val="16"/>
      <w:szCs w:val="16"/>
    </w:rPr>
  </w:style>
  <w:style w:type="paragraph" w:customStyle="1" w:styleId="xl25">
    <w:name w:val="xl25"/>
    <w:basedOn w:val="Normal"/>
    <w:rsid w:val="000B65DE"/>
    <w:pPr>
      <w:spacing w:before="100" w:beforeAutospacing="1" w:after="100" w:afterAutospacing="1"/>
      <w:ind w:left="0"/>
      <w:jc w:val="both"/>
    </w:pPr>
    <w:rPr>
      <w:rFonts w:ascii="Arial" w:hAnsi="Arial" w:cs="Arial"/>
      <w:sz w:val="16"/>
      <w:szCs w:val="16"/>
    </w:rPr>
  </w:style>
  <w:style w:type="paragraph" w:customStyle="1" w:styleId="xl26">
    <w:name w:val="xl26"/>
    <w:basedOn w:val="Normal"/>
    <w:rsid w:val="000B65DE"/>
    <w:pPr>
      <w:pBdr>
        <w:top w:val="single" w:sz="4" w:space="0" w:color="auto"/>
        <w:left w:val="single" w:sz="4" w:space="0" w:color="auto"/>
        <w:bottom w:val="single" w:sz="4" w:space="0" w:color="auto"/>
        <w:right w:val="single" w:sz="4" w:space="0" w:color="auto"/>
      </w:pBdr>
      <w:spacing w:before="100" w:beforeAutospacing="1" w:after="100" w:afterAutospacing="1"/>
      <w:ind w:left="0"/>
      <w:jc w:val="both"/>
      <w:textAlignment w:val="center"/>
    </w:pPr>
    <w:rPr>
      <w:rFonts w:ascii="Arial" w:hAnsi="Arial" w:cs="Arial"/>
      <w:b/>
      <w:bCs/>
      <w:sz w:val="16"/>
      <w:szCs w:val="16"/>
    </w:rPr>
  </w:style>
  <w:style w:type="paragraph" w:customStyle="1" w:styleId="xl27">
    <w:name w:val="xl27"/>
    <w:basedOn w:val="Normal"/>
    <w:rsid w:val="000B65DE"/>
    <w:pPr>
      <w:pBdr>
        <w:top w:val="single" w:sz="4" w:space="0" w:color="auto"/>
        <w:left w:val="single" w:sz="4" w:space="0" w:color="auto"/>
        <w:bottom w:val="single" w:sz="4" w:space="0" w:color="auto"/>
        <w:right w:val="single" w:sz="4" w:space="0" w:color="auto"/>
      </w:pBdr>
      <w:spacing w:before="100" w:beforeAutospacing="1" w:after="100" w:afterAutospacing="1"/>
      <w:ind w:left="0"/>
      <w:jc w:val="both"/>
    </w:pPr>
    <w:rPr>
      <w:rFonts w:ascii="Arial" w:hAnsi="Arial" w:cs="Arial"/>
      <w:sz w:val="16"/>
      <w:szCs w:val="16"/>
    </w:rPr>
  </w:style>
  <w:style w:type="paragraph" w:customStyle="1" w:styleId="xl28">
    <w:name w:val="xl28"/>
    <w:basedOn w:val="Normal"/>
    <w:rsid w:val="000B65DE"/>
    <w:pPr>
      <w:pBdr>
        <w:top w:val="single" w:sz="4" w:space="0" w:color="auto"/>
        <w:left w:val="single" w:sz="4" w:space="0" w:color="auto"/>
        <w:bottom w:val="single" w:sz="4" w:space="0" w:color="auto"/>
        <w:right w:val="single" w:sz="4" w:space="0" w:color="auto"/>
      </w:pBdr>
      <w:spacing w:before="100" w:beforeAutospacing="1" w:after="100" w:afterAutospacing="1"/>
      <w:ind w:left="0"/>
      <w:jc w:val="both"/>
    </w:pPr>
    <w:rPr>
      <w:rFonts w:ascii="Arial" w:hAnsi="Arial" w:cs="Arial"/>
      <w:sz w:val="16"/>
      <w:szCs w:val="16"/>
    </w:rPr>
  </w:style>
  <w:style w:type="paragraph" w:customStyle="1" w:styleId="xl29">
    <w:name w:val="xl29"/>
    <w:basedOn w:val="Normal"/>
    <w:rsid w:val="000B65DE"/>
    <w:pPr>
      <w:pBdr>
        <w:top w:val="single" w:sz="4" w:space="0" w:color="auto"/>
        <w:bottom w:val="single" w:sz="4" w:space="0" w:color="auto"/>
      </w:pBdr>
      <w:spacing w:before="100" w:beforeAutospacing="1" w:after="100" w:afterAutospacing="1"/>
      <w:ind w:left="0"/>
      <w:jc w:val="both"/>
    </w:pPr>
    <w:rPr>
      <w:rFonts w:ascii="Arial" w:hAnsi="Arial" w:cs="Arial"/>
      <w:sz w:val="16"/>
      <w:szCs w:val="16"/>
    </w:rPr>
  </w:style>
  <w:style w:type="paragraph" w:customStyle="1" w:styleId="xl30">
    <w:name w:val="xl30"/>
    <w:basedOn w:val="Normal"/>
    <w:rsid w:val="000B65DE"/>
    <w:pPr>
      <w:pBdr>
        <w:top w:val="single" w:sz="4" w:space="0" w:color="auto"/>
        <w:bottom w:val="single" w:sz="4" w:space="0" w:color="auto"/>
        <w:right w:val="single" w:sz="4" w:space="0" w:color="auto"/>
      </w:pBdr>
      <w:spacing w:before="100" w:beforeAutospacing="1" w:after="100" w:afterAutospacing="1"/>
      <w:ind w:left="0"/>
      <w:jc w:val="both"/>
    </w:pPr>
    <w:rPr>
      <w:rFonts w:ascii="Arial" w:hAnsi="Arial" w:cs="Arial"/>
      <w:sz w:val="16"/>
      <w:szCs w:val="16"/>
    </w:rPr>
  </w:style>
  <w:style w:type="paragraph" w:customStyle="1" w:styleId="xl31">
    <w:name w:val="xl31"/>
    <w:basedOn w:val="Normal"/>
    <w:rsid w:val="000B65DE"/>
    <w:pPr>
      <w:spacing w:before="100" w:beforeAutospacing="1" w:after="100" w:afterAutospacing="1"/>
      <w:ind w:left="0"/>
      <w:jc w:val="both"/>
      <w:textAlignment w:val="center"/>
    </w:pPr>
    <w:rPr>
      <w:rFonts w:ascii="Arial" w:hAnsi="Arial" w:cs="Arial"/>
      <w:b/>
      <w:bCs/>
      <w:sz w:val="16"/>
      <w:szCs w:val="16"/>
    </w:rPr>
  </w:style>
  <w:style w:type="paragraph" w:customStyle="1" w:styleId="xl32">
    <w:name w:val="xl32"/>
    <w:basedOn w:val="Normal"/>
    <w:rsid w:val="000B65DE"/>
    <w:pPr>
      <w:pBdr>
        <w:top w:val="single" w:sz="4" w:space="0" w:color="auto"/>
        <w:left w:val="single" w:sz="4" w:space="0" w:color="auto"/>
        <w:bottom w:val="single" w:sz="4" w:space="0" w:color="auto"/>
        <w:right w:val="single" w:sz="4" w:space="0" w:color="auto"/>
      </w:pBdr>
      <w:spacing w:before="100" w:beforeAutospacing="1" w:after="100" w:afterAutospacing="1"/>
      <w:ind w:left="0"/>
      <w:jc w:val="both"/>
    </w:pPr>
    <w:rPr>
      <w:rFonts w:ascii="Arial" w:hAnsi="Arial" w:cs="Arial"/>
      <w:b/>
      <w:bCs/>
      <w:sz w:val="16"/>
      <w:szCs w:val="16"/>
    </w:rPr>
  </w:style>
  <w:style w:type="paragraph" w:customStyle="1" w:styleId="xl33">
    <w:name w:val="xl33"/>
    <w:basedOn w:val="Normal"/>
    <w:rsid w:val="000B65DE"/>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b/>
      <w:bCs/>
      <w:sz w:val="16"/>
      <w:szCs w:val="16"/>
    </w:rPr>
  </w:style>
  <w:style w:type="paragraph" w:customStyle="1" w:styleId="xl34">
    <w:name w:val="xl34"/>
    <w:basedOn w:val="Normal"/>
    <w:rsid w:val="000B65DE"/>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Arial" w:hAnsi="Arial" w:cs="Arial"/>
      <w:b/>
      <w:bCs/>
      <w:sz w:val="16"/>
      <w:szCs w:val="16"/>
    </w:rPr>
  </w:style>
  <w:style w:type="paragraph" w:customStyle="1" w:styleId="xl35">
    <w:name w:val="xl35"/>
    <w:basedOn w:val="Normal"/>
    <w:rsid w:val="000B65DE"/>
    <w:pPr>
      <w:pBdr>
        <w:left w:val="single" w:sz="4" w:space="0" w:color="auto"/>
        <w:bottom w:val="single" w:sz="4" w:space="0" w:color="auto"/>
        <w:right w:val="single" w:sz="4" w:space="0" w:color="auto"/>
      </w:pBdr>
      <w:spacing w:before="100" w:beforeAutospacing="1" w:after="100" w:afterAutospacing="1"/>
      <w:ind w:left="0"/>
      <w:jc w:val="both"/>
    </w:pPr>
    <w:rPr>
      <w:rFonts w:ascii="Arial" w:hAnsi="Arial" w:cs="Arial"/>
      <w:sz w:val="16"/>
      <w:szCs w:val="16"/>
    </w:rPr>
  </w:style>
  <w:style w:type="paragraph" w:customStyle="1" w:styleId="xl36">
    <w:name w:val="xl36"/>
    <w:basedOn w:val="Normal"/>
    <w:rsid w:val="000B65DE"/>
    <w:pPr>
      <w:pBdr>
        <w:top w:val="single" w:sz="4" w:space="0" w:color="auto"/>
        <w:left w:val="single" w:sz="4" w:space="0" w:color="auto"/>
        <w:bottom w:val="single" w:sz="4" w:space="0" w:color="auto"/>
      </w:pBdr>
      <w:spacing w:before="100" w:beforeAutospacing="1" w:after="100" w:afterAutospacing="1"/>
      <w:ind w:left="0"/>
      <w:jc w:val="both"/>
    </w:pPr>
    <w:rPr>
      <w:rFonts w:ascii="Arial" w:hAnsi="Arial" w:cs="Arial"/>
      <w:sz w:val="16"/>
      <w:szCs w:val="16"/>
    </w:rPr>
  </w:style>
  <w:style w:type="paragraph" w:customStyle="1" w:styleId="xl40">
    <w:name w:val="xl40"/>
    <w:basedOn w:val="Normal"/>
    <w:rsid w:val="000B65DE"/>
    <w:pPr>
      <w:pBdr>
        <w:left w:val="single" w:sz="4" w:space="0" w:color="auto"/>
        <w:right w:val="single" w:sz="4" w:space="0" w:color="auto"/>
      </w:pBdr>
      <w:spacing w:before="100" w:beforeAutospacing="1" w:after="100" w:afterAutospacing="1"/>
      <w:ind w:left="0"/>
      <w:jc w:val="center"/>
      <w:textAlignment w:val="center"/>
    </w:pPr>
    <w:rPr>
      <w:rFonts w:ascii="Arial" w:hAnsi="Arial" w:cs="Arial"/>
      <w:b/>
      <w:bCs/>
      <w:sz w:val="16"/>
      <w:szCs w:val="16"/>
    </w:rPr>
  </w:style>
  <w:style w:type="paragraph" w:customStyle="1" w:styleId="xl37">
    <w:name w:val="xl37"/>
    <w:basedOn w:val="Normal"/>
    <w:rsid w:val="000B65DE"/>
    <w:pPr>
      <w:pBdr>
        <w:top w:val="single" w:sz="4" w:space="0" w:color="auto"/>
        <w:left w:val="single" w:sz="4" w:space="0" w:color="auto"/>
        <w:right w:val="single" w:sz="4" w:space="0" w:color="auto"/>
      </w:pBdr>
      <w:spacing w:before="100" w:beforeAutospacing="1" w:after="100" w:afterAutospacing="1"/>
      <w:ind w:left="0"/>
      <w:jc w:val="center"/>
      <w:textAlignment w:val="center"/>
    </w:pPr>
    <w:rPr>
      <w:rFonts w:ascii="Arial" w:hAnsi="Arial" w:cs="Arial"/>
      <w:b/>
      <w:bCs/>
      <w:sz w:val="16"/>
      <w:szCs w:val="16"/>
    </w:rPr>
  </w:style>
  <w:style w:type="paragraph" w:customStyle="1" w:styleId="xl38">
    <w:name w:val="xl38"/>
    <w:basedOn w:val="Normal"/>
    <w:rsid w:val="000B65DE"/>
    <w:pPr>
      <w:pBdr>
        <w:left w:val="single" w:sz="4" w:space="0" w:color="auto"/>
        <w:right w:val="single" w:sz="4" w:space="0" w:color="auto"/>
      </w:pBdr>
      <w:spacing w:before="100" w:beforeAutospacing="1" w:after="100" w:afterAutospacing="1"/>
      <w:ind w:left="0"/>
      <w:jc w:val="center"/>
      <w:textAlignment w:val="center"/>
    </w:pPr>
    <w:rPr>
      <w:rFonts w:ascii="Arial" w:hAnsi="Arial" w:cs="Arial"/>
      <w:b/>
      <w:bCs/>
      <w:sz w:val="16"/>
      <w:szCs w:val="16"/>
    </w:rPr>
  </w:style>
  <w:style w:type="paragraph" w:customStyle="1" w:styleId="xl39">
    <w:name w:val="xl39"/>
    <w:basedOn w:val="Normal"/>
    <w:rsid w:val="000B65DE"/>
    <w:pPr>
      <w:pBdr>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hAnsi="Arial" w:cs="Arial"/>
      <w:b/>
      <w:bCs/>
      <w:sz w:val="16"/>
      <w:szCs w:val="16"/>
    </w:rPr>
  </w:style>
  <w:style w:type="paragraph" w:customStyle="1" w:styleId="xl41">
    <w:name w:val="xl41"/>
    <w:basedOn w:val="Normal"/>
    <w:rsid w:val="000B65DE"/>
    <w:pPr>
      <w:pBdr>
        <w:top w:val="single" w:sz="4" w:space="0" w:color="auto"/>
        <w:left w:val="single" w:sz="4" w:space="0" w:color="auto"/>
        <w:bottom w:val="single" w:sz="4" w:space="0" w:color="auto"/>
        <w:right w:val="single" w:sz="4" w:space="0" w:color="auto"/>
      </w:pBdr>
      <w:spacing w:before="100" w:beforeAutospacing="1" w:after="100" w:afterAutospacing="1"/>
      <w:ind w:left="0"/>
      <w:jc w:val="right"/>
      <w:textAlignment w:val="top"/>
    </w:pPr>
    <w:rPr>
      <w:rFonts w:ascii="Arial" w:hAnsi="Arial" w:cs="Arial"/>
      <w:sz w:val="16"/>
      <w:szCs w:val="16"/>
    </w:rPr>
  </w:style>
  <w:style w:type="paragraph" w:customStyle="1" w:styleId="xl42">
    <w:name w:val="xl42"/>
    <w:basedOn w:val="Normal"/>
    <w:rsid w:val="000B65DE"/>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hAnsi="Arial" w:cs="Arial"/>
      <w:b/>
      <w:bCs/>
      <w:sz w:val="16"/>
      <w:szCs w:val="16"/>
    </w:rPr>
  </w:style>
  <w:style w:type="paragraph" w:customStyle="1" w:styleId="xl43">
    <w:name w:val="xl43"/>
    <w:basedOn w:val="Normal"/>
    <w:rsid w:val="000B65DE"/>
    <w:pPr>
      <w:pBdr>
        <w:top w:val="single" w:sz="4" w:space="0" w:color="auto"/>
        <w:left w:val="single" w:sz="4" w:space="0" w:color="auto"/>
        <w:right w:val="single" w:sz="4" w:space="0" w:color="auto"/>
      </w:pBdr>
      <w:spacing w:before="100" w:beforeAutospacing="1" w:after="100" w:afterAutospacing="1"/>
      <w:ind w:left="0"/>
      <w:jc w:val="center"/>
      <w:textAlignment w:val="center"/>
    </w:pPr>
    <w:rPr>
      <w:rFonts w:ascii="Arial" w:hAnsi="Arial" w:cs="Arial"/>
      <w:b/>
      <w:bCs/>
      <w:sz w:val="16"/>
      <w:szCs w:val="16"/>
    </w:rPr>
  </w:style>
  <w:style w:type="paragraph" w:customStyle="1" w:styleId="xl44">
    <w:name w:val="xl44"/>
    <w:basedOn w:val="Normal"/>
    <w:rsid w:val="000B65DE"/>
    <w:pPr>
      <w:pBdr>
        <w:left w:val="single" w:sz="4" w:space="0" w:color="auto"/>
        <w:right w:val="single" w:sz="4" w:space="0" w:color="auto"/>
      </w:pBdr>
      <w:spacing w:before="100" w:beforeAutospacing="1" w:after="100" w:afterAutospacing="1"/>
      <w:ind w:left="0"/>
      <w:jc w:val="center"/>
      <w:textAlignment w:val="center"/>
    </w:pPr>
    <w:rPr>
      <w:rFonts w:ascii="Arial" w:hAnsi="Arial" w:cs="Arial"/>
      <w:b/>
      <w:bCs/>
      <w:sz w:val="16"/>
      <w:szCs w:val="16"/>
    </w:rPr>
  </w:style>
  <w:style w:type="paragraph" w:customStyle="1" w:styleId="xl45">
    <w:name w:val="xl45"/>
    <w:basedOn w:val="Normal"/>
    <w:rsid w:val="000B65DE"/>
    <w:pPr>
      <w:pBdr>
        <w:left w:val="single" w:sz="4" w:space="0" w:color="auto"/>
        <w:bottom w:val="single" w:sz="4" w:space="0" w:color="auto"/>
        <w:right w:val="single" w:sz="4" w:space="0" w:color="auto"/>
      </w:pBdr>
      <w:spacing w:before="100" w:beforeAutospacing="1" w:after="100" w:afterAutospacing="1"/>
      <w:ind w:left="0"/>
      <w:jc w:val="center"/>
      <w:textAlignment w:val="center"/>
    </w:pPr>
    <w:rPr>
      <w:rFonts w:ascii="Arial" w:hAnsi="Arial" w:cs="Arial"/>
      <w:b/>
      <w:bCs/>
      <w:sz w:val="16"/>
      <w:szCs w:val="16"/>
    </w:rPr>
  </w:style>
  <w:style w:type="paragraph" w:customStyle="1" w:styleId="xl47">
    <w:name w:val="xl47"/>
    <w:basedOn w:val="Normal"/>
    <w:rsid w:val="000B65DE"/>
    <w:pPr>
      <w:pBdr>
        <w:left w:val="single" w:sz="4" w:space="0" w:color="auto"/>
        <w:bottom w:val="single" w:sz="4" w:space="0" w:color="auto"/>
        <w:right w:val="single" w:sz="4" w:space="0" w:color="auto"/>
      </w:pBdr>
      <w:spacing w:before="100" w:beforeAutospacing="1" w:after="100" w:afterAutospacing="1"/>
      <w:ind w:left="0"/>
      <w:jc w:val="center"/>
      <w:textAlignment w:val="center"/>
    </w:pPr>
    <w:rPr>
      <w:rFonts w:ascii="Bookman Old Style" w:eastAsia="Arial Unicode MS" w:hAnsi="Bookman Old Style" w:cs="Arial Unicode MS"/>
      <w:b/>
      <w:bCs/>
      <w:sz w:val="12"/>
      <w:szCs w:val="12"/>
    </w:rPr>
  </w:style>
  <w:style w:type="paragraph" w:styleId="TDC5">
    <w:name w:val="toc 5"/>
    <w:basedOn w:val="Normal"/>
    <w:next w:val="Normal"/>
    <w:autoRedefine/>
    <w:semiHidden/>
    <w:rsid w:val="000B65DE"/>
    <w:pPr>
      <w:ind w:left="960"/>
      <w:jc w:val="both"/>
    </w:pPr>
    <w:rPr>
      <w:rFonts w:ascii="Arial" w:hAnsi="Arial"/>
      <w:szCs w:val="20"/>
      <w:lang w:val="es-ES_tradnl"/>
    </w:rPr>
  </w:style>
  <w:style w:type="character" w:styleId="Hipervnculo">
    <w:name w:val="Hyperlink"/>
    <w:uiPriority w:val="99"/>
    <w:semiHidden/>
    <w:unhideWhenUsed/>
    <w:rsid w:val="000B65DE"/>
    <w:rPr>
      <w:color w:val="0000FF"/>
      <w:u w:val="single"/>
    </w:rPr>
  </w:style>
  <w:style w:type="paragraph" w:styleId="Mapadeldocumento">
    <w:name w:val="Document Map"/>
    <w:basedOn w:val="Normal"/>
    <w:link w:val="MapadeldocumentoCar"/>
    <w:uiPriority w:val="99"/>
    <w:semiHidden/>
    <w:unhideWhenUsed/>
    <w:rsid w:val="000B65DE"/>
    <w:pPr>
      <w:ind w:left="0"/>
      <w:jc w:val="both"/>
    </w:pPr>
    <w:rPr>
      <w:rFonts w:ascii="Tahoma" w:hAnsi="Tahoma" w:cs="Tahoma"/>
      <w:sz w:val="16"/>
      <w:szCs w:val="16"/>
      <w:lang w:val="es-ES_tradnl"/>
    </w:rPr>
  </w:style>
  <w:style w:type="character" w:customStyle="1" w:styleId="MapadeldocumentoCar">
    <w:name w:val="Mapa del documento Car"/>
    <w:link w:val="Mapadeldocumento"/>
    <w:uiPriority w:val="99"/>
    <w:semiHidden/>
    <w:rsid w:val="000B65DE"/>
    <w:rPr>
      <w:rFonts w:ascii="Tahoma" w:hAnsi="Tahoma" w:cs="Tahoma"/>
      <w:sz w:val="16"/>
      <w:szCs w:val="16"/>
      <w:lang w:val="es-ES_tradnl" w:eastAsia="es-ES"/>
    </w:rPr>
  </w:style>
  <w:style w:type="table" w:customStyle="1" w:styleId="Tablaconcuadrcula1">
    <w:name w:val="Tabla con cuadrícula1"/>
    <w:basedOn w:val="Tablanormal"/>
    <w:next w:val="Tablaconcuadrcula"/>
    <w:uiPriority w:val="59"/>
    <w:rsid w:val="000B65DE"/>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itas">
    <w:name w:val="Citas"/>
    <w:basedOn w:val="Normal"/>
    <w:rsid w:val="000B65DE"/>
    <w:pPr>
      <w:ind w:left="708" w:right="618"/>
      <w:jc w:val="both"/>
    </w:pPr>
    <w:rPr>
      <w:rFonts w:ascii="Bookman Old Style" w:hAnsi="Bookman Old Style" w:cs="Arial"/>
      <w:i/>
      <w:iCs/>
      <w:szCs w:val="20"/>
    </w:rPr>
  </w:style>
  <w:style w:type="paragraph" w:customStyle="1" w:styleId="xl65">
    <w:name w:val="xl65"/>
    <w:basedOn w:val="Normal"/>
    <w:rsid w:val="000B65D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left="0"/>
      <w:jc w:val="center"/>
      <w:textAlignment w:val="center"/>
    </w:pPr>
    <w:rPr>
      <w:rFonts w:ascii="Bookman Old Style" w:hAnsi="Bookman Old Style"/>
      <w:b/>
      <w:bCs/>
      <w:lang w:val="es-CO" w:eastAsia="es-CO"/>
    </w:rPr>
  </w:style>
  <w:style w:type="paragraph" w:customStyle="1" w:styleId="xl66">
    <w:name w:val="xl66"/>
    <w:basedOn w:val="Normal"/>
    <w:rsid w:val="000B65DE"/>
    <w:pPr>
      <w:shd w:val="clear" w:color="000000" w:fill="FFFFFF"/>
      <w:spacing w:before="100" w:beforeAutospacing="1" w:after="100" w:afterAutospacing="1"/>
      <w:ind w:left="0"/>
    </w:pPr>
    <w:rPr>
      <w:rFonts w:ascii="Bookman Old Style" w:hAnsi="Bookman Old Style"/>
      <w:lang w:val="es-CO" w:eastAsia="es-CO"/>
    </w:rPr>
  </w:style>
  <w:style w:type="paragraph" w:customStyle="1" w:styleId="xl67">
    <w:name w:val="xl67"/>
    <w:basedOn w:val="Normal"/>
    <w:rsid w:val="000B65DE"/>
    <w:pPr>
      <w:shd w:val="clear" w:color="000000" w:fill="FFFFFF"/>
      <w:spacing w:before="100" w:beforeAutospacing="1" w:after="100" w:afterAutospacing="1"/>
      <w:ind w:left="0"/>
    </w:pPr>
    <w:rPr>
      <w:rFonts w:ascii="Bookman Old Style" w:hAnsi="Bookman Old Style"/>
      <w:b/>
      <w:bCs/>
      <w:lang w:val="es-CO" w:eastAsia="es-CO"/>
    </w:rPr>
  </w:style>
  <w:style w:type="paragraph" w:customStyle="1" w:styleId="xl68">
    <w:name w:val="xl68"/>
    <w:basedOn w:val="Normal"/>
    <w:rsid w:val="000B65D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left="0"/>
      <w:jc w:val="center"/>
      <w:textAlignment w:val="center"/>
    </w:pPr>
    <w:rPr>
      <w:rFonts w:ascii="Bookman Old Style" w:hAnsi="Bookman Old Style"/>
      <w:b/>
      <w:bCs/>
      <w:lang w:val="es-CO" w:eastAsia="es-CO"/>
    </w:rPr>
  </w:style>
  <w:style w:type="paragraph" w:customStyle="1" w:styleId="xl69">
    <w:name w:val="xl69"/>
    <w:basedOn w:val="Normal"/>
    <w:rsid w:val="000B65DE"/>
    <w:pPr>
      <w:pBdr>
        <w:top w:val="single" w:sz="8" w:space="0" w:color="auto"/>
        <w:left w:val="single" w:sz="8" w:space="0" w:color="auto"/>
        <w:bottom w:val="single" w:sz="8" w:space="0" w:color="auto"/>
      </w:pBdr>
      <w:shd w:val="clear" w:color="000000" w:fill="FFFFFF"/>
      <w:spacing w:before="100" w:beforeAutospacing="1" w:after="100" w:afterAutospacing="1"/>
      <w:ind w:left="0"/>
      <w:jc w:val="center"/>
      <w:textAlignment w:val="center"/>
    </w:pPr>
    <w:rPr>
      <w:rFonts w:ascii="Bookman Old Style" w:hAnsi="Bookman Old Style"/>
      <w:b/>
      <w:bCs/>
      <w:lang w:val="es-CO" w:eastAsia="es-CO"/>
    </w:rPr>
  </w:style>
  <w:style w:type="paragraph" w:customStyle="1" w:styleId="xl70">
    <w:name w:val="xl70"/>
    <w:basedOn w:val="Normal"/>
    <w:rsid w:val="000B65DE"/>
    <w:pPr>
      <w:pBdr>
        <w:top w:val="single" w:sz="8" w:space="0" w:color="auto"/>
        <w:bottom w:val="single" w:sz="8" w:space="0" w:color="auto"/>
        <w:right w:val="single" w:sz="8" w:space="0" w:color="auto"/>
      </w:pBdr>
      <w:shd w:val="clear" w:color="000000" w:fill="FFFFFF"/>
      <w:spacing w:before="100" w:beforeAutospacing="1" w:after="100" w:afterAutospacing="1"/>
      <w:ind w:left="0"/>
      <w:jc w:val="center"/>
      <w:textAlignment w:val="center"/>
    </w:pPr>
    <w:rPr>
      <w:rFonts w:ascii="Bookman Old Style" w:hAnsi="Bookman Old Style"/>
      <w:b/>
      <w:bCs/>
      <w:lang w:val="es-CO" w:eastAsia="es-CO"/>
    </w:rPr>
  </w:style>
  <w:style w:type="paragraph" w:customStyle="1" w:styleId="xl71">
    <w:name w:val="xl71"/>
    <w:basedOn w:val="Normal"/>
    <w:rsid w:val="000B65DE"/>
    <w:pPr>
      <w:pBdr>
        <w:top w:val="single" w:sz="8" w:space="0" w:color="auto"/>
        <w:left w:val="single" w:sz="8" w:space="0" w:color="auto"/>
        <w:bottom w:val="single" w:sz="8" w:space="0" w:color="auto"/>
      </w:pBdr>
      <w:shd w:val="clear" w:color="000000" w:fill="FFFFFF"/>
      <w:spacing w:before="100" w:beforeAutospacing="1" w:after="100" w:afterAutospacing="1"/>
      <w:ind w:left="0"/>
      <w:jc w:val="center"/>
    </w:pPr>
    <w:rPr>
      <w:rFonts w:ascii="Bookman Old Style" w:hAnsi="Bookman Old Style"/>
      <w:b/>
      <w:bCs/>
      <w:lang w:val="es-CO" w:eastAsia="es-CO"/>
    </w:rPr>
  </w:style>
  <w:style w:type="paragraph" w:customStyle="1" w:styleId="xl72">
    <w:name w:val="xl72"/>
    <w:basedOn w:val="Normal"/>
    <w:rsid w:val="000B65DE"/>
    <w:pPr>
      <w:pBdr>
        <w:top w:val="single" w:sz="8" w:space="0" w:color="auto"/>
        <w:bottom w:val="single" w:sz="8" w:space="0" w:color="auto"/>
      </w:pBdr>
      <w:shd w:val="clear" w:color="000000" w:fill="FFFFFF"/>
      <w:spacing w:before="100" w:beforeAutospacing="1" w:after="100" w:afterAutospacing="1"/>
      <w:ind w:left="0"/>
      <w:jc w:val="center"/>
    </w:pPr>
    <w:rPr>
      <w:rFonts w:ascii="Bookman Old Style" w:hAnsi="Bookman Old Style"/>
      <w:b/>
      <w:bCs/>
      <w:lang w:val="es-CO" w:eastAsia="es-CO"/>
    </w:rPr>
  </w:style>
  <w:style w:type="paragraph" w:customStyle="1" w:styleId="xl73">
    <w:name w:val="xl73"/>
    <w:basedOn w:val="Normal"/>
    <w:rsid w:val="000B65DE"/>
    <w:pPr>
      <w:pBdr>
        <w:top w:val="single" w:sz="8" w:space="0" w:color="auto"/>
        <w:bottom w:val="single" w:sz="8" w:space="0" w:color="auto"/>
        <w:right w:val="single" w:sz="8" w:space="0" w:color="auto"/>
      </w:pBdr>
      <w:shd w:val="clear" w:color="000000" w:fill="FFFFFF"/>
      <w:spacing w:before="100" w:beforeAutospacing="1" w:after="100" w:afterAutospacing="1"/>
      <w:ind w:left="0"/>
      <w:jc w:val="center"/>
    </w:pPr>
    <w:rPr>
      <w:rFonts w:ascii="Bookman Old Style" w:hAnsi="Bookman Old Style"/>
      <w:b/>
      <w:bCs/>
      <w:lang w:val="es-CO" w:eastAsia="es-CO"/>
    </w:rPr>
  </w:style>
  <w:style w:type="paragraph" w:customStyle="1" w:styleId="xl74">
    <w:name w:val="xl74"/>
    <w:basedOn w:val="Normal"/>
    <w:rsid w:val="000B65DE"/>
    <w:pPr>
      <w:pBdr>
        <w:left w:val="single" w:sz="8" w:space="0" w:color="auto"/>
        <w:right w:val="single" w:sz="8" w:space="0" w:color="auto"/>
      </w:pBdr>
      <w:shd w:val="clear" w:color="000000" w:fill="FFFFFF"/>
      <w:spacing w:before="100" w:beforeAutospacing="1" w:after="100" w:afterAutospacing="1"/>
      <w:ind w:left="0"/>
    </w:pPr>
    <w:rPr>
      <w:rFonts w:ascii="Bookman Old Style" w:hAnsi="Bookman Old Style"/>
      <w:lang w:val="es-CO" w:eastAsia="es-CO"/>
    </w:rPr>
  </w:style>
  <w:style w:type="paragraph" w:customStyle="1" w:styleId="xl75">
    <w:name w:val="xl75"/>
    <w:basedOn w:val="Normal"/>
    <w:rsid w:val="000B65DE"/>
    <w:pPr>
      <w:pBdr>
        <w:left w:val="single" w:sz="8" w:space="0" w:color="auto"/>
        <w:right w:val="single" w:sz="8" w:space="0" w:color="auto"/>
      </w:pBdr>
      <w:shd w:val="clear" w:color="000000" w:fill="FFFFFF"/>
      <w:spacing w:before="100" w:beforeAutospacing="1" w:after="100" w:afterAutospacing="1"/>
      <w:ind w:left="0"/>
      <w:jc w:val="center"/>
      <w:textAlignment w:val="center"/>
    </w:pPr>
    <w:rPr>
      <w:rFonts w:ascii="Bookman Old Style" w:hAnsi="Bookman Old Style"/>
      <w:b/>
      <w:bCs/>
      <w:lang w:val="es-CO" w:eastAsia="es-CO"/>
    </w:rPr>
  </w:style>
  <w:style w:type="paragraph" w:customStyle="1" w:styleId="xl76">
    <w:name w:val="xl76"/>
    <w:basedOn w:val="Normal"/>
    <w:rsid w:val="000B65DE"/>
    <w:pPr>
      <w:pBdr>
        <w:left w:val="single" w:sz="8" w:space="0" w:color="auto"/>
        <w:bottom w:val="single" w:sz="8" w:space="0" w:color="auto"/>
        <w:right w:val="single" w:sz="8" w:space="0" w:color="auto"/>
      </w:pBdr>
      <w:shd w:val="clear" w:color="000000" w:fill="FFFFFF"/>
      <w:spacing w:before="100" w:beforeAutospacing="1" w:after="100" w:afterAutospacing="1"/>
      <w:ind w:left="0"/>
    </w:pPr>
    <w:rPr>
      <w:rFonts w:ascii="Bookman Old Style" w:hAnsi="Bookman Old Style"/>
      <w:lang w:val="es-CO" w:eastAsia="es-CO"/>
    </w:rPr>
  </w:style>
  <w:style w:type="paragraph" w:customStyle="1" w:styleId="xl77">
    <w:name w:val="xl77"/>
    <w:basedOn w:val="Normal"/>
    <w:rsid w:val="000B65DE"/>
    <w:pPr>
      <w:pBdr>
        <w:right w:val="single" w:sz="8" w:space="0" w:color="auto"/>
      </w:pBdr>
      <w:shd w:val="clear" w:color="000000" w:fill="FFFFFF"/>
      <w:spacing w:before="100" w:beforeAutospacing="1" w:after="100" w:afterAutospacing="1"/>
      <w:ind w:left="0"/>
    </w:pPr>
    <w:rPr>
      <w:rFonts w:ascii="Bookman Old Style" w:hAnsi="Bookman Old Style"/>
      <w:lang w:val="es-CO" w:eastAsia="es-CO"/>
    </w:rPr>
  </w:style>
  <w:style w:type="paragraph" w:customStyle="1" w:styleId="xl78">
    <w:name w:val="xl78"/>
    <w:basedOn w:val="Normal"/>
    <w:rsid w:val="000B65DE"/>
    <w:pPr>
      <w:pBdr>
        <w:top w:val="single" w:sz="8" w:space="0" w:color="auto"/>
        <w:left w:val="single" w:sz="8" w:space="0" w:color="auto"/>
      </w:pBdr>
      <w:shd w:val="clear" w:color="000000" w:fill="FFFFFF"/>
      <w:spacing w:before="100" w:beforeAutospacing="1" w:after="100" w:afterAutospacing="1"/>
      <w:ind w:left="0"/>
      <w:jc w:val="center"/>
      <w:textAlignment w:val="center"/>
    </w:pPr>
    <w:rPr>
      <w:rFonts w:ascii="Bookman Old Style" w:hAnsi="Bookman Old Style"/>
      <w:b/>
      <w:bCs/>
      <w:lang w:val="es-CO" w:eastAsia="es-CO"/>
    </w:rPr>
  </w:style>
  <w:style w:type="paragraph" w:customStyle="1" w:styleId="xl79">
    <w:name w:val="xl79"/>
    <w:basedOn w:val="Normal"/>
    <w:rsid w:val="000B65DE"/>
    <w:pPr>
      <w:pBdr>
        <w:left w:val="single" w:sz="8" w:space="0" w:color="auto"/>
      </w:pBdr>
      <w:shd w:val="clear" w:color="000000" w:fill="FFFFFF"/>
      <w:spacing w:before="100" w:beforeAutospacing="1" w:after="100" w:afterAutospacing="1"/>
      <w:ind w:left="0"/>
      <w:jc w:val="center"/>
      <w:textAlignment w:val="center"/>
    </w:pPr>
    <w:rPr>
      <w:rFonts w:ascii="Bookman Old Style" w:hAnsi="Bookman Old Style"/>
      <w:b/>
      <w:bCs/>
      <w:lang w:val="es-CO" w:eastAsia="es-CO"/>
    </w:rPr>
  </w:style>
  <w:style w:type="paragraph" w:customStyle="1" w:styleId="xl80">
    <w:name w:val="xl80"/>
    <w:basedOn w:val="Normal"/>
    <w:rsid w:val="000B65DE"/>
    <w:pPr>
      <w:pBdr>
        <w:top w:val="single" w:sz="8" w:space="0" w:color="auto"/>
        <w:left w:val="single" w:sz="8" w:space="0" w:color="auto"/>
        <w:right w:val="single" w:sz="8" w:space="0" w:color="auto"/>
      </w:pBdr>
      <w:shd w:val="clear" w:color="000000" w:fill="FFFFFF"/>
      <w:spacing w:before="100" w:beforeAutospacing="1" w:after="100" w:afterAutospacing="1"/>
      <w:ind w:left="0"/>
      <w:textAlignment w:val="center"/>
    </w:pPr>
    <w:rPr>
      <w:rFonts w:ascii="Bookman Old Style" w:hAnsi="Bookman Old Style"/>
      <w:b/>
      <w:bCs/>
      <w:lang w:val="es-CO" w:eastAsia="es-CO"/>
    </w:rPr>
  </w:style>
  <w:style w:type="paragraph" w:customStyle="1" w:styleId="xl81">
    <w:name w:val="xl81"/>
    <w:basedOn w:val="Normal"/>
    <w:rsid w:val="000B65DE"/>
    <w:pPr>
      <w:pBdr>
        <w:top w:val="single" w:sz="8" w:space="0" w:color="auto"/>
        <w:bottom w:val="single" w:sz="8" w:space="0" w:color="auto"/>
      </w:pBdr>
      <w:shd w:val="clear" w:color="000000" w:fill="FFFFFF"/>
      <w:spacing w:before="100" w:beforeAutospacing="1" w:after="100" w:afterAutospacing="1"/>
      <w:ind w:left="0"/>
      <w:jc w:val="center"/>
      <w:textAlignment w:val="center"/>
    </w:pPr>
    <w:rPr>
      <w:rFonts w:ascii="Bookman Old Style" w:hAnsi="Bookman Old Style"/>
      <w:b/>
      <w:bCs/>
      <w:lang w:val="es-CO" w:eastAsia="es-CO"/>
    </w:rPr>
  </w:style>
  <w:style w:type="character" w:styleId="Referenciasutil">
    <w:name w:val="Subtle Reference"/>
    <w:uiPriority w:val="31"/>
    <w:qFormat/>
    <w:rsid w:val="000B65DE"/>
    <w:rPr>
      <w:smallCaps/>
      <w:color w:val="C0504D"/>
      <w:u w:val="single"/>
    </w:rPr>
  </w:style>
  <w:style w:type="character" w:styleId="Textoennegrita">
    <w:name w:val="Strong"/>
    <w:uiPriority w:val="22"/>
    <w:qFormat/>
    <w:rsid w:val="000B65DE"/>
    <w:rPr>
      <w:b/>
      <w:bCs/>
    </w:rPr>
  </w:style>
  <w:style w:type="paragraph" w:styleId="Revisin">
    <w:name w:val="Revision"/>
    <w:hidden/>
    <w:uiPriority w:val="99"/>
    <w:semiHidden/>
    <w:rsid w:val="000B65DE"/>
    <w:rPr>
      <w:sz w:val="24"/>
      <w:szCs w:val="24"/>
      <w:lang w:val="es-ES" w:eastAsia="es-ES"/>
    </w:rPr>
  </w:style>
  <w:style w:type="paragraph" w:customStyle="1" w:styleId="CM63">
    <w:name w:val="CM63"/>
    <w:basedOn w:val="Normal"/>
    <w:next w:val="Normal"/>
    <w:uiPriority w:val="99"/>
    <w:rsid w:val="000B65DE"/>
    <w:pPr>
      <w:autoSpaceDE w:val="0"/>
      <w:autoSpaceDN w:val="0"/>
      <w:adjustRightInd w:val="0"/>
      <w:ind w:left="0"/>
    </w:pPr>
    <w:rPr>
      <w:rFonts w:ascii="Arial" w:hAnsi="Arial" w:cs="Arial"/>
      <w:lang w:val="es-CO" w:eastAsia="es-CO"/>
    </w:rPr>
  </w:style>
  <w:style w:type="character" w:styleId="Textodelmarcadordeposicin">
    <w:name w:val="Placeholder Text"/>
    <w:basedOn w:val="Fuentedeprrafopredeter"/>
    <w:uiPriority w:val="99"/>
    <w:semiHidden/>
    <w:rsid w:val="00DB0A73"/>
    <w:rPr>
      <w:color w:val="808080"/>
    </w:rPr>
  </w:style>
  <w:style w:type="character" w:styleId="Hipervnculovisitado">
    <w:name w:val="FollowedHyperlink"/>
    <w:basedOn w:val="Fuentedeprrafopredeter"/>
    <w:uiPriority w:val="99"/>
    <w:semiHidden/>
    <w:unhideWhenUsed/>
    <w:rsid w:val="00834DA6"/>
    <w:rPr>
      <w:color w:val="800080"/>
      <w:u w:val="single"/>
    </w:rPr>
  </w:style>
  <w:style w:type="character" w:customStyle="1" w:styleId="Ttulo2Car1">
    <w:name w:val="Título 2 Car1"/>
    <w:aliases w:val="Neg Car1"/>
    <w:basedOn w:val="Fuentedeprrafopredeter"/>
    <w:semiHidden/>
    <w:rsid w:val="00834DA6"/>
    <w:rPr>
      <w:rFonts w:asciiTheme="majorHAnsi" w:eastAsiaTheme="majorEastAsia" w:hAnsiTheme="majorHAnsi" w:cstheme="majorBidi"/>
      <w:b/>
      <w:bCs/>
      <w:color w:val="4F81BD" w:themeColor="accent1"/>
      <w:sz w:val="26"/>
      <w:szCs w:val="26"/>
      <w:lang w:val="es-ES" w:eastAsia="es-ES"/>
    </w:rPr>
  </w:style>
  <w:style w:type="paragraph" w:customStyle="1" w:styleId="xl412">
    <w:name w:val="xl412"/>
    <w:basedOn w:val="Normal"/>
    <w:rsid w:val="00834DA6"/>
    <w:pPr>
      <w:spacing w:before="100" w:beforeAutospacing="1" w:after="100" w:afterAutospacing="1"/>
      <w:ind w:left="0"/>
    </w:pPr>
    <w:rPr>
      <w:rFonts w:ascii="Bookman Old Style" w:hAnsi="Bookman Old Style"/>
      <w:sz w:val="14"/>
      <w:szCs w:val="14"/>
      <w:lang w:val="es-CO" w:eastAsia="es-CO"/>
    </w:rPr>
  </w:style>
  <w:style w:type="paragraph" w:customStyle="1" w:styleId="xl413">
    <w:name w:val="xl413"/>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Bookman Old Style" w:hAnsi="Bookman Old Style"/>
      <w:b/>
      <w:bCs/>
      <w:sz w:val="14"/>
      <w:szCs w:val="14"/>
      <w:lang w:val="es-CO" w:eastAsia="es-CO"/>
    </w:rPr>
  </w:style>
  <w:style w:type="paragraph" w:customStyle="1" w:styleId="xl414">
    <w:name w:val="xl414"/>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Bookman Old Style" w:hAnsi="Bookman Old Style"/>
      <w:b/>
      <w:bCs/>
      <w:sz w:val="14"/>
      <w:szCs w:val="14"/>
      <w:lang w:val="es-CO" w:eastAsia="es-CO"/>
    </w:rPr>
  </w:style>
  <w:style w:type="paragraph" w:customStyle="1" w:styleId="xl415">
    <w:name w:val="xl415"/>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Bookman Old Style" w:hAnsi="Bookman Old Style"/>
      <w:color w:val="000000"/>
      <w:sz w:val="14"/>
      <w:szCs w:val="14"/>
      <w:lang w:val="es-CO" w:eastAsia="es-CO"/>
    </w:rPr>
  </w:style>
  <w:style w:type="paragraph" w:customStyle="1" w:styleId="xl416">
    <w:name w:val="xl416"/>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jc w:val="both"/>
    </w:pPr>
    <w:rPr>
      <w:rFonts w:ascii="Bookman Old Style" w:hAnsi="Bookman Old Style"/>
      <w:color w:val="000000"/>
      <w:sz w:val="14"/>
      <w:szCs w:val="14"/>
      <w:lang w:val="es-CO" w:eastAsia="es-CO"/>
    </w:rPr>
  </w:style>
  <w:style w:type="paragraph" w:customStyle="1" w:styleId="xl417">
    <w:name w:val="xl417"/>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jc w:val="right"/>
    </w:pPr>
    <w:rPr>
      <w:rFonts w:ascii="Bookman Old Style" w:hAnsi="Bookman Old Style"/>
      <w:color w:val="000000"/>
      <w:sz w:val="14"/>
      <w:szCs w:val="14"/>
      <w:lang w:val="es-CO" w:eastAsia="es-CO"/>
    </w:rPr>
  </w:style>
  <w:style w:type="paragraph" w:customStyle="1" w:styleId="xl418">
    <w:name w:val="xl418"/>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Bookman Old Style" w:hAnsi="Bookman Old Style"/>
      <w:sz w:val="14"/>
      <w:szCs w:val="14"/>
      <w:lang w:val="es-CO" w:eastAsia="es-CO"/>
    </w:rPr>
  </w:style>
  <w:style w:type="paragraph" w:customStyle="1" w:styleId="xl419">
    <w:name w:val="xl419"/>
    <w:basedOn w:val="Normal"/>
    <w:rsid w:val="00834DA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left="0"/>
      <w:jc w:val="right"/>
    </w:pPr>
    <w:rPr>
      <w:rFonts w:ascii="Bookman Old Style" w:hAnsi="Bookman Old Style"/>
      <w:color w:val="000000"/>
      <w:sz w:val="14"/>
      <w:szCs w:val="14"/>
      <w:lang w:val="es-CO" w:eastAsia="es-CO"/>
    </w:rPr>
  </w:style>
  <w:style w:type="paragraph" w:customStyle="1" w:styleId="xl420">
    <w:name w:val="xl420"/>
    <w:basedOn w:val="Normal"/>
    <w:rsid w:val="00834DA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left="0"/>
      <w:jc w:val="right"/>
    </w:pPr>
    <w:rPr>
      <w:rFonts w:ascii="Bookman Old Style" w:hAnsi="Bookman Old Style"/>
      <w:color w:val="000000"/>
      <w:sz w:val="14"/>
      <w:szCs w:val="14"/>
      <w:lang w:val="es-CO" w:eastAsia="es-CO"/>
    </w:rPr>
  </w:style>
  <w:style w:type="paragraph" w:customStyle="1" w:styleId="xl421">
    <w:name w:val="xl421"/>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jc w:val="right"/>
    </w:pPr>
    <w:rPr>
      <w:rFonts w:ascii="Bookman Old Style" w:hAnsi="Bookman Old Style"/>
      <w:color w:val="000000"/>
      <w:sz w:val="14"/>
      <w:szCs w:val="14"/>
      <w:lang w:val="es-CO" w:eastAsia="es-CO"/>
    </w:rPr>
  </w:style>
  <w:style w:type="paragraph" w:customStyle="1" w:styleId="xl422">
    <w:name w:val="xl422"/>
    <w:basedOn w:val="Normal"/>
    <w:rsid w:val="00834DA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left="0"/>
    </w:pPr>
    <w:rPr>
      <w:rFonts w:ascii="Bookman Old Style" w:hAnsi="Bookman Old Style"/>
      <w:sz w:val="14"/>
      <w:szCs w:val="14"/>
      <w:lang w:val="es-CO" w:eastAsia="es-CO"/>
    </w:rPr>
  </w:style>
  <w:style w:type="paragraph" w:customStyle="1" w:styleId="xl423">
    <w:name w:val="xl423"/>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Bookman Old Style" w:hAnsi="Bookman Old Style"/>
      <w:sz w:val="14"/>
      <w:szCs w:val="14"/>
      <w:lang w:val="es-CO" w:eastAsia="es-CO"/>
    </w:rPr>
  </w:style>
  <w:style w:type="paragraph" w:customStyle="1" w:styleId="xl424">
    <w:name w:val="xl424"/>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Bookman Old Style" w:hAnsi="Bookman Old Style"/>
      <w:sz w:val="14"/>
      <w:szCs w:val="14"/>
      <w:lang w:val="es-CO" w:eastAsia="es-CO"/>
    </w:rPr>
  </w:style>
  <w:style w:type="paragraph" w:customStyle="1" w:styleId="xl425">
    <w:name w:val="xl425"/>
    <w:basedOn w:val="Normal"/>
    <w:rsid w:val="00834DA6"/>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ind w:left="0"/>
    </w:pPr>
    <w:rPr>
      <w:rFonts w:ascii="Bookman Old Style" w:hAnsi="Bookman Old Style"/>
      <w:sz w:val="14"/>
      <w:szCs w:val="14"/>
      <w:lang w:val="es-CO" w:eastAsia="es-CO"/>
    </w:rPr>
  </w:style>
  <w:style w:type="paragraph" w:customStyle="1" w:styleId="xl426">
    <w:name w:val="xl426"/>
    <w:basedOn w:val="Normal"/>
    <w:rsid w:val="00834DA6"/>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ind w:left="0"/>
      <w:jc w:val="right"/>
    </w:pPr>
    <w:rPr>
      <w:rFonts w:ascii="Bookman Old Style" w:hAnsi="Bookman Old Style"/>
      <w:color w:val="000000"/>
      <w:sz w:val="14"/>
      <w:szCs w:val="14"/>
      <w:lang w:val="es-CO" w:eastAsia="es-CO"/>
    </w:rPr>
  </w:style>
  <w:style w:type="paragraph" w:customStyle="1" w:styleId="xl427">
    <w:name w:val="xl427"/>
    <w:basedOn w:val="Normal"/>
    <w:rsid w:val="00834DA6"/>
    <w:pPr>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ind w:left="0"/>
      <w:jc w:val="right"/>
    </w:pPr>
    <w:rPr>
      <w:rFonts w:ascii="Bookman Old Style" w:hAnsi="Bookman Old Style"/>
      <w:color w:val="000000"/>
      <w:sz w:val="14"/>
      <w:szCs w:val="14"/>
      <w:lang w:val="es-CO" w:eastAsia="es-CO"/>
    </w:rPr>
  </w:style>
  <w:style w:type="paragraph" w:customStyle="1" w:styleId="xl428">
    <w:name w:val="xl428"/>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Bookman Old Style" w:hAnsi="Bookman Old Style"/>
      <w:sz w:val="14"/>
      <w:szCs w:val="14"/>
      <w:lang w:val="es-CO" w:eastAsia="es-CO"/>
    </w:rPr>
  </w:style>
  <w:style w:type="paragraph" w:customStyle="1" w:styleId="xl429">
    <w:name w:val="xl429"/>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Bookman Old Style" w:hAnsi="Bookman Old Style"/>
      <w:sz w:val="14"/>
      <w:szCs w:val="14"/>
      <w:lang w:val="es-CO" w:eastAsia="es-CO"/>
    </w:rPr>
  </w:style>
  <w:style w:type="paragraph" w:customStyle="1" w:styleId="xl430">
    <w:name w:val="xl430"/>
    <w:basedOn w:val="Normal"/>
    <w:rsid w:val="00834DA6"/>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ind w:left="0"/>
    </w:pPr>
    <w:rPr>
      <w:rFonts w:ascii="Bookman Old Style" w:hAnsi="Bookman Old Style"/>
      <w:sz w:val="14"/>
      <w:szCs w:val="14"/>
      <w:lang w:val="es-CO" w:eastAsia="es-CO"/>
    </w:rPr>
  </w:style>
  <w:style w:type="paragraph" w:customStyle="1" w:styleId="xl431">
    <w:name w:val="xl431"/>
    <w:basedOn w:val="Normal"/>
    <w:rsid w:val="00834DA6"/>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ind w:left="0"/>
    </w:pPr>
    <w:rPr>
      <w:rFonts w:ascii="Bookman Old Style" w:hAnsi="Bookman Old Style"/>
      <w:color w:val="000000"/>
      <w:sz w:val="14"/>
      <w:szCs w:val="14"/>
      <w:lang w:val="es-CO" w:eastAsia="es-CO"/>
    </w:rPr>
  </w:style>
  <w:style w:type="paragraph" w:customStyle="1" w:styleId="xl432">
    <w:name w:val="xl432"/>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Bookman Old Style" w:hAnsi="Bookman Old Style"/>
      <w:sz w:val="14"/>
      <w:szCs w:val="14"/>
      <w:lang w:val="es-CO" w:eastAsia="es-CO"/>
    </w:rPr>
  </w:style>
  <w:style w:type="paragraph" w:customStyle="1" w:styleId="xl433">
    <w:name w:val="xl433"/>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Bookman Old Style" w:hAnsi="Bookman Old Style"/>
      <w:b/>
      <w:bCs/>
      <w:sz w:val="14"/>
      <w:szCs w:val="14"/>
      <w:lang w:val="es-CO" w:eastAsia="es-CO"/>
    </w:rPr>
  </w:style>
  <w:style w:type="paragraph" w:customStyle="1" w:styleId="xl434">
    <w:name w:val="xl434"/>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pPr>
    <w:rPr>
      <w:rFonts w:ascii="Bookman Old Style" w:hAnsi="Bookman Old Style"/>
      <w:sz w:val="14"/>
      <w:szCs w:val="14"/>
      <w:lang w:val="es-CO" w:eastAsia="es-CO"/>
    </w:rPr>
  </w:style>
  <w:style w:type="paragraph" w:customStyle="1" w:styleId="xl435">
    <w:name w:val="xl435"/>
    <w:basedOn w:val="Normal"/>
    <w:rsid w:val="00834DA6"/>
    <w:pPr>
      <w:pBdr>
        <w:top w:val="single" w:sz="4" w:space="0" w:color="auto"/>
        <w:left w:val="single" w:sz="4" w:space="0" w:color="auto"/>
        <w:bottom w:val="single" w:sz="4" w:space="0" w:color="auto"/>
        <w:right w:val="single" w:sz="4" w:space="0" w:color="auto"/>
      </w:pBdr>
      <w:spacing w:before="100" w:beforeAutospacing="1" w:after="100" w:afterAutospacing="1"/>
      <w:ind w:left="0"/>
      <w:jc w:val="center"/>
    </w:pPr>
    <w:rPr>
      <w:rFonts w:ascii="Bookman Old Style" w:hAnsi="Bookman Old Style"/>
      <w:b/>
      <w:bCs/>
      <w:sz w:val="14"/>
      <w:szCs w:val="14"/>
      <w:lang w:val="es-CO" w:eastAsia="es-CO"/>
    </w:rPr>
  </w:style>
  <w:style w:type="table" w:customStyle="1" w:styleId="Tablaconcuadrcula3">
    <w:name w:val="Tabla con cuadrícula3"/>
    <w:basedOn w:val="Tablanormal"/>
    <w:uiPriority w:val="59"/>
    <w:rsid w:val="00B76CE3"/>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00790"/>
    <w:pPr>
      <w:autoSpaceDE w:val="0"/>
      <w:autoSpaceDN w:val="0"/>
      <w:adjustRightInd w:val="0"/>
    </w:pPr>
    <w:rPr>
      <w:rFonts w:ascii="Verdana" w:eastAsia="Calibri" w:hAnsi="Verdana" w:cs="Verdana"/>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1883812">
      <w:bodyDiv w:val="1"/>
      <w:marLeft w:val="0"/>
      <w:marRight w:val="0"/>
      <w:marTop w:val="0"/>
      <w:marBottom w:val="0"/>
      <w:divBdr>
        <w:top w:val="none" w:sz="0" w:space="0" w:color="auto"/>
        <w:left w:val="none" w:sz="0" w:space="0" w:color="auto"/>
        <w:bottom w:val="none" w:sz="0" w:space="0" w:color="auto"/>
        <w:right w:val="none" w:sz="0" w:space="0" w:color="auto"/>
      </w:divBdr>
    </w:div>
    <w:div w:id="312610995">
      <w:bodyDiv w:val="1"/>
      <w:marLeft w:val="0"/>
      <w:marRight w:val="0"/>
      <w:marTop w:val="0"/>
      <w:marBottom w:val="0"/>
      <w:divBdr>
        <w:top w:val="none" w:sz="0" w:space="0" w:color="auto"/>
        <w:left w:val="none" w:sz="0" w:space="0" w:color="auto"/>
        <w:bottom w:val="none" w:sz="0" w:space="0" w:color="auto"/>
        <w:right w:val="none" w:sz="0" w:space="0" w:color="auto"/>
      </w:divBdr>
    </w:div>
    <w:div w:id="325716869">
      <w:bodyDiv w:val="1"/>
      <w:marLeft w:val="0"/>
      <w:marRight w:val="0"/>
      <w:marTop w:val="0"/>
      <w:marBottom w:val="0"/>
      <w:divBdr>
        <w:top w:val="none" w:sz="0" w:space="0" w:color="auto"/>
        <w:left w:val="none" w:sz="0" w:space="0" w:color="auto"/>
        <w:bottom w:val="none" w:sz="0" w:space="0" w:color="auto"/>
        <w:right w:val="none" w:sz="0" w:space="0" w:color="auto"/>
      </w:divBdr>
    </w:div>
    <w:div w:id="438181218">
      <w:bodyDiv w:val="1"/>
      <w:marLeft w:val="0"/>
      <w:marRight w:val="0"/>
      <w:marTop w:val="0"/>
      <w:marBottom w:val="0"/>
      <w:divBdr>
        <w:top w:val="none" w:sz="0" w:space="0" w:color="auto"/>
        <w:left w:val="none" w:sz="0" w:space="0" w:color="auto"/>
        <w:bottom w:val="none" w:sz="0" w:space="0" w:color="auto"/>
        <w:right w:val="none" w:sz="0" w:space="0" w:color="auto"/>
      </w:divBdr>
    </w:div>
    <w:div w:id="468129839">
      <w:bodyDiv w:val="1"/>
      <w:marLeft w:val="0"/>
      <w:marRight w:val="0"/>
      <w:marTop w:val="0"/>
      <w:marBottom w:val="0"/>
      <w:divBdr>
        <w:top w:val="none" w:sz="0" w:space="0" w:color="auto"/>
        <w:left w:val="none" w:sz="0" w:space="0" w:color="auto"/>
        <w:bottom w:val="none" w:sz="0" w:space="0" w:color="auto"/>
        <w:right w:val="none" w:sz="0" w:space="0" w:color="auto"/>
      </w:divBdr>
    </w:div>
    <w:div w:id="522478019">
      <w:bodyDiv w:val="1"/>
      <w:marLeft w:val="0"/>
      <w:marRight w:val="0"/>
      <w:marTop w:val="0"/>
      <w:marBottom w:val="0"/>
      <w:divBdr>
        <w:top w:val="none" w:sz="0" w:space="0" w:color="auto"/>
        <w:left w:val="none" w:sz="0" w:space="0" w:color="auto"/>
        <w:bottom w:val="none" w:sz="0" w:space="0" w:color="auto"/>
        <w:right w:val="none" w:sz="0" w:space="0" w:color="auto"/>
      </w:divBdr>
    </w:div>
    <w:div w:id="526405489">
      <w:bodyDiv w:val="1"/>
      <w:marLeft w:val="0"/>
      <w:marRight w:val="0"/>
      <w:marTop w:val="0"/>
      <w:marBottom w:val="0"/>
      <w:divBdr>
        <w:top w:val="none" w:sz="0" w:space="0" w:color="auto"/>
        <w:left w:val="none" w:sz="0" w:space="0" w:color="auto"/>
        <w:bottom w:val="none" w:sz="0" w:space="0" w:color="auto"/>
        <w:right w:val="none" w:sz="0" w:space="0" w:color="auto"/>
      </w:divBdr>
    </w:div>
    <w:div w:id="643005492">
      <w:bodyDiv w:val="1"/>
      <w:marLeft w:val="0"/>
      <w:marRight w:val="0"/>
      <w:marTop w:val="0"/>
      <w:marBottom w:val="0"/>
      <w:divBdr>
        <w:top w:val="none" w:sz="0" w:space="0" w:color="auto"/>
        <w:left w:val="none" w:sz="0" w:space="0" w:color="auto"/>
        <w:bottom w:val="none" w:sz="0" w:space="0" w:color="auto"/>
        <w:right w:val="none" w:sz="0" w:space="0" w:color="auto"/>
      </w:divBdr>
    </w:div>
    <w:div w:id="650477370">
      <w:bodyDiv w:val="1"/>
      <w:marLeft w:val="0"/>
      <w:marRight w:val="0"/>
      <w:marTop w:val="0"/>
      <w:marBottom w:val="0"/>
      <w:divBdr>
        <w:top w:val="none" w:sz="0" w:space="0" w:color="auto"/>
        <w:left w:val="none" w:sz="0" w:space="0" w:color="auto"/>
        <w:bottom w:val="none" w:sz="0" w:space="0" w:color="auto"/>
        <w:right w:val="none" w:sz="0" w:space="0" w:color="auto"/>
      </w:divBdr>
    </w:div>
    <w:div w:id="777144811">
      <w:bodyDiv w:val="1"/>
      <w:marLeft w:val="0"/>
      <w:marRight w:val="0"/>
      <w:marTop w:val="0"/>
      <w:marBottom w:val="0"/>
      <w:divBdr>
        <w:top w:val="none" w:sz="0" w:space="0" w:color="auto"/>
        <w:left w:val="none" w:sz="0" w:space="0" w:color="auto"/>
        <w:bottom w:val="none" w:sz="0" w:space="0" w:color="auto"/>
        <w:right w:val="none" w:sz="0" w:space="0" w:color="auto"/>
      </w:divBdr>
    </w:div>
    <w:div w:id="915745929">
      <w:bodyDiv w:val="1"/>
      <w:marLeft w:val="0"/>
      <w:marRight w:val="0"/>
      <w:marTop w:val="0"/>
      <w:marBottom w:val="0"/>
      <w:divBdr>
        <w:top w:val="none" w:sz="0" w:space="0" w:color="auto"/>
        <w:left w:val="none" w:sz="0" w:space="0" w:color="auto"/>
        <w:bottom w:val="none" w:sz="0" w:space="0" w:color="auto"/>
        <w:right w:val="none" w:sz="0" w:space="0" w:color="auto"/>
      </w:divBdr>
    </w:div>
    <w:div w:id="920527797">
      <w:bodyDiv w:val="1"/>
      <w:marLeft w:val="0"/>
      <w:marRight w:val="0"/>
      <w:marTop w:val="0"/>
      <w:marBottom w:val="0"/>
      <w:divBdr>
        <w:top w:val="none" w:sz="0" w:space="0" w:color="auto"/>
        <w:left w:val="none" w:sz="0" w:space="0" w:color="auto"/>
        <w:bottom w:val="none" w:sz="0" w:space="0" w:color="auto"/>
        <w:right w:val="none" w:sz="0" w:space="0" w:color="auto"/>
      </w:divBdr>
    </w:div>
    <w:div w:id="1046682294">
      <w:bodyDiv w:val="1"/>
      <w:marLeft w:val="0"/>
      <w:marRight w:val="0"/>
      <w:marTop w:val="0"/>
      <w:marBottom w:val="0"/>
      <w:divBdr>
        <w:top w:val="none" w:sz="0" w:space="0" w:color="auto"/>
        <w:left w:val="none" w:sz="0" w:space="0" w:color="auto"/>
        <w:bottom w:val="none" w:sz="0" w:space="0" w:color="auto"/>
        <w:right w:val="none" w:sz="0" w:space="0" w:color="auto"/>
      </w:divBdr>
    </w:div>
    <w:div w:id="1139883798">
      <w:bodyDiv w:val="1"/>
      <w:marLeft w:val="0"/>
      <w:marRight w:val="0"/>
      <w:marTop w:val="0"/>
      <w:marBottom w:val="0"/>
      <w:divBdr>
        <w:top w:val="none" w:sz="0" w:space="0" w:color="auto"/>
        <w:left w:val="none" w:sz="0" w:space="0" w:color="auto"/>
        <w:bottom w:val="none" w:sz="0" w:space="0" w:color="auto"/>
        <w:right w:val="none" w:sz="0" w:space="0" w:color="auto"/>
      </w:divBdr>
    </w:div>
    <w:div w:id="1193500414">
      <w:bodyDiv w:val="1"/>
      <w:marLeft w:val="0"/>
      <w:marRight w:val="0"/>
      <w:marTop w:val="0"/>
      <w:marBottom w:val="0"/>
      <w:divBdr>
        <w:top w:val="none" w:sz="0" w:space="0" w:color="auto"/>
        <w:left w:val="none" w:sz="0" w:space="0" w:color="auto"/>
        <w:bottom w:val="none" w:sz="0" w:space="0" w:color="auto"/>
        <w:right w:val="none" w:sz="0" w:space="0" w:color="auto"/>
      </w:divBdr>
    </w:div>
    <w:div w:id="1319456869">
      <w:bodyDiv w:val="1"/>
      <w:marLeft w:val="0"/>
      <w:marRight w:val="0"/>
      <w:marTop w:val="0"/>
      <w:marBottom w:val="0"/>
      <w:divBdr>
        <w:top w:val="none" w:sz="0" w:space="0" w:color="auto"/>
        <w:left w:val="none" w:sz="0" w:space="0" w:color="auto"/>
        <w:bottom w:val="none" w:sz="0" w:space="0" w:color="auto"/>
        <w:right w:val="none" w:sz="0" w:space="0" w:color="auto"/>
      </w:divBdr>
    </w:div>
    <w:div w:id="1366104841">
      <w:bodyDiv w:val="1"/>
      <w:marLeft w:val="0"/>
      <w:marRight w:val="0"/>
      <w:marTop w:val="0"/>
      <w:marBottom w:val="0"/>
      <w:divBdr>
        <w:top w:val="none" w:sz="0" w:space="0" w:color="auto"/>
        <w:left w:val="none" w:sz="0" w:space="0" w:color="auto"/>
        <w:bottom w:val="none" w:sz="0" w:space="0" w:color="auto"/>
        <w:right w:val="none" w:sz="0" w:space="0" w:color="auto"/>
      </w:divBdr>
    </w:div>
    <w:div w:id="1444962060">
      <w:bodyDiv w:val="1"/>
      <w:marLeft w:val="0"/>
      <w:marRight w:val="0"/>
      <w:marTop w:val="0"/>
      <w:marBottom w:val="0"/>
      <w:divBdr>
        <w:top w:val="none" w:sz="0" w:space="0" w:color="auto"/>
        <w:left w:val="none" w:sz="0" w:space="0" w:color="auto"/>
        <w:bottom w:val="none" w:sz="0" w:space="0" w:color="auto"/>
        <w:right w:val="none" w:sz="0" w:space="0" w:color="auto"/>
      </w:divBdr>
    </w:div>
    <w:div w:id="1503202378">
      <w:bodyDiv w:val="1"/>
      <w:marLeft w:val="0"/>
      <w:marRight w:val="0"/>
      <w:marTop w:val="0"/>
      <w:marBottom w:val="0"/>
      <w:divBdr>
        <w:top w:val="none" w:sz="0" w:space="0" w:color="auto"/>
        <w:left w:val="none" w:sz="0" w:space="0" w:color="auto"/>
        <w:bottom w:val="none" w:sz="0" w:space="0" w:color="auto"/>
        <w:right w:val="none" w:sz="0" w:space="0" w:color="auto"/>
      </w:divBdr>
    </w:div>
    <w:div w:id="1595892295">
      <w:bodyDiv w:val="1"/>
      <w:marLeft w:val="0"/>
      <w:marRight w:val="0"/>
      <w:marTop w:val="0"/>
      <w:marBottom w:val="0"/>
      <w:divBdr>
        <w:top w:val="none" w:sz="0" w:space="0" w:color="auto"/>
        <w:left w:val="none" w:sz="0" w:space="0" w:color="auto"/>
        <w:bottom w:val="none" w:sz="0" w:space="0" w:color="auto"/>
        <w:right w:val="none" w:sz="0" w:space="0" w:color="auto"/>
      </w:divBdr>
    </w:div>
    <w:div w:id="1780447029">
      <w:bodyDiv w:val="1"/>
      <w:marLeft w:val="0"/>
      <w:marRight w:val="0"/>
      <w:marTop w:val="0"/>
      <w:marBottom w:val="0"/>
      <w:divBdr>
        <w:top w:val="none" w:sz="0" w:space="0" w:color="auto"/>
        <w:left w:val="none" w:sz="0" w:space="0" w:color="auto"/>
        <w:bottom w:val="none" w:sz="0" w:space="0" w:color="auto"/>
        <w:right w:val="none" w:sz="0" w:space="0" w:color="auto"/>
      </w:divBdr>
    </w:div>
    <w:div w:id="2069644633">
      <w:bodyDiv w:val="1"/>
      <w:marLeft w:val="0"/>
      <w:marRight w:val="0"/>
      <w:marTop w:val="0"/>
      <w:marBottom w:val="0"/>
      <w:divBdr>
        <w:top w:val="none" w:sz="0" w:space="0" w:color="auto"/>
        <w:left w:val="none" w:sz="0" w:space="0" w:color="auto"/>
        <w:bottom w:val="none" w:sz="0" w:space="0" w:color="auto"/>
        <w:right w:val="none" w:sz="0" w:space="0" w:color="auto"/>
      </w:divBdr>
    </w:div>
    <w:div w:id="2098818193">
      <w:bodyDiv w:val="1"/>
      <w:marLeft w:val="0"/>
      <w:marRight w:val="0"/>
      <w:marTop w:val="0"/>
      <w:marBottom w:val="0"/>
      <w:divBdr>
        <w:top w:val="none" w:sz="0" w:space="0" w:color="auto"/>
        <w:left w:val="none" w:sz="0" w:space="0" w:color="auto"/>
        <w:bottom w:val="none" w:sz="0" w:space="0" w:color="auto"/>
        <w:right w:val="none" w:sz="0" w:space="0" w:color="auto"/>
      </w:divBdr>
    </w:div>
    <w:div w:id="21138893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117" Type="http://schemas.openxmlformats.org/officeDocument/2006/relationships/image" Target="media/image108.emf"/><Relationship Id="rId21" Type="http://schemas.openxmlformats.org/officeDocument/2006/relationships/image" Target="media/image12.emf"/><Relationship Id="rId42" Type="http://schemas.openxmlformats.org/officeDocument/2006/relationships/image" Target="media/image33.emf"/><Relationship Id="rId47" Type="http://schemas.openxmlformats.org/officeDocument/2006/relationships/image" Target="media/image38.emf"/><Relationship Id="rId63" Type="http://schemas.openxmlformats.org/officeDocument/2006/relationships/image" Target="media/image54.emf"/><Relationship Id="rId68" Type="http://schemas.openxmlformats.org/officeDocument/2006/relationships/image" Target="media/image59.emf"/><Relationship Id="rId84" Type="http://schemas.openxmlformats.org/officeDocument/2006/relationships/image" Target="media/image75.emf"/><Relationship Id="rId89" Type="http://schemas.openxmlformats.org/officeDocument/2006/relationships/image" Target="media/image80.emf"/><Relationship Id="rId112" Type="http://schemas.openxmlformats.org/officeDocument/2006/relationships/image" Target="media/image103.emf"/><Relationship Id="rId133" Type="http://schemas.openxmlformats.org/officeDocument/2006/relationships/image" Target="media/image124.emf"/><Relationship Id="rId138" Type="http://schemas.openxmlformats.org/officeDocument/2006/relationships/image" Target="media/image129.emf"/><Relationship Id="rId154" Type="http://schemas.openxmlformats.org/officeDocument/2006/relationships/image" Target="media/image145.emf"/><Relationship Id="rId159" Type="http://schemas.openxmlformats.org/officeDocument/2006/relationships/image" Target="media/image150.emf"/><Relationship Id="rId170" Type="http://schemas.openxmlformats.org/officeDocument/2006/relationships/fontTable" Target="fontTable.xml"/><Relationship Id="rId16" Type="http://schemas.openxmlformats.org/officeDocument/2006/relationships/image" Target="media/image7.emf"/><Relationship Id="rId107" Type="http://schemas.openxmlformats.org/officeDocument/2006/relationships/image" Target="media/image98.emf"/><Relationship Id="rId11" Type="http://schemas.openxmlformats.org/officeDocument/2006/relationships/image" Target="media/image2.emf"/><Relationship Id="rId32" Type="http://schemas.openxmlformats.org/officeDocument/2006/relationships/image" Target="media/image23.emf"/><Relationship Id="rId37" Type="http://schemas.openxmlformats.org/officeDocument/2006/relationships/image" Target="media/image28.emf"/><Relationship Id="rId53" Type="http://schemas.openxmlformats.org/officeDocument/2006/relationships/image" Target="media/image44.emf"/><Relationship Id="rId58" Type="http://schemas.openxmlformats.org/officeDocument/2006/relationships/image" Target="media/image49.emf"/><Relationship Id="rId74" Type="http://schemas.openxmlformats.org/officeDocument/2006/relationships/image" Target="media/image65.emf"/><Relationship Id="rId79" Type="http://schemas.openxmlformats.org/officeDocument/2006/relationships/image" Target="media/image70.emf"/><Relationship Id="rId102" Type="http://schemas.openxmlformats.org/officeDocument/2006/relationships/image" Target="media/image93.emf"/><Relationship Id="rId123" Type="http://schemas.openxmlformats.org/officeDocument/2006/relationships/image" Target="media/image114.emf"/><Relationship Id="rId128" Type="http://schemas.openxmlformats.org/officeDocument/2006/relationships/image" Target="media/image119.emf"/><Relationship Id="rId144" Type="http://schemas.openxmlformats.org/officeDocument/2006/relationships/image" Target="media/image135.emf"/><Relationship Id="rId149" Type="http://schemas.openxmlformats.org/officeDocument/2006/relationships/image" Target="media/image140.emf"/><Relationship Id="rId5" Type="http://schemas.openxmlformats.org/officeDocument/2006/relationships/settings" Target="settings.xml"/><Relationship Id="rId90" Type="http://schemas.openxmlformats.org/officeDocument/2006/relationships/image" Target="media/image81.emf"/><Relationship Id="rId95" Type="http://schemas.openxmlformats.org/officeDocument/2006/relationships/image" Target="media/image86.emf"/><Relationship Id="rId160" Type="http://schemas.openxmlformats.org/officeDocument/2006/relationships/image" Target="media/image151.wmf"/><Relationship Id="rId165" Type="http://schemas.openxmlformats.org/officeDocument/2006/relationships/oleObject" Target="embeddings/oleObject4.bin"/><Relationship Id="rId22" Type="http://schemas.openxmlformats.org/officeDocument/2006/relationships/image" Target="media/image13.emf"/><Relationship Id="rId27" Type="http://schemas.openxmlformats.org/officeDocument/2006/relationships/image" Target="media/image18.emf"/><Relationship Id="rId43" Type="http://schemas.openxmlformats.org/officeDocument/2006/relationships/image" Target="media/image34.emf"/><Relationship Id="rId48" Type="http://schemas.openxmlformats.org/officeDocument/2006/relationships/image" Target="media/image39.emf"/><Relationship Id="rId64" Type="http://schemas.openxmlformats.org/officeDocument/2006/relationships/image" Target="media/image55.emf"/><Relationship Id="rId69" Type="http://schemas.openxmlformats.org/officeDocument/2006/relationships/image" Target="media/image60.emf"/><Relationship Id="rId113" Type="http://schemas.openxmlformats.org/officeDocument/2006/relationships/image" Target="media/image104.emf"/><Relationship Id="rId118" Type="http://schemas.openxmlformats.org/officeDocument/2006/relationships/image" Target="media/image109.emf"/><Relationship Id="rId134" Type="http://schemas.openxmlformats.org/officeDocument/2006/relationships/image" Target="media/image125.emf"/><Relationship Id="rId139" Type="http://schemas.openxmlformats.org/officeDocument/2006/relationships/image" Target="media/image130.emf"/><Relationship Id="rId80" Type="http://schemas.openxmlformats.org/officeDocument/2006/relationships/image" Target="media/image71.emf"/><Relationship Id="rId85" Type="http://schemas.openxmlformats.org/officeDocument/2006/relationships/image" Target="media/image76.emf"/><Relationship Id="rId150" Type="http://schemas.openxmlformats.org/officeDocument/2006/relationships/image" Target="media/image141.emf"/><Relationship Id="rId155" Type="http://schemas.openxmlformats.org/officeDocument/2006/relationships/image" Target="media/image146.emf"/><Relationship Id="rId171" Type="http://schemas.openxmlformats.org/officeDocument/2006/relationships/theme" Target="theme/theme1.xml"/><Relationship Id="rId12" Type="http://schemas.openxmlformats.org/officeDocument/2006/relationships/image" Target="media/image3.emf"/><Relationship Id="rId17" Type="http://schemas.openxmlformats.org/officeDocument/2006/relationships/image" Target="media/image8.emf"/><Relationship Id="rId33" Type="http://schemas.openxmlformats.org/officeDocument/2006/relationships/image" Target="media/image24.emf"/><Relationship Id="rId38" Type="http://schemas.openxmlformats.org/officeDocument/2006/relationships/image" Target="media/image29.emf"/><Relationship Id="rId59" Type="http://schemas.openxmlformats.org/officeDocument/2006/relationships/image" Target="media/image50.emf"/><Relationship Id="rId103" Type="http://schemas.openxmlformats.org/officeDocument/2006/relationships/image" Target="media/image94.emf"/><Relationship Id="rId108" Type="http://schemas.openxmlformats.org/officeDocument/2006/relationships/image" Target="media/image99.emf"/><Relationship Id="rId124" Type="http://schemas.openxmlformats.org/officeDocument/2006/relationships/image" Target="media/image115.emf"/><Relationship Id="rId129" Type="http://schemas.openxmlformats.org/officeDocument/2006/relationships/image" Target="media/image120.emf"/><Relationship Id="rId54" Type="http://schemas.openxmlformats.org/officeDocument/2006/relationships/image" Target="media/image45.emf"/><Relationship Id="rId70" Type="http://schemas.openxmlformats.org/officeDocument/2006/relationships/image" Target="media/image61.emf"/><Relationship Id="rId75" Type="http://schemas.openxmlformats.org/officeDocument/2006/relationships/image" Target="media/image66.emf"/><Relationship Id="rId91" Type="http://schemas.openxmlformats.org/officeDocument/2006/relationships/image" Target="media/image82.emf"/><Relationship Id="rId96" Type="http://schemas.openxmlformats.org/officeDocument/2006/relationships/image" Target="media/image87.emf"/><Relationship Id="rId140" Type="http://schemas.openxmlformats.org/officeDocument/2006/relationships/image" Target="media/image131.emf"/><Relationship Id="rId145" Type="http://schemas.openxmlformats.org/officeDocument/2006/relationships/image" Target="media/image136.emf"/><Relationship Id="rId161" Type="http://schemas.openxmlformats.org/officeDocument/2006/relationships/oleObject" Target="embeddings/oleObject2.bin"/><Relationship Id="rId166" Type="http://schemas.openxmlformats.org/officeDocument/2006/relationships/image" Target="media/image154.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40.emf"/><Relationship Id="rId57" Type="http://schemas.openxmlformats.org/officeDocument/2006/relationships/image" Target="media/image48.emf"/><Relationship Id="rId106" Type="http://schemas.openxmlformats.org/officeDocument/2006/relationships/image" Target="media/image97.emf"/><Relationship Id="rId114" Type="http://schemas.openxmlformats.org/officeDocument/2006/relationships/image" Target="media/image105.emf"/><Relationship Id="rId119" Type="http://schemas.openxmlformats.org/officeDocument/2006/relationships/image" Target="media/image110.emf"/><Relationship Id="rId127" Type="http://schemas.openxmlformats.org/officeDocument/2006/relationships/image" Target="media/image118.emf"/><Relationship Id="rId10" Type="http://schemas.openxmlformats.org/officeDocument/2006/relationships/oleObject" Target="embeddings/oleObject1.bin"/><Relationship Id="rId31" Type="http://schemas.openxmlformats.org/officeDocument/2006/relationships/image" Target="media/image22.emf"/><Relationship Id="rId44" Type="http://schemas.openxmlformats.org/officeDocument/2006/relationships/image" Target="media/image35.emf"/><Relationship Id="rId52" Type="http://schemas.openxmlformats.org/officeDocument/2006/relationships/image" Target="media/image43.emf"/><Relationship Id="rId60" Type="http://schemas.openxmlformats.org/officeDocument/2006/relationships/image" Target="media/image51.emf"/><Relationship Id="rId65" Type="http://schemas.openxmlformats.org/officeDocument/2006/relationships/image" Target="media/image56.emf"/><Relationship Id="rId73" Type="http://schemas.openxmlformats.org/officeDocument/2006/relationships/image" Target="media/image64.emf"/><Relationship Id="rId78" Type="http://schemas.openxmlformats.org/officeDocument/2006/relationships/image" Target="media/image69.emf"/><Relationship Id="rId81" Type="http://schemas.openxmlformats.org/officeDocument/2006/relationships/image" Target="media/image72.emf"/><Relationship Id="rId86" Type="http://schemas.openxmlformats.org/officeDocument/2006/relationships/image" Target="media/image77.emf"/><Relationship Id="rId94" Type="http://schemas.openxmlformats.org/officeDocument/2006/relationships/image" Target="media/image85.emf"/><Relationship Id="rId99" Type="http://schemas.openxmlformats.org/officeDocument/2006/relationships/image" Target="media/image90.emf"/><Relationship Id="rId101" Type="http://schemas.openxmlformats.org/officeDocument/2006/relationships/image" Target="media/image92.emf"/><Relationship Id="rId122" Type="http://schemas.openxmlformats.org/officeDocument/2006/relationships/image" Target="media/image113.emf"/><Relationship Id="rId130" Type="http://schemas.openxmlformats.org/officeDocument/2006/relationships/image" Target="media/image121.emf"/><Relationship Id="rId135" Type="http://schemas.openxmlformats.org/officeDocument/2006/relationships/image" Target="media/image126.emf"/><Relationship Id="rId143" Type="http://schemas.openxmlformats.org/officeDocument/2006/relationships/image" Target="media/image134.emf"/><Relationship Id="rId148" Type="http://schemas.openxmlformats.org/officeDocument/2006/relationships/image" Target="media/image139.emf"/><Relationship Id="rId151" Type="http://schemas.openxmlformats.org/officeDocument/2006/relationships/image" Target="media/image142.emf"/><Relationship Id="rId156" Type="http://schemas.openxmlformats.org/officeDocument/2006/relationships/image" Target="media/image147.emf"/><Relationship Id="rId164" Type="http://schemas.openxmlformats.org/officeDocument/2006/relationships/image" Target="media/image153.wmf"/><Relationship Id="rId169"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30.emf"/><Relationship Id="rId109" Type="http://schemas.openxmlformats.org/officeDocument/2006/relationships/image" Target="media/image100.emf"/><Relationship Id="rId34" Type="http://schemas.openxmlformats.org/officeDocument/2006/relationships/image" Target="media/image25.emf"/><Relationship Id="rId50" Type="http://schemas.openxmlformats.org/officeDocument/2006/relationships/image" Target="media/image41.emf"/><Relationship Id="rId55" Type="http://schemas.openxmlformats.org/officeDocument/2006/relationships/image" Target="media/image46.emf"/><Relationship Id="rId76" Type="http://schemas.openxmlformats.org/officeDocument/2006/relationships/image" Target="media/image67.emf"/><Relationship Id="rId97" Type="http://schemas.openxmlformats.org/officeDocument/2006/relationships/image" Target="media/image88.emf"/><Relationship Id="rId104" Type="http://schemas.openxmlformats.org/officeDocument/2006/relationships/image" Target="media/image95.emf"/><Relationship Id="rId120" Type="http://schemas.openxmlformats.org/officeDocument/2006/relationships/image" Target="media/image111.emf"/><Relationship Id="rId125" Type="http://schemas.openxmlformats.org/officeDocument/2006/relationships/image" Target="media/image116.emf"/><Relationship Id="rId141" Type="http://schemas.openxmlformats.org/officeDocument/2006/relationships/image" Target="media/image132.emf"/><Relationship Id="rId146" Type="http://schemas.openxmlformats.org/officeDocument/2006/relationships/image" Target="media/image137.emf"/><Relationship Id="rId167" Type="http://schemas.openxmlformats.org/officeDocument/2006/relationships/image" Target="media/image155.emf"/><Relationship Id="rId7" Type="http://schemas.openxmlformats.org/officeDocument/2006/relationships/footnotes" Target="footnotes.xml"/><Relationship Id="rId71" Type="http://schemas.openxmlformats.org/officeDocument/2006/relationships/image" Target="media/image62.emf"/><Relationship Id="rId92" Type="http://schemas.openxmlformats.org/officeDocument/2006/relationships/image" Target="media/image83.emf"/><Relationship Id="rId162" Type="http://schemas.openxmlformats.org/officeDocument/2006/relationships/image" Target="media/image152.wmf"/><Relationship Id="rId2" Type="http://schemas.openxmlformats.org/officeDocument/2006/relationships/numbering" Target="numbering.xml"/><Relationship Id="rId29" Type="http://schemas.openxmlformats.org/officeDocument/2006/relationships/image" Target="media/image20.emf"/><Relationship Id="rId24" Type="http://schemas.openxmlformats.org/officeDocument/2006/relationships/image" Target="media/image15.emf"/><Relationship Id="rId40" Type="http://schemas.openxmlformats.org/officeDocument/2006/relationships/image" Target="media/image31.emf"/><Relationship Id="rId45" Type="http://schemas.openxmlformats.org/officeDocument/2006/relationships/image" Target="media/image36.emf"/><Relationship Id="rId66" Type="http://schemas.openxmlformats.org/officeDocument/2006/relationships/image" Target="media/image57.emf"/><Relationship Id="rId87" Type="http://schemas.openxmlformats.org/officeDocument/2006/relationships/image" Target="media/image78.emf"/><Relationship Id="rId110" Type="http://schemas.openxmlformats.org/officeDocument/2006/relationships/image" Target="media/image101.emf"/><Relationship Id="rId115" Type="http://schemas.openxmlformats.org/officeDocument/2006/relationships/image" Target="media/image106.emf"/><Relationship Id="rId131" Type="http://schemas.openxmlformats.org/officeDocument/2006/relationships/image" Target="media/image122.emf"/><Relationship Id="rId136" Type="http://schemas.openxmlformats.org/officeDocument/2006/relationships/image" Target="media/image127.emf"/><Relationship Id="rId157" Type="http://schemas.openxmlformats.org/officeDocument/2006/relationships/image" Target="media/image148.emf"/><Relationship Id="rId61" Type="http://schemas.openxmlformats.org/officeDocument/2006/relationships/image" Target="media/image52.emf"/><Relationship Id="rId82" Type="http://schemas.openxmlformats.org/officeDocument/2006/relationships/image" Target="media/image73.emf"/><Relationship Id="rId152" Type="http://schemas.openxmlformats.org/officeDocument/2006/relationships/image" Target="media/image143.emf"/><Relationship Id="rId19" Type="http://schemas.openxmlformats.org/officeDocument/2006/relationships/image" Target="media/image10.emf"/><Relationship Id="rId14" Type="http://schemas.openxmlformats.org/officeDocument/2006/relationships/image" Target="media/image5.emf"/><Relationship Id="rId30" Type="http://schemas.openxmlformats.org/officeDocument/2006/relationships/image" Target="media/image21.emf"/><Relationship Id="rId35" Type="http://schemas.openxmlformats.org/officeDocument/2006/relationships/image" Target="media/image26.emf"/><Relationship Id="rId56" Type="http://schemas.openxmlformats.org/officeDocument/2006/relationships/image" Target="media/image47.emf"/><Relationship Id="rId77" Type="http://schemas.openxmlformats.org/officeDocument/2006/relationships/image" Target="media/image68.emf"/><Relationship Id="rId100" Type="http://schemas.openxmlformats.org/officeDocument/2006/relationships/image" Target="media/image91.emf"/><Relationship Id="rId105" Type="http://schemas.openxmlformats.org/officeDocument/2006/relationships/image" Target="media/image96.emf"/><Relationship Id="rId126" Type="http://schemas.openxmlformats.org/officeDocument/2006/relationships/image" Target="media/image117.emf"/><Relationship Id="rId147" Type="http://schemas.openxmlformats.org/officeDocument/2006/relationships/image" Target="media/image138.e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2.emf"/><Relationship Id="rId72" Type="http://schemas.openxmlformats.org/officeDocument/2006/relationships/image" Target="media/image63.emf"/><Relationship Id="rId93" Type="http://schemas.openxmlformats.org/officeDocument/2006/relationships/image" Target="media/image84.emf"/><Relationship Id="rId98" Type="http://schemas.openxmlformats.org/officeDocument/2006/relationships/image" Target="media/image89.emf"/><Relationship Id="rId121" Type="http://schemas.openxmlformats.org/officeDocument/2006/relationships/image" Target="media/image112.emf"/><Relationship Id="rId142" Type="http://schemas.openxmlformats.org/officeDocument/2006/relationships/image" Target="media/image133.emf"/><Relationship Id="rId163" Type="http://schemas.openxmlformats.org/officeDocument/2006/relationships/oleObject" Target="embeddings/oleObject3.bin"/><Relationship Id="rId3" Type="http://schemas.openxmlformats.org/officeDocument/2006/relationships/styles" Target="styles.xml"/><Relationship Id="rId25" Type="http://schemas.openxmlformats.org/officeDocument/2006/relationships/image" Target="media/image16.emf"/><Relationship Id="rId46" Type="http://schemas.openxmlformats.org/officeDocument/2006/relationships/image" Target="media/image37.emf"/><Relationship Id="rId67" Type="http://schemas.openxmlformats.org/officeDocument/2006/relationships/image" Target="media/image58.emf"/><Relationship Id="rId116" Type="http://schemas.openxmlformats.org/officeDocument/2006/relationships/image" Target="media/image107.emf"/><Relationship Id="rId137" Type="http://schemas.openxmlformats.org/officeDocument/2006/relationships/image" Target="media/image128.emf"/><Relationship Id="rId158" Type="http://schemas.openxmlformats.org/officeDocument/2006/relationships/image" Target="media/image149.emf"/><Relationship Id="rId20" Type="http://schemas.openxmlformats.org/officeDocument/2006/relationships/image" Target="media/image11.emf"/><Relationship Id="rId41" Type="http://schemas.openxmlformats.org/officeDocument/2006/relationships/image" Target="media/image32.emf"/><Relationship Id="rId62" Type="http://schemas.openxmlformats.org/officeDocument/2006/relationships/image" Target="media/image53.emf"/><Relationship Id="rId83" Type="http://schemas.openxmlformats.org/officeDocument/2006/relationships/image" Target="media/image74.emf"/><Relationship Id="rId88" Type="http://schemas.openxmlformats.org/officeDocument/2006/relationships/image" Target="media/image79.emf"/><Relationship Id="rId111" Type="http://schemas.openxmlformats.org/officeDocument/2006/relationships/image" Target="media/image102.emf"/><Relationship Id="rId132" Type="http://schemas.openxmlformats.org/officeDocument/2006/relationships/image" Target="media/image123.emf"/><Relationship Id="rId153" Type="http://schemas.openxmlformats.org/officeDocument/2006/relationships/image" Target="media/image144.emf"/></Relationships>
</file>

<file path=word/_rels/settings.xml.rels><?xml version="1.0" encoding="UTF-8" standalone="yes"?>
<Relationships xmlns="http://schemas.openxmlformats.org/package/2006/relationships"><Relationship Id="rId1" Type="http://schemas.openxmlformats.org/officeDocument/2006/relationships/attachedTemplate" Target="file:///D:\Stella%20Rojas\Nueva%20carpeta\PLANTILLA1.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9D51D0-1FC2-41B1-95A5-9EC1A4CB9F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PLANTILLA1</Template>
  <TotalTime>0</TotalTime>
  <Pages>204</Pages>
  <Words>36517</Words>
  <Characters>200845</Characters>
  <Application>Microsoft Office Word</Application>
  <DocSecurity>0</DocSecurity>
  <Lines>1673</Lines>
  <Paragraphs>473</Paragraphs>
  <ScaleCrop>false</ScaleCrop>
  <HeadingPairs>
    <vt:vector size="2" baseType="variant">
      <vt:variant>
        <vt:lpstr>Título</vt:lpstr>
      </vt:variant>
      <vt:variant>
        <vt:i4>1</vt:i4>
      </vt:variant>
    </vt:vector>
  </HeadingPairs>
  <TitlesOfParts>
    <vt:vector size="1" baseType="lpstr">
      <vt:lpstr/>
    </vt:vector>
  </TitlesOfParts>
  <Company>CREG</Company>
  <LinksUpToDate>false</LinksUpToDate>
  <CharactersWithSpaces>236889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LSROJAS</dc:creator>
  <cp:lastModifiedBy>Angela Ximena Leal Baquero</cp:lastModifiedBy>
  <cp:revision>2</cp:revision>
  <cp:lastPrinted>2014-01-13T21:14:00Z</cp:lastPrinted>
  <dcterms:created xsi:type="dcterms:W3CDTF">2014-02-10T14:13:00Z</dcterms:created>
  <dcterms:modified xsi:type="dcterms:W3CDTF">2014-02-10T14:13:00Z</dcterms:modified>
</cp:coreProperties>
</file>