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charts/style4.xml" ContentType="application/vnd.ms-office.chartstyle+xml"/>
  <Override PartName="/word/charts/chart4.xml" ContentType="application/vnd.openxmlformats-officedocument.drawingml.chart+xml"/>
  <Override PartName="/word/charts/colors3.xml" ContentType="application/vnd.ms-office.chartcolorstyle+xml"/>
  <Override PartName="/word/charts/style3.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hart3.xml" ContentType="application/vnd.openxmlformats-officedocument.drawingml.chart+xml"/>
  <Override PartName="/word/charts/colors2.xml" ContentType="application/vnd.ms-office.chartcolorstyle+xml"/>
  <Override PartName="/word/charts/style2.xml" ContentType="application/vnd.ms-office.chartsty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olors6.xml" ContentType="application/vnd.ms-office.chartcolorstyle+xml"/>
  <Override PartName="/word/charts/style7.xml" ContentType="application/vnd.ms-office.chartstyle+xml"/>
  <Override PartName="/word/charts/chart7.xml" ContentType="application/vnd.openxmlformats-officedocument.drawingml.chart+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style9.xml" ContentType="application/vnd.ms-office.chartstyle+xml"/>
  <Override PartName="/word/charts/chart9.xml" ContentType="application/vnd.openxmlformats-officedocument.drawingml.chart+xml"/>
  <Override PartName="/word/charts/colors9.xml" ContentType="application/vnd.ms-office.chartcolorstyl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02A2" w:rsidRDefault="00295E06">
      <w:pPr>
        <w:ind w:left="-1701"/>
        <w:rPr>
          <w:rFonts w:ascii="Arial" w:eastAsia="Arial" w:hAnsi="Arial" w:cs="Arial"/>
          <w:sz w:val="22"/>
          <w:szCs w:val="22"/>
        </w:rPr>
      </w:pPr>
      <w:bookmarkStart w:id="0" w:name="_heading=h.gjdgxs" w:colFirst="0" w:colLast="0"/>
      <w:bookmarkEnd w:id="0"/>
      <w:r>
        <w:rPr>
          <w:rFonts w:ascii="Arial" w:eastAsia="Arial" w:hAnsi="Arial" w:cs="Arial"/>
          <w:sz w:val="22"/>
          <w:szCs w:val="22"/>
        </w:rPr>
        <w:t>ges</w:t>
      </w:r>
      <w:r>
        <w:rPr>
          <w:noProof/>
          <w:lang w:val="en-US"/>
        </w:rPr>
        <w:drawing>
          <wp:anchor distT="0" distB="0" distL="0" distR="0" simplePos="0" relativeHeight="251658240" behindDoc="0" locked="0" layoutInCell="1" hidden="0" allowOverlap="1">
            <wp:simplePos x="0" y="0"/>
            <wp:positionH relativeFrom="column">
              <wp:posOffset>-1097913</wp:posOffset>
            </wp:positionH>
            <wp:positionV relativeFrom="paragraph">
              <wp:posOffset>-838833</wp:posOffset>
            </wp:positionV>
            <wp:extent cx="7552298" cy="10686501"/>
            <wp:effectExtent l="0" t="0" r="0" b="0"/>
            <wp:wrapSquare wrapText="bothSides" distT="0" distB="0" distL="0" distR="0"/>
            <wp:docPr id="143" name="image53.jpg"/>
            <wp:cNvGraphicFramePr/>
            <a:graphic xmlns:a="http://schemas.openxmlformats.org/drawingml/2006/main">
              <a:graphicData uri="http://schemas.openxmlformats.org/drawingml/2006/picture">
                <pic:pic xmlns:pic="http://schemas.openxmlformats.org/drawingml/2006/picture">
                  <pic:nvPicPr>
                    <pic:cNvPr id="0" name="image53.jpg"/>
                    <pic:cNvPicPr preferRelativeResize="0"/>
                  </pic:nvPicPr>
                  <pic:blipFill>
                    <a:blip r:embed="rId8"/>
                    <a:srcRect/>
                    <a:stretch>
                      <a:fillRect/>
                    </a:stretch>
                  </pic:blipFill>
                  <pic:spPr>
                    <a:xfrm>
                      <a:off x="0" y="0"/>
                      <a:ext cx="7552298" cy="10686501"/>
                    </a:xfrm>
                    <a:prstGeom prst="rect">
                      <a:avLst/>
                    </a:prstGeom>
                    <a:ln/>
                  </pic:spPr>
                </pic:pic>
              </a:graphicData>
            </a:graphic>
          </wp:anchor>
        </w:drawing>
      </w:r>
    </w:p>
    <w:p w:rsidR="00B202A2" w:rsidRDefault="00B202A2">
      <w:pPr>
        <w:ind w:left="-1701"/>
        <w:rPr>
          <w:rFonts w:ascii="Arial" w:eastAsia="Arial" w:hAnsi="Arial" w:cs="Arial"/>
          <w:sz w:val="22"/>
          <w:szCs w:val="22"/>
        </w:rPr>
      </w:pPr>
    </w:p>
    <w:p w:rsidR="00B202A2" w:rsidRDefault="00B202A2">
      <w:pPr>
        <w:ind w:left="-1701"/>
        <w:rPr>
          <w:rFonts w:ascii="Arial" w:eastAsia="Arial" w:hAnsi="Arial" w:cs="Arial"/>
          <w:sz w:val="22"/>
          <w:szCs w:val="22"/>
        </w:rPr>
      </w:pPr>
    </w:p>
    <w:p w:rsidR="00B202A2" w:rsidRDefault="00B202A2">
      <w:pPr>
        <w:ind w:left="-1701"/>
        <w:rPr>
          <w:rFonts w:ascii="Arial" w:eastAsia="Arial" w:hAnsi="Arial" w:cs="Arial"/>
          <w:sz w:val="22"/>
          <w:szCs w:val="22"/>
        </w:rPr>
      </w:pPr>
    </w:p>
    <w:p w:rsidR="00B202A2" w:rsidRDefault="00B202A2">
      <w:pPr>
        <w:jc w:val="both"/>
        <w:rPr>
          <w:rFonts w:ascii="Arial" w:eastAsia="Arial" w:hAnsi="Arial" w:cs="Arial"/>
          <w:sz w:val="22"/>
          <w:szCs w:val="22"/>
        </w:rPr>
      </w:pPr>
    </w:p>
    <w:p w:rsidR="00B202A2" w:rsidRDefault="00B202A2">
      <w:pPr>
        <w:ind w:left="-1701"/>
        <w:rPr>
          <w:rFonts w:ascii="Arial" w:eastAsia="Arial" w:hAnsi="Arial" w:cs="Arial"/>
          <w:sz w:val="22"/>
          <w:szCs w:val="22"/>
        </w:rPr>
        <w:sectPr w:rsidR="00B202A2">
          <w:headerReference w:type="default" r:id="rId9"/>
          <w:pgSz w:w="11900" w:h="16840"/>
          <w:pgMar w:top="1417" w:right="1701" w:bottom="1417" w:left="1701" w:header="708" w:footer="708" w:gutter="0"/>
          <w:pgNumType w:start="1"/>
          <w:cols w:space="720"/>
          <w:titlePg/>
        </w:sectPr>
      </w:pPr>
    </w:p>
    <w:p w:rsidR="00B202A2" w:rsidRDefault="00295E06">
      <w:pPr>
        <w:jc w:val="both"/>
        <w:rPr>
          <w:rFonts w:ascii="Arial" w:eastAsia="Arial" w:hAnsi="Arial" w:cs="Arial"/>
          <w:sz w:val="22"/>
          <w:szCs w:val="22"/>
        </w:rPr>
      </w:pPr>
      <w:r>
        <w:rPr>
          <w:rFonts w:ascii="Arial" w:eastAsia="Arial" w:hAnsi="Arial" w:cs="Arial"/>
          <w:b/>
          <w:color w:val="000000"/>
          <w:sz w:val="22"/>
          <w:szCs w:val="22"/>
        </w:rPr>
        <w:lastRenderedPageBreak/>
        <w:t>Gobierno de Colombia</w:t>
      </w:r>
    </w:p>
    <w:p w:rsidR="00B202A2" w:rsidRDefault="00295E06">
      <w:pPr>
        <w:jc w:val="both"/>
        <w:rPr>
          <w:rFonts w:ascii="Arial" w:eastAsia="Arial" w:hAnsi="Arial" w:cs="Arial"/>
          <w:sz w:val="22"/>
          <w:szCs w:val="22"/>
        </w:rPr>
      </w:pPr>
      <w:r>
        <w:rPr>
          <w:rFonts w:ascii="Arial" w:eastAsia="Arial" w:hAnsi="Arial" w:cs="Arial"/>
          <w:color w:val="000000"/>
          <w:sz w:val="22"/>
          <w:szCs w:val="22"/>
        </w:rPr>
        <w:t>Ministerio de Minas y Energía</w:t>
      </w:r>
    </w:p>
    <w:p w:rsidR="00B202A2" w:rsidRDefault="00295E06">
      <w:pPr>
        <w:jc w:val="both"/>
        <w:rPr>
          <w:rFonts w:ascii="Arial" w:eastAsia="Arial" w:hAnsi="Arial" w:cs="Arial"/>
          <w:sz w:val="22"/>
          <w:szCs w:val="22"/>
        </w:rPr>
      </w:pPr>
      <w:r>
        <w:rPr>
          <w:rFonts w:ascii="Arial" w:eastAsia="Arial" w:hAnsi="Arial" w:cs="Arial"/>
          <w:color w:val="000000"/>
          <w:sz w:val="22"/>
          <w:szCs w:val="22"/>
        </w:rPr>
        <w:t>Unidad de Planeación Minero Energética</w:t>
      </w:r>
    </w:p>
    <w:p w:rsidR="00B202A2" w:rsidRDefault="00B202A2">
      <w:pPr>
        <w:rPr>
          <w:rFonts w:ascii="Arial" w:eastAsia="Arial" w:hAnsi="Arial" w:cs="Arial"/>
          <w:sz w:val="22"/>
          <w:szCs w:val="22"/>
        </w:rPr>
      </w:pPr>
    </w:p>
    <w:p w:rsidR="00B202A2" w:rsidRDefault="00295E06">
      <w:pPr>
        <w:jc w:val="both"/>
        <w:rPr>
          <w:rFonts w:ascii="Arial" w:eastAsia="Arial" w:hAnsi="Arial" w:cs="Arial"/>
          <w:sz w:val="22"/>
          <w:szCs w:val="22"/>
        </w:rPr>
      </w:pPr>
      <w:r>
        <w:rPr>
          <w:rFonts w:ascii="Arial" w:eastAsia="Arial" w:hAnsi="Arial" w:cs="Arial"/>
          <w:color w:val="000000"/>
          <w:sz w:val="22"/>
          <w:szCs w:val="22"/>
        </w:rPr>
        <w:t>Diego Mesa Puyo</w:t>
      </w:r>
    </w:p>
    <w:p w:rsidR="00B202A2" w:rsidRDefault="00295E06">
      <w:pPr>
        <w:jc w:val="both"/>
        <w:rPr>
          <w:rFonts w:ascii="Arial" w:eastAsia="Arial" w:hAnsi="Arial" w:cs="Arial"/>
          <w:sz w:val="22"/>
          <w:szCs w:val="22"/>
        </w:rPr>
      </w:pPr>
      <w:r>
        <w:rPr>
          <w:rFonts w:ascii="Arial" w:eastAsia="Arial" w:hAnsi="Arial" w:cs="Arial"/>
          <w:b/>
          <w:color w:val="000000"/>
          <w:sz w:val="22"/>
          <w:szCs w:val="22"/>
        </w:rPr>
        <w:t>Ministro de Minas y Energía</w:t>
      </w:r>
    </w:p>
    <w:p w:rsidR="00B202A2" w:rsidRDefault="00B202A2">
      <w:pPr>
        <w:rPr>
          <w:rFonts w:ascii="Arial" w:eastAsia="Arial" w:hAnsi="Arial" w:cs="Arial"/>
          <w:sz w:val="22"/>
          <w:szCs w:val="22"/>
        </w:rPr>
      </w:pPr>
    </w:p>
    <w:p w:rsidR="00B202A2" w:rsidRDefault="00295E06">
      <w:pPr>
        <w:jc w:val="both"/>
        <w:rPr>
          <w:rFonts w:ascii="Arial" w:eastAsia="Arial" w:hAnsi="Arial" w:cs="Arial"/>
          <w:sz w:val="22"/>
          <w:szCs w:val="22"/>
        </w:rPr>
      </w:pPr>
      <w:r>
        <w:rPr>
          <w:rFonts w:ascii="Arial" w:eastAsia="Arial" w:hAnsi="Arial" w:cs="Arial"/>
          <w:color w:val="000000"/>
          <w:sz w:val="22"/>
          <w:szCs w:val="22"/>
        </w:rPr>
        <w:t>Christian Jaramillo Herrera</w:t>
      </w:r>
    </w:p>
    <w:p w:rsidR="00B202A2" w:rsidRDefault="00295E06">
      <w:pPr>
        <w:jc w:val="both"/>
        <w:rPr>
          <w:rFonts w:ascii="Arial" w:eastAsia="Arial" w:hAnsi="Arial" w:cs="Arial"/>
          <w:sz w:val="22"/>
          <w:szCs w:val="22"/>
        </w:rPr>
      </w:pPr>
      <w:r>
        <w:rPr>
          <w:rFonts w:ascii="Arial" w:eastAsia="Arial" w:hAnsi="Arial" w:cs="Arial"/>
          <w:b/>
          <w:color w:val="000000"/>
          <w:sz w:val="22"/>
          <w:szCs w:val="22"/>
        </w:rPr>
        <w:t>Director General</w:t>
      </w:r>
    </w:p>
    <w:p w:rsidR="00B202A2" w:rsidRDefault="00B202A2">
      <w:pPr>
        <w:rPr>
          <w:rFonts w:ascii="Arial" w:eastAsia="Arial" w:hAnsi="Arial" w:cs="Arial"/>
          <w:sz w:val="22"/>
          <w:szCs w:val="22"/>
        </w:rPr>
      </w:pPr>
    </w:p>
    <w:sdt>
      <w:sdtPr>
        <w:tag w:val="goog_rdk_0"/>
        <w:id w:val="-1162148440"/>
      </w:sdtPr>
      <w:sdtEndPr/>
      <w:sdtContent>
        <w:p w:rsidR="00B202A2" w:rsidRDefault="00295E06">
          <w:pPr>
            <w:jc w:val="both"/>
            <w:rPr>
              <w:rFonts w:ascii="Arial" w:eastAsia="Arial" w:hAnsi="Arial" w:cs="Arial"/>
              <w:sz w:val="22"/>
              <w:szCs w:val="22"/>
            </w:rPr>
          </w:pPr>
          <w:r>
            <w:rPr>
              <w:rFonts w:ascii="Arial" w:eastAsia="Arial" w:hAnsi="Arial" w:cs="Arial"/>
              <w:color w:val="222222"/>
              <w:sz w:val="22"/>
              <w:szCs w:val="22"/>
              <w:highlight w:val="white"/>
            </w:rPr>
            <w:t>Diana Helen Navarro Bonett </w:t>
          </w:r>
        </w:p>
      </w:sdtContent>
    </w:sdt>
    <w:p w:rsidR="00B202A2" w:rsidRDefault="00295E06">
      <w:pPr>
        <w:jc w:val="both"/>
        <w:rPr>
          <w:rFonts w:ascii="Arial" w:eastAsia="Arial" w:hAnsi="Arial" w:cs="Arial"/>
          <w:sz w:val="22"/>
          <w:szCs w:val="22"/>
        </w:rPr>
      </w:pPr>
      <w:r>
        <w:rPr>
          <w:rFonts w:ascii="Arial" w:eastAsia="Arial" w:hAnsi="Arial" w:cs="Arial"/>
          <w:b/>
          <w:color w:val="000000"/>
          <w:sz w:val="22"/>
          <w:szCs w:val="22"/>
        </w:rPr>
        <w:t>Secretaria General</w:t>
      </w:r>
    </w:p>
    <w:p w:rsidR="00B202A2" w:rsidRDefault="00B202A2">
      <w:pPr>
        <w:rPr>
          <w:rFonts w:ascii="Arial" w:eastAsia="Arial" w:hAnsi="Arial" w:cs="Arial"/>
          <w:sz w:val="22"/>
          <w:szCs w:val="22"/>
        </w:rPr>
      </w:pPr>
    </w:p>
    <w:p w:rsidR="00B202A2" w:rsidRDefault="00295E06">
      <w:pPr>
        <w:jc w:val="both"/>
        <w:rPr>
          <w:rFonts w:ascii="Arial" w:eastAsia="Arial" w:hAnsi="Arial" w:cs="Arial"/>
          <w:sz w:val="22"/>
          <w:szCs w:val="22"/>
        </w:rPr>
      </w:pPr>
      <w:r>
        <w:rPr>
          <w:rFonts w:ascii="Arial" w:eastAsia="Arial" w:hAnsi="Arial" w:cs="Arial"/>
          <w:color w:val="000000"/>
          <w:sz w:val="22"/>
          <w:szCs w:val="22"/>
        </w:rPr>
        <w:t xml:space="preserve">Lina </w:t>
      </w:r>
      <w:r>
        <w:rPr>
          <w:rFonts w:ascii="Arial" w:eastAsia="Arial" w:hAnsi="Arial" w:cs="Arial"/>
          <w:sz w:val="22"/>
          <w:szCs w:val="22"/>
        </w:rPr>
        <w:t>Patricia</w:t>
      </w:r>
      <w:r>
        <w:rPr>
          <w:rFonts w:ascii="Arial" w:eastAsia="Arial" w:hAnsi="Arial" w:cs="Arial"/>
          <w:color w:val="000000"/>
          <w:sz w:val="22"/>
          <w:szCs w:val="22"/>
        </w:rPr>
        <w:t xml:space="preserve"> Escobar Rangel</w:t>
      </w:r>
    </w:p>
    <w:p w:rsidR="00B202A2" w:rsidRDefault="00295E06">
      <w:pPr>
        <w:jc w:val="both"/>
        <w:rPr>
          <w:rFonts w:ascii="Arial" w:eastAsia="Arial" w:hAnsi="Arial" w:cs="Arial"/>
          <w:sz w:val="22"/>
          <w:szCs w:val="22"/>
        </w:rPr>
      </w:pPr>
      <w:r>
        <w:rPr>
          <w:rFonts w:ascii="Arial" w:eastAsia="Arial" w:hAnsi="Arial" w:cs="Arial"/>
          <w:b/>
          <w:color w:val="000000"/>
          <w:sz w:val="22"/>
          <w:szCs w:val="22"/>
        </w:rPr>
        <w:t>Subdirectora de Demanda</w:t>
      </w:r>
    </w:p>
    <w:p w:rsidR="00B202A2" w:rsidRDefault="00B202A2">
      <w:pPr>
        <w:rPr>
          <w:rFonts w:ascii="Arial" w:eastAsia="Arial" w:hAnsi="Arial" w:cs="Arial"/>
          <w:sz w:val="22"/>
          <w:szCs w:val="22"/>
        </w:rPr>
      </w:pPr>
    </w:p>
    <w:p w:rsidR="00B202A2" w:rsidRDefault="00295E06">
      <w:pPr>
        <w:jc w:val="both"/>
        <w:rPr>
          <w:rFonts w:ascii="Arial" w:eastAsia="Arial" w:hAnsi="Arial" w:cs="Arial"/>
          <w:sz w:val="22"/>
          <w:szCs w:val="22"/>
        </w:rPr>
      </w:pPr>
      <w:r>
        <w:rPr>
          <w:rFonts w:ascii="Arial" w:eastAsia="Arial" w:hAnsi="Arial" w:cs="Arial"/>
          <w:color w:val="000000"/>
          <w:sz w:val="22"/>
          <w:szCs w:val="22"/>
        </w:rPr>
        <w:t>Javier Martínez Gil</w:t>
      </w:r>
    </w:p>
    <w:p w:rsidR="00B202A2" w:rsidRDefault="00295E06">
      <w:pPr>
        <w:jc w:val="both"/>
        <w:rPr>
          <w:rFonts w:ascii="Arial" w:eastAsia="Arial" w:hAnsi="Arial" w:cs="Arial"/>
          <w:b/>
          <w:color w:val="000000"/>
          <w:sz w:val="22"/>
          <w:szCs w:val="22"/>
        </w:rPr>
      </w:pPr>
      <w:r>
        <w:rPr>
          <w:rFonts w:ascii="Arial" w:eastAsia="Arial" w:hAnsi="Arial" w:cs="Arial"/>
          <w:b/>
          <w:color w:val="000000"/>
          <w:sz w:val="22"/>
          <w:szCs w:val="22"/>
        </w:rPr>
        <w:t>Subdirector de Energía Eléctrica</w:t>
      </w:r>
    </w:p>
    <w:p w:rsidR="00B202A2" w:rsidRDefault="00B202A2">
      <w:pPr>
        <w:jc w:val="both"/>
        <w:rPr>
          <w:rFonts w:ascii="Arial" w:eastAsia="Arial" w:hAnsi="Arial" w:cs="Arial"/>
          <w:b/>
          <w:color w:val="000000"/>
          <w:sz w:val="22"/>
          <w:szCs w:val="22"/>
        </w:rPr>
      </w:pPr>
    </w:p>
    <w:p w:rsidR="00B202A2" w:rsidRDefault="00295E06">
      <w:pPr>
        <w:jc w:val="both"/>
        <w:rPr>
          <w:rFonts w:ascii="Arial" w:eastAsia="Arial" w:hAnsi="Arial" w:cs="Arial"/>
          <w:sz w:val="22"/>
          <w:szCs w:val="22"/>
        </w:rPr>
      </w:pPr>
      <w:r>
        <w:rPr>
          <w:rFonts w:ascii="Arial" w:eastAsia="Arial" w:hAnsi="Arial" w:cs="Arial"/>
          <w:sz w:val="22"/>
          <w:szCs w:val="22"/>
        </w:rPr>
        <w:t>Carolina Cruz Carvajal</w:t>
      </w:r>
    </w:p>
    <w:p w:rsidR="00B202A2" w:rsidRDefault="00295E06">
      <w:pPr>
        <w:jc w:val="both"/>
        <w:rPr>
          <w:rFonts w:ascii="Arial" w:eastAsia="Arial" w:hAnsi="Arial" w:cs="Arial"/>
          <w:sz w:val="22"/>
          <w:szCs w:val="22"/>
        </w:rPr>
      </w:pPr>
      <w:r>
        <w:rPr>
          <w:rFonts w:ascii="Arial" w:eastAsia="Arial" w:hAnsi="Arial" w:cs="Arial"/>
          <w:b/>
          <w:color w:val="000000"/>
          <w:sz w:val="22"/>
          <w:szCs w:val="22"/>
        </w:rPr>
        <w:t>Subdirectora de Hidrocarburos</w:t>
      </w:r>
    </w:p>
    <w:p w:rsidR="00B202A2" w:rsidRDefault="00B202A2">
      <w:pPr>
        <w:rPr>
          <w:rFonts w:ascii="Arial" w:eastAsia="Arial" w:hAnsi="Arial" w:cs="Arial"/>
          <w:sz w:val="22"/>
          <w:szCs w:val="22"/>
        </w:rPr>
      </w:pPr>
    </w:p>
    <w:p w:rsidR="00B202A2" w:rsidRDefault="00295E06">
      <w:pPr>
        <w:jc w:val="both"/>
        <w:rPr>
          <w:rFonts w:ascii="Arial" w:eastAsia="Arial" w:hAnsi="Arial" w:cs="Arial"/>
          <w:sz w:val="22"/>
          <w:szCs w:val="22"/>
        </w:rPr>
      </w:pPr>
      <w:r>
        <w:rPr>
          <w:rFonts w:ascii="Arial" w:eastAsia="Arial" w:hAnsi="Arial" w:cs="Arial"/>
          <w:color w:val="000000"/>
          <w:sz w:val="22"/>
          <w:szCs w:val="22"/>
        </w:rPr>
        <w:t>Ricardo</w:t>
      </w:r>
      <w:r>
        <w:rPr>
          <w:rFonts w:ascii="Arial" w:eastAsia="Arial" w:hAnsi="Arial" w:cs="Arial"/>
          <w:sz w:val="22"/>
          <w:szCs w:val="22"/>
        </w:rPr>
        <w:t xml:space="preserve"> </w:t>
      </w:r>
      <w:r>
        <w:rPr>
          <w:rFonts w:ascii="Arial" w:eastAsia="Arial" w:hAnsi="Arial" w:cs="Arial"/>
          <w:color w:val="000000"/>
          <w:sz w:val="22"/>
          <w:szCs w:val="22"/>
        </w:rPr>
        <w:t>Viana</w:t>
      </w:r>
    </w:p>
    <w:p w:rsidR="00B202A2" w:rsidRDefault="00295E06">
      <w:pPr>
        <w:jc w:val="both"/>
        <w:rPr>
          <w:rFonts w:ascii="Arial" w:eastAsia="Arial" w:hAnsi="Arial" w:cs="Arial"/>
          <w:sz w:val="22"/>
          <w:szCs w:val="22"/>
        </w:rPr>
      </w:pPr>
      <w:r>
        <w:rPr>
          <w:rFonts w:ascii="Arial" w:eastAsia="Arial" w:hAnsi="Arial" w:cs="Arial"/>
          <w:b/>
          <w:color w:val="000000"/>
          <w:sz w:val="22"/>
          <w:szCs w:val="22"/>
        </w:rPr>
        <w:t>Subdirector de Minería</w:t>
      </w:r>
    </w:p>
    <w:p w:rsidR="00B202A2" w:rsidRDefault="00B202A2">
      <w:pPr>
        <w:rPr>
          <w:rFonts w:ascii="Arial" w:eastAsia="Arial" w:hAnsi="Arial" w:cs="Arial"/>
          <w:sz w:val="22"/>
          <w:szCs w:val="22"/>
        </w:rPr>
      </w:pPr>
    </w:p>
    <w:p w:rsidR="00B202A2" w:rsidRDefault="00295E06">
      <w:pPr>
        <w:jc w:val="both"/>
        <w:rPr>
          <w:rFonts w:ascii="Arial" w:eastAsia="Arial" w:hAnsi="Arial" w:cs="Arial"/>
          <w:sz w:val="22"/>
          <w:szCs w:val="22"/>
        </w:rPr>
      </w:pPr>
      <w:r>
        <w:rPr>
          <w:rFonts w:ascii="Arial" w:eastAsia="Arial" w:hAnsi="Arial" w:cs="Arial"/>
          <w:color w:val="000000"/>
          <w:sz w:val="22"/>
          <w:szCs w:val="22"/>
        </w:rPr>
        <w:t>Oscar Anselmo Patiño Rojas</w:t>
      </w:r>
    </w:p>
    <w:p w:rsidR="00B202A2" w:rsidRDefault="00295E06">
      <w:pPr>
        <w:jc w:val="both"/>
        <w:rPr>
          <w:rFonts w:ascii="Arial" w:eastAsia="Arial" w:hAnsi="Arial" w:cs="Arial"/>
          <w:b/>
          <w:color w:val="000000"/>
          <w:sz w:val="22"/>
          <w:szCs w:val="22"/>
        </w:rPr>
      </w:pPr>
      <w:r>
        <w:rPr>
          <w:rFonts w:ascii="Arial" w:eastAsia="Arial" w:hAnsi="Arial" w:cs="Arial"/>
          <w:b/>
          <w:color w:val="000000"/>
          <w:sz w:val="22"/>
          <w:szCs w:val="22"/>
        </w:rPr>
        <w:t>Jefe Oficina de Gestión de Fondos</w:t>
      </w:r>
    </w:p>
    <w:p w:rsidR="00B202A2" w:rsidRDefault="00B202A2">
      <w:pPr>
        <w:jc w:val="both"/>
        <w:rPr>
          <w:rFonts w:ascii="Arial" w:eastAsia="Arial" w:hAnsi="Arial" w:cs="Arial"/>
          <w:b/>
          <w:sz w:val="22"/>
          <w:szCs w:val="22"/>
        </w:rPr>
      </w:pPr>
    </w:p>
    <w:p w:rsidR="00B202A2" w:rsidRDefault="00B202A2">
      <w:pPr>
        <w:rPr>
          <w:rFonts w:ascii="Arial" w:eastAsia="Arial" w:hAnsi="Arial" w:cs="Arial"/>
          <w:sz w:val="22"/>
          <w:szCs w:val="22"/>
        </w:rPr>
      </w:pPr>
    </w:p>
    <w:p w:rsidR="00B202A2" w:rsidRDefault="00B202A2">
      <w:pPr>
        <w:jc w:val="both"/>
        <w:rPr>
          <w:rFonts w:ascii="Arial" w:eastAsia="Arial" w:hAnsi="Arial" w:cs="Arial"/>
          <w:sz w:val="22"/>
          <w:szCs w:val="22"/>
        </w:rPr>
      </w:pPr>
    </w:p>
    <w:p w:rsidR="00B202A2" w:rsidRDefault="00B202A2">
      <w:pPr>
        <w:jc w:val="both"/>
        <w:rPr>
          <w:rFonts w:ascii="Arial" w:eastAsia="Arial" w:hAnsi="Arial" w:cs="Arial"/>
          <w:color w:val="000000"/>
          <w:sz w:val="22"/>
          <w:szCs w:val="22"/>
        </w:rPr>
      </w:pPr>
    </w:p>
    <w:p w:rsidR="00B202A2" w:rsidRDefault="00295E06">
      <w:pPr>
        <w:jc w:val="both"/>
        <w:rPr>
          <w:rFonts w:ascii="Arial" w:eastAsia="Arial" w:hAnsi="Arial" w:cs="Arial"/>
          <w:sz w:val="22"/>
          <w:szCs w:val="22"/>
        </w:rPr>
      </w:pPr>
      <w:r>
        <w:rPr>
          <w:rFonts w:ascii="Arial" w:eastAsia="Arial" w:hAnsi="Arial" w:cs="Arial"/>
          <w:sz w:val="22"/>
          <w:szCs w:val="22"/>
        </w:rPr>
        <w:t>Constanza Ballesteros Castillo</w:t>
      </w:r>
    </w:p>
    <w:p w:rsidR="00B202A2" w:rsidRDefault="00295E06">
      <w:pPr>
        <w:jc w:val="both"/>
        <w:rPr>
          <w:rFonts w:ascii="Arial" w:eastAsia="Arial" w:hAnsi="Arial" w:cs="Arial"/>
          <w:sz w:val="22"/>
          <w:szCs w:val="22"/>
        </w:rPr>
      </w:pPr>
      <w:r>
        <w:rPr>
          <w:rFonts w:ascii="Arial" w:eastAsia="Arial" w:hAnsi="Arial" w:cs="Arial"/>
          <w:b/>
          <w:color w:val="000000"/>
          <w:sz w:val="22"/>
          <w:szCs w:val="22"/>
        </w:rPr>
        <w:t>Asesora de la Dirección General</w:t>
      </w:r>
    </w:p>
    <w:p w:rsidR="00B202A2" w:rsidRDefault="00B202A2">
      <w:pPr>
        <w:rPr>
          <w:rFonts w:ascii="Arial" w:eastAsia="Arial" w:hAnsi="Arial" w:cs="Arial"/>
          <w:sz w:val="22"/>
          <w:szCs w:val="22"/>
        </w:rPr>
      </w:pPr>
    </w:p>
    <w:p w:rsidR="00B202A2" w:rsidRDefault="00295E06">
      <w:pPr>
        <w:jc w:val="both"/>
        <w:rPr>
          <w:rFonts w:ascii="Arial" w:eastAsia="Arial" w:hAnsi="Arial" w:cs="Arial"/>
          <w:sz w:val="22"/>
          <w:szCs w:val="22"/>
        </w:rPr>
      </w:pPr>
      <w:r>
        <w:rPr>
          <w:rFonts w:ascii="Arial" w:eastAsia="Arial" w:hAnsi="Arial" w:cs="Arial"/>
          <w:sz w:val="22"/>
          <w:szCs w:val="22"/>
        </w:rPr>
        <w:t>Beatriz Herrera Jaime</w:t>
      </w:r>
    </w:p>
    <w:p w:rsidR="00B202A2" w:rsidRDefault="00295E06">
      <w:pPr>
        <w:jc w:val="both"/>
        <w:rPr>
          <w:rFonts w:ascii="Arial" w:eastAsia="Arial" w:hAnsi="Arial" w:cs="Arial"/>
          <w:sz w:val="22"/>
          <w:szCs w:val="22"/>
        </w:rPr>
      </w:pPr>
      <w:r>
        <w:rPr>
          <w:rFonts w:ascii="Arial" w:eastAsia="Arial" w:hAnsi="Arial" w:cs="Arial"/>
          <w:b/>
          <w:color w:val="000000"/>
          <w:sz w:val="22"/>
          <w:szCs w:val="22"/>
        </w:rPr>
        <w:t>Asesora de la Dirección General</w:t>
      </w:r>
    </w:p>
    <w:p w:rsidR="00B202A2" w:rsidRDefault="00B202A2">
      <w:pPr>
        <w:rPr>
          <w:rFonts w:ascii="Arial" w:eastAsia="Arial" w:hAnsi="Arial" w:cs="Arial"/>
          <w:sz w:val="22"/>
          <w:szCs w:val="22"/>
        </w:rPr>
      </w:pPr>
    </w:p>
    <w:p w:rsidR="00B202A2" w:rsidRDefault="00295E06">
      <w:pPr>
        <w:jc w:val="both"/>
        <w:rPr>
          <w:rFonts w:ascii="Arial" w:eastAsia="Arial" w:hAnsi="Arial" w:cs="Arial"/>
          <w:sz w:val="22"/>
          <w:szCs w:val="22"/>
        </w:rPr>
      </w:pPr>
      <w:r>
        <w:rPr>
          <w:rFonts w:ascii="Arial" w:eastAsia="Arial" w:hAnsi="Arial" w:cs="Arial"/>
          <w:sz w:val="22"/>
          <w:szCs w:val="22"/>
        </w:rPr>
        <w:t>Margareth Muñoz</w:t>
      </w:r>
    </w:p>
    <w:p w:rsidR="00B202A2" w:rsidRDefault="00295E06">
      <w:pPr>
        <w:jc w:val="both"/>
        <w:rPr>
          <w:rFonts w:ascii="Arial" w:eastAsia="Arial" w:hAnsi="Arial" w:cs="Arial"/>
          <w:sz w:val="22"/>
          <w:szCs w:val="22"/>
        </w:rPr>
      </w:pPr>
      <w:r>
        <w:rPr>
          <w:rFonts w:ascii="Arial" w:eastAsia="Arial" w:hAnsi="Arial" w:cs="Arial"/>
          <w:b/>
          <w:color w:val="000000"/>
          <w:sz w:val="22"/>
          <w:szCs w:val="22"/>
        </w:rPr>
        <w:t>Asesora de la Dirección General</w:t>
      </w:r>
    </w:p>
    <w:p w:rsidR="00B202A2" w:rsidRDefault="00B202A2">
      <w:pPr>
        <w:rPr>
          <w:rFonts w:ascii="Arial" w:eastAsia="Arial" w:hAnsi="Arial" w:cs="Arial"/>
          <w:sz w:val="22"/>
          <w:szCs w:val="22"/>
        </w:rPr>
      </w:pPr>
    </w:p>
    <w:p w:rsidR="00B202A2" w:rsidRDefault="00295E06">
      <w:pPr>
        <w:jc w:val="both"/>
        <w:rPr>
          <w:rFonts w:ascii="Arial" w:eastAsia="Arial" w:hAnsi="Arial" w:cs="Arial"/>
          <w:sz w:val="22"/>
          <w:szCs w:val="22"/>
        </w:rPr>
      </w:pPr>
      <w:r>
        <w:rPr>
          <w:rFonts w:ascii="Arial" w:eastAsia="Arial" w:hAnsi="Arial" w:cs="Arial"/>
          <w:sz w:val="22"/>
          <w:szCs w:val="22"/>
        </w:rPr>
        <w:t>Carolina Sánchez Ruiz</w:t>
      </w:r>
    </w:p>
    <w:p w:rsidR="00B202A2" w:rsidRDefault="00295E06">
      <w:pPr>
        <w:jc w:val="both"/>
        <w:rPr>
          <w:rFonts w:ascii="Arial" w:eastAsia="Arial" w:hAnsi="Arial" w:cs="Arial"/>
          <w:sz w:val="22"/>
          <w:szCs w:val="22"/>
        </w:rPr>
      </w:pPr>
      <w:r>
        <w:rPr>
          <w:rFonts w:ascii="Arial" w:eastAsia="Arial" w:hAnsi="Arial" w:cs="Arial"/>
          <w:b/>
          <w:sz w:val="22"/>
          <w:szCs w:val="22"/>
        </w:rPr>
        <w:t>Asesora de la Dirección General</w:t>
      </w:r>
    </w:p>
    <w:p w:rsidR="00B202A2" w:rsidRDefault="00B202A2">
      <w:pPr>
        <w:jc w:val="both"/>
        <w:rPr>
          <w:rFonts w:ascii="Arial" w:eastAsia="Arial" w:hAnsi="Arial" w:cs="Arial"/>
          <w:sz w:val="22"/>
          <w:szCs w:val="22"/>
        </w:rPr>
      </w:pPr>
    </w:p>
    <w:p w:rsidR="00B202A2" w:rsidRDefault="00295E06">
      <w:pPr>
        <w:jc w:val="both"/>
        <w:rPr>
          <w:rFonts w:ascii="Arial" w:eastAsia="Arial" w:hAnsi="Arial" w:cs="Arial"/>
          <w:sz w:val="22"/>
          <w:szCs w:val="22"/>
        </w:rPr>
      </w:pPr>
      <w:r>
        <w:rPr>
          <w:rFonts w:ascii="Arial" w:eastAsia="Arial" w:hAnsi="Arial" w:cs="Arial"/>
          <w:color w:val="000000"/>
          <w:sz w:val="22"/>
          <w:szCs w:val="22"/>
        </w:rPr>
        <w:t>Bertha Sofía Ortiz Gutiérrez</w:t>
      </w:r>
    </w:p>
    <w:p w:rsidR="00B202A2" w:rsidRDefault="00295E06">
      <w:pPr>
        <w:jc w:val="both"/>
        <w:rPr>
          <w:rFonts w:ascii="Arial" w:eastAsia="Arial" w:hAnsi="Arial" w:cs="Arial"/>
          <w:sz w:val="22"/>
          <w:szCs w:val="22"/>
        </w:rPr>
      </w:pPr>
      <w:r>
        <w:rPr>
          <w:rFonts w:ascii="Arial" w:eastAsia="Arial" w:hAnsi="Arial" w:cs="Arial"/>
          <w:b/>
          <w:color w:val="000000"/>
          <w:sz w:val="22"/>
          <w:szCs w:val="22"/>
        </w:rPr>
        <w:t>Asesora de Control Interno</w:t>
      </w:r>
    </w:p>
    <w:p w:rsidR="00B202A2" w:rsidRDefault="00B202A2">
      <w:pPr>
        <w:jc w:val="both"/>
        <w:rPr>
          <w:rFonts w:ascii="Arial" w:eastAsia="Arial" w:hAnsi="Arial" w:cs="Arial"/>
          <w:sz w:val="22"/>
          <w:szCs w:val="22"/>
        </w:rPr>
      </w:pPr>
    </w:p>
    <w:p w:rsidR="00B202A2" w:rsidRDefault="00B202A2">
      <w:pPr>
        <w:jc w:val="both"/>
        <w:rPr>
          <w:rFonts w:ascii="Arial" w:eastAsia="Arial" w:hAnsi="Arial" w:cs="Arial"/>
          <w:sz w:val="22"/>
          <w:szCs w:val="22"/>
        </w:rPr>
      </w:pPr>
    </w:p>
    <w:p w:rsidR="00B202A2" w:rsidRDefault="00295E06">
      <w:pPr>
        <w:jc w:val="both"/>
        <w:rPr>
          <w:rFonts w:ascii="Arial" w:eastAsia="Arial" w:hAnsi="Arial" w:cs="Arial"/>
          <w:sz w:val="22"/>
          <w:szCs w:val="22"/>
        </w:rPr>
      </w:pPr>
      <w:r>
        <w:rPr>
          <w:rFonts w:ascii="Arial" w:eastAsia="Arial" w:hAnsi="Arial" w:cs="Arial"/>
          <w:color w:val="000000"/>
          <w:sz w:val="22"/>
          <w:szCs w:val="22"/>
        </w:rPr>
        <w:br/>
      </w:r>
    </w:p>
    <w:p w:rsidR="00B202A2" w:rsidRDefault="00295E06">
      <w:pPr>
        <w:spacing w:after="240"/>
        <w:rPr>
          <w:rFonts w:ascii="Arial" w:eastAsia="Arial" w:hAnsi="Arial" w:cs="Arial"/>
          <w:sz w:val="22"/>
          <w:szCs w:val="22"/>
        </w:rPr>
      </w:pPr>
      <w:r>
        <w:rPr>
          <w:rFonts w:ascii="Arial" w:eastAsia="Arial" w:hAnsi="Arial" w:cs="Arial"/>
          <w:sz w:val="22"/>
          <w:szCs w:val="22"/>
        </w:rPr>
        <w:br/>
      </w:r>
    </w:p>
    <w:p w:rsidR="00B202A2" w:rsidRDefault="00B202A2">
      <w:pPr>
        <w:rPr>
          <w:rFonts w:ascii="Arial" w:eastAsia="Arial" w:hAnsi="Arial" w:cs="Arial"/>
          <w:sz w:val="22"/>
          <w:szCs w:val="22"/>
        </w:rPr>
      </w:pPr>
    </w:p>
    <w:p w:rsidR="00B202A2" w:rsidRDefault="00295E06">
      <w:pPr>
        <w:jc w:val="both"/>
        <w:rPr>
          <w:rFonts w:ascii="Arial" w:eastAsia="Arial" w:hAnsi="Arial" w:cs="Arial"/>
          <w:sz w:val="22"/>
          <w:szCs w:val="22"/>
        </w:rPr>
      </w:pPr>
      <w:r>
        <w:rPr>
          <w:rFonts w:ascii="Arial" w:eastAsia="Arial" w:hAnsi="Arial" w:cs="Arial"/>
          <w:b/>
          <w:color w:val="000000"/>
          <w:sz w:val="22"/>
          <w:szCs w:val="22"/>
        </w:rPr>
        <w:t>Diseño InHouse UPME</w:t>
      </w:r>
    </w:p>
    <w:p w:rsidR="00B202A2" w:rsidRDefault="00295E06">
      <w:pPr>
        <w:jc w:val="both"/>
        <w:rPr>
          <w:rFonts w:ascii="Arial" w:eastAsia="Arial" w:hAnsi="Arial" w:cs="Arial"/>
          <w:sz w:val="22"/>
          <w:szCs w:val="22"/>
        </w:rPr>
        <w:sectPr w:rsidR="00B202A2">
          <w:type w:val="continuous"/>
          <w:pgSz w:w="11900" w:h="16840"/>
          <w:pgMar w:top="1417" w:right="1701" w:bottom="1417" w:left="1701" w:header="708" w:footer="708" w:gutter="0"/>
          <w:cols w:num="2" w:space="720" w:equalWidth="0">
            <w:col w:w="3895" w:space="708"/>
            <w:col w:w="3895" w:space="0"/>
          </w:cols>
          <w:titlePg/>
        </w:sectPr>
      </w:pPr>
      <w:r>
        <w:rPr>
          <w:rFonts w:ascii="Arial" w:eastAsia="Arial" w:hAnsi="Arial" w:cs="Arial"/>
          <w:b/>
          <w:color w:val="000000"/>
          <w:sz w:val="22"/>
          <w:szCs w:val="22"/>
        </w:rPr>
        <w:t>Bogotá D.C., Colombia</w:t>
      </w:r>
    </w:p>
    <w:p w:rsidR="00B202A2" w:rsidRDefault="00295E06">
      <w:pPr>
        <w:jc w:val="both"/>
        <w:rPr>
          <w:rFonts w:ascii="Arial" w:eastAsia="Arial" w:hAnsi="Arial" w:cs="Arial"/>
          <w:sz w:val="22"/>
          <w:szCs w:val="22"/>
        </w:rPr>
      </w:pPr>
      <w:r>
        <w:rPr>
          <w:rFonts w:ascii="Arial" w:eastAsia="Arial" w:hAnsi="Arial" w:cs="Arial"/>
          <w:sz w:val="22"/>
          <w:szCs w:val="22"/>
        </w:rPr>
        <w:lastRenderedPageBreak/>
        <w:t>Ligia del Carmen Galvis Amaya</w:t>
      </w:r>
    </w:p>
    <w:p w:rsidR="00B202A2" w:rsidRDefault="00295E06">
      <w:pPr>
        <w:jc w:val="both"/>
        <w:rPr>
          <w:rFonts w:ascii="Arial" w:eastAsia="Arial" w:hAnsi="Arial" w:cs="Arial"/>
          <w:b/>
          <w:color w:val="000000"/>
          <w:sz w:val="22"/>
          <w:szCs w:val="22"/>
        </w:rPr>
      </w:pPr>
      <w:r>
        <w:rPr>
          <w:rFonts w:ascii="Arial" w:eastAsia="Arial" w:hAnsi="Arial" w:cs="Arial"/>
          <w:b/>
          <w:color w:val="000000"/>
          <w:sz w:val="22"/>
          <w:szCs w:val="22"/>
        </w:rPr>
        <w:t>Jefe Oficina de Gestión de Información</w:t>
      </w:r>
    </w:p>
    <w:p w:rsidR="00B202A2" w:rsidRDefault="00295E06">
      <w:pPr>
        <w:jc w:val="both"/>
        <w:rPr>
          <w:rFonts w:ascii="Arial" w:eastAsia="Arial" w:hAnsi="Arial" w:cs="Arial"/>
          <w:color w:val="366091"/>
          <w:sz w:val="22"/>
          <w:szCs w:val="22"/>
        </w:rPr>
      </w:pPr>
      <w:r>
        <w:rPr>
          <w:rFonts w:ascii="Arial" w:eastAsia="Arial" w:hAnsi="Arial" w:cs="Arial"/>
          <w:sz w:val="22"/>
          <w:szCs w:val="22"/>
        </w:rPr>
        <w:br/>
      </w:r>
    </w:p>
    <w:p w:rsidR="00B202A2" w:rsidRDefault="00295E06">
      <w:pPr>
        <w:pBdr>
          <w:top w:val="nil"/>
          <w:left w:val="nil"/>
          <w:bottom w:val="nil"/>
          <w:right w:val="nil"/>
          <w:between w:val="nil"/>
        </w:pBdr>
        <w:spacing w:before="240"/>
        <w:rPr>
          <w:rFonts w:ascii="Arial" w:eastAsia="Arial" w:hAnsi="Arial" w:cs="Arial"/>
          <w:color w:val="366091"/>
          <w:sz w:val="22"/>
          <w:szCs w:val="22"/>
        </w:rPr>
      </w:pPr>
      <w:r>
        <w:br w:type="page"/>
      </w:r>
    </w:p>
    <w:p w:rsidR="00B202A2" w:rsidRDefault="00B202A2">
      <w:pPr>
        <w:spacing w:after="240"/>
        <w:rPr>
          <w:rFonts w:ascii="Arial" w:eastAsia="Arial" w:hAnsi="Arial" w:cs="Arial"/>
          <w:sz w:val="22"/>
          <w:szCs w:val="22"/>
        </w:rPr>
      </w:pPr>
    </w:p>
    <w:p w:rsidR="00B202A2" w:rsidRDefault="00295E06">
      <w:pPr>
        <w:keepNext/>
        <w:keepLines/>
        <w:pBdr>
          <w:top w:val="nil"/>
          <w:left w:val="nil"/>
          <w:bottom w:val="nil"/>
          <w:right w:val="nil"/>
          <w:between w:val="nil"/>
        </w:pBdr>
        <w:spacing w:before="240" w:line="259" w:lineRule="auto"/>
        <w:rPr>
          <w:rFonts w:ascii="Arial" w:eastAsia="Arial" w:hAnsi="Arial" w:cs="Arial"/>
          <w:color w:val="366091"/>
          <w:sz w:val="22"/>
          <w:szCs w:val="22"/>
        </w:rPr>
      </w:pPr>
      <w:r>
        <w:rPr>
          <w:rFonts w:ascii="Arial" w:eastAsia="Arial" w:hAnsi="Arial" w:cs="Arial"/>
          <w:color w:val="366091"/>
          <w:sz w:val="22"/>
          <w:szCs w:val="22"/>
        </w:rPr>
        <w:t>Contenido</w:t>
      </w:r>
    </w:p>
    <w:sdt>
      <w:sdtPr>
        <w:id w:val="1089964834"/>
        <w:docPartObj>
          <w:docPartGallery w:val="Table of Contents"/>
          <w:docPartUnique/>
        </w:docPartObj>
      </w:sdtPr>
      <w:sdtEndPr>
        <w:rPr>
          <w:rFonts w:ascii="Cambria" w:hAnsi="Cambria"/>
          <w:b w:val="0"/>
          <w:caps w:val="0"/>
        </w:rPr>
      </w:sdtEndPr>
      <w:sdtContent>
        <w:p w:rsidR="00880F61" w:rsidRPr="00880F61" w:rsidRDefault="00295E06">
          <w:pPr>
            <w:pStyle w:val="TDC1"/>
            <w:tabs>
              <w:tab w:val="left" w:pos="480"/>
              <w:tab w:val="right" w:pos="8488"/>
            </w:tabs>
            <w:rPr>
              <w:rFonts w:ascii="Arial" w:eastAsiaTheme="minorEastAsia" w:hAnsi="Arial" w:cs="Arial"/>
              <w:b w:val="0"/>
              <w:caps w:val="0"/>
              <w:noProof/>
              <w:sz w:val="22"/>
              <w:szCs w:val="22"/>
              <w:lang w:val="en-US"/>
            </w:rPr>
          </w:pPr>
          <w:r>
            <w:fldChar w:fldCharType="begin"/>
          </w:r>
          <w:r>
            <w:instrText xml:space="preserve"> TOC \h \u \z </w:instrText>
          </w:r>
          <w:r>
            <w:fldChar w:fldCharType="separate"/>
          </w:r>
          <w:hyperlink w:anchor="_Toc55494266" w:history="1">
            <w:r w:rsidR="00880F61" w:rsidRPr="00880F61">
              <w:rPr>
                <w:rStyle w:val="Hipervnculo"/>
                <w:rFonts w:ascii="Arial" w:eastAsia="Arial" w:hAnsi="Arial" w:cs="Arial"/>
                <w:noProof/>
                <w:sz w:val="22"/>
                <w:szCs w:val="22"/>
              </w:rPr>
              <w:t>1.</w:t>
            </w:r>
            <w:r w:rsidR="00880F61" w:rsidRPr="00880F61">
              <w:rPr>
                <w:rFonts w:ascii="Arial" w:eastAsiaTheme="minorEastAsia" w:hAnsi="Arial" w:cs="Arial"/>
                <w:b w:val="0"/>
                <w:caps w:val="0"/>
                <w:noProof/>
                <w:sz w:val="22"/>
                <w:szCs w:val="22"/>
                <w:lang w:val="en-US"/>
              </w:rPr>
              <w:tab/>
            </w:r>
            <w:r w:rsidR="00880F61" w:rsidRPr="00880F61">
              <w:rPr>
                <w:rStyle w:val="Hipervnculo"/>
                <w:rFonts w:ascii="Arial" w:eastAsia="Arial" w:hAnsi="Arial" w:cs="Arial"/>
                <w:noProof/>
                <w:sz w:val="22"/>
                <w:szCs w:val="22"/>
              </w:rPr>
              <w:t>Planeación Estratégica</w:t>
            </w:r>
            <w:r w:rsidR="00880F61" w:rsidRPr="00880F61">
              <w:rPr>
                <w:rFonts w:ascii="Arial" w:hAnsi="Arial" w:cs="Arial"/>
                <w:noProof/>
                <w:webHidden/>
                <w:sz w:val="22"/>
                <w:szCs w:val="22"/>
              </w:rPr>
              <w:tab/>
            </w:r>
            <w:r w:rsidR="00880F61" w:rsidRPr="00880F61">
              <w:rPr>
                <w:rFonts w:ascii="Arial" w:hAnsi="Arial" w:cs="Arial"/>
                <w:noProof/>
                <w:webHidden/>
                <w:sz w:val="22"/>
                <w:szCs w:val="22"/>
              </w:rPr>
              <w:fldChar w:fldCharType="begin"/>
            </w:r>
            <w:r w:rsidR="00880F61" w:rsidRPr="00880F61">
              <w:rPr>
                <w:rFonts w:ascii="Arial" w:hAnsi="Arial" w:cs="Arial"/>
                <w:noProof/>
                <w:webHidden/>
                <w:sz w:val="22"/>
                <w:szCs w:val="22"/>
              </w:rPr>
              <w:instrText xml:space="preserve"> PAGEREF _Toc55494266 \h </w:instrText>
            </w:r>
            <w:r w:rsidR="00880F61" w:rsidRPr="00880F61">
              <w:rPr>
                <w:rFonts w:ascii="Arial" w:hAnsi="Arial" w:cs="Arial"/>
                <w:noProof/>
                <w:webHidden/>
                <w:sz w:val="22"/>
                <w:szCs w:val="22"/>
              </w:rPr>
            </w:r>
            <w:r w:rsidR="00880F61" w:rsidRPr="00880F61">
              <w:rPr>
                <w:rFonts w:ascii="Arial" w:hAnsi="Arial" w:cs="Arial"/>
                <w:noProof/>
                <w:webHidden/>
                <w:sz w:val="22"/>
                <w:szCs w:val="22"/>
              </w:rPr>
              <w:fldChar w:fldCharType="separate"/>
            </w:r>
            <w:r w:rsidR="00880F61" w:rsidRPr="00880F61">
              <w:rPr>
                <w:rFonts w:ascii="Arial" w:hAnsi="Arial" w:cs="Arial"/>
                <w:noProof/>
                <w:webHidden/>
                <w:sz w:val="22"/>
                <w:szCs w:val="22"/>
              </w:rPr>
              <w:t>6</w:t>
            </w:r>
            <w:r w:rsidR="00880F61" w:rsidRPr="00880F61">
              <w:rPr>
                <w:rFonts w:ascii="Arial" w:hAnsi="Arial" w:cs="Arial"/>
                <w:noProof/>
                <w:webHidden/>
                <w:sz w:val="22"/>
                <w:szCs w:val="22"/>
              </w:rPr>
              <w:fldChar w:fldCharType="end"/>
            </w:r>
          </w:hyperlink>
        </w:p>
        <w:p w:rsidR="00880F61" w:rsidRPr="00880F61" w:rsidRDefault="00880F61">
          <w:pPr>
            <w:pStyle w:val="TDC2"/>
            <w:tabs>
              <w:tab w:val="right" w:pos="8488"/>
            </w:tabs>
            <w:rPr>
              <w:rFonts w:ascii="Arial" w:eastAsiaTheme="minorEastAsia" w:hAnsi="Arial" w:cs="Arial"/>
              <w:b w:val="0"/>
              <w:noProof/>
              <w:sz w:val="22"/>
              <w:szCs w:val="22"/>
              <w:lang w:val="en-US"/>
            </w:rPr>
          </w:pPr>
          <w:hyperlink w:anchor="_Toc55494267" w:history="1">
            <w:r w:rsidRPr="00880F61">
              <w:rPr>
                <w:rStyle w:val="Hipervnculo"/>
                <w:rFonts w:ascii="Arial" w:eastAsia="Arial" w:hAnsi="Arial" w:cs="Arial"/>
                <w:noProof/>
                <w:sz w:val="22"/>
                <w:szCs w:val="22"/>
              </w:rPr>
              <w:t>1.1. Contexto estratégico 2020-2022</w:t>
            </w:r>
            <w:r w:rsidRPr="00880F61">
              <w:rPr>
                <w:rFonts w:ascii="Arial" w:hAnsi="Arial" w:cs="Arial"/>
                <w:noProof/>
                <w:webHidden/>
                <w:sz w:val="22"/>
                <w:szCs w:val="22"/>
              </w:rPr>
              <w:tab/>
            </w:r>
            <w:r w:rsidRPr="00880F61">
              <w:rPr>
                <w:rFonts w:ascii="Arial" w:hAnsi="Arial" w:cs="Arial"/>
                <w:noProof/>
                <w:webHidden/>
                <w:sz w:val="22"/>
                <w:szCs w:val="22"/>
              </w:rPr>
              <w:fldChar w:fldCharType="begin"/>
            </w:r>
            <w:r w:rsidRPr="00880F61">
              <w:rPr>
                <w:rFonts w:ascii="Arial" w:hAnsi="Arial" w:cs="Arial"/>
                <w:noProof/>
                <w:webHidden/>
                <w:sz w:val="22"/>
                <w:szCs w:val="22"/>
              </w:rPr>
              <w:instrText xml:space="preserve"> PAGEREF _Toc55494267 \h </w:instrText>
            </w:r>
            <w:r w:rsidRPr="00880F61">
              <w:rPr>
                <w:rFonts w:ascii="Arial" w:hAnsi="Arial" w:cs="Arial"/>
                <w:noProof/>
                <w:webHidden/>
                <w:sz w:val="22"/>
                <w:szCs w:val="22"/>
              </w:rPr>
            </w:r>
            <w:r w:rsidRPr="00880F61">
              <w:rPr>
                <w:rFonts w:ascii="Arial" w:hAnsi="Arial" w:cs="Arial"/>
                <w:noProof/>
                <w:webHidden/>
                <w:sz w:val="22"/>
                <w:szCs w:val="22"/>
              </w:rPr>
              <w:fldChar w:fldCharType="separate"/>
            </w:r>
            <w:r w:rsidRPr="00880F61">
              <w:rPr>
                <w:rFonts w:ascii="Arial" w:hAnsi="Arial" w:cs="Arial"/>
                <w:noProof/>
                <w:webHidden/>
                <w:sz w:val="22"/>
                <w:szCs w:val="22"/>
              </w:rPr>
              <w:t>6</w:t>
            </w:r>
            <w:r w:rsidRPr="00880F61">
              <w:rPr>
                <w:rFonts w:ascii="Arial" w:hAnsi="Arial" w:cs="Arial"/>
                <w:noProof/>
                <w:webHidden/>
                <w:sz w:val="22"/>
                <w:szCs w:val="22"/>
              </w:rPr>
              <w:fldChar w:fldCharType="end"/>
            </w:r>
          </w:hyperlink>
        </w:p>
        <w:p w:rsidR="00880F61" w:rsidRPr="00880F61" w:rsidRDefault="00880F61">
          <w:pPr>
            <w:pStyle w:val="TDC2"/>
            <w:tabs>
              <w:tab w:val="right" w:pos="8488"/>
            </w:tabs>
            <w:rPr>
              <w:rFonts w:ascii="Arial" w:eastAsiaTheme="minorEastAsia" w:hAnsi="Arial" w:cs="Arial"/>
              <w:b w:val="0"/>
              <w:noProof/>
              <w:sz w:val="22"/>
              <w:szCs w:val="22"/>
              <w:lang w:val="en-US"/>
            </w:rPr>
          </w:pPr>
          <w:hyperlink w:anchor="_Toc55494268" w:history="1">
            <w:r w:rsidRPr="00880F61">
              <w:rPr>
                <w:rStyle w:val="Hipervnculo"/>
                <w:rFonts w:ascii="Arial" w:eastAsia="Arial" w:hAnsi="Arial" w:cs="Arial"/>
                <w:noProof/>
                <w:sz w:val="22"/>
                <w:szCs w:val="22"/>
              </w:rPr>
              <w:t>1.2. Objetivos estratégicos</w:t>
            </w:r>
            <w:r w:rsidRPr="00880F61">
              <w:rPr>
                <w:rFonts w:ascii="Arial" w:hAnsi="Arial" w:cs="Arial"/>
                <w:noProof/>
                <w:webHidden/>
                <w:sz w:val="22"/>
                <w:szCs w:val="22"/>
              </w:rPr>
              <w:tab/>
            </w:r>
            <w:r w:rsidRPr="00880F61">
              <w:rPr>
                <w:rFonts w:ascii="Arial" w:hAnsi="Arial" w:cs="Arial"/>
                <w:noProof/>
                <w:webHidden/>
                <w:sz w:val="22"/>
                <w:szCs w:val="22"/>
              </w:rPr>
              <w:fldChar w:fldCharType="begin"/>
            </w:r>
            <w:r w:rsidRPr="00880F61">
              <w:rPr>
                <w:rFonts w:ascii="Arial" w:hAnsi="Arial" w:cs="Arial"/>
                <w:noProof/>
                <w:webHidden/>
                <w:sz w:val="22"/>
                <w:szCs w:val="22"/>
              </w:rPr>
              <w:instrText xml:space="preserve"> PAGEREF _Toc55494268 \h </w:instrText>
            </w:r>
            <w:r w:rsidRPr="00880F61">
              <w:rPr>
                <w:rFonts w:ascii="Arial" w:hAnsi="Arial" w:cs="Arial"/>
                <w:noProof/>
                <w:webHidden/>
                <w:sz w:val="22"/>
                <w:szCs w:val="22"/>
              </w:rPr>
            </w:r>
            <w:r w:rsidRPr="00880F61">
              <w:rPr>
                <w:rFonts w:ascii="Arial" w:hAnsi="Arial" w:cs="Arial"/>
                <w:noProof/>
                <w:webHidden/>
                <w:sz w:val="22"/>
                <w:szCs w:val="22"/>
              </w:rPr>
              <w:fldChar w:fldCharType="separate"/>
            </w:r>
            <w:r w:rsidRPr="00880F61">
              <w:rPr>
                <w:rFonts w:ascii="Arial" w:hAnsi="Arial" w:cs="Arial"/>
                <w:noProof/>
                <w:webHidden/>
                <w:sz w:val="22"/>
                <w:szCs w:val="22"/>
              </w:rPr>
              <w:t>6</w:t>
            </w:r>
            <w:r w:rsidRPr="00880F61">
              <w:rPr>
                <w:rFonts w:ascii="Arial" w:hAnsi="Arial" w:cs="Arial"/>
                <w:noProof/>
                <w:webHidden/>
                <w:sz w:val="22"/>
                <w:szCs w:val="22"/>
              </w:rPr>
              <w:fldChar w:fldCharType="end"/>
            </w:r>
          </w:hyperlink>
        </w:p>
        <w:p w:rsidR="00880F61" w:rsidRPr="00880F61" w:rsidRDefault="00880F61">
          <w:pPr>
            <w:pStyle w:val="TDC1"/>
            <w:tabs>
              <w:tab w:val="left" w:pos="480"/>
              <w:tab w:val="right" w:pos="8488"/>
            </w:tabs>
            <w:rPr>
              <w:rFonts w:ascii="Arial" w:eastAsiaTheme="minorEastAsia" w:hAnsi="Arial" w:cs="Arial"/>
              <w:b w:val="0"/>
              <w:caps w:val="0"/>
              <w:noProof/>
              <w:sz w:val="22"/>
              <w:szCs w:val="22"/>
              <w:lang w:val="en-US"/>
            </w:rPr>
          </w:pPr>
          <w:hyperlink w:anchor="_Toc55494269" w:history="1">
            <w:r w:rsidRPr="00880F61">
              <w:rPr>
                <w:rStyle w:val="Hipervnculo"/>
                <w:rFonts w:ascii="Arial" w:eastAsia="Arial" w:hAnsi="Arial" w:cs="Arial"/>
                <w:noProof/>
                <w:sz w:val="22"/>
                <w:szCs w:val="22"/>
              </w:rPr>
              <w:t>2.</w:t>
            </w:r>
            <w:r w:rsidRPr="00880F61">
              <w:rPr>
                <w:rFonts w:ascii="Arial" w:eastAsiaTheme="minorEastAsia" w:hAnsi="Arial" w:cs="Arial"/>
                <w:b w:val="0"/>
                <w:caps w:val="0"/>
                <w:noProof/>
                <w:sz w:val="22"/>
                <w:szCs w:val="22"/>
                <w:lang w:val="en-US"/>
              </w:rPr>
              <w:tab/>
            </w:r>
            <w:r w:rsidRPr="00880F61">
              <w:rPr>
                <w:rStyle w:val="Hipervnculo"/>
                <w:rFonts w:ascii="Arial" w:eastAsia="Arial" w:hAnsi="Arial" w:cs="Arial"/>
                <w:noProof/>
                <w:sz w:val="22"/>
                <w:szCs w:val="22"/>
              </w:rPr>
              <w:t>Gestión institucional 2020</w:t>
            </w:r>
            <w:r w:rsidRPr="00880F61">
              <w:rPr>
                <w:rFonts w:ascii="Arial" w:hAnsi="Arial" w:cs="Arial"/>
                <w:noProof/>
                <w:webHidden/>
                <w:sz w:val="22"/>
                <w:szCs w:val="22"/>
              </w:rPr>
              <w:tab/>
            </w:r>
            <w:r w:rsidRPr="00880F61">
              <w:rPr>
                <w:rFonts w:ascii="Arial" w:hAnsi="Arial" w:cs="Arial"/>
                <w:noProof/>
                <w:webHidden/>
                <w:sz w:val="22"/>
                <w:szCs w:val="22"/>
              </w:rPr>
              <w:fldChar w:fldCharType="begin"/>
            </w:r>
            <w:r w:rsidRPr="00880F61">
              <w:rPr>
                <w:rFonts w:ascii="Arial" w:hAnsi="Arial" w:cs="Arial"/>
                <w:noProof/>
                <w:webHidden/>
                <w:sz w:val="22"/>
                <w:szCs w:val="22"/>
              </w:rPr>
              <w:instrText xml:space="preserve"> PAGEREF _Toc55494269 \h </w:instrText>
            </w:r>
            <w:r w:rsidRPr="00880F61">
              <w:rPr>
                <w:rFonts w:ascii="Arial" w:hAnsi="Arial" w:cs="Arial"/>
                <w:noProof/>
                <w:webHidden/>
                <w:sz w:val="22"/>
                <w:szCs w:val="22"/>
              </w:rPr>
            </w:r>
            <w:r w:rsidRPr="00880F61">
              <w:rPr>
                <w:rFonts w:ascii="Arial" w:hAnsi="Arial" w:cs="Arial"/>
                <w:noProof/>
                <w:webHidden/>
                <w:sz w:val="22"/>
                <w:szCs w:val="22"/>
              </w:rPr>
              <w:fldChar w:fldCharType="separate"/>
            </w:r>
            <w:r w:rsidRPr="00880F61">
              <w:rPr>
                <w:rFonts w:ascii="Arial" w:hAnsi="Arial" w:cs="Arial"/>
                <w:noProof/>
                <w:webHidden/>
                <w:sz w:val="22"/>
                <w:szCs w:val="22"/>
              </w:rPr>
              <w:t>7</w:t>
            </w:r>
            <w:r w:rsidRPr="00880F61">
              <w:rPr>
                <w:rFonts w:ascii="Arial" w:hAnsi="Arial" w:cs="Arial"/>
                <w:noProof/>
                <w:webHidden/>
                <w:sz w:val="22"/>
                <w:szCs w:val="22"/>
              </w:rPr>
              <w:fldChar w:fldCharType="end"/>
            </w:r>
          </w:hyperlink>
        </w:p>
        <w:p w:rsidR="00880F61" w:rsidRPr="00880F61" w:rsidRDefault="00880F61">
          <w:pPr>
            <w:pStyle w:val="TDC2"/>
            <w:tabs>
              <w:tab w:val="right" w:pos="8488"/>
            </w:tabs>
            <w:rPr>
              <w:rFonts w:ascii="Arial" w:eastAsiaTheme="minorEastAsia" w:hAnsi="Arial" w:cs="Arial"/>
              <w:b w:val="0"/>
              <w:noProof/>
              <w:sz w:val="22"/>
              <w:szCs w:val="22"/>
              <w:lang w:val="en-US"/>
            </w:rPr>
          </w:pPr>
          <w:hyperlink w:anchor="_Toc55494270" w:history="1">
            <w:r w:rsidRPr="00880F61">
              <w:rPr>
                <w:rStyle w:val="Hipervnculo"/>
                <w:rFonts w:ascii="Arial" w:eastAsia="Arial" w:hAnsi="Arial" w:cs="Arial"/>
                <w:noProof/>
                <w:sz w:val="22"/>
                <w:szCs w:val="22"/>
              </w:rPr>
              <w:t>2.1. Demanda y prospectiva energética</w:t>
            </w:r>
            <w:r w:rsidRPr="00880F61">
              <w:rPr>
                <w:rFonts w:ascii="Arial" w:hAnsi="Arial" w:cs="Arial"/>
                <w:noProof/>
                <w:webHidden/>
                <w:sz w:val="22"/>
                <w:szCs w:val="22"/>
              </w:rPr>
              <w:tab/>
            </w:r>
            <w:r w:rsidRPr="00880F61">
              <w:rPr>
                <w:rFonts w:ascii="Arial" w:hAnsi="Arial" w:cs="Arial"/>
                <w:noProof/>
                <w:webHidden/>
                <w:sz w:val="22"/>
                <w:szCs w:val="22"/>
              </w:rPr>
              <w:fldChar w:fldCharType="begin"/>
            </w:r>
            <w:r w:rsidRPr="00880F61">
              <w:rPr>
                <w:rFonts w:ascii="Arial" w:hAnsi="Arial" w:cs="Arial"/>
                <w:noProof/>
                <w:webHidden/>
                <w:sz w:val="22"/>
                <w:szCs w:val="22"/>
              </w:rPr>
              <w:instrText xml:space="preserve"> PAGEREF _Toc55494270 \h </w:instrText>
            </w:r>
            <w:r w:rsidRPr="00880F61">
              <w:rPr>
                <w:rFonts w:ascii="Arial" w:hAnsi="Arial" w:cs="Arial"/>
                <w:noProof/>
                <w:webHidden/>
                <w:sz w:val="22"/>
                <w:szCs w:val="22"/>
              </w:rPr>
            </w:r>
            <w:r w:rsidRPr="00880F61">
              <w:rPr>
                <w:rFonts w:ascii="Arial" w:hAnsi="Arial" w:cs="Arial"/>
                <w:noProof/>
                <w:webHidden/>
                <w:sz w:val="22"/>
                <w:szCs w:val="22"/>
              </w:rPr>
              <w:fldChar w:fldCharType="separate"/>
            </w:r>
            <w:r w:rsidRPr="00880F61">
              <w:rPr>
                <w:rFonts w:ascii="Arial" w:hAnsi="Arial" w:cs="Arial"/>
                <w:noProof/>
                <w:webHidden/>
                <w:sz w:val="22"/>
                <w:szCs w:val="22"/>
              </w:rPr>
              <w:t>7</w:t>
            </w:r>
            <w:r w:rsidRPr="00880F61">
              <w:rPr>
                <w:rFonts w:ascii="Arial" w:hAnsi="Arial" w:cs="Arial"/>
                <w:noProof/>
                <w:webHidden/>
                <w:sz w:val="22"/>
                <w:szCs w:val="22"/>
              </w:rPr>
              <w:fldChar w:fldCharType="end"/>
            </w:r>
          </w:hyperlink>
        </w:p>
        <w:p w:rsidR="00880F61" w:rsidRPr="00880F61" w:rsidRDefault="00880F61">
          <w:pPr>
            <w:pStyle w:val="TDC3"/>
            <w:tabs>
              <w:tab w:val="right" w:pos="8488"/>
            </w:tabs>
            <w:rPr>
              <w:rFonts w:ascii="Arial" w:eastAsiaTheme="minorEastAsia" w:hAnsi="Arial" w:cs="Arial"/>
              <w:noProof/>
              <w:sz w:val="22"/>
              <w:szCs w:val="22"/>
              <w:lang w:val="en-US"/>
            </w:rPr>
          </w:pPr>
          <w:hyperlink w:anchor="_Toc55494271" w:history="1">
            <w:r w:rsidRPr="00880F61">
              <w:rPr>
                <w:rStyle w:val="Hipervnculo"/>
                <w:rFonts w:ascii="Arial" w:eastAsia="Arial" w:hAnsi="Arial" w:cs="Arial"/>
                <w:noProof/>
                <w:sz w:val="22"/>
                <w:szCs w:val="22"/>
              </w:rPr>
              <w:t>2.1.1. Publicación proyecciones de demanda de energéticos ante el Covid 19.</w:t>
            </w:r>
            <w:r w:rsidRPr="00880F61">
              <w:rPr>
                <w:rFonts w:ascii="Arial" w:hAnsi="Arial" w:cs="Arial"/>
                <w:noProof/>
                <w:webHidden/>
                <w:sz w:val="22"/>
                <w:szCs w:val="22"/>
              </w:rPr>
              <w:tab/>
            </w:r>
            <w:r w:rsidRPr="00880F61">
              <w:rPr>
                <w:rFonts w:ascii="Arial" w:hAnsi="Arial" w:cs="Arial"/>
                <w:noProof/>
                <w:webHidden/>
                <w:sz w:val="22"/>
                <w:szCs w:val="22"/>
              </w:rPr>
              <w:fldChar w:fldCharType="begin"/>
            </w:r>
            <w:r w:rsidRPr="00880F61">
              <w:rPr>
                <w:rFonts w:ascii="Arial" w:hAnsi="Arial" w:cs="Arial"/>
                <w:noProof/>
                <w:webHidden/>
                <w:sz w:val="22"/>
                <w:szCs w:val="22"/>
              </w:rPr>
              <w:instrText xml:space="preserve"> PAGEREF _Toc55494271 \h </w:instrText>
            </w:r>
            <w:r w:rsidRPr="00880F61">
              <w:rPr>
                <w:rFonts w:ascii="Arial" w:hAnsi="Arial" w:cs="Arial"/>
                <w:noProof/>
                <w:webHidden/>
                <w:sz w:val="22"/>
                <w:szCs w:val="22"/>
              </w:rPr>
            </w:r>
            <w:r w:rsidRPr="00880F61">
              <w:rPr>
                <w:rFonts w:ascii="Arial" w:hAnsi="Arial" w:cs="Arial"/>
                <w:noProof/>
                <w:webHidden/>
                <w:sz w:val="22"/>
                <w:szCs w:val="22"/>
              </w:rPr>
              <w:fldChar w:fldCharType="separate"/>
            </w:r>
            <w:r w:rsidRPr="00880F61">
              <w:rPr>
                <w:rFonts w:ascii="Arial" w:hAnsi="Arial" w:cs="Arial"/>
                <w:noProof/>
                <w:webHidden/>
                <w:sz w:val="22"/>
                <w:szCs w:val="22"/>
              </w:rPr>
              <w:t>7</w:t>
            </w:r>
            <w:r w:rsidRPr="00880F61">
              <w:rPr>
                <w:rFonts w:ascii="Arial" w:hAnsi="Arial" w:cs="Arial"/>
                <w:noProof/>
                <w:webHidden/>
                <w:sz w:val="22"/>
                <w:szCs w:val="22"/>
              </w:rPr>
              <w:fldChar w:fldCharType="end"/>
            </w:r>
          </w:hyperlink>
        </w:p>
        <w:p w:rsidR="00880F61" w:rsidRPr="00880F61" w:rsidRDefault="00880F61">
          <w:pPr>
            <w:pStyle w:val="TDC3"/>
            <w:tabs>
              <w:tab w:val="right" w:pos="8488"/>
            </w:tabs>
            <w:rPr>
              <w:rFonts w:ascii="Arial" w:eastAsiaTheme="minorEastAsia" w:hAnsi="Arial" w:cs="Arial"/>
              <w:noProof/>
              <w:sz w:val="22"/>
              <w:szCs w:val="22"/>
              <w:lang w:val="en-US"/>
            </w:rPr>
          </w:pPr>
          <w:hyperlink w:anchor="_Toc55494272" w:history="1">
            <w:r w:rsidRPr="00880F61">
              <w:rPr>
                <w:rStyle w:val="Hipervnculo"/>
                <w:rFonts w:ascii="Arial" w:eastAsia="Arial" w:hAnsi="Arial" w:cs="Arial"/>
                <w:noProof/>
                <w:sz w:val="22"/>
                <w:szCs w:val="22"/>
              </w:rPr>
              <w:t>2.1.2. Expedición del nuevo procedimiento para la solicitud del certificado UPME para acceder a los incentivos tributarios en proyectos FNCE y GEE.</w:t>
            </w:r>
            <w:r w:rsidRPr="00880F61">
              <w:rPr>
                <w:rFonts w:ascii="Arial" w:hAnsi="Arial" w:cs="Arial"/>
                <w:noProof/>
                <w:webHidden/>
                <w:sz w:val="22"/>
                <w:szCs w:val="22"/>
              </w:rPr>
              <w:tab/>
            </w:r>
            <w:r w:rsidRPr="00880F61">
              <w:rPr>
                <w:rFonts w:ascii="Arial" w:hAnsi="Arial" w:cs="Arial"/>
                <w:noProof/>
                <w:webHidden/>
                <w:sz w:val="22"/>
                <w:szCs w:val="22"/>
              </w:rPr>
              <w:fldChar w:fldCharType="begin"/>
            </w:r>
            <w:r w:rsidRPr="00880F61">
              <w:rPr>
                <w:rFonts w:ascii="Arial" w:hAnsi="Arial" w:cs="Arial"/>
                <w:noProof/>
                <w:webHidden/>
                <w:sz w:val="22"/>
                <w:szCs w:val="22"/>
              </w:rPr>
              <w:instrText xml:space="preserve"> PAGEREF _Toc55494272 \h </w:instrText>
            </w:r>
            <w:r w:rsidRPr="00880F61">
              <w:rPr>
                <w:rFonts w:ascii="Arial" w:hAnsi="Arial" w:cs="Arial"/>
                <w:noProof/>
                <w:webHidden/>
                <w:sz w:val="22"/>
                <w:szCs w:val="22"/>
              </w:rPr>
            </w:r>
            <w:r w:rsidRPr="00880F61">
              <w:rPr>
                <w:rFonts w:ascii="Arial" w:hAnsi="Arial" w:cs="Arial"/>
                <w:noProof/>
                <w:webHidden/>
                <w:sz w:val="22"/>
                <w:szCs w:val="22"/>
              </w:rPr>
              <w:fldChar w:fldCharType="separate"/>
            </w:r>
            <w:r w:rsidRPr="00880F61">
              <w:rPr>
                <w:rFonts w:ascii="Arial" w:hAnsi="Arial" w:cs="Arial"/>
                <w:noProof/>
                <w:webHidden/>
                <w:sz w:val="22"/>
                <w:szCs w:val="22"/>
              </w:rPr>
              <w:t>8</w:t>
            </w:r>
            <w:r w:rsidRPr="00880F61">
              <w:rPr>
                <w:rFonts w:ascii="Arial" w:hAnsi="Arial" w:cs="Arial"/>
                <w:noProof/>
                <w:webHidden/>
                <w:sz w:val="22"/>
                <w:szCs w:val="22"/>
              </w:rPr>
              <w:fldChar w:fldCharType="end"/>
            </w:r>
          </w:hyperlink>
        </w:p>
        <w:p w:rsidR="00880F61" w:rsidRPr="00880F61" w:rsidRDefault="00880F61">
          <w:pPr>
            <w:pStyle w:val="TDC3"/>
            <w:tabs>
              <w:tab w:val="right" w:pos="8488"/>
            </w:tabs>
            <w:rPr>
              <w:rFonts w:ascii="Arial" w:eastAsiaTheme="minorEastAsia" w:hAnsi="Arial" w:cs="Arial"/>
              <w:noProof/>
              <w:sz w:val="22"/>
              <w:szCs w:val="22"/>
              <w:lang w:val="en-US"/>
            </w:rPr>
          </w:pPr>
          <w:hyperlink w:anchor="_Toc55494273" w:history="1">
            <w:r w:rsidRPr="00880F61">
              <w:rPr>
                <w:rStyle w:val="Hipervnculo"/>
                <w:rFonts w:ascii="Arial" w:eastAsia="Arial" w:hAnsi="Arial" w:cs="Arial"/>
                <w:noProof/>
                <w:sz w:val="22"/>
                <w:szCs w:val="22"/>
              </w:rPr>
              <w:t>2.1.3. Construcción colectiva del PEN 2020-2050: Transformación energética como habilitador del desarrollo sostenible.</w:t>
            </w:r>
            <w:r w:rsidRPr="00880F61">
              <w:rPr>
                <w:rFonts w:ascii="Arial" w:hAnsi="Arial" w:cs="Arial"/>
                <w:noProof/>
                <w:webHidden/>
                <w:sz w:val="22"/>
                <w:szCs w:val="22"/>
              </w:rPr>
              <w:tab/>
            </w:r>
            <w:r w:rsidRPr="00880F61">
              <w:rPr>
                <w:rFonts w:ascii="Arial" w:hAnsi="Arial" w:cs="Arial"/>
                <w:noProof/>
                <w:webHidden/>
                <w:sz w:val="22"/>
                <w:szCs w:val="22"/>
              </w:rPr>
              <w:fldChar w:fldCharType="begin"/>
            </w:r>
            <w:r w:rsidRPr="00880F61">
              <w:rPr>
                <w:rFonts w:ascii="Arial" w:hAnsi="Arial" w:cs="Arial"/>
                <w:noProof/>
                <w:webHidden/>
                <w:sz w:val="22"/>
                <w:szCs w:val="22"/>
              </w:rPr>
              <w:instrText xml:space="preserve"> PAGEREF _Toc55494273 \h </w:instrText>
            </w:r>
            <w:r w:rsidRPr="00880F61">
              <w:rPr>
                <w:rFonts w:ascii="Arial" w:hAnsi="Arial" w:cs="Arial"/>
                <w:noProof/>
                <w:webHidden/>
                <w:sz w:val="22"/>
                <w:szCs w:val="22"/>
              </w:rPr>
            </w:r>
            <w:r w:rsidRPr="00880F61">
              <w:rPr>
                <w:rFonts w:ascii="Arial" w:hAnsi="Arial" w:cs="Arial"/>
                <w:noProof/>
                <w:webHidden/>
                <w:sz w:val="22"/>
                <w:szCs w:val="22"/>
              </w:rPr>
              <w:fldChar w:fldCharType="separate"/>
            </w:r>
            <w:r w:rsidRPr="00880F61">
              <w:rPr>
                <w:rFonts w:ascii="Arial" w:hAnsi="Arial" w:cs="Arial"/>
                <w:noProof/>
                <w:webHidden/>
                <w:sz w:val="22"/>
                <w:szCs w:val="22"/>
              </w:rPr>
              <w:t>8</w:t>
            </w:r>
            <w:r w:rsidRPr="00880F61">
              <w:rPr>
                <w:rFonts w:ascii="Arial" w:hAnsi="Arial" w:cs="Arial"/>
                <w:noProof/>
                <w:webHidden/>
                <w:sz w:val="22"/>
                <w:szCs w:val="22"/>
              </w:rPr>
              <w:fldChar w:fldCharType="end"/>
            </w:r>
          </w:hyperlink>
        </w:p>
        <w:p w:rsidR="00880F61" w:rsidRPr="00880F61" w:rsidRDefault="00880F61">
          <w:pPr>
            <w:pStyle w:val="TDC3"/>
            <w:tabs>
              <w:tab w:val="right" w:pos="8488"/>
            </w:tabs>
            <w:rPr>
              <w:rFonts w:ascii="Arial" w:eastAsiaTheme="minorEastAsia" w:hAnsi="Arial" w:cs="Arial"/>
              <w:noProof/>
              <w:sz w:val="22"/>
              <w:szCs w:val="22"/>
              <w:lang w:val="en-US"/>
            </w:rPr>
          </w:pPr>
          <w:hyperlink w:anchor="_Toc55494274" w:history="1">
            <w:r w:rsidRPr="00880F61">
              <w:rPr>
                <w:rStyle w:val="Hipervnculo"/>
                <w:rFonts w:ascii="Arial" w:eastAsia="Arial" w:hAnsi="Arial" w:cs="Arial"/>
                <w:noProof/>
                <w:sz w:val="22"/>
                <w:szCs w:val="22"/>
              </w:rPr>
              <w:t>2.1.4.  Iniciativas de eficiencia energética y transporte sostenible.</w:t>
            </w:r>
            <w:r w:rsidRPr="00880F61">
              <w:rPr>
                <w:rFonts w:ascii="Arial" w:hAnsi="Arial" w:cs="Arial"/>
                <w:noProof/>
                <w:webHidden/>
                <w:sz w:val="22"/>
                <w:szCs w:val="22"/>
              </w:rPr>
              <w:tab/>
            </w:r>
            <w:r w:rsidRPr="00880F61">
              <w:rPr>
                <w:rFonts w:ascii="Arial" w:hAnsi="Arial" w:cs="Arial"/>
                <w:noProof/>
                <w:webHidden/>
                <w:sz w:val="22"/>
                <w:szCs w:val="22"/>
              </w:rPr>
              <w:fldChar w:fldCharType="begin"/>
            </w:r>
            <w:r w:rsidRPr="00880F61">
              <w:rPr>
                <w:rFonts w:ascii="Arial" w:hAnsi="Arial" w:cs="Arial"/>
                <w:noProof/>
                <w:webHidden/>
                <w:sz w:val="22"/>
                <w:szCs w:val="22"/>
              </w:rPr>
              <w:instrText xml:space="preserve"> PAGEREF _Toc55494274 \h </w:instrText>
            </w:r>
            <w:r w:rsidRPr="00880F61">
              <w:rPr>
                <w:rFonts w:ascii="Arial" w:hAnsi="Arial" w:cs="Arial"/>
                <w:noProof/>
                <w:webHidden/>
                <w:sz w:val="22"/>
                <w:szCs w:val="22"/>
              </w:rPr>
            </w:r>
            <w:r w:rsidRPr="00880F61">
              <w:rPr>
                <w:rFonts w:ascii="Arial" w:hAnsi="Arial" w:cs="Arial"/>
                <w:noProof/>
                <w:webHidden/>
                <w:sz w:val="22"/>
                <w:szCs w:val="22"/>
              </w:rPr>
              <w:fldChar w:fldCharType="separate"/>
            </w:r>
            <w:r w:rsidRPr="00880F61">
              <w:rPr>
                <w:rFonts w:ascii="Arial" w:hAnsi="Arial" w:cs="Arial"/>
                <w:noProof/>
                <w:webHidden/>
                <w:sz w:val="22"/>
                <w:szCs w:val="22"/>
              </w:rPr>
              <w:t>9</w:t>
            </w:r>
            <w:r w:rsidRPr="00880F61">
              <w:rPr>
                <w:rFonts w:ascii="Arial" w:hAnsi="Arial" w:cs="Arial"/>
                <w:noProof/>
                <w:webHidden/>
                <w:sz w:val="22"/>
                <w:szCs w:val="22"/>
              </w:rPr>
              <w:fldChar w:fldCharType="end"/>
            </w:r>
          </w:hyperlink>
        </w:p>
        <w:p w:rsidR="00880F61" w:rsidRPr="00880F61" w:rsidRDefault="00880F61">
          <w:pPr>
            <w:pStyle w:val="TDC2"/>
            <w:tabs>
              <w:tab w:val="right" w:pos="8488"/>
            </w:tabs>
            <w:rPr>
              <w:rFonts w:ascii="Arial" w:eastAsiaTheme="minorEastAsia" w:hAnsi="Arial" w:cs="Arial"/>
              <w:b w:val="0"/>
              <w:noProof/>
              <w:sz w:val="22"/>
              <w:szCs w:val="22"/>
              <w:lang w:val="en-US"/>
            </w:rPr>
          </w:pPr>
          <w:hyperlink w:anchor="_Toc55494275" w:history="1">
            <w:r w:rsidRPr="00880F61">
              <w:rPr>
                <w:rStyle w:val="Hipervnculo"/>
                <w:rFonts w:ascii="Arial" w:eastAsia="Arial" w:hAnsi="Arial" w:cs="Arial"/>
                <w:noProof/>
                <w:sz w:val="22"/>
                <w:szCs w:val="22"/>
              </w:rPr>
              <w:t>2.2. Energía y gestión de proyectos de fondos</w:t>
            </w:r>
            <w:r w:rsidRPr="00880F61">
              <w:rPr>
                <w:rFonts w:ascii="Arial" w:hAnsi="Arial" w:cs="Arial"/>
                <w:noProof/>
                <w:webHidden/>
                <w:sz w:val="22"/>
                <w:szCs w:val="22"/>
              </w:rPr>
              <w:tab/>
            </w:r>
            <w:r w:rsidRPr="00880F61">
              <w:rPr>
                <w:rFonts w:ascii="Arial" w:hAnsi="Arial" w:cs="Arial"/>
                <w:noProof/>
                <w:webHidden/>
                <w:sz w:val="22"/>
                <w:szCs w:val="22"/>
              </w:rPr>
              <w:fldChar w:fldCharType="begin"/>
            </w:r>
            <w:r w:rsidRPr="00880F61">
              <w:rPr>
                <w:rFonts w:ascii="Arial" w:hAnsi="Arial" w:cs="Arial"/>
                <w:noProof/>
                <w:webHidden/>
                <w:sz w:val="22"/>
                <w:szCs w:val="22"/>
              </w:rPr>
              <w:instrText xml:space="preserve"> PAGEREF _Toc55494275 \h </w:instrText>
            </w:r>
            <w:r w:rsidRPr="00880F61">
              <w:rPr>
                <w:rFonts w:ascii="Arial" w:hAnsi="Arial" w:cs="Arial"/>
                <w:noProof/>
                <w:webHidden/>
                <w:sz w:val="22"/>
                <w:szCs w:val="22"/>
              </w:rPr>
            </w:r>
            <w:r w:rsidRPr="00880F61">
              <w:rPr>
                <w:rFonts w:ascii="Arial" w:hAnsi="Arial" w:cs="Arial"/>
                <w:noProof/>
                <w:webHidden/>
                <w:sz w:val="22"/>
                <w:szCs w:val="22"/>
              </w:rPr>
              <w:fldChar w:fldCharType="separate"/>
            </w:r>
            <w:r w:rsidRPr="00880F61">
              <w:rPr>
                <w:rFonts w:ascii="Arial" w:hAnsi="Arial" w:cs="Arial"/>
                <w:noProof/>
                <w:webHidden/>
                <w:sz w:val="22"/>
                <w:szCs w:val="22"/>
              </w:rPr>
              <w:t>10</w:t>
            </w:r>
            <w:r w:rsidRPr="00880F61">
              <w:rPr>
                <w:rFonts w:ascii="Arial" w:hAnsi="Arial" w:cs="Arial"/>
                <w:noProof/>
                <w:webHidden/>
                <w:sz w:val="22"/>
                <w:szCs w:val="22"/>
              </w:rPr>
              <w:fldChar w:fldCharType="end"/>
            </w:r>
          </w:hyperlink>
        </w:p>
        <w:p w:rsidR="00880F61" w:rsidRPr="00880F61" w:rsidRDefault="00880F61">
          <w:pPr>
            <w:pStyle w:val="TDC3"/>
            <w:tabs>
              <w:tab w:val="left" w:pos="1200"/>
              <w:tab w:val="right" w:pos="8488"/>
            </w:tabs>
            <w:rPr>
              <w:rFonts w:ascii="Arial" w:eastAsiaTheme="minorEastAsia" w:hAnsi="Arial" w:cs="Arial"/>
              <w:noProof/>
              <w:sz w:val="22"/>
              <w:szCs w:val="22"/>
              <w:lang w:val="en-US"/>
            </w:rPr>
          </w:pPr>
          <w:hyperlink w:anchor="_Toc55494276" w:history="1">
            <w:r w:rsidRPr="00880F61">
              <w:rPr>
                <w:rStyle w:val="Hipervnculo"/>
                <w:rFonts w:ascii="Arial" w:eastAsia="Arial" w:hAnsi="Arial" w:cs="Arial"/>
                <w:noProof/>
                <w:sz w:val="22"/>
                <w:szCs w:val="22"/>
              </w:rPr>
              <w:t xml:space="preserve">2.2.1. </w:t>
            </w:r>
            <w:r w:rsidRPr="00880F61">
              <w:rPr>
                <w:rFonts w:ascii="Arial" w:eastAsiaTheme="minorEastAsia" w:hAnsi="Arial" w:cs="Arial"/>
                <w:noProof/>
                <w:sz w:val="22"/>
                <w:szCs w:val="22"/>
                <w:lang w:val="en-US"/>
              </w:rPr>
              <w:tab/>
            </w:r>
            <w:r w:rsidRPr="00880F61">
              <w:rPr>
                <w:rStyle w:val="Hipervnculo"/>
                <w:rFonts w:ascii="Arial" w:eastAsia="Arial" w:hAnsi="Arial" w:cs="Arial"/>
                <w:noProof/>
                <w:sz w:val="22"/>
                <w:szCs w:val="22"/>
              </w:rPr>
              <w:t>Generación</w:t>
            </w:r>
            <w:r w:rsidRPr="00880F61">
              <w:rPr>
                <w:rFonts w:ascii="Arial" w:hAnsi="Arial" w:cs="Arial"/>
                <w:noProof/>
                <w:webHidden/>
                <w:sz w:val="22"/>
                <w:szCs w:val="22"/>
              </w:rPr>
              <w:tab/>
            </w:r>
            <w:r w:rsidRPr="00880F61">
              <w:rPr>
                <w:rFonts w:ascii="Arial" w:hAnsi="Arial" w:cs="Arial"/>
                <w:noProof/>
                <w:webHidden/>
                <w:sz w:val="22"/>
                <w:szCs w:val="22"/>
              </w:rPr>
              <w:fldChar w:fldCharType="begin"/>
            </w:r>
            <w:r w:rsidRPr="00880F61">
              <w:rPr>
                <w:rFonts w:ascii="Arial" w:hAnsi="Arial" w:cs="Arial"/>
                <w:noProof/>
                <w:webHidden/>
                <w:sz w:val="22"/>
                <w:szCs w:val="22"/>
              </w:rPr>
              <w:instrText xml:space="preserve"> PAGEREF _Toc55494276 \h </w:instrText>
            </w:r>
            <w:r w:rsidRPr="00880F61">
              <w:rPr>
                <w:rFonts w:ascii="Arial" w:hAnsi="Arial" w:cs="Arial"/>
                <w:noProof/>
                <w:webHidden/>
                <w:sz w:val="22"/>
                <w:szCs w:val="22"/>
              </w:rPr>
            </w:r>
            <w:r w:rsidRPr="00880F61">
              <w:rPr>
                <w:rFonts w:ascii="Arial" w:hAnsi="Arial" w:cs="Arial"/>
                <w:noProof/>
                <w:webHidden/>
                <w:sz w:val="22"/>
                <w:szCs w:val="22"/>
              </w:rPr>
              <w:fldChar w:fldCharType="separate"/>
            </w:r>
            <w:r w:rsidRPr="00880F61">
              <w:rPr>
                <w:rFonts w:ascii="Arial" w:hAnsi="Arial" w:cs="Arial"/>
                <w:noProof/>
                <w:webHidden/>
                <w:sz w:val="22"/>
                <w:szCs w:val="22"/>
              </w:rPr>
              <w:t>10</w:t>
            </w:r>
            <w:r w:rsidRPr="00880F61">
              <w:rPr>
                <w:rFonts w:ascii="Arial" w:hAnsi="Arial" w:cs="Arial"/>
                <w:noProof/>
                <w:webHidden/>
                <w:sz w:val="22"/>
                <w:szCs w:val="22"/>
              </w:rPr>
              <w:fldChar w:fldCharType="end"/>
            </w:r>
          </w:hyperlink>
        </w:p>
        <w:p w:rsidR="00880F61" w:rsidRPr="00880F61" w:rsidRDefault="00880F61">
          <w:pPr>
            <w:pStyle w:val="TDC3"/>
            <w:tabs>
              <w:tab w:val="right" w:pos="8488"/>
            </w:tabs>
            <w:rPr>
              <w:rFonts w:ascii="Arial" w:eastAsiaTheme="minorEastAsia" w:hAnsi="Arial" w:cs="Arial"/>
              <w:noProof/>
              <w:sz w:val="22"/>
              <w:szCs w:val="22"/>
              <w:lang w:val="en-US"/>
            </w:rPr>
          </w:pPr>
          <w:hyperlink w:anchor="_Toc55494277" w:history="1">
            <w:r w:rsidRPr="00880F61">
              <w:rPr>
                <w:rStyle w:val="Hipervnculo"/>
                <w:rFonts w:ascii="Arial" w:eastAsia="Arial" w:hAnsi="Arial" w:cs="Arial"/>
                <w:noProof/>
                <w:sz w:val="22"/>
                <w:szCs w:val="22"/>
              </w:rPr>
              <w:t>2.2.2. Transmisión</w:t>
            </w:r>
            <w:r w:rsidRPr="00880F61">
              <w:rPr>
                <w:rFonts w:ascii="Arial" w:hAnsi="Arial" w:cs="Arial"/>
                <w:noProof/>
                <w:webHidden/>
                <w:sz w:val="22"/>
                <w:szCs w:val="22"/>
              </w:rPr>
              <w:tab/>
            </w:r>
            <w:r w:rsidRPr="00880F61">
              <w:rPr>
                <w:rFonts w:ascii="Arial" w:hAnsi="Arial" w:cs="Arial"/>
                <w:noProof/>
                <w:webHidden/>
                <w:sz w:val="22"/>
                <w:szCs w:val="22"/>
              </w:rPr>
              <w:fldChar w:fldCharType="begin"/>
            </w:r>
            <w:r w:rsidRPr="00880F61">
              <w:rPr>
                <w:rFonts w:ascii="Arial" w:hAnsi="Arial" w:cs="Arial"/>
                <w:noProof/>
                <w:webHidden/>
                <w:sz w:val="22"/>
                <w:szCs w:val="22"/>
              </w:rPr>
              <w:instrText xml:space="preserve"> PAGEREF _Toc55494277 \h </w:instrText>
            </w:r>
            <w:r w:rsidRPr="00880F61">
              <w:rPr>
                <w:rFonts w:ascii="Arial" w:hAnsi="Arial" w:cs="Arial"/>
                <w:noProof/>
                <w:webHidden/>
                <w:sz w:val="22"/>
                <w:szCs w:val="22"/>
              </w:rPr>
            </w:r>
            <w:r w:rsidRPr="00880F61">
              <w:rPr>
                <w:rFonts w:ascii="Arial" w:hAnsi="Arial" w:cs="Arial"/>
                <w:noProof/>
                <w:webHidden/>
                <w:sz w:val="22"/>
                <w:szCs w:val="22"/>
              </w:rPr>
              <w:fldChar w:fldCharType="separate"/>
            </w:r>
            <w:r w:rsidRPr="00880F61">
              <w:rPr>
                <w:rFonts w:ascii="Arial" w:hAnsi="Arial" w:cs="Arial"/>
                <w:noProof/>
                <w:webHidden/>
                <w:sz w:val="22"/>
                <w:szCs w:val="22"/>
              </w:rPr>
              <w:t>11</w:t>
            </w:r>
            <w:r w:rsidRPr="00880F61">
              <w:rPr>
                <w:rFonts w:ascii="Arial" w:hAnsi="Arial" w:cs="Arial"/>
                <w:noProof/>
                <w:webHidden/>
                <w:sz w:val="22"/>
                <w:szCs w:val="22"/>
              </w:rPr>
              <w:fldChar w:fldCharType="end"/>
            </w:r>
          </w:hyperlink>
        </w:p>
        <w:p w:rsidR="00880F61" w:rsidRPr="00880F61" w:rsidRDefault="00880F61">
          <w:pPr>
            <w:pStyle w:val="TDC3"/>
            <w:tabs>
              <w:tab w:val="right" w:pos="8488"/>
            </w:tabs>
            <w:rPr>
              <w:rFonts w:ascii="Arial" w:eastAsiaTheme="minorEastAsia" w:hAnsi="Arial" w:cs="Arial"/>
              <w:noProof/>
              <w:sz w:val="22"/>
              <w:szCs w:val="22"/>
              <w:lang w:val="en-US"/>
            </w:rPr>
          </w:pPr>
          <w:hyperlink w:anchor="_Toc55494278" w:history="1">
            <w:r w:rsidRPr="00880F61">
              <w:rPr>
                <w:rStyle w:val="Hipervnculo"/>
                <w:rFonts w:ascii="Arial" w:eastAsia="Arial" w:hAnsi="Arial" w:cs="Arial"/>
                <w:noProof/>
                <w:sz w:val="22"/>
                <w:szCs w:val="22"/>
              </w:rPr>
              <w:t>2.2.3. Convocatorias</w:t>
            </w:r>
            <w:r w:rsidRPr="00880F61">
              <w:rPr>
                <w:rFonts w:ascii="Arial" w:hAnsi="Arial" w:cs="Arial"/>
                <w:noProof/>
                <w:webHidden/>
                <w:sz w:val="22"/>
                <w:szCs w:val="22"/>
              </w:rPr>
              <w:tab/>
            </w:r>
            <w:r w:rsidRPr="00880F61">
              <w:rPr>
                <w:rFonts w:ascii="Arial" w:hAnsi="Arial" w:cs="Arial"/>
                <w:noProof/>
                <w:webHidden/>
                <w:sz w:val="22"/>
                <w:szCs w:val="22"/>
              </w:rPr>
              <w:fldChar w:fldCharType="begin"/>
            </w:r>
            <w:r w:rsidRPr="00880F61">
              <w:rPr>
                <w:rFonts w:ascii="Arial" w:hAnsi="Arial" w:cs="Arial"/>
                <w:noProof/>
                <w:webHidden/>
                <w:sz w:val="22"/>
                <w:szCs w:val="22"/>
              </w:rPr>
              <w:instrText xml:space="preserve"> PAGEREF _Toc55494278 \h </w:instrText>
            </w:r>
            <w:r w:rsidRPr="00880F61">
              <w:rPr>
                <w:rFonts w:ascii="Arial" w:hAnsi="Arial" w:cs="Arial"/>
                <w:noProof/>
                <w:webHidden/>
                <w:sz w:val="22"/>
                <w:szCs w:val="22"/>
              </w:rPr>
            </w:r>
            <w:r w:rsidRPr="00880F61">
              <w:rPr>
                <w:rFonts w:ascii="Arial" w:hAnsi="Arial" w:cs="Arial"/>
                <w:noProof/>
                <w:webHidden/>
                <w:sz w:val="22"/>
                <w:szCs w:val="22"/>
              </w:rPr>
              <w:fldChar w:fldCharType="separate"/>
            </w:r>
            <w:r w:rsidRPr="00880F61">
              <w:rPr>
                <w:rFonts w:ascii="Arial" w:hAnsi="Arial" w:cs="Arial"/>
                <w:noProof/>
                <w:webHidden/>
                <w:sz w:val="22"/>
                <w:szCs w:val="22"/>
              </w:rPr>
              <w:t>14</w:t>
            </w:r>
            <w:r w:rsidRPr="00880F61">
              <w:rPr>
                <w:rFonts w:ascii="Arial" w:hAnsi="Arial" w:cs="Arial"/>
                <w:noProof/>
                <w:webHidden/>
                <w:sz w:val="22"/>
                <w:szCs w:val="22"/>
              </w:rPr>
              <w:fldChar w:fldCharType="end"/>
            </w:r>
          </w:hyperlink>
        </w:p>
        <w:p w:rsidR="00880F61" w:rsidRPr="00880F61" w:rsidRDefault="00880F61">
          <w:pPr>
            <w:pStyle w:val="TDC3"/>
            <w:tabs>
              <w:tab w:val="right" w:pos="8488"/>
            </w:tabs>
            <w:rPr>
              <w:rFonts w:ascii="Arial" w:eastAsiaTheme="minorEastAsia" w:hAnsi="Arial" w:cs="Arial"/>
              <w:noProof/>
              <w:sz w:val="22"/>
              <w:szCs w:val="22"/>
              <w:lang w:val="en-US"/>
            </w:rPr>
          </w:pPr>
          <w:hyperlink w:anchor="_Toc55494279" w:history="1">
            <w:r w:rsidRPr="00880F61">
              <w:rPr>
                <w:rStyle w:val="Hipervnculo"/>
                <w:rFonts w:ascii="Arial" w:eastAsia="Arial" w:hAnsi="Arial" w:cs="Arial"/>
                <w:noProof/>
                <w:sz w:val="22"/>
                <w:szCs w:val="22"/>
              </w:rPr>
              <w:t>2.2.4. Plan Indicativo de Expansión de Cobertura – PIEC</w:t>
            </w:r>
            <w:r w:rsidRPr="00880F61">
              <w:rPr>
                <w:rFonts w:ascii="Arial" w:hAnsi="Arial" w:cs="Arial"/>
                <w:noProof/>
                <w:webHidden/>
                <w:sz w:val="22"/>
                <w:szCs w:val="22"/>
              </w:rPr>
              <w:tab/>
            </w:r>
            <w:r w:rsidRPr="00880F61">
              <w:rPr>
                <w:rFonts w:ascii="Arial" w:hAnsi="Arial" w:cs="Arial"/>
                <w:noProof/>
                <w:webHidden/>
                <w:sz w:val="22"/>
                <w:szCs w:val="22"/>
              </w:rPr>
              <w:fldChar w:fldCharType="begin"/>
            </w:r>
            <w:r w:rsidRPr="00880F61">
              <w:rPr>
                <w:rFonts w:ascii="Arial" w:hAnsi="Arial" w:cs="Arial"/>
                <w:noProof/>
                <w:webHidden/>
                <w:sz w:val="22"/>
                <w:szCs w:val="22"/>
              </w:rPr>
              <w:instrText xml:space="preserve"> PAGEREF _Toc55494279 \h </w:instrText>
            </w:r>
            <w:r w:rsidRPr="00880F61">
              <w:rPr>
                <w:rFonts w:ascii="Arial" w:hAnsi="Arial" w:cs="Arial"/>
                <w:noProof/>
                <w:webHidden/>
                <w:sz w:val="22"/>
                <w:szCs w:val="22"/>
              </w:rPr>
            </w:r>
            <w:r w:rsidRPr="00880F61">
              <w:rPr>
                <w:rFonts w:ascii="Arial" w:hAnsi="Arial" w:cs="Arial"/>
                <w:noProof/>
                <w:webHidden/>
                <w:sz w:val="22"/>
                <w:szCs w:val="22"/>
              </w:rPr>
              <w:fldChar w:fldCharType="separate"/>
            </w:r>
            <w:r w:rsidRPr="00880F61">
              <w:rPr>
                <w:rFonts w:ascii="Arial" w:hAnsi="Arial" w:cs="Arial"/>
                <w:noProof/>
                <w:webHidden/>
                <w:sz w:val="22"/>
                <w:szCs w:val="22"/>
              </w:rPr>
              <w:t>17</w:t>
            </w:r>
            <w:r w:rsidRPr="00880F61">
              <w:rPr>
                <w:rFonts w:ascii="Arial" w:hAnsi="Arial" w:cs="Arial"/>
                <w:noProof/>
                <w:webHidden/>
                <w:sz w:val="22"/>
                <w:szCs w:val="22"/>
              </w:rPr>
              <w:fldChar w:fldCharType="end"/>
            </w:r>
          </w:hyperlink>
        </w:p>
        <w:p w:rsidR="00880F61" w:rsidRPr="00880F61" w:rsidRDefault="00880F61">
          <w:pPr>
            <w:pStyle w:val="TDC2"/>
            <w:tabs>
              <w:tab w:val="right" w:pos="8488"/>
            </w:tabs>
            <w:rPr>
              <w:rFonts w:ascii="Arial" w:eastAsiaTheme="minorEastAsia" w:hAnsi="Arial" w:cs="Arial"/>
              <w:b w:val="0"/>
              <w:noProof/>
              <w:sz w:val="22"/>
              <w:szCs w:val="22"/>
              <w:lang w:val="en-US"/>
            </w:rPr>
          </w:pPr>
          <w:hyperlink w:anchor="_Toc55494280" w:history="1">
            <w:r w:rsidRPr="00880F61">
              <w:rPr>
                <w:rStyle w:val="Hipervnculo"/>
                <w:rFonts w:ascii="Arial" w:eastAsia="Arial" w:hAnsi="Arial" w:cs="Arial"/>
                <w:noProof/>
                <w:sz w:val="22"/>
                <w:szCs w:val="22"/>
              </w:rPr>
              <w:t>2.3. Hidrocarburos</w:t>
            </w:r>
            <w:r w:rsidRPr="00880F61">
              <w:rPr>
                <w:rFonts w:ascii="Arial" w:hAnsi="Arial" w:cs="Arial"/>
                <w:noProof/>
                <w:webHidden/>
                <w:sz w:val="22"/>
                <w:szCs w:val="22"/>
              </w:rPr>
              <w:tab/>
            </w:r>
            <w:r w:rsidRPr="00880F61">
              <w:rPr>
                <w:rFonts w:ascii="Arial" w:hAnsi="Arial" w:cs="Arial"/>
                <w:noProof/>
                <w:webHidden/>
                <w:sz w:val="22"/>
                <w:szCs w:val="22"/>
              </w:rPr>
              <w:fldChar w:fldCharType="begin"/>
            </w:r>
            <w:r w:rsidRPr="00880F61">
              <w:rPr>
                <w:rFonts w:ascii="Arial" w:hAnsi="Arial" w:cs="Arial"/>
                <w:noProof/>
                <w:webHidden/>
                <w:sz w:val="22"/>
                <w:szCs w:val="22"/>
              </w:rPr>
              <w:instrText xml:space="preserve"> PAGEREF _Toc55494280 \h </w:instrText>
            </w:r>
            <w:r w:rsidRPr="00880F61">
              <w:rPr>
                <w:rFonts w:ascii="Arial" w:hAnsi="Arial" w:cs="Arial"/>
                <w:noProof/>
                <w:webHidden/>
                <w:sz w:val="22"/>
                <w:szCs w:val="22"/>
              </w:rPr>
            </w:r>
            <w:r w:rsidRPr="00880F61">
              <w:rPr>
                <w:rFonts w:ascii="Arial" w:hAnsi="Arial" w:cs="Arial"/>
                <w:noProof/>
                <w:webHidden/>
                <w:sz w:val="22"/>
                <w:szCs w:val="22"/>
              </w:rPr>
              <w:fldChar w:fldCharType="separate"/>
            </w:r>
            <w:r w:rsidRPr="00880F61">
              <w:rPr>
                <w:rFonts w:ascii="Arial" w:hAnsi="Arial" w:cs="Arial"/>
                <w:noProof/>
                <w:webHidden/>
                <w:sz w:val="22"/>
                <w:szCs w:val="22"/>
              </w:rPr>
              <w:t>18</w:t>
            </w:r>
            <w:r w:rsidRPr="00880F61">
              <w:rPr>
                <w:rFonts w:ascii="Arial" w:hAnsi="Arial" w:cs="Arial"/>
                <w:noProof/>
                <w:webHidden/>
                <w:sz w:val="22"/>
                <w:szCs w:val="22"/>
              </w:rPr>
              <w:fldChar w:fldCharType="end"/>
            </w:r>
          </w:hyperlink>
        </w:p>
        <w:p w:rsidR="00880F61" w:rsidRPr="00880F61" w:rsidRDefault="00880F61">
          <w:pPr>
            <w:pStyle w:val="TDC3"/>
            <w:tabs>
              <w:tab w:val="right" w:pos="8488"/>
            </w:tabs>
            <w:rPr>
              <w:rFonts w:ascii="Arial" w:eastAsiaTheme="minorEastAsia" w:hAnsi="Arial" w:cs="Arial"/>
              <w:noProof/>
              <w:sz w:val="22"/>
              <w:szCs w:val="22"/>
              <w:lang w:val="en-US"/>
            </w:rPr>
          </w:pPr>
          <w:hyperlink w:anchor="_Toc55494281" w:history="1">
            <w:r w:rsidRPr="00880F61">
              <w:rPr>
                <w:rStyle w:val="Hipervnculo"/>
                <w:rFonts w:ascii="Arial" w:eastAsia="Arial" w:hAnsi="Arial" w:cs="Arial"/>
                <w:noProof/>
                <w:sz w:val="22"/>
                <w:szCs w:val="22"/>
              </w:rPr>
              <w:t>2.3.1. Abastecimiento Gas Natural</w:t>
            </w:r>
            <w:r w:rsidRPr="00880F61">
              <w:rPr>
                <w:rFonts w:ascii="Arial" w:hAnsi="Arial" w:cs="Arial"/>
                <w:noProof/>
                <w:webHidden/>
                <w:sz w:val="22"/>
                <w:szCs w:val="22"/>
              </w:rPr>
              <w:tab/>
            </w:r>
            <w:r w:rsidRPr="00880F61">
              <w:rPr>
                <w:rFonts w:ascii="Arial" w:hAnsi="Arial" w:cs="Arial"/>
                <w:noProof/>
                <w:webHidden/>
                <w:sz w:val="22"/>
                <w:szCs w:val="22"/>
              </w:rPr>
              <w:fldChar w:fldCharType="begin"/>
            </w:r>
            <w:r w:rsidRPr="00880F61">
              <w:rPr>
                <w:rFonts w:ascii="Arial" w:hAnsi="Arial" w:cs="Arial"/>
                <w:noProof/>
                <w:webHidden/>
                <w:sz w:val="22"/>
                <w:szCs w:val="22"/>
              </w:rPr>
              <w:instrText xml:space="preserve"> PAGEREF _Toc55494281 \h </w:instrText>
            </w:r>
            <w:r w:rsidRPr="00880F61">
              <w:rPr>
                <w:rFonts w:ascii="Arial" w:hAnsi="Arial" w:cs="Arial"/>
                <w:noProof/>
                <w:webHidden/>
                <w:sz w:val="22"/>
                <w:szCs w:val="22"/>
              </w:rPr>
            </w:r>
            <w:r w:rsidRPr="00880F61">
              <w:rPr>
                <w:rFonts w:ascii="Arial" w:hAnsi="Arial" w:cs="Arial"/>
                <w:noProof/>
                <w:webHidden/>
                <w:sz w:val="22"/>
                <w:szCs w:val="22"/>
              </w:rPr>
              <w:fldChar w:fldCharType="separate"/>
            </w:r>
            <w:r w:rsidRPr="00880F61">
              <w:rPr>
                <w:rFonts w:ascii="Arial" w:hAnsi="Arial" w:cs="Arial"/>
                <w:noProof/>
                <w:webHidden/>
                <w:sz w:val="22"/>
                <w:szCs w:val="22"/>
              </w:rPr>
              <w:t>18</w:t>
            </w:r>
            <w:r w:rsidRPr="00880F61">
              <w:rPr>
                <w:rFonts w:ascii="Arial" w:hAnsi="Arial" w:cs="Arial"/>
                <w:noProof/>
                <w:webHidden/>
                <w:sz w:val="22"/>
                <w:szCs w:val="22"/>
              </w:rPr>
              <w:fldChar w:fldCharType="end"/>
            </w:r>
          </w:hyperlink>
        </w:p>
        <w:p w:rsidR="00880F61" w:rsidRPr="00880F61" w:rsidRDefault="00880F61">
          <w:pPr>
            <w:pStyle w:val="TDC3"/>
            <w:tabs>
              <w:tab w:val="right" w:pos="8488"/>
            </w:tabs>
            <w:rPr>
              <w:rFonts w:ascii="Arial" w:eastAsiaTheme="minorEastAsia" w:hAnsi="Arial" w:cs="Arial"/>
              <w:noProof/>
              <w:sz w:val="22"/>
              <w:szCs w:val="22"/>
              <w:lang w:val="en-US"/>
            </w:rPr>
          </w:pPr>
          <w:hyperlink w:anchor="_Toc55494282" w:history="1">
            <w:r w:rsidRPr="00880F61">
              <w:rPr>
                <w:rStyle w:val="Hipervnculo"/>
                <w:rFonts w:ascii="Arial" w:eastAsia="Arial" w:hAnsi="Arial" w:cs="Arial"/>
                <w:noProof/>
                <w:sz w:val="22"/>
                <w:szCs w:val="22"/>
              </w:rPr>
              <w:t>2.3.2 Convocatoria Infraestructura Regasificación del Pacifico</w:t>
            </w:r>
            <w:r w:rsidRPr="00880F61">
              <w:rPr>
                <w:rFonts w:ascii="Arial" w:hAnsi="Arial" w:cs="Arial"/>
                <w:noProof/>
                <w:webHidden/>
                <w:sz w:val="22"/>
                <w:szCs w:val="22"/>
              </w:rPr>
              <w:tab/>
            </w:r>
            <w:r w:rsidRPr="00880F61">
              <w:rPr>
                <w:rFonts w:ascii="Arial" w:hAnsi="Arial" w:cs="Arial"/>
                <w:noProof/>
                <w:webHidden/>
                <w:sz w:val="22"/>
                <w:szCs w:val="22"/>
              </w:rPr>
              <w:fldChar w:fldCharType="begin"/>
            </w:r>
            <w:r w:rsidRPr="00880F61">
              <w:rPr>
                <w:rFonts w:ascii="Arial" w:hAnsi="Arial" w:cs="Arial"/>
                <w:noProof/>
                <w:webHidden/>
                <w:sz w:val="22"/>
                <w:szCs w:val="22"/>
              </w:rPr>
              <w:instrText xml:space="preserve"> PAGEREF _Toc55494282 \h </w:instrText>
            </w:r>
            <w:r w:rsidRPr="00880F61">
              <w:rPr>
                <w:rFonts w:ascii="Arial" w:hAnsi="Arial" w:cs="Arial"/>
                <w:noProof/>
                <w:webHidden/>
                <w:sz w:val="22"/>
                <w:szCs w:val="22"/>
              </w:rPr>
            </w:r>
            <w:r w:rsidRPr="00880F61">
              <w:rPr>
                <w:rFonts w:ascii="Arial" w:hAnsi="Arial" w:cs="Arial"/>
                <w:noProof/>
                <w:webHidden/>
                <w:sz w:val="22"/>
                <w:szCs w:val="22"/>
              </w:rPr>
              <w:fldChar w:fldCharType="separate"/>
            </w:r>
            <w:r w:rsidRPr="00880F61">
              <w:rPr>
                <w:rFonts w:ascii="Arial" w:hAnsi="Arial" w:cs="Arial"/>
                <w:noProof/>
                <w:webHidden/>
                <w:sz w:val="22"/>
                <w:szCs w:val="22"/>
              </w:rPr>
              <w:t>20</w:t>
            </w:r>
            <w:r w:rsidRPr="00880F61">
              <w:rPr>
                <w:rFonts w:ascii="Arial" w:hAnsi="Arial" w:cs="Arial"/>
                <w:noProof/>
                <w:webHidden/>
                <w:sz w:val="22"/>
                <w:szCs w:val="22"/>
              </w:rPr>
              <w:fldChar w:fldCharType="end"/>
            </w:r>
          </w:hyperlink>
        </w:p>
        <w:p w:rsidR="00880F61" w:rsidRPr="00880F61" w:rsidRDefault="00880F61">
          <w:pPr>
            <w:pStyle w:val="TDC3"/>
            <w:tabs>
              <w:tab w:val="right" w:pos="8488"/>
            </w:tabs>
            <w:rPr>
              <w:rFonts w:ascii="Arial" w:eastAsiaTheme="minorEastAsia" w:hAnsi="Arial" w:cs="Arial"/>
              <w:noProof/>
              <w:sz w:val="22"/>
              <w:szCs w:val="22"/>
              <w:lang w:val="en-US"/>
            </w:rPr>
          </w:pPr>
          <w:hyperlink w:anchor="_Toc55494283" w:history="1">
            <w:r w:rsidRPr="00880F61">
              <w:rPr>
                <w:rStyle w:val="Hipervnculo"/>
                <w:rFonts w:ascii="Arial" w:eastAsia="Arial" w:hAnsi="Arial" w:cs="Arial"/>
                <w:noProof/>
                <w:sz w:val="22"/>
                <w:szCs w:val="22"/>
              </w:rPr>
              <w:t>2.3.3 Abastecimiento de Combustibles Líquidos</w:t>
            </w:r>
            <w:r w:rsidRPr="00880F61">
              <w:rPr>
                <w:rFonts w:ascii="Arial" w:hAnsi="Arial" w:cs="Arial"/>
                <w:noProof/>
                <w:webHidden/>
                <w:sz w:val="22"/>
                <w:szCs w:val="22"/>
              </w:rPr>
              <w:tab/>
            </w:r>
            <w:r w:rsidRPr="00880F61">
              <w:rPr>
                <w:rFonts w:ascii="Arial" w:hAnsi="Arial" w:cs="Arial"/>
                <w:noProof/>
                <w:webHidden/>
                <w:sz w:val="22"/>
                <w:szCs w:val="22"/>
              </w:rPr>
              <w:fldChar w:fldCharType="begin"/>
            </w:r>
            <w:r w:rsidRPr="00880F61">
              <w:rPr>
                <w:rFonts w:ascii="Arial" w:hAnsi="Arial" w:cs="Arial"/>
                <w:noProof/>
                <w:webHidden/>
                <w:sz w:val="22"/>
                <w:szCs w:val="22"/>
              </w:rPr>
              <w:instrText xml:space="preserve"> PAGEREF _Toc55494283 \h </w:instrText>
            </w:r>
            <w:r w:rsidRPr="00880F61">
              <w:rPr>
                <w:rFonts w:ascii="Arial" w:hAnsi="Arial" w:cs="Arial"/>
                <w:noProof/>
                <w:webHidden/>
                <w:sz w:val="22"/>
                <w:szCs w:val="22"/>
              </w:rPr>
            </w:r>
            <w:r w:rsidRPr="00880F61">
              <w:rPr>
                <w:rFonts w:ascii="Arial" w:hAnsi="Arial" w:cs="Arial"/>
                <w:noProof/>
                <w:webHidden/>
                <w:sz w:val="22"/>
                <w:szCs w:val="22"/>
              </w:rPr>
              <w:fldChar w:fldCharType="separate"/>
            </w:r>
            <w:r w:rsidRPr="00880F61">
              <w:rPr>
                <w:rFonts w:ascii="Arial" w:hAnsi="Arial" w:cs="Arial"/>
                <w:noProof/>
                <w:webHidden/>
                <w:sz w:val="22"/>
                <w:szCs w:val="22"/>
              </w:rPr>
              <w:t>20</w:t>
            </w:r>
            <w:r w:rsidRPr="00880F61">
              <w:rPr>
                <w:rFonts w:ascii="Arial" w:hAnsi="Arial" w:cs="Arial"/>
                <w:noProof/>
                <w:webHidden/>
                <w:sz w:val="22"/>
                <w:szCs w:val="22"/>
              </w:rPr>
              <w:fldChar w:fldCharType="end"/>
            </w:r>
          </w:hyperlink>
        </w:p>
        <w:p w:rsidR="00880F61" w:rsidRPr="00880F61" w:rsidRDefault="00880F61">
          <w:pPr>
            <w:pStyle w:val="TDC3"/>
            <w:tabs>
              <w:tab w:val="right" w:pos="8488"/>
            </w:tabs>
            <w:rPr>
              <w:rFonts w:ascii="Arial" w:eastAsiaTheme="minorEastAsia" w:hAnsi="Arial" w:cs="Arial"/>
              <w:noProof/>
              <w:sz w:val="22"/>
              <w:szCs w:val="22"/>
              <w:lang w:val="en-US"/>
            </w:rPr>
          </w:pPr>
          <w:hyperlink w:anchor="_Toc55494284" w:history="1">
            <w:r w:rsidRPr="00880F61">
              <w:rPr>
                <w:rStyle w:val="Hipervnculo"/>
                <w:rFonts w:ascii="Arial" w:eastAsia="Arial" w:hAnsi="Arial" w:cs="Arial"/>
                <w:noProof/>
                <w:sz w:val="22"/>
                <w:szCs w:val="22"/>
              </w:rPr>
              <w:t>2.3.4 Principales estudios desarrollados</w:t>
            </w:r>
            <w:r w:rsidRPr="00880F61">
              <w:rPr>
                <w:rFonts w:ascii="Arial" w:hAnsi="Arial" w:cs="Arial"/>
                <w:noProof/>
                <w:webHidden/>
                <w:sz w:val="22"/>
                <w:szCs w:val="22"/>
              </w:rPr>
              <w:tab/>
            </w:r>
            <w:r w:rsidRPr="00880F61">
              <w:rPr>
                <w:rFonts w:ascii="Arial" w:hAnsi="Arial" w:cs="Arial"/>
                <w:noProof/>
                <w:webHidden/>
                <w:sz w:val="22"/>
                <w:szCs w:val="22"/>
              </w:rPr>
              <w:fldChar w:fldCharType="begin"/>
            </w:r>
            <w:r w:rsidRPr="00880F61">
              <w:rPr>
                <w:rFonts w:ascii="Arial" w:hAnsi="Arial" w:cs="Arial"/>
                <w:noProof/>
                <w:webHidden/>
                <w:sz w:val="22"/>
                <w:szCs w:val="22"/>
              </w:rPr>
              <w:instrText xml:space="preserve"> PAGEREF _Toc55494284 \h </w:instrText>
            </w:r>
            <w:r w:rsidRPr="00880F61">
              <w:rPr>
                <w:rFonts w:ascii="Arial" w:hAnsi="Arial" w:cs="Arial"/>
                <w:noProof/>
                <w:webHidden/>
                <w:sz w:val="22"/>
                <w:szCs w:val="22"/>
              </w:rPr>
            </w:r>
            <w:r w:rsidRPr="00880F61">
              <w:rPr>
                <w:rFonts w:ascii="Arial" w:hAnsi="Arial" w:cs="Arial"/>
                <w:noProof/>
                <w:webHidden/>
                <w:sz w:val="22"/>
                <w:szCs w:val="22"/>
              </w:rPr>
              <w:fldChar w:fldCharType="separate"/>
            </w:r>
            <w:r w:rsidRPr="00880F61">
              <w:rPr>
                <w:rFonts w:ascii="Arial" w:hAnsi="Arial" w:cs="Arial"/>
                <w:noProof/>
                <w:webHidden/>
                <w:sz w:val="22"/>
                <w:szCs w:val="22"/>
              </w:rPr>
              <w:t>21</w:t>
            </w:r>
            <w:r w:rsidRPr="00880F61">
              <w:rPr>
                <w:rFonts w:ascii="Arial" w:hAnsi="Arial" w:cs="Arial"/>
                <w:noProof/>
                <w:webHidden/>
                <w:sz w:val="22"/>
                <w:szCs w:val="22"/>
              </w:rPr>
              <w:fldChar w:fldCharType="end"/>
            </w:r>
          </w:hyperlink>
        </w:p>
        <w:p w:rsidR="00880F61" w:rsidRPr="00880F61" w:rsidRDefault="00880F61">
          <w:pPr>
            <w:pStyle w:val="TDC3"/>
            <w:tabs>
              <w:tab w:val="right" w:pos="8488"/>
            </w:tabs>
            <w:rPr>
              <w:rFonts w:ascii="Arial" w:eastAsiaTheme="minorEastAsia" w:hAnsi="Arial" w:cs="Arial"/>
              <w:noProof/>
              <w:sz w:val="22"/>
              <w:szCs w:val="22"/>
              <w:lang w:val="en-US"/>
            </w:rPr>
          </w:pPr>
          <w:hyperlink w:anchor="_Toc55494285" w:history="1">
            <w:r w:rsidRPr="00880F61">
              <w:rPr>
                <w:rStyle w:val="Hipervnculo"/>
                <w:rFonts w:ascii="Arial" w:eastAsia="Arial" w:hAnsi="Arial" w:cs="Arial"/>
                <w:noProof/>
                <w:sz w:val="22"/>
                <w:szCs w:val="22"/>
              </w:rPr>
              <w:t>2.3.5 Trámite de cupos de combustibles</w:t>
            </w:r>
            <w:r w:rsidRPr="00880F61">
              <w:rPr>
                <w:rFonts w:ascii="Arial" w:hAnsi="Arial" w:cs="Arial"/>
                <w:noProof/>
                <w:webHidden/>
                <w:sz w:val="22"/>
                <w:szCs w:val="22"/>
              </w:rPr>
              <w:tab/>
            </w:r>
            <w:r w:rsidRPr="00880F61">
              <w:rPr>
                <w:rFonts w:ascii="Arial" w:hAnsi="Arial" w:cs="Arial"/>
                <w:noProof/>
                <w:webHidden/>
                <w:sz w:val="22"/>
                <w:szCs w:val="22"/>
              </w:rPr>
              <w:fldChar w:fldCharType="begin"/>
            </w:r>
            <w:r w:rsidRPr="00880F61">
              <w:rPr>
                <w:rFonts w:ascii="Arial" w:hAnsi="Arial" w:cs="Arial"/>
                <w:noProof/>
                <w:webHidden/>
                <w:sz w:val="22"/>
                <w:szCs w:val="22"/>
              </w:rPr>
              <w:instrText xml:space="preserve"> PAGEREF _Toc55494285 \h </w:instrText>
            </w:r>
            <w:r w:rsidRPr="00880F61">
              <w:rPr>
                <w:rFonts w:ascii="Arial" w:hAnsi="Arial" w:cs="Arial"/>
                <w:noProof/>
                <w:webHidden/>
                <w:sz w:val="22"/>
                <w:szCs w:val="22"/>
              </w:rPr>
            </w:r>
            <w:r w:rsidRPr="00880F61">
              <w:rPr>
                <w:rFonts w:ascii="Arial" w:hAnsi="Arial" w:cs="Arial"/>
                <w:noProof/>
                <w:webHidden/>
                <w:sz w:val="22"/>
                <w:szCs w:val="22"/>
              </w:rPr>
              <w:fldChar w:fldCharType="separate"/>
            </w:r>
            <w:r w:rsidRPr="00880F61">
              <w:rPr>
                <w:rFonts w:ascii="Arial" w:hAnsi="Arial" w:cs="Arial"/>
                <w:noProof/>
                <w:webHidden/>
                <w:sz w:val="22"/>
                <w:szCs w:val="22"/>
              </w:rPr>
              <w:t>21</w:t>
            </w:r>
            <w:r w:rsidRPr="00880F61">
              <w:rPr>
                <w:rFonts w:ascii="Arial" w:hAnsi="Arial" w:cs="Arial"/>
                <w:noProof/>
                <w:webHidden/>
                <w:sz w:val="22"/>
                <w:szCs w:val="22"/>
              </w:rPr>
              <w:fldChar w:fldCharType="end"/>
            </w:r>
          </w:hyperlink>
        </w:p>
        <w:p w:rsidR="00880F61" w:rsidRPr="00880F61" w:rsidRDefault="00880F61">
          <w:pPr>
            <w:pStyle w:val="TDC3"/>
            <w:tabs>
              <w:tab w:val="right" w:pos="8488"/>
            </w:tabs>
            <w:rPr>
              <w:rFonts w:ascii="Arial" w:eastAsiaTheme="minorEastAsia" w:hAnsi="Arial" w:cs="Arial"/>
              <w:noProof/>
              <w:sz w:val="22"/>
              <w:szCs w:val="22"/>
              <w:lang w:val="en-US"/>
            </w:rPr>
          </w:pPr>
          <w:hyperlink w:anchor="_Toc55494286" w:history="1">
            <w:r w:rsidRPr="00880F61">
              <w:rPr>
                <w:rStyle w:val="Hipervnculo"/>
                <w:rFonts w:ascii="Arial" w:eastAsia="Arial" w:hAnsi="Arial" w:cs="Arial"/>
                <w:noProof/>
                <w:sz w:val="22"/>
                <w:szCs w:val="22"/>
              </w:rPr>
              <w:t>2.3.6 Grandes Consumidores Individuales no Intermediarios de ACPM</w:t>
            </w:r>
            <w:r w:rsidRPr="00880F61">
              <w:rPr>
                <w:rFonts w:ascii="Arial" w:hAnsi="Arial" w:cs="Arial"/>
                <w:noProof/>
                <w:webHidden/>
                <w:sz w:val="22"/>
                <w:szCs w:val="22"/>
              </w:rPr>
              <w:tab/>
            </w:r>
            <w:r w:rsidRPr="00880F61">
              <w:rPr>
                <w:rFonts w:ascii="Arial" w:hAnsi="Arial" w:cs="Arial"/>
                <w:noProof/>
                <w:webHidden/>
                <w:sz w:val="22"/>
                <w:szCs w:val="22"/>
              </w:rPr>
              <w:fldChar w:fldCharType="begin"/>
            </w:r>
            <w:r w:rsidRPr="00880F61">
              <w:rPr>
                <w:rFonts w:ascii="Arial" w:hAnsi="Arial" w:cs="Arial"/>
                <w:noProof/>
                <w:webHidden/>
                <w:sz w:val="22"/>
                <w:szCs w:val="22"/>
              </w:rPr>
              <w:instrText xml:space="preserve"> PAGEREF _Toc55494286 \h </w:instrText>
            </w:r>
            <w:r w:rsidRPr="00880F61">
              <w:rPr>
                <w:rFonts w:ascii="Arial" w:hAnsi="Arial" w:cs="Arial"/>
                <w:noProof/>
                <w:webHidden/>
                <w:sz w:val="22"/>
                <w:szCs w:val="22"/>
              </w:rPr>
            </w:r>
            <w:r w:rsidRPr="00880F61">
              <w:rPr>
                <w:rFonts w:ascii="Arial" w:hAnsi="Arial" w:cs="Arial"/>
                <w:noProof/>
                <w:webHidden/>
                <w:sz w:val="22"/>
                <w:szCs w:val="22"/>
              </w:rPr>
              <w:fldChar w:fldCharType="separate"/>
            </w:r>
            <w:r w:rsidRPr="00880F61">
              <w:rPr>
                <w:rFonts w:ascii="Arial" w:hAnsi="Arial" w:cs="Arial"/>
                <w:noProof/>
                <w:webHidden/>
                <w:sz w:val="22"/>
                <w:szCs w:val="22"/>
              </w:rPr>
              <w:t>22</w:t>
            </w:r>
            <w:r w:rsidRPr="00880F61">
              <w:rPr>
                <w:rFonts w:ascii="Arial" w:hAnsi="Arial" w:cs="Arial"/>
                <w:noProof/>
                <w:webHidden/>
                <w:sz w:val="22"/>
                <w:szCs w:val="22"/>
              </w:rPr>
              <w:fldChar w:fldCharType="end"/>
            </w:r>
          </w:hyperlink>
        </w:p>
        <w:p w:rsidR="00880F61" w:rsidRPr="00880F61" w:rsidRDefault="00880F61">
          <w:pPr>
            <w:pStyle w:val="TDC2"/>
            <w:tabs>
              <w:tab w:val="right" w:pos="8488"/>
            </w:tabs>
            <w:rPr>
              <w:rFonts w:ascii="Arial" w:eastAsiaTheme="minorEastAsia" w:hAnsi="Arial" w:cs="Arial"/>
              <w:b w:val="0"/>
              <w:noProof/>
              <w:sz w:val="22"/>
              <w:szCs w:val="22"/>
              <w:lang w:val="en-US"/>
            </w:rPr>
          </w:pPr>
          <w:hyperlink w:anchor="_Toc55494287" w:history="1">
            <w:r w:rsidRPr="00880F61">
              <w:rPr>
                <w:rStyle w:val="Hipervnculo"/>
                <w:rFonts w:ascii="Arial" w:eastAsia="Arial" w:hAnsi="Arial" w:cs="Arial"/>
                <w:noProof/>
                <w:sz w:val="22"/>
                <w:szCs w:val="22"/>
              </w:rPr>
              <w:t>2.4. Minería</w:t>
            </w:r>
            <w:r w:rsidRPr="00880F61">
              <w:rPr>
                <w:rFonts w:ascii="Arial" w:hAnsi="Arial" w:cs="Arial"/>
                <w:noProof/>
                <w:webHidden/>
                <w:sz w:val="22"/>
                <w:szCs w:val="22"/>
              </w:rPr>
              <w:tab/>
            </w:r>
            <w:r w:rsidRPr="00880F61">
              <w:rPr>
                <w:rFonts w:ascii="Arial" w:hAnsi="Arial" w:cs="Arial"/>
                <w:noProof/>
                <w:webHidden/>
                <w:sz w:val="22"/>
                <w:szCs w:val="22"/>
              </w:rPr>
              <w:fldChar w:fldCharType="begin"/>
            </w:r>
            <w:r w:rsidRPr="00880F61">
              <w:rPr>
                <w:rFonts w:ascii="Arial" w:hAnsi="Arial" w:cs="Arial"/>
                <w:noProof/>
                <w:webHidden/>
                <w:sz w:val="22"/>
                <w:szCs w:val="22"/>
              </w:rPr>
              <w:instrText xml:space="preserve"> PAGEREF _Toc55494287 \h </w:instrText>
            </w:r>
            <w:r w:rsidRPr="00880F61">
              <w:rPr>
                <w:rFonts w:ascii="Arial" w:hAnsi="Arial" w:cs="Arial"/>
                <w:noProof/>
                <w:webHidden/>
                <w:sz w:val="22"/>
                <w:szCs w:val="22"/>
              </w:rPr>
            </w:r>
            <w:r w:rsidRPr="00880F61">
              <w:rPr>
                <w:rFonts w:ascii="Arial" w:hAnsi="Arial" w:cs="Arial"/>
                <w:noProof/>
                <w:webHidden/>
                <w:sz w:val="22"/>
                <w:szCs w:val="22"/>
              </w:rPr>
              <w:fldChar w:fldCharType="separate"/>
            </w:r>
            <w:r w:rsidRPr="00880F61">
              <w:rPr>
                <w:rFonts w:ascii="Arial" w:hAnsi="Arial" w:cs="Arial"/>
                <w:noProof/>
                <w:webHidden/>
                <w:sz w:val="22"/>
                <w:szCs w:val="22"/>
              </w:rPr>
              <w:t>23</w:t>
            </w:r>
            <w:r w:rsidRPr="00880F61">
              <w:rPr>
                <w:rFonts w:ascii="Arial" w:hAnsi="Arial" w:cs="Arial"/>
                <w:noProof/>
                <w:webHidden/>
                <w:sz w:val="22"/>
                <w:szCs w:val="22"/>
              </w:rPr>
              <w:fldChar w:fldCharType="end"/>
            </w:r>
          </w:hyperlink>
        </w:p>
        <w:p w:rsidR="00880F61" w:rsidRPr="00880F61" w:rsidRDefault="00880F61">
          <w:pPr>
            <w:pStyle w:val="TDC2"/>
            <w:tabs>
              <w:tab w:val="right" w:pos="8488"/>
            </w:tabs>
            <w:rPr>
              <w:rFonts w:ascii="Arial" w:eastAsiaTheme="minorEastAsia" w:hAnsi="Arial" w:cs="Arial"/>
              <w:b w:val="0"/>
              <w:noProof/>
              <w:sz w:val="22"/>
              <w:szCs w:val="22"/>
              <w:lang w:val="en-US"/>
            </w:rPr>
          </w:pPr>
          <w:hyperlink w:anchor="_Toc55494288" w:history="1">
            <w:r w:rsidRPr="00880F61">
              <w:rPr>
                <w:rStyle w:val="Hipervnculo"/>
                <w:rFonts w:ascii="Arial" w:eastAsia="Arial" w:hAnsi="Arial" w:cs="Arial"/>
                <w:noProof/>
                <w:sz w:val="22"/>
                <w:szCs w:val="22"/>
              </w:rPr>
              <w:t>2.5. Gestión de la Información</w:t>
            </w:r>
            <w:r w:rsidRPr="00880F61">
              <w:rPr>
                <w:rFonts w:ascii="Arial" w:hAnsi="Arial" w:cs="Arial"/>
                <w:noProof/>
                <w:webHidden/>
                <w:sz w:val="22"/>
                <w:szCs w:val="22"/>
              </w:rPr>
              <w:tab/>
            </w:r>
            <w:r w:rsidRPr="00880F61">
              <w:rPr>
                <w:rFonts w:ascii="Arial" w:hAnsi="Arial" w:cs="Arial"/>
                <w:noProof/>
                <w:webHidden/>
                <w:sz w:val="22"/>
                <w:szCs w:val="22"/>
              </w:rPr>
              <w:fldChar w:fldCharType="begin"/>
            </w:r>
            <w:r w:rsidRPr="00880F61">
              <w:rPr>
                <w:rFonts w:ascii="Arial" w:hAnsi="Arial" w:cs="Arial"/>
                <w:noProof/>
                <w:webHidden/>
                <w:sz w:val="22"/>
                <w:szCs w:val="22"/>
              </w:rPr>
              <w:instrText xml:space="preserve"> PAGEREF _Toc55494288 \h </w:instrText>
            </w:r>
            <w:r w:rsidRPr="00880F61">
              <w:rPr>
                <w:rFonts w:ascii="Arial" w:hAnsi="Arial" w:cs="Arial"/>
                <w:noProof/>
                <w:webHidden/>
                <w:sz w:val="22"/>
                <w:szCs w:val="22"/>
              </w:rPr>
            </w:r>
            <w:r w:rsidRPr="00880F61">
              <w:rPr>
                <w:rFonts w:ascii="Arial" w:hAnsi="Arial" w:cs="Arial"/>
                <w:noProof/>
                <w:webHidden/>
                <w:sz w:val="22"/>
                <w:szCs w:val="22"/>
              </w:rPr>
              <w:fldChar w:fldCharType="separate"/>
            </w:r>
            <w:r w:rsidRPr="00880F61">
              <w:rPr>
                <w:rFonts w:ascii="Arial" w:hAnsi="Arial" w:cs="Arial"/>
                <w:noProof/>
                <w:webHidden/>
                <w:sz w:val="22"/>
                <w:szCs w:val="22"/>
              </w:rPr>
              <w:t>24</w:t>
            </w:r>
            <w:r w:rsidRPr="00880F61">
              <w:rPr>
                <w:rFonts w:ascii="Arial" w:hAnsi="Arial" w:cs="Arial"/>
                <w:noProof/>
                <w:webHidden/>
                <w:sz w:val="22"/>
                <w:szCs w:val="22"/>
              </w:rPr>
              <w:fldChar w:fldCharType="end"/>
            </w:r>
          </w:hyperlink>
        </w:p>
        <w:p w:rsidR="00880F61" w:rsidRPr="00880F61" w:rsidRDefault="00880F61">
          <w:pPr>
            <w:pStyle w:val="TDC3"/>
            <w:tabs>
              <w:tab w:val="right" w:pos="8488"/>
            </w:tabs>
            <w:rPr>
              <w:rFonts w:ascii="Arial" w:eastAsiaTheme="minorEastAsia" w:hAnsi="Arial" w:cs="Arial"/>
              <w:noProof/>
              <w:sz w:val="22"/>
              <w:szCs w:val="22"/>
              <w:lang w:val="en-US"/>
            </w:rPr>
          </w:pPr>
          <w:hyperlink w:anchor="_Toc55494289" w:history="1">
            <w:r w:rsidRPr="00880F61">
              <w:rPr>
                <w:rStyle w:val="Hipervnculo"/>
                <w:rFonts w:ascii="Arial" w:eastAsia="Arial" w:hAnsi="Arial" w:cs="Arial"/>
                <w:noProof/>
                <w:sz w:val="22"/>
                <w:szCs w:val="22"/>
              </w:rPr>
              <w:t>2.5.1. Fortalecimiento de la infraestructura tecnológica</w:t>
            </w:r>
            <w:r w:rsidRPr="00880F61">
              <w:rPr>
                <w:rFonts w:ascii="Arial" w:hAnsi="Arial" w:cs="Arial"/>
                <w:noProof/>
                <w:webHidden/>
                <w:sz w:val="22"/>
                <w:szCs w:val="22"/>
              </w:rPr>
              <w:tab/>
            </w:r>
            <w:r w:rsidRPr="00880F61">
              <w:rPr>
                <w:rFonts w:ascii="Arial" w:hAnsi="Arial" w:cs="Arial"/>
                <w:noProof/>
                <w:webHidden/>
                <w:sz w:val="22"/>
                <w:szCs w:val="22"/>
              </w:rPr>
              <w:fldChar w:fldCharType="begin"/>
            </w:r>
            <w:r w:rsidRPr="00880F61">
              <w:rPr>
                <w:rFonts w:ascii="Arial" w:hAnsi="Arial" w:cs="Arial"/>
                <w:noProof/>
                <w:webHidden/>
                <w:sz w:val="22"/>
                <w:szCs w:val="22"/>
              </w:rPr>
              <w:instrText xml:space="preserve"> PAGEREF _Toc55494289 \h </w:instrText>
            </w:r>
            <w:r w:rsidRPr="00880F61">
              <w:rPr>
                <w:rFonts w:ascii="Arial" w:hAnsi="Arial" w:cs="Arial"/>
                <w:noProof/>
                <w:webHidden/>
                <w:sz w:val="22"/>
                <w:szCs w:val="22"/>
              </w:rPr>
            </w:r>
            <w:r w:rsidRPr="00880F61">
              <w:rPr>
                <w:rFonts w:ascii="Arial" w:hAnsi="Arial" w:cs="Arial"/>
                <w:noProof/>
                <w:webHidden/>
                <w:sz w:val="22"/>
                <w:szCs w:val="22"/>
              </w:rPr>
              <w:fldChar w:fldCharType="separate"/>
            </w:r>
            <w:r w:rsidRPr="00880F61">
              <w:rPr>
                <w:rFonts w:ascii="Arial" w:hAnsi="Arial" w:cs="Arial"/>
                <w:noProof/>
                <w:webHidden/>
                <w:sz w:val="22"/>
                <w:szCs w:val="22"/>
              </w:rPr>
              <w:t>24</w:t>
            </w:r>
            <w:r w:rsidRPr="00880F61">
              <w:rPr>
                <w:rFonts w:ascii="Arial" w:hAnsi="Arial" w:cs="Arial"/>
                <w:noProof/>
                <w:webHidden/>
                <w:sz w:val="22"/>
                <w:szCs w:val="22"/>
              </w:rPr>
              <w:fldChar w:fldCharType="end"/>
            </w:r>
          </w:hyperlink>
        </w:p>
        <w:p w:rsidR="00880F61" w:rsidRPr="00880F61" w:rsidRDefault="00880F61">
          <w:pPr>
            <w:pStyle w:val="TDC3"/>
            <w:tabs>
              <w:tab w:val="left" w:pos="960"/>
              <w:tab w:val="right" w:pos="8488"/>
            </w:tabs>
            <w:rPr>
              <w:rFonts w:ascii="Arial" w:eastAsiaTheme="minorEastAsia" w:hAnsi="Arial" w:cs="Arial"/>
              <w:noProof/>
              <w:sz w:val="22"/>
              <w:szCs w:val="22"/>
              <w:lang w:val="en-US"/>
            </w:rPr>
          </w:pPr>
          <w:hyperlink w:anchor="_Toc55494290" w:history="1">
            <w:r w:rsidRPr="00880F61">
              <w:rPr>
                <w:rStyle w:val="Hipervnculo"/>
                <w:rFonts w:ascii="Arial" w:eastAsia="Arial" w:hAnsi="Arial" w:cs="Arial"/>
                <w:noProof/>
                <w:sz w:val="22"/>
                <w:szCs w:val="22"/>
              </w:rPr>
              <w:t>2.5.2</w:t>
            </w:r>
            <w:r w:rsidRPr="00880F61">
              <w:rPr>
                <w:rFonts w:ascii="Arial" w:eastAsiaTheme="minorEastAsia" w:hAnsi="Arial" w:cs="Arial"/>
                <w:noProof/>
                <w:sz w:val="22"/>
                <w:szCs w:val="22"/>
                <w:lang w:val="en-US"/>
              </w:rPr>
              <w:tab/>
            </w:r>
            <w:r w:rsidRPr="00880F61">
              <w:rPr>
                <w:rStyle w:val="Hipervnculo"/>
                <w:rFonts w:ascii="Arial" w:eastAsia="Arial" w:hAnsi="Arial" w:cs="Arial"/>
                <w:noProof/>
                <w:sz w:val="22"/>
                <w:szCs w:val="22"/>
              </w:rPr>
              <w:t>Creación, estructuración, e implementación del minisitio de incentivos tributarios</w:t>
            </w:r>
            <w:r w:rsidRPr="00880F61">
              <w:rPr>
                <w:rFonts w:ascii="Arial" w:hAnsi="Arial" w:cs="Arial"/>
                <w:noProof/>
                <w:webHidden/>
                <w:sz w:val="22"/>
                <w:szCs w:val="22"/>
              </w:rPr>
              <w:tab/>
            </w:r>
            <w:r w:rsidRPr="00880F61">
              <w:rPr>
                <w:rFonts w:ascii="Arial" w:hAnsi="Arial" w:cs="Arial"/>
                <w:noProof/>
                <w:webHidden/>
                <w:sz w:val="22"/>
                <w:szCs w:val="22"/>
              </w:rPr>
              <w:fldChar w:fldCharType="begin"/>
            </w:r>
            <w:r w:rsidRPr="00880F61">
              <w:rPr>
                <w:rFonts w:ascii="Arial" w:hAnsi="Arial" w:cs="Arial"/>
                <w:noProof/>
                <w:webHidden/>
                <w:sz w:val="22"/>
                <w:szCs w:val="22"/>
              </w:rPr>
              <w:instrText xml:space="preserve"> PAGEREF _Toc55494290 \h </w:instrText>
            </w:r>
            <w:r w:rsidRPr="00880F61">
              <w:rPr>
                <w:rFonts w:ascii="Arial" w:hAnsi="Arial" w:cs="Arial"/>
                <w:noProof/>
                <w:webHidden/>
                <w:sz w:val="22"/>
                <w:szCs w:val="22"/>
              </w:rPr>
            </w:r>
            <w:r w:rsidRPr="00880F61">
              <w:rPr>
                <w:rFonts w:ascii="Arial" w:hAnsi="Arial" w:cs="Arial"/>
                <w:noProof/>
                <w:webHidden/>
                <w:sz w:val="22"/>
                <w:szCs w:val="22"/>
              </w:rPr>
              <w:fldChar w:fldCharType="separate"/>
            </w:r>
            <w:r w:rsidRPr="00880F61">
              <w:rPr>
                <w:rFonts w:ascii="Arial" w:hAnsi="Arial" w:cs="Arial"/>
                <w:noProof/>
                <w:webHidden/>
                <w:sz w:val="22"/>
                <w:szCs w:val="22"/>
              </w:rPr>
              <w:t>25</w:t>
            </w:r>
            <w:r w:rsidRPr="00880F61">
              <w:rPr>
                <w:rFonts w:ascii="Arial" w:hAnsi="Arial" w:cs="Arial"/>
                <w:noProof/>
                <w:webHidden/>
                <w:sz w:val="22"/>
                <w:szCs w:val="22"/>
              </w:rPr>
              <w:fldChar w:fldCharType="end"/>
            </w:r>
          </w:hyperlink>
        </w:p>
        <w:p w:rsidR="00880F61" w:rsidRPr="00880F61" w:rsidRDefault="00880F61">
          <w:pPr>
            <w:pStyle w:val="TDC3"/>
            <w:tabs>
              <w:tab w:val="right" w:pos="8488"/>
            </w:tabs>
            <w:rPr>
              <w:rFonts w:ascii="Arial" w:eastAsiaTheme="minorEastAsia" w:hAnsi="Arial" w:cs="Arial"/>
              <w:noProof/>
              <w:sz w:val="22"/>
              <w:szCs w:val="22"/>
              <w:lang w:val="en-US"/>
            </w:rPr>
          </w:pPr>
          <w:hyperlink w:anchor="_Toc55494291" w:history="1">
            <w:r w:rsidRPr="00880F61">
              <w:rPr>
                <w:rStyle w:val="Hipervnculo"/>
                <w:rFonts w:ascii="Arial" w:eastAsia="Arial" w:hAnsi="Arial" w:cs="Arial"/>
                <w:noProof/>
                <w:sz w:val="22"/>
                <w:szCs w:val="22"/>
              </w:rPr>
              <w:t>2.5.3 Acompañamiento técnico en la adopción de trabajo en casa para el desarrollo de las actividades de los servidores y contratistas de la UPME</w:t>
            </w:r>
            <w:r w:rsidRPr="00880F61">
              <w:rPr>
                <w:rFonts w:ascii="Arial" w:hAnsi="Arial" w:cs="Arial"/>
                <w:noProof/>
                <w:webHidden/>
                <w:sz w:val="22"/>
                <w:szCs w:val="22"/>
              </w:rPr>
              <w:tab/>
            </w:r>
            <w:r w:rsidRPr="00880F61">
              <w:rPr>
                <w:rFonts w:ascii="Arial" w:hAnsi="Arial" w:cs="Arial"/>
                <w:noProof/>
                <w:webHidden/>
                <w:sz w:val="22"/>
                <w:szCs w:val="22"/>
              </w:rPr>
              <w:fldChar w:fldCharType="begin"/>
            </w:r>
            <w:r w:rsidRPr="00880F61">
              <w:rPr>
                <w:rFonts w:ascii="Arial" w:hAnsi="Arial" w:cs="Arial"/>
                <w:noProof/>
                <w:webHidden/>
                <w:sz w:val="22"/>
                <w:szCs w:val="22"/>
              </w:rPr>
              <w:instrText xml:space="preserve"> PAGEREF _Toc55494291 \h </w:instrText>
            </w:r>
            <w:r w:rsidRPr="00880F61">
              <w:rPr>
                <w:rFonts w:ascii="Arial" w:hAnsi="Arial" w:cs="Arial"/>
                <w:noProof/>
                <w:webHidden/>
                <w:sz w:val="22"/>
                <w:szCs w:val="22"/>
              </w:rPr>
            </w:r>
            <w:r w:rsidRPr="00880F61">
              <w:rPr>
                <w:rFonts w:ascii="Arial" w:hAnsi="Arial" w:cs="Arial"/>
                <w:noProof/>
                <w:webHidden/>
                <w:sz w:val="22"/>
                <w:szCs w:val="22"/>
              </w:rPr>
              <w:fldChar w:fldCharType="separate"/>
            </w:r>
            <w:r w:rsidRPr="00880F61">
              <w:rPr>
                <w:rFonts w:ascii="Arial" w:hAnsi="Arial" w:cs="Arial"/>
                <w:noProof/>
                <w:webHidden/>
                <w:sz w:val="22"/>
                <w:szCs w:val="22"/>
              </w:rPr>
              <w:t>25</w:t>
            </w:r>
            <w:r w:rsidRPr="00880F61">
              <w:rPr>
                <w:rFonts w:ascii="Arial" w:hAnsi="Arial" w:cs="Arial"/>
                <w:noProof/>
                <w:webHidden/>
                <w:sz w:val="22"/>
                <w:szCs w:val="22"/>
              </w:rPr>
              <w:fldChar w:fldCharType="end"/>
            </w:r>
          </w:hyperlink>
        </w:p>
        <w:p w:rsidR="00880F61" w:rsidRPr="00880F61" w:rsidRDefault="00880F61">
          <w:pPr>
            <w:pStyle w:val="TDC3"/>
            <w:tabs>
              <w:tab w:val="left" w:pos="960"/>
              <w:tab w:val="right" w:pos="8488"/>
            </w:tabs>
            <w:rPr>
              <w:rFonts w:ascii="Arial" w:eastAsiaTheme="minorEastAsia" w:hAnsi="Arial" w:cs="Arial"/>
              <w:noProof/>
              <w:sz w:val="22"/>
              <w:szCs w:val="22"/>
              <w:lang w:val="en-US"/>
            </w:rPr>
          </w:pPr>
          <w:hyperlink w:anchor="_Toc55494292" w:history="1">
            <w:r w:rsidRPr="00880F61">
              <w:rPr>
                <w:rStyle w:val="Hipervnculo"/>
                <w:rFonts w:ascii="Arial" w:eastAsia="Arial" w:hAnsi="Arial" w:cs="Arial"/>
                <w:noProof/>
                <w:sz w:val="22"/>
                <w:szCs w:val="22"/>
              </w:rPr>
              <w:t>2.5.4</w:t>
            </w:r>
            <w:r w:rsidRPr="00880F61">
              <w:rPr>
                <w:rFonts w:ascii="Arial" w:eastAsiaTheme="minorEastAsia" w:hAnsi="Arial" w:cs="Arial"/>
                <w:noProof/>
                <w:sz w:val="22"/>
                <w:szCs w:val="22"/>
                <w:lang w:val="en-US"/>
              </w:rPr>
              <w:tab/>
            </w:r>
            <w:r w:rsidRPr="00880F61">
              <w:rPr>
                <w:rStyle w:val="Hipervnculo"/>
                <w:rFonts w:ascii="Arial" w:eastAsia="Arial" w:hAnsi="Arial" w:cs="Arial"/>
                <w:noProof/>
                <w:sz w:val="22"/>
                <w:szCs w:val="22"/>
              </w:rPr>
              <w:t>Estrategias de comunicación</w:t>
            </w:r>
            <w:r w:rsidRPr="00880F61">
              <w:rPr>
                <w:rFonts w:ascii="Arial" w:hAnsi="Arial" w:cs="Arial"/>
                <w:noProof/>
                <w:webHidden/>
                <w:sz w:val="22"/>
                <w:szCs w:val="22"/>
              </w:rPr>
              <w:tab/>
            </w:r>
            <w:r w:rsidRPr="00880F61">
              <w:rPr>
                <w:rFonts w:ascii="Arial" w:hAnsi="Arial" w:cs="Arial"/>
                <w:noProof/>
                <w:webHidden/>
                <w:sz w:val="22"/>
                <w:szCs w:val="22"/>
              </w:rPr>
              <w:fldChar w:fldCharType="begin"/>
            </w:r>
            <w:r w:rsidRPr="00880F61">
              <w:rPr>
                <w:rFonts w:ascii="Arial" w:hAnsi="Arial" w:cs="Arial"/>
                <w:noProof/>
                <w:webHidden/>
                <w:sz w:val="22"/>
                <w:szCs w:val="22"/>
              </w:rPr>
              <w:instrText xml:space="preserve"> PAGEREF _Toc55494292 \h </w:instrText>
            </w:r>
            <w:r w:rsidRPr="00880F61">
              <w:rPr>
                <w:rFonts w:ascii="Arial" w:hAnsi="Arial" w:cs="Arial"/>
                <w:noProof/>
                <w:webHidden/>
                <w:sz w:val="22"/>
                <w:szCs w:val="22"/>
              </w:rPr>
            </w:r>
            <w:r w:rsidRPr="00880F61">
              <w:rPr>
                <w:rFonts w:ascii="Arial" w:hAnsi="Arial" w:cs="Arial"/>
                <w:noProof/>
                <w:webHidden/>
                <w:sz w:val="22"/>
                <w:szCs w:val="22"/>
              </w:rPr>
              <w:fldChar w:fldCharType="separate"/>
            </w:r>
            <w:r w:rsidRPr="00880F61">
              <w:rPr>
                <w:rFonts w:ascii="Arial" w:hAnsi="Arial" w:cs="Arial"/>
                <w:noProof/>
                <w:webHidden/>
                <w:sz w:val="22"/>
                <w:szCs w:val="22"/>
              </w:rPr>
              <w:t>25</w:t>
            </w:r>
            <w:r w:rsidRPr="00880F61">
              <w:rPr>
                <w:rFonts w:ascii="Arial" w:hAnsi="Arial" w:cs="Arial"/>
                <w:noProof/>
                <w:webHidden/>
                <w:sz w:val="22"/>
                <w:szCs w:val="22"/>
              </w:rPr>
              <w:fldChar w:fldCharType="end"/>
            </w:r>
          </w:hyperlink>
        </w:p>
        <w:p w:rsidR="00880F61" w:rsidRPr="00880F61" w:rsidRDefault="00880F61">
          <w:pPr>
            <w:pStyle w:val="TDC3"/>
            <w:tabs>
              <w:tab w:val="left" w:pos="960"/>
              <w:tab w:val="right" w:pos="8488"/>
            </w:tabs>
            <w:rPr>
              <w:rFonts w:ascii="Arial" w:eastAsiaTheme="minorEastAsia" w:hAnsi="Arial" w:cs="Arial"/>
              <w:noProof/>
              <w:sz w:val="22"/>
              <w:szCs w:val="22"/>
              <w:lang w:val="en-US"/>
            </w:rPr>
          </w:pPr>
          <w:hyperlink w:anchor="_Toc55494293" w:history="1">
            <w:r w:rsidRPr="00880F61">
              <w:rPr>
                <w:rStyle w:val="Hipervnculo"/>
                <w:rFonts w:ascii="Arial" w:eastAsia="Arial" w:hAnsi="Arial" w:cs="Arial"/>
                <w:noProof/>
                <w:sz w:val="22"/>
                <w:szCs w:val="22"/>
              </w:rPr>
              <w:t>2.5.5</w:t>
            </w:r>
            <w:r w:rsidRPr="00880F61">
              <w:rPr>
                <w:rFonts w:ascii="Arial" w:eastAsiaTheme="minorEastAsia" w:hAnsi="Arial" w:cs="Arial"/>
                <w:noProof/>
                <w:sz w:val="22"/>
                <w:szCs w:val="22"/>
                <w:lang w:val="en-US"/>
              </w:rPr>
              <w:tab/>
            </w:r>
            <w:r w:rsidRPr="00880F61">
              <w:rPr>
                <w:rStyle w:val="Hipervnculo"/>
                <w:rFonts w:ascii="Arial" w:eastAsia="Arial" w:hAnsi="Arial" w:cs="Arial"/>
                <w:noProof/>
                <w:sz w:val="22"/>
                <w:szCs w:val="22"/>
              </w:rPr>
              <w:t>Desarrollo de talleres de socialización</w:t>
            </w:r>
            <w:r w:rsidRPr="00880F61">
              <w:rPr>
                <w:rFonts w:ascii="Arial" w:hAnsi="Arial" w:cs="Arial"/>
                <w:noProof/>
                <w:webHidden/>
                <w:sz w:val="22"/>
                <w:szCs w:val="22"/>
              </w:rPr>
              <w:tab/>
            </w:r>
            <w:r w:rsidRPr="00880F61">
              <w:rPr>
                <w:rFonts w:ascii="Arial" w:hAnsi="Arial" w:cs="Arial"/>
                <w:noProof/>
                <w:webHidden/>
                <w:sz w:val="22"/>
                <w:szCs w:val="22"/>
              </w:rPr>
              <w:fldChar w:fldCharType="begin"/>
            </w:r>
            <w:r w:rsidRPr="00880F61">
              <w:rPr>
                <w:rFonts w:ascii="Arial" w:hAnsi="Arial" w:cs="Arial"/>
                <w:noProof/>
                <w:webHidden/>
                <w:sz w:val="22"/>
                <w:szCs w:val="22"/>
              </w:rPr>
              <w:instrText xml:space="preserve"> PAGEREF _Toc55494293 \h </w:instrText>
            </w:r>
            <w:r w:rsidRPr="00880F61">
              <w:rPr>
                <w:rFonts w:ascii="Arial" w:hAnsi="Arial" w:cs="Arial"/>
                <w:noProof/>
                <w:webHidden/>
                <w:sz w:val="22"/>
                <w:szCs w:val="22"/>
              </w:rPr>
            </w:r>
            <w:r w:rsidRPr="00880F61">
              <w:rPr>
                <w:rFonts w:ascii="Arial" w:hAnsi="Arial" w:cs="Arial"/>
                <w:noProof/>
                <w:webHidden/>
                <w:sz w:val="22"/>
                <w:szCs w:val="22"/>
              </w:rPr>
              <w:fldChar w:fldCharType="separate"/>
            </w:r>
            <w:r w:rsidRPr="00880F61">
              <w:rPr>
                <w:rFonts w:ascii="Arial" w:hAnsi="Arial" w:cs="Arial"/>
                <w:noProof/>
                <w:webHidden/>
                <w:sz w:val="22"/>
                <w:szCs w:val="22"/>
              </w:rPr>
              <w:t>25</w:t>
            </w:r>
            <w:r w:rsidRPr="00880F61">
              <w:rPr>
                <w:rFonts w:ascii="Arial" w:hAnsi="Arial" w:cs="Arial"/>
                <w:noProof/>
                <w:webHidden/>
                <w:sz w:val="22"/>
                <w:szCs w:val="22"/>
              </w:rPr>
              <w:fldChar w:fldCharType="end"/>
            </w:r>
          </w:hyperlink>
        </w:p>
        <w:p w:rsidR="00880F61" w:rsidRPr="00880F61" w:rsidRDefault="00880F61">
          <w:pPr>
            <w:pStyle w:val="TDC3"/>
            <w:tabs>
              <w:tab w:val="left" w:pos="960"/>
              <w:tab w:val="right" w:pos="8488"/>
            </w:tabs>
            <w:rPr>
              <w:rFonts w:ascii="Arial" w:eastAsiaTheme="minorEastAsia" w:hAnsi="Arial" w:cs="Arial"/>
              <w:noProof/>
              <w:sz w:val="22"/>
              <w:szCs w:val="22"/>
              <w:lang w:val="en-US"/>
            </w:rPr>
          </w:pPr>
          <w:hyperlink w:anchor="_Toc55494294" w:history="1">
            <w:r w:rsidRPr="00880F61">
              <w:rPr>
                <w:rStyle w:val="Hipervnculo"/>
                <w:rFonts w:ascii="Arial" w:eastAsia="Arial" w:hAnsi="Arial" w:cs="Arial"/>
                <w:noProof/>
                <w:sz w:val="22"/>
                <w:szCs w:val="22"/>
              </w:rPr>
              <w:t>2.5.6</w:t>
            </w:r>
            <w:r w:rsidRPr="00880F61">
              <w:rPr>
                <w:rFonts w:ascii="Arial" w:eastAsiaTheme="minorEastAsia" w:hAnsi="Arial" w:cs="Arial"/>
                <w:noProof/>
                <w:sz w:val="22"/>
                <w:szCs w:val="22"/>
                <w:lang w:val="en-US"/>
              </w:rPr>
              <w:tab/>
            </w:r>
            <w:r w:rsidRPr="00880F61">
              <w:rPr>
                <w:rStyle w:val="Hipervnculo"/>
                <w:rFonts w:ascii="Arial" w:eastAsia="Arial" w:hAnsi="Arial" w:cs="Arial"/>
                <w:noProof/>
                <w:sz w:val="22"/>
                <w:szCs w:val="22"/>
              </w:rPr>
              <w:t>Aumento de la audiencia Institucional</w:t>
            </w:r>
            <w:r w:rsidRPr="00880F61">
              <w:rPr>
                <w:rFonts w:ascii="Arial" w:hAnsi="Arial" w:cs="Arial"/>
                <w:noProof/>
                <w:webHidden/>
                <w:sz w:val="22"/>
                <w:szCs w:val="22"/>
              </w:rPr>
              <w:tab/>
            </w:r>
            <w:r w:rsidRPr="00880F61">
              <w:rPr>
                <w:rFonts w:ascii="Arial" w:hAnsi="Arial" w:cs="Arial"/>
                <w:noProof/>
                <w:webHidden/>
                <w:sz w:val="22"/>
                <w:szCs w:val="22"/>
              </w:rPr>
              <w:fldChar w:fldCharType="begin"/>
            </w:r>
            <w:r w:rsidRPr="00880F61">
              <w:rPr>
                <w:rFonts w:ascii="Arial" w:hAnsi="Arial" w:cs="Arial"/>
                <w:noProof/>
                <w:webHidden/>
                <w:sz w:val="22"/>
                <w:szCs w:val="22"/>
              </w:rPr>
              <w:instrText xml:space="preserve"> PAGEREF _Toc55494294 \h </w:instrText>
            </w:r>
            <w:r w:rsidRPr="00880F61">
              <w:rPr>
                <w:rFonts w:ascii="Arial" w:hAnsi="Arial" w:cs="Arial"/>
                <w:noProof/>
                <w:webHidden/>
                <w:sz w:val="22"/>
                <w:szCs w:val="22"/>
              </w:rPr>
            </w:r>
            <w:r w:rsidRPr="00880F61">
              <w:rPr>
                <w:rFonts w:ascii="Arial" w:hAnsi="Arial" w:cs="Arial"/>
                <w:noProof/>
                <w:webHidden/>
                <w:sz w:val="22"/>
                <w:szCs w:val="22"/>
              </w:rPr>
              <w:fldChar w:fldCharType="separate"/>
            </w:r>
            <w:r w:rsidRPr="00880F61">
              <w:rPr>
                <w:rFonts w:ascii="Arial" w:hAnsi="Arial" w:cs="Arial"/>
                <w:noProof/>
                <w:webHidden/>
                <w:sz w:val="22"/>
                <w:szCs w:val="22"/>
              </w:rPr>
              <w:t>25</w:t>
            </w:r>
            <w:r w:rsidRPr="00880F61">
              <w:rPr>
                <w:rFonts w:ascii="Arial" w:hAnsi="Arial" w:cs="Arial"/>
                <w:noProof/>
                <w:webHidden/>
                <w:sz w:val="22"/>
                <w:szCs w:val="22"/>
              </w:rPr>
              <w:fldChar w:fldCharType="end"/>
            </w:r>
          </w:hyperlink>
        </w:p>
        <w:p w:rsidR="00880F61" w:rsidRPr="00880F61" w:rsidRDefault="00880F61">
          <w:pPr>
            <w:pStyle w:val="TDC2"/>
            <w:tabs>
              <w:tab w:val="right" w:pos="8488"/>
            </w:tabs>
            <w:rPr>
              <w:rFonts w:ascii="Arial" w:eastAsiaTheme="minorEastAsia" w:hAnsi="Arial" w:cs="Arial"/>
              <w:b w:val="0"/>
              <w:noProof/>
              <w:sz w:val="22"/>
              <w:szCs w:val="22"/>
              <w:lang w:val="en-US"/>
            </w:rPr>
          </w:pPr>
          <w:hyperlink w:anchor="_Toc55494295" w:history="1">
            <w:r w:rsidRPr="00880F61">
              <w:rPr>
                <w:rStyle w:val="Hipervnculo"/>
                <w:rFonts w:ascii="Arial" w:eastAsia="Arial" w:hAnsi="Arial" w:cs="Arial"/>
                <w:noProof/>
                <w:sz w:val="22"/>
                <w:szCs w:val="22"/>
              </w:rPr>
              <w:t>2.6. Gestión ambiental y social</w:t>
            </w:r>
            <w:r w:rsidRPr="00880F61">
              <w:rPr>
                <w:rFonts w:ascii="Arial" w:hAnsi="Arial" w:cs="Arial"/>
                <w:noProof/>
                <w:webHidden/>
                <w:sz w:val="22"/>
                <w:szCs w:val="22"/>
              </w:rPr>
              <w:tab/>
            </w:r>
            <w:r w:rsidRPr="00880F61">
              <w:rPr>
                <w:rFonts w:ascii="Arial" w:hAnsi="Arial" w:cs="Arial"/>
                <w:noProof/>
                <w:webHidden/>
                <w:sz w:val="22"/>
                <w:szCs w:val="22"/>
              </w:rPr>
              <w:fldChar w:fldCharType="begin"/>
            </w:r>
            <w:r w:rsidRPr="00880F61">
              <w:rPr>
                <w:rFonts w:ascii="Arial" w:hAnsi="Arial" w:cs="Arial"/>
                <w:noProof/>
                <w:webHidden/>
                <w:sz w:val="22"/>
                <w:szCs w:val="22"/>
              </w:rPr>
              <w:instrText xml:space="preserve"> PAGEREF _Toc55494295 \h </w:instrText>
            </w:r>
            <w:r w:rsidRPr="00880F61">
              <w:rPr>
                <w:rFonts w:ascii="Arial" w:hAnsi="Arial" w:cs="Arial"/>
                <w:noProof/>
                <w:webHidden/>
                <w:sz w:val="22"/>
                <w:szCs w:val="22"/>
              </w:rPr>
            </w:r>
            <w:r w:rsidRPr="00880F61">
              <w:rPr>
                <w:rFonts w:ascii="Arial" w:hAnsi="Arial" w:cs="Arial"/>
                <w:noProof/>
                <w:webHidden/>
                <w:sz w:val="22"/>
                <w:szCs w:val="22"/>
              </w:rPr>
              <w:fldChar w:fldCharType="separate"/>
            </w:r>
            <w:r w:rsidRPr="00880F61">
              <w:rPr>
                <w:rFonts w:ascii="Arial" w:hAnsi="Arial" w:cs="Arial"/>
                <w:noProof/>
                <w:webHidden/>
                <w:sz w:val="22"/>
                <w:szCs w:val="22"/>
              </w:rPr>
              <w:t>26</w:t>
            </w:r>
            <w:r w:rsidRPr="00880F61">
              <w:rPr>
                <w:rFonts w:ascii="Arial" w:hAnsi="Arial" w:cs="Arial"/>
                <w:noProof/>
                <w:webHidden/>
                <w:sz w:val="22"/>
                <w:szCs w:val="22"/>
              </w:rPr>
              <w:fldChar w:fldCharType="end"/>
            </w:r>
          </w:hyperlink>
        </w:p>
        <w:p w:rsidR="00880F61" w:rsidRPr="00880F61" w:rsidRDefault="00880F61">
          <w:pPr>
            <w:pStyle w:val="TDC2"/>
            <w:tabs>
              <w:tab w:val="right" w:pos="8488"/>
            </w:tabs>
            <w:rPr>
              <w:rFonts w:ascii="Arial" w:eastAsiaTheme="minorEastAsia" w:hAnsi="Arial" w:cs="Arial"/>
              <w:b w:val="0"/>
              <w:noProof/>
              <w:sz w:val="22"/>
              <w:szCs w:val="22"/>
              <w:lang w:val="en-US"/>
            </w:rPr>
          </w:pPr>
          <w:hyperlink w:anchor="_Toc55494296" w:history="1">
            <w:r w:rsidRPr="00880F61">
              <w:rPr>
                <w:rStyle w:val="Hipervnculo"/>
                <w:rFonts w:ascii="Arial" w:eastAsia="Arial" w:hAnsi="Arial" w:cs="Arial"/>
                <w:noProof/>
                <w:sz w:val="22"/>
                <w:szCs w:val="22"/>
              </w:rPr>
              <w:t>2.7. Gestión contractual, administrativa y financiera</w:t>
            </w:r>
            <w:r w:rsidRPr="00880F61">
              <w:rPr>
                <w:rFonts w:ascii="Arial" w:hAnsi="Arial" w:cs="Arial"/>
                <w:noProof/>
                <w:webHidden/>
                <w:sz w:val="22"/>
                <w:szCs w:val="22"/>
              </w:rPr>
              <w:tab/>
            </w:r>
            <w:r w:rsidRPr="00880F61">
              <w:rPr>
                <w:rFonts w:ascii="Arial" w:hAnsi="Arial" w:cs="Arial"/>
                <w:noProof/>
                <w:webHidden/>
                <w:sz w:val="22"/>
                <w:szCs w:val="22"/>
              </w:rPr>
              <w:fldChar w:fldCharType="begin"/>
            </w:r>
            <w:r w:rsidRPr="00880F61">
              <w:rPr>
                <w:rFonts w:ascii="Arial" w:hAnsi="Arial" w:cs="Arial"/>
                <w:noProof/>
                <w:webHidden/>
                <w:sz w:val="22"/>
                <w:szCs w:val="22"/>
              </w:rPr>
              <w:instrText xml:space="preserve"> PAGEREF _Toc55494296 \h </w:instrText>
            </w:r>
            <w:r w:rsidRPr="00880F61">
              <w:rPr>
                <w:rFonts w:ascii="Arial" w:hAnsi="Arial" w:cs="Arial"/>
                <w:noProof/>
                <w:webHidden/>
                <w:sz w:val="22"/>
                <w:szCs w:val="22"/>
              </w:rPr>
            </w:r>
            <w:r w:rsidRPr="00880F61">
              <w:rPr>
                <w:rFonts w:ascii="Arial" w:hAnsi="Arial" w:cs="Arial"/>
                <w:noProof/>
                <w:webHidden/>
                <w:sz w:val="22"/>
                <w:szCs w:val="22"/>
              </w:rPr>
              <w:fldChar w:fldCharType="separate"/>
            </w:r>
            <w:r w:rsidRPr="00880F61">
              <w:rPr>
                <w:rFonts w:ascii="Arial" w:hAnsi="Arial" w:cs="Arial"/>
                <w:noProof/>
                <w:webHidden/>
                <w:sz w:val="22"/>
                <w:szCs w:val="22"/>
              </w:rPr>
              <w:t>26</w:t>
            </w:r>
            <w:r w:rsidRPr="00880F61">
              <w:rPr>
                <w:rFonts w:ascii="Arial" w:hAnsi="Arial" w:cs="Arial"/>
                <w:noProof/>
                <w:webHidden/>
                <w:sz w:val="22"/>
                <w:szCs w:val="22"/>
              </w:rPr>
              <w:fldChar w:fldCharType="end"/>
            </w:r>
          </w:hyperlink>
        </w:p>
        <w:p w:rsidR="00880F61" w:rsidRPr="00880F61" w:rsidRDefault="00880F61">
          <w:pPr>
            <w:pStyle w:val="TDC3"/>
            <w:tabs>
              <w:tab w:val="right" w:pos="8488"/>
            </w:tabs>
            <w:rPr>
              <w:rFonts w:ascii="Arial" w:eastAsiaTheme="minorEastAsia" w:hAnsi="Arial" w:cs="Arial"/>
              <w:noProof/>
              <w:sz w:val="22"/>
              <w:szCs w:val="22"/>
              <w:lang w:val="en-US"/>
            </w:rPr>
          </w:pPr>
          <w:hyperlink w:anchor="_Toc55494297" w:history="1">
            <w:r w:rsidRPr="00880F61">
              <w:rPr>
                <w:rStyle w:val="Hipervnculo"/>
                <w:rFonts w:ascii="Arial" w:eastAsia="Arial" w:hAnsi="Arial" w:cs="Arial"/>
                <w:noProof/>
                <w:sz w:val="22"/>
                <w:szCs w:val="22"/>
              </w:rPr>
              <w:t>2.7.1. Gestión Contractual 2019 - 2020</w:t>
            </w:r>
            <w:r w:rsidRPr="00880F61">
              <w:rPr>
                <w:rFonts w:ascii="Arial" w:hAnsi="Arial" w:cs="Arial"/>
                <w:noProof/>
                <w:webHidden/>
                <w:sz w:val="22"/>
                <w:szCs w:val="22"/>
              </w:rPr>
              <w:tab/>
            </w:r>
            <w:r w:rsidRPr="00880F61">
              <w:rPr>
                <w:rFonts w:ascii="Arial" w:hAnsi="Arial" w:cs="Arial"/>
                <w:noProof/>
                <w:webHidden/>
                <w:sz w:val="22"/>
                <w:szCs w:val="22"/>
              </w:rPr>
              <w:fldChar w:fldCharType="begin"/>
            </w:r>
            <w:r w:rsidRPr="00880F61">
              <w:rPr>
                <w:rFonts w:ascii="Arial" w:hAnsi="Arial" w:cs="Arial"/>
                <w:noProof/>
                <w:webHidden/>
                <w:sz w:val="22"/>
                <w:szCs w:val="22"/>
              </w:rPr>
              <w:instrText xml:space="preserve"> PAGEREF _Toc55494297 \h </w:instrText>
            </w:r>
            <w:r w:rsidRPr="00880F61">
              <w:rPr>
                <w:rFonts w:ascii="Arial" w:hAnsi="Arial" w:cs="Arial"/>
                <w:noProof/>
                <w:webHidden/>
                <w:sz w:val="22"/>
                <w:szCs w:val="22"/>
              </w:rPr>
            </w:r>
            <w:r w:rsidRPr="00880F61">
              <w:rPr>
                <w:rFonts w:ascii="Arial" w:hAnsi="Arial" w:cs="Arial"/>
                <w:noProof/>
                <w:webHidden/>
                <w:sz w:val="22"/>
                <w:szCs w:val="22"/>
              </w:rPr>
              <w:fldChar w:fldCharType="separate"/>
            </w:r>
            <w:r w:rsidRPr="00880F61">
              <w:rPr>
                <w:rFonts w:ascii="Arial" w:hAnsi="Arial" w:cs="Arial"/>
                <w:noProof/>
                <w:webHidden/>
                <w:sz w:val="22"/>
                <w:szCs w:val="22"/>
              </w:rPr>
              <w:t>27</w:t>
            </w:r>
            <w:r w:rsidRPr="00880F61">
              <w:rPr>
                <w:rFonts w:ascii="Arial" w:hAnsi="Arial" w:cs="Arial"/>
                <w:noProof/>
                <w:webHidden/>
                <w:sz w:val="22"/>
                <w:szCs w:val="22"/>
              </w:rPr>
              <w:fldChar w:fldCharType="end"/>
            </w:r>
          </w:hyperlink>
        </w:p>
        <w:p w:rsidR="00880F61" w:rsidRPr="00880F61" w:rsidRDefault="00880F61">
          <w:pPr>
            <w:pStyle w:val="TDC3"/>
            <w:tabs>
              <w:tab w:val="right" w:pos="8488"/>
            </w:tabs>
            <w:rPr>
              <w:rFonts w:ascii="Arial" w:eastAsiaTheme="minorEastAsia" w:hAnsi="Arial" w:cs="Arial"/>
              <w:noProof/>
              <w:sz w:val="22"/>
              <w:szCs w:val="22"/>
              <w:lang w:val="en-US"/>
            </w:rPr>
          </w:pPr>
          <w:hyperlink w:anchor="_Toc55494298" w:history="1">
            <w:r w:rsidRPr="00880F61">
              <w:rPr>
                <w:rStyle w:val="Hipervnculo"/>
                <w:rFonts w:ascii="Arial" w:eastAsia="Arial" w:hAnsi="Arial" w:cs="Arial"/>
                <w:noProof/>
                <w:sz w:val="22"/>
                <w:szCs w:val="22"/>
              </w:rPr>
              <w:t>2.7.2. Gestión administrativa</w:t>
            </w:r>
            <w:r w:rsidRPr="00880F61">
              <w:rPr>
                <w:rFonts w:ascii="Arial" w:hAnsi="Arial" w:cs="Arial"/>
                <w:noProof/>
                <w:webHidden/>
                <w:sz w:val="22"/>
                <w:szCs w:val="22"/>
              </w:rPr>
              <w:tab/>
            </w:r>
            <w:r w:rsidRPr="00880F61">
              <w:rPr>
                <w:rFonts w:ascii="Arial" w:hAnsi="Arial" w:cs="Arial"/>
                <w:noProof/>
                <w:webHidden/>
                <w:sz w:val="22"/>
                <w:szCs w:val="22"/>
              </w:rPr>
              <w:fldChar w:fldCharType="begin"/>
            </w:r>
            <w:r w:rsidRPr="00880F61">
              <w:rPr>
                <w:rFonts w:ascii="Arial" w:hAnsi="Arial" w:cs="Arial"/>
                <w:noProof/>
                <w:webHidden/>
                <w:sz w:val="22"/>
                <w:szCs w:val="22"/>
              </w:rPr>
              <w:instrText xml:space="preserve"> PAGEREF _Toc55494298 \h </w:instrText>
            </w:r>
            <w:r w:rsidRPr="00880F61">
              <w:rPr>
                <w:rFonts w:ascii="Arial" w:hAnsi="Arial" w:cs="Arial"/>
                <w:noProof/>
                <w:webHidden/>
                <w:sz w:val="22"/>
                <w:szCs w:val="22"/>
              </w:rPr>
            </w:r>
            <w:r w:rsidRPr="00880F61">
              <w:rPr>
                <w:rFonts w:ascii="Arial" w:hAnsi="Arial" w:cs="Arial"/>
                <w:noProof/>
                <w:webHidden/>
                <w:sz w:val="22"/>
                <w:szCs w:val="22"/>
              </w:rPr>
              <w:fldChar w:fldCharType="separate"/>
            </w:r>
            <w:r w:rsidRPr="00880F61">
              <w:rPr>
                <w:rFonts w:ascii="Arial" w:hAnsi="Arial" w:cs="Arial"/>
                <w:noProof/>
                <w:webHidden/>
                <w:sz w:val="22"/>
                <w:szCs w:val="22"/>
              </w:rPr>
              <w:t>29</w:t>
            </w:r>
            <w:r w:rsidRPr="00880F61">
              <w:rPr>
                <w:rFonts w:ascii="Arial" w:hAnsi="Arial" w:cs="Arial"/>
                <w:noProof/>
                <w:webHidden/>
                <w:sz w:val="22"/>
                <w:szCs w:val="22"/>
              </w:rPr>
              <w:fldChar w:fldCharType="end"/>
            </w:r>
          </w:hyperlink>
        </w:p>
        <w:p w:rsidR="00880F61" w:rsidRPr="00880F61" w:rsidRDefault="00880F61">
          <w:pPr>
            <w:pStyle w:val="TDC3"/>
            <w:tabs>
              <w:tab w:val="right" w:pos="8488"/>
            </w:tabs>
            <w:rPr>
              <w:rFonts w:ascii="Arial" w:eastAsiaTheme="minorEastAsia" w:hAnsi="Arial" w:cs="Arial"/>
              <w:noProof/>
              <w:sz w:val="22"/>
              <w:szCs w:val="22"/>
              <w:lang w:val="en-US"/>
            </w:rPr>
          </w:pPr>
          <w:hyperlink w:anchor="_Toc55494299" w:history="1">
            <w:r w:rsidRPr="00880F61">
              <w:rPr>
                <w:rStyle w:val="Hipervnculo"/>
                <w:rFonts w:ascii="Arial" w:eastAsia="Arial" w:hAnsi="Arial" w:cs="Arial"/>
                <w:noProof/>
                <w:sz w:val="22"/>
                <w:szCs w:val="22"/>
              </w:rPr>
              <w:t>2.7.3. Gestión Financiera</w:t>
            </w:r>
            <w:r w:rsidRPr="00880F61">
              <w:rPr>
                <w:rFonts w:ascii="Arial" w:hAnsi="Arial" w:cs="Arial"/>
                <w:noProof/>
                <w:webHidden/>
                <w:sz w:val="22"/>
                <w:szCs w:val="22"/>
              </w:rPr>
              <w:tab/>
            </w:r>
            <w:r w:rsidRPr="00880F61">
              <w:rPr>
                <w:rFonts w:ascii="Arial" w:hAnsi="Arial" w:cs="Arial"/>
                <w:noProof/>
                <w:webHidden/>
                <w:sz w:val="22"/>
                <w:szCs w:val="22"/>
              </w:rPr>
              <w:fldChar w:fldCharType="begin"/>
            </w:r>
            <w:r w:rsidRPr="00880F61">
              <w:rPr>
                <w:rFonts w:ascii="Arial" w:hAnsi="Arial" w:cs="Arial"/>
                <w:noProof/>
                <w:webHidden/>
                <w:sz w:val="22"/>
                <w:szCs w:val="22"/>
              </w:rPr>
              <w:instrText xml:space="preserve"> PAGEREF _Toc55494299 \h </w:instrText>
            </w:r>
            <w:r w:rsidRPr="00880F61">
              <w:rPr>
                <w:rFonts w:ascii="Arial" w:hAnsi="Arial" w:cs="Arial"/>
                <w:noProof/>
                <w:webHidden/>
                <w:sz w:val="22"/>
                <w:szCs w:val="22"/>
              </w:rPr>
            </w:r>
            <w:r w:rsidRPr="00880F61">
              <w:rPr>
                <w:rFonts w:ascii="Arial" w:hAnsi="Arial" w:cs="Arial"/>
                <w:noProof/>
                <w:webHidden/>
                <w:sz w:val="22"/>
                <w:szCs w:val="22"/>
              </w:rPr>
              <w:fldChar w:fldCharType="separate"/>
            </w:r>
            <w:r w:rsidRPr="00880F61">
              <w:rPr>
                <w:rFonts w:ascii="Arial" w:hAnsi="Arial" w:cs="Arial"/>
                <w:noProof/>
                <w:webHidden/>
                <w:sz w:val="22"/>
                <w:szCs w:val="22"/>
              </w:rPr>
              <w:t>40</w:t>
            </w:r>
            <w:r w:rsidRPr="00880F61">
              <w:rPr>
                <w:rFonts w:ascii="Arial" w:hAnsi="Arial" w:cs="Arial"/>
                <w:noProof/>
                <w:webHidden/>
                <w:sz w:val="22"/>
                <w:szCs w:val="22"/>
              </w:rPr>
              <w:fldChar w:fldCharType="end"/>
            </w:r>
          </w:hyperlink>
        </w:p>
        <w:p w:rsidR="00880F61" w:rsidRPr="00880F61" w:rsidRDefault="00880F61">
          <w:pPr>
            <w:pStyle w:val="TDC3"/>
            <w:tabs>
              <w:tab w:val="right" w:pos="8488"/>
            </w:tabs>
            <w:rPr>
              <w:rFonts w:ascii="Arial" w:eastAsiaTheme="minorEastAsia" w:hAnsi="Arial" w:cs="Arial"/>
              <w:noProof/>
              <w:sz w:val="22"/>
              <w:szCs w:val="22"/>
              <w:lang w:val="en-US"/>
            </w:rPr>
          </w:pPr>
          <w:hyperlink w:anchor="_Toc55494300" w:history="1">
            <w:r w:rsidRPr="00880F61">
              <w:rPr>
                <w:rStyle w:val="Hipervnculo"/>
                <w:rFonts w:ascii="Arial" w:eastAsia="Arial" w:hAnsi="Arial" w:cs="Arial"/>
                <w:noProof/>
                <w:sz w:val="22"/>
                <w:szCs w:val="22"/>
              </w:rPr>
              <w:t>2.7.4. GIT de Talento Humano</w:t>
            </w:r>
            <w:r w:rsidRPr="00880F61">
              <w:rPr>
                <w:rFonts w:ascii="Arial" w:hAnsi="Arial" w:cs="Arial"/>
                <w:noProof/>
                <w:webHidden/>
                <w:sz w:val="22"/>
                <w:szCs w:val="22"/>
              </w:rPr>
              <w:tab/>
            </w:r>
            <w:r w:rsidRPr="00880F61">
              <w:rPr>
                <w:rFonts w:ascii="Arial" w:hAnsi="Arial" w:cs="Arial"/>
                <w:noProof/>
                <w:webHidden/>
                <w:sz w:val="22"/>
                <w:szCs w:val="22"/>
              </w:rPr>
              <w:fldChar w:fldCharType="begin"/>
            </w:r>
            <w:r w:rsidRPr="00880F61">
              <w:rPr>
                <w:rFonts w:ascii="Arial" w:hAnsi="Arial" w:cs="Arial"/>
                <w:noProof/>
                <w:webHidden/>
                <w:sz w:val="22"/>
                <w:szCs w:val="22"/>
              </w:rPr>
              <w:instrText xml:space="preserve"> PAGEREF _Toc55494300 \h </w:instrText>
            </w:r>
            <w:r w:rsidRPr="00880F61">
              <w:rPr>
                <w:rFonts w:ascii="Arial" w:hAnsi="Arial" w:cs="Arial"/>
                <w:noProof/>
                <w:webHidden/>
                <w:sz w:val="22"/>
                <w:szCs w:val="22"/>
              </w:rPr>
            </w:r>
            <w:r w:rsidRPr="00880F61">
              <w:rPr>
                <w:rFonts w:ascii="Arial" w:hAnsi="Arial" w:cs="Arial"/>
                <w:noProof/>
                <w:webHidden/>
                <w:sz w:val="22"/>
                <w:szCs w:val="22"/>
              </w:rPr>
              <w:fldChar w:fldCharType="separate"/>
            </w:r>
            <w:r w:rsidRPr="00880F61">
              <w:rPr>
                <w:rFonts w:ascii="Arial" w:hAnsi="Arial" w:cs="Arial"/>
                <w:noProof/>
                <w:webHidden/>
                <w:sz w:val="22"/>
                <w:szCs w:val="22"/>
              </w:rPr>
              <w:t>55</w:t>
            </w:r>
            <w:r w:rsidRPr="00880F61">
              <w:rPr>
                <w:rFonts w:ascii="Arial" w:hAnsi="Arial" w:cs="Arial"/>
                <w:noProof/>
                <w:webHidden/>
                <w:sz w:val="22"/>
                <w:szCs w:val="22"/>
              </w:rPr>
              <w:fldChar w:fldCharType="end"/>
            </w:r>
          </w:hyperlink>
        </w:p>
        <w:p w:rsidR="00880F61" w:rsidRPr="00880F61" w:rsidRDefault="00880F61">
          <w:pPr>
            <w:pStyle w:val="TDC3"/>
            <w:tabs>
              <w:tab w:val="right" w:pos="8488"/>
            </w:tabs>
            <w:rPr>
              <w:rFonts w:ascii="Arial" w:eastAsiaTheme="minorEastAsia" w:hAnsi="Arial" w:cs="Arial"/>
              <w:noProof/>
              <w:sz w:val="22"/>
              <w:szCs w:val="22"/>
              <w:lang w:val="en-US"/>
            </w:rPr>
          </w:pPr>
          <w:hyperlink w:anchor="_Toc55494301" w:history="1">
            <w:r w:rsidRPr="00880F61">
              <w:rPr>
                <w:rStyle w:val="Hipervnculo"/>
                <w:rFonts w:ascii="Arial" w:eastAsia="Arial" w:hAnsi="Arial" w:cs="Arial"/>
                <w:noProof/>
                <w:sz w:val="22"/>
                <w:szCs w:val="22"/>
              </w:rPr>
              <w:t>2.8. Modelo Integrado de Planeación y Gestión - MIPG</w:t>
            </w:r>
            <w:r w:rsidRPr="00880F61">
              <w:rPr>
                <w:rFonts w:ascii="Arial" w:hAnsi="Arial" w:cs="Arial"/>
                <w:noProof/>
                <w:webHidden/>
                <w:sz w:val="22"/>
                <w:szCs w:val="22"/>
              </w:rPr>
              <w:tab/>
            </w:r>
            <w:r w:rsidRPr="00880F61">
              <w:rPr>
                <w:rFonts w:ascii="Arial" w:hAnsi="Arial" w:cs="Arial"/>
                <w:noProof/>
                <w:webHidden/>
                <w:sz w:val="22"/>
                <w:szCs w:val="22"/>
              </w:rPr>
              <w:fldChar w:fldCharType="begin"/>
            </w:r>
            <w:r w:rsidRPr="00880F61">
              <w:rPr>
                <w:rFonts w:ascii="Arial" w:hAnsi="Arial" w:cs="Arial"/>
                <w:noProof/>
                <w:webHidden/>
                <w:sz w:val="22"/>
                <w:szCs w:val="22"/>
              </w:rPr>
              <w:instrText xml:space="preserve"> PAGEREF _Toc55494301 \h </w:instrText>
            </w:r>
            <w:r w:rsidRPr="00880F61">
              <w:rPr>
                <w:rFonts w:ascii="Arial" w:hAnsi="Arial" w:cs="Arial"/>
                <w:noProof/>
                <w:webHidden/>
                <w:sz w:val="22"/>
                <w:szCs w:val="22"/>
              </w:rPr>
            </w:r>
            <w:r w:rsidRPr="00880F61">
              <w:rPr>
                <w:rFonts w:ascii="Arial" w:hAnsi="Arial" w:cs="Arial"/>
                <w:noProof/>
                <w:webHidden/>
                <w:sz w:val="22"/>
                <w:szCs w:val="22"/>
              </w:rPr>
              <w:fldChar w:fldCharType="separate"/>
            </w:r>
            <w:r w:rsidRPr="00880F61">
              <w:rPr>
                <w:rFonts w:ascii="Arial" w:hAnsi="Arial" w:cs="Arial"/>
                <w:noProof/>
                <w:webHidden/>
                <w:sz w:val="22"/>
                <w:szCs w:val="22"/>
              </w:rPr>
              <w:t>85</w:t>
            </w:r>
            <w:r w:rsidRPr="00880F61">
              <w:rPr>
                <w:rFonts w:ascii="Arial" w:hAnsi="Arial" w:cs="Arial"/>
                <w:noProof/>
                <w:webHidden/>
                <w:sz w:val="22"/>
                <w:szCs w:val="22"/>
              </w:rPr>
              <w:fldChar w:fldCharType="end"/>
            </w:r>
          </w:hyperlink>
        </w:p>
        <w:p w:rsidR="00880F61" w:rsidRPr="00880F61" w:rsidRDefault="00880F61">
          <w:pPr>
            <w:pStyle w:val="TDC1"/>
            <w:tabs>
              <w:tab w:val="right" w:pos="8488"/>
            </w:tabs>
            <w:rPr>
              <w:rFonts w:ascii="Arial" w:eastAsiaTheme="minorEastAsia" w:hAnsi="Arial" w:cs="Arial"/>
              <w:b w:val="0"/>
              <w:caps w:val="0"/>
              <w:noProof/>
              <w:sz w:val="22"/>
              <w:szCs w:val="22"/>
              <w:lang w:val="en-US"/>
            </w:rPr>
          </w:pPr>
          <w:hyperlink w:anchor="_Toc55494302" w:history="1">
            <w:r w:rsidRPr="00880F61">
              <w:rPr>
                <w:rStyle w:val="Hipervnculo"/>
                <w:rFonts w:ascii="Arial" w:eastAsia="Arial" w:hAnsi="Arial" w:cs="Arial"/>
                <w:noProof/>
                <w:sz w:val="22"/>
                <w:szCs w:val="22"/>
              </w:rPr>
              <w:t>2.9. E</w:t>
            </w:r>
            <w:r w:rsidRPr="00880F61">
              <w:rPr>
                <w:rStyle w:val="Hipervnculo"/>
                <w:rFonts w:ascii="Arial" w:eastAsia="Arial" w:hAnsi="Arial" w:cs="Arial"/>
                <w:caps w:val="0"/>
                <w:noProof/>
                <w:sz w:val="22"/>
                <w:szCs w:val="22"/>
              </w:rPr>
              <w:t>stado general del sist</w:t>
            </w:r>
            <w:r w:rsidRPr="00880F61">
              <w:rPr>
                <w:rStyle w:val="Hipervnculo"/>
                <w:rFonts w:ascii="Arial" w:eastAsia="Arial" w:hAnsi="Arial" w:cs="Arial"/>
                <w:caps w:val="0"/>
                <w:noProof/>
                <w:sz w:val="22"/>
                <w:szCs w:val="22"/>
              </w:rPr>
              <w:t>e</w:t>
            </w:r>
            <w:r w:rsidRPr="00880F61">
              <w:rPr>
                <w:rStyle w:val="Hipervnculo"/>
                <w:rFonts w:ascii="Arial" w:eastAsia="Arial" w:hAnsi="Arial" w:cs="Arial"/>
                <w:caps w:val="0"/>
                <w:noProof/>
                <w:sz w:val="22"/>
                <w:szCs w:val="22"/>
              </w:rPr>
              <w:t>ma de control interno</w:t>
            </w:r>
            <w:r w:rsidRPr="00880F61">
              <w:rPr>
                <w:rFonts w:ascii="Arial" w:hAnsi="Arial" w:cs="Arial"/>
                <w:noProof/>
                <w:webHidden/>
                <w:sz w:val="22"/>
                <w:szCs w:val="22"/>
              </w:rPr>
              <w:tab/>
            </w:r>
            <w:r w:rsidRPr="00880F61">
              <w:rPr>
                <w:rFonts w:ascii="Arial" w:hAnsi="Arial" w:cs="Arial"/>
                <w:noProof/>
                <w:webHidden/>
                <w:sz w:val="22"/>
                <w:szCs w:val="22"/>
              </w:rPr>
              <w:fldChar w:fldCharType="begin"/>
            </w:r>
            <w:r w:rsidRPr="00880F61">
              <w:rPr>
                <w:rFonts w:ascii="Arial" w:hAnsi="Arial" w:cs="Arial"/>
                <w:noProof/>
                <w:webHidden/>
                <w:sz w:val="22"/>
                <w:szCs w:val="22"/>
              </w:rPr>
              <w:instrText xml:space="preserve"> PAGEREF _Toc55494302 \h </w:instrText>
            </w:r>
            <w:r w:rsidRPr="00880F61">
              <w:rPr>
                <w:rFonts w:ascii="Arial" w:hAnsi="Arial" w:cs="Arial"/>
                <w:noProof/>
                <w:webHidden/>
                <w:sz w:val="22"/>
                <w:szCs w:val="22"/>
              </w:rPr>
            </w:r>
            <w:r w:rsidRPr="00880F61">
              <w:rPr>
                <w:rFonts w:ascii="Arial" w:hAnsi="Arial" w:cs="Arial"/>
                <w:noProof/>
                <w:webHidden/>
                <w:sz w:val="22"/>
                <w:szCs w:val="22"/>
              </w:rPr>
              <w:fldChar w:fldCharType="separate"/>
            </w:r>
            <w:r w:rsidRPr="00880F61">
              <w:rPr>
                <w:rFonts w:ascii="Arial" w:hAnsi="Arial" w:cs="Arial"/>
                <w:noProof/>
                <w:webHidden/>
                <w:sz w:val="22"/>
                <w:szCs w:val="22"/>
              </w:rPr>
              <w:t>86</w:t>
            </w:r>
            <w:r w:rsidRPr="00880F61">
              <w:rPr>
                <w:rFonts w:ascii="Arial" w:hAnsi="Arial" w:cs="Arial"/>
                <w:noProof/>
                <w:webHidden/>
                <w:sz w:val="22"/>
                <w:szCs w:val="22"/>
              </w:rPr>
              <w:fldChar w:fldCharType="end"/>
            </w:r>
          </w:hyperlink>
        </w:p>
        <w:p w:rsidR="00880F61" w:rsidRPr="00880F61" w:rsidRDefault="00880F61">
          <w:pPr>
            <w:pStyle w:val="TDC3"/>
            <w:tabs>
              <w:tab w:val="right" w:pos="8488"/>
            </w:tabs>
            <w:rPr>
              <w:rFonts w:ascii="Arial" w:eastAsiaTheme="minorEastAsia" w:hAnsi="Arial" w:cs="Arial"/>
              <w:noProof/>
              <w:sz w:val="22"/>
              <w:szCs w:val="22"/>
              <w:lang w:val="en-US"/>
            </w:rPr>
          </w:pPr>
          <w:hyperlink w:anchor="_Toc55494303" w:history="1">
            <w:r w:rsidRPr="00880F61">
              <w:rPr>
                <w:rStyle w:val="Hipervnculo"/>
                <w:rFonts w:ascii="Arial" w:eastAsia="Arial" w:hAnsi="Arial" w:cs="Arial"/>
                <w:noProof/>
                <w:sz w:val="22"/>
                <w:szCs w:val="22"/>
              </w:rPr>
              <w:t>Auditorías Internas</w:t>
            </w:r>
            <w:r w:rsidRPr="00880F61">
              <w:rPr>
                <w:rFonts w:ascii="Arial" w:hAnsi="Arial" w:cs="Arial"/>
                <w:noProof/>
                <w:webHidden/>
                <w:sz w:val="22"/>
                <w:szCs w:val="22"/>
              </w:rPr>
              <w:tab/>
            </w:r>
            <w:r w:rsidRPr="00880F61">
              <w:rPr>
                <w:rFonts w:ascii="Arial" w:hAnsi="Arial" w:cs="Arial"/>
                <w:noProof/>
                <w:webHidden/>
                <w:sz w:val="22"/>
                <w:szCs w:val="22"/>
              </w:rPr>
              <w:fldChar w:fldCharType="begin"/>
            </w:r>
            <w:r w:rsidRPr="00880F61">
              <w:rPr>
                <w:rFonts w:ascii="Arial" w:hAnsi="Arial" w:cs="Arial"/>
                <w:noProof/>
                <w:webHidden/>
                <w:sz w:val="22"/>
                <w:szCs w:val="22"/>
              </w:rPr>
              <w:instrText xml:space="preserve"> PAGEREF _Toc55494303 \h </w:instrText>
            </w:r>
            <w:r w:rsidRPr="00880F61">
              <w:rPr>
                <w:rFonts w:ascii="Arial" w:hAnsi="Arial" w:cs="Arial"/>
                <w:noProof/>
                <w:webHidden/>
                <w:sz w:val="22"/>
                <w:szCs w:val="22"/>
              </w:rPr>
            </w:r>
            <w:r w:rsidRPr="00880F61">
              <w:rPr>
                <w:rFonts w:ascii="Arial" w:hAnsi="Arial" w:cs="Arial"/>
                <w:noProof/>
                <w:webHidden/>
                <w:sz w:val="22"/>
                <w:szCs w:val="22"/>
              </w:rPr>
              <w:fldChar w:fldCharType="separate"/>
            </w:r>
            <w:r w:rsidRPr="00880F61">
              <w:rPr>
                <w:rFonts w:ascii="Arial" w:hAnsi="Arial" w:cs="Arial"/>
                <w:noProof/>
                <w:webHidden/>
                <w:sz w:val="22"/>
                <w:szCs w:val="22"/>
              </w:rPr>
              <w:t>87</w:t>
            </w:r>
            <w:r w:rsidRPr="00880F61">
              <w:rPr>
                <w:rFonts w:ascii="Arial" w:hAnsi="Arial" w:cs="Arial"/>
                <w:noProof/>
                <w:webHidden/>
                <w:sz w:val="22"/>
                <w:szCs w:val="22"/>
              </w:rPr>
              <w:fldChar w:fldCharType="end"/>
            </w:r>
          </w:hyperlink>
        </w:p>
        <w:p w:rsidR="00880F61" w:rsidRPr="00880F61" w:rsidRDefault="00880F61">
          <w:pPr>
            <w:pStyle w:val="TDC3"/>
            <w:tabs>
              <w:tab w:val="right" w:pos="8488"/>
            </w:tabs>
            <w:rPr>
              <w:rFonts w:ascii="Arial" w:eastAsiaTheme="minorEastAsia" w:hAnsi="Arial" w:cs="Arial"/>
              <w:noProof/>
              <w:sz w:val="22"/>
              <w:szCs w:val="22"/>
              <w:lang w:val="en-US"/>
            </w:rPr>
          </w:pPr>
          <w:hyperlink w:anchor="_Toc55494304" w:history="1">
            <w:r w:rsidRPr="00880F61">
              <w:rPr>
                <w:rStyle w:val="Hipervnculo"/>
                <w:rFonts w:ascii="Arial" w:eastAsia="Arial" w:hAnsi="Arial" w:cs="Arial"/>
                <w:noProof/>
                <w:sz w:val="22"/>
                <w:szCs w:val="22"/>
              </w:rPr>
              <w:t>Planes de Mejoramiento</w:t>
            </w:r>
            <w:r w:rsidRPr="00880F61">
              <w:rPr>
                <w:rFonts w:ascii="Arial" w:hAnsi="Arial" w:cs="Arial"/>
                <w:noProof/>
                <w:webHidden/>
                <w:sz w:val="22"/>
                <w:szCs w:val="22"/>
              </w:rPr>
              <w:tab/>
            </w:r>
            <w:r w:rsidRPr="00880F61">
              <w:rPr>
                <w:rFonts w:ascii="Arial" w:hAnsi="Arial" w:cs="Arial"/>
                <w:noProof/>
                <w:webHidden/>
                <w:sz w:val="22"/>
                <w:szCs w:val="22"/>
              </w:rPr>
              <w:fldChar w:fldCharType="begin"/>
            </w:r>
            <w:r w:rsidRPr="00880F61">
              <w:rPr>
                <w:rFonts w:ascii="Arial" w:hAnsi="Arial" w:cs="Arial"/>
                <w:noProof/>
                <w:webHidden/>
                <w:sz w:val="22"/>
                <w:szCs w:val="22"/>
              </w:rPr>
              <w:instrText xml:space="preserve"> PAGEREF _Toc55494304 \h </w:instrText>
            </w:r>
            <w:r w:rsidRPr="00880F61">
              <w:rPr>
                <w:rFonts w:ascii="Arial" w:hAnsi="Arial" w:cs="Arial"/>
                <w:noProof/>
                <w:webHidden/>
                <w:sz w:val="22"/>
                <w:szCs w:val="22"/>
              </w:rPr>
            </w:r>
            <w:r w:rsidRPr="00880F61">
              <w:rPr>
                <w:rFonts w:ascii="Arial" w:hAnsi="Arial" w:cs="Arial"/>
                <w:noProof/>
                <w:webHidden/>
                <w:sz w:val="22"/>
                <w:szCs w:val="22"/>
              </w:rPr>
              <w:fldChar w:fldCharType="separate"/>
            </w:r>
            <w:r w:rsidRPr="00880F61">
              <w:rPr>
                <w:rFonts w:ascii="Arial" w:hAnsi="Arial" w:cs="Arial"/>
                <w:noProof/>
                <w:webHidden/>
                <w:sz w:val="22"/>
                <w:szCs w:val="22"/>
              </w:rPr>
              <w:t>87</w:t>
            </w:r>
            <w:r w:rsidRPr="00880F61">
              <w:rPr>
                <w:rFonts w:ascii="Arial" w:hAnsi="Arial" w:cs="Arial"/>
                <w:noProof/>
                <w:webHidden/>
                <w:sz w:val="22"/>
                <w:szCs w:val="22"/>
              </w:rPr>
              <w:fldChar w:fldCharType="end"/>
            </w:r>
          </w:hyperlink>
        </w:p>
        <w:p w:rsidR="00880F61" w:rsidRPr="00880F61" w:rsidRDefault="00880F61">
          <w:pPr>
            <w:pStyle w:val="TDC3"/>
            <w:tabs>
              <w:tab w:val="right" w:pos="8488"/>
            </w:tabs>
            <w:rPr>
              <w:rFonts w:ascii="Arial" w:eastAsiaTheme="minorEastAsia" w:hAnsi="Arial" w:cs="Arial"/>
              <w:noProof/>
              <w:sz w:val="22"/>
              <w:szCs w:val="22"/>
              <w:lang w:val="en-US"/>
            </w:rPr>
          </w:pPr>
          <w:hyperlink w:anchor="_Toc55494305" w:history="1">
            <w:r w:rsidRPr="00880F61">
              <w:rPr>
                <w:rStyle w:val="Hipervnculo"/>
                <w:rFonts w:ascii="Arial" w:eastAsia="Arial" w:hAnsi="Arial" w:cs="Arial"/>
                <w:noProof/>
                <w:sz w:val="22"/>
                <w:szCs w:val="22"/>
              </w:rPr>
              <w:t>Auditorías Externas</w:t>
            </w:r>
            <w:r w:rsidRPr="00880F61">
              <w:rPr>
                <w:rFonts w:ascii="Arial" w:hAnsi="Arial" w:cs="Arial"/>
                <w:noProof/>
                <w:webHidden/>
                <w:sz w:val="22"/>
                <w:szCs w:val="22"/>
              </w:rPr>
              <w:tab/>
            </w:r>
            <w:r w:rsidRPr="00880F61">
              <w:rPr>
                <w:rFonts w:ascii="Arial" w:hAnsi="Arial" w:cs="Arial"/>
                <w:noProof/>
                <w:webHidden/>
                <w:sz w:val="22"/>
                <w:szCs w:val="22"/>
              </w:rPr>
              <w:fldChar w:fldCharType="begin"/>
            </w:r>
            <w:r w:rsidRPr="00880F61">
              <w:rPr>
                <w:rFonts w:ascii="Arial" w:hAnsi="Arial" w:cs="Arial"/>
                <w:noProof/>
                <w:webHidden/>
                <w:sz w:val="22"/>
                <w:szCs w:val="22"/>
              </w:rPr>
              <w:instrText xml:space="preserve"> PAGEREF _Toc55494305 \h </w:instrText>
            </w:r>
            <w:r w:rsidRPr="00880F61">
              <w:rPr>
                <w:rFonts w:ascii="Arial" w:hAnsi="Arial" w:cs="Arial"/>
                <w:noProof/>
                <w:webHidden/>
                <w:sz w:val="22"/>
                <w:szCs w:val="22"/>
              </w:rPr>
            </w:r>
            <w:r w:rsidRPr="00880F61">
              <w:rPr>
                <w:rFonts w:ascii="Arial" w:hAnsi="Arial" w:cs="Arial"/>
                <w:noProof/>
                <w:webHidden/>
                <w:sz w:val="22"/>
                <w:szCs w:val="22"/>
              </w:rPr>
              <w:fldChar w:fldCharType="separate"/>
            </w:r>
            <w:r w:rsidRPr="00880F61">
              <w:rPr>
                <w:rFonts w:ascii="Arial" w:hAnsi="Arial" w:cs="Arial"/>
                <w:noProof/>
                <w:webHidden/>
                <w:sz w:val="22"/>
                <w:szCs w:val="22"/>
              </w:rPr>
              <w:t>88</w:t>
            </w:r>
            <w:r w:rsidRPr="00880F61">
              <w:rPr>
                <w:rFonts w:ascii="Arial" w:hAnsi="Arial" w:cs="Arial"/>
                <w:noProof/>
                <w:webHidden/>
                <w:sz w:val="22"/>
                <w:szCs w:val="22"/>
              </w:rPr>
              <w:fldChar w:fldCharType="end"/>
            </w:r>
          </w:hyperlink>
        </w:p>
        <w:p w:rsidR="00B202A2" w:rsidRDefault="00295E06">
          <w:pPr>
            <w:rPr>
              <w:rFonts w:ascii="Arial" w:eastAsia="Arial" w:hAnsi="Arial" w:cs="Arial"/>
              <w:sz w:val="22"/>
              <w:szCs w:val="22"/>
            </w:rPr>
          </w:pPr>
          <w:r>
            <w:fldChar w:fldCharType="end"/>
          </w:r>
        </w:p>
      </w:sdtContent>
    </w:sdt>
    <w:p w:rsidR="00B202A2" w:rsidRDefault="00B202A2">
      <w:pPr>
        <w:rPr>
          <w:rFonts w:ascii="Arial" w:eastAsia="Arial" w:hAnsi="Arial" w:cs="Arial"/>
          <w:sz w:val="22"/>
          <w:szCs w:val="22"/>
        </w:rPr>
      </w:pPr>
    </w:p>
    <w:p w:rsidR="00B202A2" w:rsidRDefault="00295E06">
      <w:pPr>
        <w:rPr>
          <w:rFonts w:ascii="Arial" w:eastAsia="Arial" w:hAnsi="Arial" w:cs="Arial"/>
          <w:sz w:val="22"/>
          <w:szCs w:val="22"/>
        </w:rPr>
      </w:pPr>
      <w:r>
        <w:br w:type="page"/>
      </w:r>
    </w:p>
    <w:p w:rsidR="00B202A2" w:rsidRDefault="00295E06">
      <w:pPr>
        <w:pBdr>
          <w:top w:val="nil"/>
          <w:left w:val="nil"/>
          <w:bottom w:val="nil"/>
          <w:right w:val="nil"/>
          <w:between w:val="nil"/>
        </w:pBdr>
        <w:spacing w:before="240"/>
        <w:rPr>
          <w:rFonts w:ascii="Arial" w:eastAsia="Arial" w:hAnsi="Arial" w:cs="Arial"/>
          <w:color w:val="366091"/>
          <w:sz w:val="22"/>
          <w:szCs w:val="22"/>
        </w:rPr>
      </w:pPr>
      <w:r>
        <w:rPr>
          <w:rFonts w:ascii="Arial" w:eastAsia="Arial" w:hAnsi="Arial" w:cs="Arial"/>
          <w:color w:val="366091"/>
          <w:sz w:val="22"/>
          <w:szCs w:val="22"/>
        </w:rPr>
        <w:lastRenderedPageBreak/>
        <w:t xml:space="preserve">Contenido de Tablas </w:t>
      </w:r>
    </w:p>
    <w:p w:rsidR="00B202A2" w:rsidRDefault="00B202A2">
      <w:pPr>
        <w:pBdr>
          <w:top w:val="nil"/>
          <w:left w:val="nil"/>
          <w:bottom w:val="nil"/>
          <w:right w:val="nil"/>
          <w:between w:val="nil"/>
        </w:pBdr>
        <w:rPr>
          <w:rFonts w:ascii="Arial" w:eastAsia="Arial" w:hAnsi="Arial" w:cs="Arial"/>
          <w:color w:val="366091"/>
          <w:sz w:val="22"/>
          <w:szCs w:val="22"/>
        </w:rPr>
      </w:pPr>
    </w:p>
    <w:p w:rsidR="00B202A2" w:rsidRDefault="00295E06">
      <w:pPr>
        <w:shd w:val="clear" w:color="auto" w:fill="FFFFFF"/>
        <w:jc w:val="both"/>
        <w:rPr>
          <w:rFonts w:ascii="Arial" w:eastAsia="Arial" w:hAnsi="Arial" w:cs="Arial"/>
          <w:sz w:val="22"/>
          <w:szCs w:val="22"/>
        </w:rPr>
      </w:pPr>
      <w:r>
        <w:rPr>
          <w:rFonts w:ascii="Arial" w:eastAsia="Arial" w:hAnsi="Arial" w:cs="Arial"/>
          <w:sz w:val="22"/>
          <w:szCs w:val="22"/>
        </w:rPr>
        <w:t>Tabla 1. Obras propuestas para adoptar el Plan de Abastecimiento de Gas Natural</w:t>
      </w:r>
    </w:p>
    <w:p w:rsidR="00B202A2" w:rsidRDefault="00295E06">
      <w:pPr>
        <w:shd w:val="clear" w:color="auto" w:fill="FFFFFF"/>
        <w:jc w:val="both"/>
        <w:rPr>
          <w:rFonts w:ascii="Arial" w:eastAsia="Arial" w:hAnsi="Arial" w:cs="Arial"/>
          <w:sz w:val="22"/>
          <w:szCs w:val="22"/>
        </w:rPr>
      </w:pPr>
      <w:r>
        <w:rPr>
          <w:rFonts w:ascii="Arial" w:eastAsia="Arial" w:hAnsi="Arial" w:cs="Arial"/>
          <w:sz w:val="22"/>
          <w:szCs w:val="22"/>
        </w:rPr>
        <w:t>Tabla 2. Detalle de Cupos de Combustibles</w:t>
      </w:r>
    </w:p>
    <w:p w:rsidR="00B202A2" w:rsidRDefault="00295E06">
      <w:pPr>
        <w:shd w:val="clear" w:color="auto" w:fill="FFFFFF"/>
        <w:jc w:val="both"/>
        <w:rPr>
          <w:rFonts w:ascii="Arial" w:eastAsia="Arial" w:hAnsi="Arial" w:cs="Arial"/>
          <w:sz w:val="22"/>
          <w:szCs w:val="22"/>
        </w:rPr>
      </w:pPr>
      <w:r>
        <w:rPr>
          <w:rFonts w:ascii="Arial" w:eastAsia="Arial" w:hAnsi="Arial" w:cs="Arial"/>
          <w:sz w:val="22"/>
          <w:szCs w:val="22"/>
        </w:rPr>
        <w:t xml:space="preserve">Tabla 3. Contratación vigencia del 1 de diciembre al 31 de diciembre de 2019 </w:t>
      </w:r>
    </w:p>
    <w:p w:rsidR="00B202A2" w:rsidRDefault="00295E06">
      <w:pPr>
        <w:rPr>
          <w:rFonts w:ascii="Arial" w:eastAsia="Arial" w:hAnsi="Arial" w:cs="Arial"/>
          <w:sz w:val="22"/>
          <w:szCs w:val="22"/>
        </w:rPr>
      </w:pPr>
      <w:r>
        <w:rPr>
          <w:rFonts w:ascii="Arial" w:eastAsia="Arial" w:hAnsi="Arial" w:cs="Arial"/>
          <w:sz w:val="22"/>
          <w:szCs w:val="22"/>
        </w:rPr>
        <w:t xml:space="preserve">Tabla 4. Contratación Vigencia del 1 enero al 31 de octubre de 2020 </w:t>
      </w:r>
    </w:p>
    <w:p w:rsidR="00B202A2" w:rsidRDefault="00295E06">
      <w:pPr>
        <w:shd w:val="clear" w:color="auto" w:fill="FFFFFF"/>
        <w:jc w:val="both"/>
        <w:rPr>
          <w:rFonts w:ascii="Arial" w:eastAsia="Arial" w:hAnsi="Arial" w:cs="Arial"/>
          <w:sz w:val="22"/>
          <w:szCs w:val="22"/>
        </w:rPr>
      </w:pPr>
      <w:r>
        <w:rPr>
          <w:rFonts w:ascii="Arial" w:eastAsia="Arial" w:hAnsi="Arial" w:cs="Arial"/>
          <w:sz w:val="22"/>
          <w:szCs w:val="22"/>
        </w:rPr>
        <w:t>Tabla 5. Gastos en servicios públicos</w:t>
      </w:r>
    </w:p>
    <w:p w:rsidR="00B202A2" w:rsidRDefault="00295E06">
      <w:pPr>
        <w:shd w:val="clear" w:color="auto" w:fill="FFFFFF"/>
        <w:jc w:val="both"/>
        <w:rPr>
          <w:rFonts w:ascii="Arial" w:eastAsia="Arial" w:hAnsi="Arial" w:cs="Arial"/>
          <w:sz w:val="22"/>
          <w:szCs w:val="22"/>
        </w:rPr>
      </w:pPr>
      <w:r>
        <w:rPr>
          <w:rFonts w:ascii="Arial" w:eastAsia="Arial" w:hAnsi="Arial" w:cs="Arial"/>
          <w:sz w:val="22"/>
          <w:szCs w:val="22"/>
        </w:rPr>
        <w:t>Tabla 6. Programas de Gestión Ambiental</w:t>
      </w:r>
    </w:p>
    <w:p w:rsidR="00B202A2" w:rsidRDefault="00295E06">
      <w:pPr>
        <w:shd w:val="clear" w:color="auto" w:fill="FFFFFF"/>
        <w:jc w:val="both"/>
        <w:rPr>
          <w:rFonts w:ascii="Arial" w:eastAsia="Arial" w:hAnsi="Arial" w:cs="Arial"/>
          <w:sz w:val="22"/>
          <w:szCs w:val="22"/>
        </w:rPr>
      </w:pPr>
      <w:hyperlink w:anchor="_heading=h.eyh4p0j0r6e3">
        <w:r>
          <w:rPr>
            <w:rFonts w:ascii="Arial" w:eastAsia="Arial" w:hAnsi="Arial" w:cs="Arial"/>
            <w:sz w:val="22"/>
            <w:szCs w:val="22"/>
          </w:rPr>
          <w:t>Tabla 7. Generación de residuos orgánicos y aprovechables con r</w:t>
        </w:r>
        <w:r>
          <w:rPr>
            <w:rFonts w:ascii="Arial" w:eastAsia="Arial" w:hAnsi="Arial" w:cs="Arial"/>
            <w:sz w:val="22"/>
            <w:szCs w:val="22"/>
          </w:rPr>
          <w:t>especto a la vigencia anterior.</w:t>
        </w:r>
      </w:hyperlink>
      <w:r>
        <w:rPr>
          <w:rFonts w:ascii="Arial" w:eastAsia="Arial" w:hAnsi="Arial" w:cs="Arial"/>
          <w:sz w:val="22"/>
          <w:szCs w:val="22"/>
        </w:rPr>
        <w:t xml:space="preserve"> </w:t>
      </w:r>
    </w:p>
    <w:p w:rsidR="00B202A2" w:rsidRDefault="00295E06">
      <w:pPr>
        <w:shd w:val="clear" w:color="auto" w:fill="FFFFFF"/>
        <w:jc w:val="both"/>
        <w:rPr>
          <w:rFonts w:ascii="Arial" w:eastAsia="Arial" w:hAnsi="Arial" w:cs="Arial"/>
          <w:sz w:val="22"/>
          <w:szCs w:val="22"/>
        </w:rPr>
      </w:pPr>
      <w:r>
        <w:rPr>
          <w:rFonts w:ascii="Arial" w:eastAsia="Arial" w:hAnsi="Arial" w:cs="Arial"/>
          <w:sz w:val="22"/>
          <w:szCs w:val="22"/>
        </w:rPr>
        <w:t xml:space="preserve">Tabla 8. detalle de los activos de esta anualidad con corte a 30 de septiembre-2020. Tabla 9. Presupuesto </w:t>
      </w:r>
    </w:p>
    <w:p w:rsidR="00B202A2" w:rsidRDefault="00295E06">
      <w:pPr>
        <w:rPr>
          <w:rFonts w:ascii="Arial" w:eastAsia="Arial" w:hAnsi="Arial" w:cs="Arial"/>
          <w:sz w:val="22"/>
          <w:szCs w:val="22"/>
        </w:rPr>
      </w:pPr>
      <w:r>
        <w:rPr>
          <w:rFonts w:ascii="Arial" w:eastAsia="Arial" w:hAnsi="Arial" w:cs="Arial"/>
          <w:sz w:val="22"/>
          <w:szCs w:val="22"/>
        </w:rPr>
        <w:t xml:space="preserve">Tabla 10. Gastos de Funcionamiento  </w:t>
      </w:r>
    </w:p>
    <w:p w:rsidR="00B202A2" w:rsidRDefault="00295E06">
      <w:pPr>
        <w:jc w:val="both"/>
        <w:rPr>
          <w:rFonts w:ascii="Arial" w:eastAsia="Arial" w:hAnsi="Arial" w:cs="Arial"/>
          <w:sz w:val="22"/>
          <w:szCs w:val="22"/>
        </w:rPr>
      </w:pPr>
      <w:r>
        <w:rPr>
          <w:rFonts w:ascii="Arial" w:eastAsia="Arial" w:hAnsi="Arial" w:cs="Arial"/>
          <w:sz w:val="22"/>
          <w:szCs w:val="22"/>
        </w:rPr>
        <w:t xml:space="preserve">Tabla 11. Proyectos de Inversión  </w:t>
      </w:r>
    </w:p>
    <w:p w:rsidR="00B202A2" w:rsidRDefault="00295E06">
      <w:pPr>
        <w:jc w:val="both"/>
        <w:rPr>
          <w:rFonts w:ascii="Arial" w:eastAsia="Arial" w:hAnsi="Arial" w:cs="Arial"/>
          <w:sz w:val="22"/>
          <w:szCs w:val="22"/>
        </w:rPr>
      </w:pPr>
      <w:r>
        <w:rPr>
          <w:rFonts w:ascii="Arial" w:eastAsia="Arial" w:hAnsi="Arial" w:cs="Arial"/>
          <w:sz w:val="22"/>
          <w:szCs w:val="22"/>
        </w:rPr>
        <w:t>Tabla 12. ESTADO DE INGRESOS Con fecha de co</w:t>
      </w:r>
      <w:r>
        <w:rPr>
          <w:rFonts w:ascii="Arial" w:eastAsia="Arial" w:hAnsi="Arial" w:cs="Arial"/>
          <w:sz w:val="22"/>
          <w:szCs w:val="22"/>
        </w:rPr>
        <w:t>rte: 30 de septiembre de 2020</w:t>
      </w:r>
    </w:p>
    <w:p w:rsidR="00B202A2" w:rsidRDefault="00295E06">
      <w:pPr>
        <w:jc w:val="both"/>
        <w:rPr>
          <w:rFonts w:ascii="Arial" w:eastAsia="Arial" w:hAnsi="Arial" w:cs="Arial"/>
          <w:sz w:val="22"/>
          <w:szCs w:val="22"/>
        </w:rPr>
      </w:pPr>
      <w:r>
        <w:rPr>
          <w:rFonts w:ascii="Arial" w:eastAsia="Arial" w:hAnsi="Arial" w:cs="Arial"/>
          <w:sz w:val="22"/>
          <w:szCs w:val="22"/>
        </w:rPr>
        <w:t>Tabla 13. Gastos de Funcionamiento (Corte a 30-Sep-2020)</w:t>
      </w:r>
    </w:p>
    <w:p w:rsidR="00B202A2" w:rsidRDefault="00295E06">
      <w:pPr>
        <w:jc w:val="both"/>
        <w:rPr>
          <w:rFonts w:ascii="Arial" w:eastAsia="Arial" w:hAnsi="Arial" w:cs="Arial"/>
          <w:sz w:val="22"/>
          <w:szCs w:val="22"/>
        </w:rPr>
      </w:pPr>
      <w:r>
        <w:rPr>
          <w:rFonts w:ascii="Arial" w:eastAsia="Arial" w:hAnsi="Arial" w:cs="Arial"/>
          <w:sz w:val="22"/>
          <w:szCs w:val="22"/>
        </w:rPr>
        <w:t>Tabla 14. Ejecución por proyectos</w:t>
      </w:r>
    </w:p>
    <w:p w:rsidR="00B202A2" w:rsidRDefault="00295E06">
      <w:pPr>
        <w:jc w:val="both"/>
        <w:rPr>
          <w:rFonts w:ascii="Arial" w:eastAsia="Arial" w:hAnsi="Arial" w:cs="Arial"/>
          <w:sz w:val="22"/>
          <w:szCs w:val="22"/>
        </w:rPr>
      </w:pPr>
      <w:r>
        <w:rPr>
          <w:rFonts w:ascii="Arial" w:eastAsia="Arial" w:hAnsi="Arial" w:cs="Arial"/>
          <w:sz w:val="22"/>
          <w:szCs w:val="22"/>
        </w:rPr>
        <w:t>Tabla 15. Estado de Situación Financiera</w:t>
      </w:r>
    </w:p>
    <w:p w:rsidR="00B202A2" w:rsidRDefault="00295E06">
      <w:pPr>
        <w:jc w:val="both"/>
        <w:rPr>
          <w:rFonts w:ascii="Arial" w:eastAsia="Arial" w:hAnsi="Arial" w:cs="Arial"/>
          <w:sz w:val="22"/>
          <w:szCs w:val="22"/>
        </w:rPr>
      </w:pPr>
      <w:r>
        <w:rPr>
          <w:rFonts w:ascii="Arial" w:eastAsia="Arial" w:hAnsi="Arial" w:cs="Arial"/>
          <w:sz w:val="22"/>
          <w:szCs w:val="22"/>
        </w:rPr>
        <w:t>Tabla 16. Estado de Resultados</w:t>
      </w:r>
    </w:p>
    <w:p w:rsidR="00B202A2" w:rsidRDefault="00295E06">
      <w:pPr>
        <w:jc w:val="both"/>
        <w:rPr>
          <w:rFonts w:ascii="Arial" w:eastAsia="Arial" w:hAnsi="Arial" w:cs="Arial"/>
          <w:sz w:val="22"/>
          <w:szCs w:val="22"/>
        </w:rPr>
      </w:pPr>
      <w:r>
        <w:rPr>
          <w:rFonts w:ascii="Arial" w:eastAsia="Arial" w:hAnsi="Arial" w:cs="Arial"/>
          <w:sz w:val="22"/>
          <w:szCs w:val="22"/>
        </w:rPr>
        <w:t>Tabla 17. Estado de Cambios en el Patrimonio a 31 de diciembre de 2019</w:t>
      </w:r>
    </w:p>
    <w:p w:rsidR="00B202A2" w:rsidRDefault="00295E06">
      <w:pPr>
        <w:jc w:val="both"/>
        <w:rPr>
          <w:rFonts w:ascii="Arial" w:eastAsia="Arial" w:hAnsi="Arial" w:cs="Arial"/>
          <w:sz w:val="22"/>
          <w:szCs w:val="22"/>
        </w:rPr>
      </w:pPr>
      <w:r>
        <w:rPr>
          <w:rFonts w:ascii="Arial" w:eastAsia="Arial" w:hAnsi="Arial" w:cs="Arial"/>
          <w:sz w:val="22"/>
          <w:szCs w:val="22"/>
        </w:rPr>
        <w:t xml:space="preserve">Tabla 18. Estados de situación financiera </w:t>
      </w:r>
    </w:p>
    <w:p w:rsidR="00B202A2" w:rsidRDefault="00295E06">
      <w:pPr>
        <w:rPr>
          <w:rFonts w:ascii="Arial" w:eastAsia="Arial" w:hAnsi="Arial" w:cs="Arial"/>
          <w:sz w:val="22"/>
          <w:szCs w:val="22"/>
        </w:rPr>
      </w:pPr>
      <w:r>
        <w:rPr>
          <w:rFonts w:ascii="Arial" w:eastAsia="Arial" w:hAnsi="Arial" w:cs="Arial"/>
          <w:sz w:val="22"/>
          <w:szCs w:val="22"/>
        </w:rPr>
        <w:t>Tabla 19. Estado de Resultado de con corte al 30 de septiembre de 2020</w:t>
      </w:r>
    </w:p>
    <w:p w:rsidR="00B202A2" w:rsidRDefault="00295E06">
      <w:pPr>
        <w:rPr>
          <w:rFonts w:ascii="Arial" w:eastAsia="Arial" w:hAnsi="Arial" w:cs="Arial"/>
          <w:sz w:val="22"/>
          <w:szCs w:val="22"/>
        </w:rPr>
      </w:pPr>
      <w:r>
        <w:rPr>
          <w:rFonts w:ascii="Arial" w:eastAsia="Arial" w:hAnsi="Arial" w:cs="Arial"/>
          <w:sz w:val="22"/>
          <w:szCs w:val="22"/>
        </w:rPr>
        <w:t>Tabla 20. Empleos y planta de personal con corte a 9 de octubre de 2020</w:t>
      </w:r>
    </w:p>
    <w:p w:rsidR="00B202A2" w:rsidRDefault="00295E06">
      <w:pPr>
        <w:rPr>
          <w:rFonts w:ascii="Arial" w:eastAsia="Arial" w:hAnsi="Arial" w:cs="Arial"/>
          <w:sz w:val="22"/>
          <w:szCs w:val="22"/>
        </w:rPr>
      </w:pPr>
      <w:r>
        <w:rPr>
          <w:rFonts w:ascii="Arial" w:eastAsia="Arial" w:hAnsi="Arial" w:cs="Arial"/>
          <w:sz w:val="22"/>
          <w:szCs w:val="22"/>
        </w:rPr>
        <w:t>Tabla 21. Nivel profesional de la planta de personal</w:t>
      </w:r>
    </w:p>
    <w:p w:rsidR="00B202A2" w:rsidRDefault="00295E06">
      <w:pPr>
        <w:rPr>
          <w:rFonts w:ascii="Arial" w:eastAsia="Arial" w:hAnsi="Arial" w:cs="Arial"/>
          <w:sz w:val="22"/>
          <w:szCs w:val="22"/>
        </w:rPr>
      </w:pPr>
      <w:r>
        <w:rPr>
          <w:rFonts w:ascii="Arial" w:eastAsia="Arial" w:hAnsi="Arial" w:cs="Arial"/>
          <w:sz w:val="22"/>
          <w:szCs w:val="22"/>
        </w:rPr>
        <w:t>Tabla 22. Situación administrativa de los empleos de la planta de personal por sexo</w:t>
      </w:r>
    </w:p>
    <w:p w:rsidR="00B202A2" w:rsidRDefault="00295E06">
      <w:pPr>
        <w:jc w:val="both"/>
        <w:rPr>
          <w:rFonts w:ascii="Arial" w:eastAsia="Arial" w:hAnsi="Arial" w:cs="Arial"/>
          <w:sz w:val="22"/>
          <w:szCs w:val="22"/>
        </w:rPr>
      </w:pPr>
      <w:r>
        <w:rPr>
          <w:rFonts w:ascii="Arial" w:eastAsia="Arial" w:hAnsi="Arial" w:cs="Arial"/>
          <w:sz w:val="22"/>
          <w:szCs w:val="22"/>
        </w:rPr>
        <w:t>Tabla 23. Distribución según ramas profesionales en la planta de personal</w:t>
      </w:r>
    </w:p>
    <w:p w:rsidR="00B202A2" w:rsidRDefault="00295E06">
      <w:pPr>
        <w:jc w:val="both"/>
        <w:rPr>
          <w:rFonts w:ascii="Arial" w:eastAsia="Arial" w:hAnsi="Arial" w:cs="Arial"/>
          <w:sz w:val="22"/>
          <w:szCs w:val="22"/>
        </w:rPr>
      </w:pPr>
      <w:r>
        <w:rPr>
          <w:rFonts w:ascii="Arial" w:eastAsia="Arial" w:hAnsi="Arial" w:cs="Arial"/>
          <w:sz w:val="22"/>
          <w:szCs w:val="22"/>
        </w:rPr>
        <w:t>Tabla 25. Actividades en el Plan Institucional de Capacitación</w:t>
      </w:r>
    </w:p>
    <w:p w:rsidR="00B202A2" w:rsidRDefault="00B202A2">
      <w:pPr>
        <w:shd w:val="clear" w:color="auto" w:fill="FFFFFF"/>
        <w:spacing w:before="240"/>
        <w:jc w:val="both"/>
        <w:rPr>
          <w:rFonts w:ascii="Arial" w:eastAsia="Arial" w:hAnsi="Arial" w:cs="Arial"/>
          <w:sz w:val="22"/>
          <w:szCs w:val="22"/>
          <w:highlight w:val="yellow"/>
        </w:rPr>
      </w:pPr>
    </w:p>
    <w:p w:rsidR="00B202A2" w:rsidRDefault="00295E06">
      <w:pPr>
        <w:pBdr>
          <w:top w:val="nil"/>
          <w:left w:val="nil"/>
          <w:bottom w:val="nil"/>
          <w:right w:val="nil"/>
          <w:between w:val="nil"/>
        </w:pBdr>
        <w:rPr>
          <w:rFonts w:ascii="Arial" w:eastAsia="Arial" w:hAnsi="Arial" w:cs="Arial"/>
          <w:color w:val="366091"/>
          <w:sz w:val="22"/>
          <w:szCs w:val="22"/>
        </w:rPr>
      </w:pPr>
      <w:r>
        <w:rPr>
          <w:rFonts w:ascii="Arial" w:eastAsia="Arial" w:hAnsi="Arial" w:cs="Arial"/>
          <w:color w:val="366091"/>
          <w:sz w:val="22"/>
          <w:szCs w:val="22"/>
        </w:rPr>
        <w:t>Contenido de Gráficos</w:t>
      </w:r>
    </w:p>
    <w:p w:rsidR="00B202A2" w:rsidRDefault="00B202A2">
      <w:pPr>
        <w:pBdr>
          <w:top w:val="nil"/>
          <w:left w:val="nil"/>
          <w:bottom w:val="nil"/>
          <w:right w:val="nil"/>
          <w:between w:val="nil"/>
        </w:pBdr>
        <w:rPr>
          <w:rFonts w:ascii="Arial" w:eastAsia="Arial" w:hAnsi="Arial" w:cs="Arial"/>
          <w:color w:val="000000"/>
          <w:sz w:val="22"/>
          <w:szCs w:val="22"/>
        </w:rPr>
      </w:pPr>
    </w:p>
    <w:p w:rsidR="00B202A2" w:rsidRDefault="00295E06">
      <w:pPr>
        <w:shd w:val="clear" w:color="auto" w:fill="FFFFFF"/>
        <w:jc w:val="both"/>
        <w:rPr>
          <w:rFonts w:ascii="Arial" w:eastAsia="Arial" w:hAnsi="Arial" w:cs="Arial"/>
          <w:sz w:val="22"/>
          <w:szCs w:val="22"/>
        </w:rPr>
      </w:pPr>
      <w:r>
        <w:rPr>
          <w:rFonts w:ascii="Arial" w:eastAsia="Arial" w:hAnsi="Arial" w:cs="Arial"/>
          <w:sz w:val="22"/>
          <w:szCs w:val="22"/>
        </w:rPr>
        <w:t>Gráfica 1. Proyectos de Generación registrados</w:t>
      </w:r>
    </w:p>
    <w:p w:rsidR="00B202A2" w:rsidRDefault="00295E06">
      <w:pPr>
        <w:shd w:val="clear" w:color="auto" w:fill="FFFFFF"/>
        <w:jc w:val="both"/>
        <w:rPr>
          <w:rFonts w:ascii="Arial" w:eastAsia="Arial" w:hAnsi="Arial" w:cs="Arial"/>
          <w:sz w:val="22"/>
          <w:szCs w:val="22"/>
        </w:rPr>
      </w:pPr>
      <w:r>
        <w:rPr>
          <w:rFonts w:ascii="Arial" w:eastAsia="Arial" w:hAnsi="Arial" w:cs="Arial"/>
          <w:sz w:val="22"/>
          <w:szCs w:val="22"/>
        </w:rPr>
        <w:t>Gráfica 2. Conexiones de generación aprobadas</w:t>
      </w:r>
    </w:p>
    <w:p w:rsidR="00B202A2" w:rsidRDefault="00295E06">
      <w:pPr>
        <w:shd w:val="clear" w:color="auto" w:fill="FFFFFF"/>
        <w:jc w:val="both"/>
        <w:rPr>
          <w:rFonts w:ascii="Arial" w:eastAsia="Arial" w:hAnsi="Arial" w:cs="Arial"/>
          <w:sz w:val="22"/>
          <w:szCs w:val="22"/>
        </w:rPr>
      </w:pPr>
      <w:r>
        <w:rPr>
          <w:rFonts w:ascii="Arial" w:eastAsia="Arial" w:hAnsi="Arial" w:cs="Arial"/>
          <w:sz w:val="22"/>
          <w:szCs w:val="22"/>
        </w:rPr>
        <w:t>Gráfica 3. Consumo de Energía Eléctrica</w:t>
      </w:r>
    </w:p>
    <w:p w:rsidR="00B202A2" w:rsidRDefault="00295E06">
      <w:pPr>
        <w:shd w:val="clear" w:color="auto" w:fill="FFFFFF"/>
        <w:jc w:val="both"/>
        <w:rPr>
          <w:rFonts w:ascii="Arial" w:eastAsia="Arial" w:hAnsi="Arial" w:cs="Arial"/>
          <w:sz w:val="22"/>
          <w:szCs w:val="22"/>
        </w:rPr>
      </w:pPr>
      <w:r>
        <w:rPr>
          <w:rFonts w:ascii="Arial" w:eastAsia="Arial" w:hAnsi="Arial" w:cs="Arial"/>
          <w:sz w:val="22"/>
          <w:szCs w:val="22"/>
        </w:rPr>
        <w:t>Gráfica 4. Consumo de Agua</w:t>
      </w:r>
    </w:p>
    <w:p w:rsidR="00B202A2" w:rsidRDefault="00295E06">
      <w:pPr>
        <w:shd w:val="clear" w:color="auto" w:fill="FFFFFF"/>
        <w:jc w:val="both"/>
        <w:rPr>
          <w:rFonts w:ascii="Arial" w:eastAsia="Arial" w:hAnsi="Arial" w:cs="Arial"/>
          <w:sz w:val="22"/>
          <w:szCs w:val="22"/>
        </w:rPr>
      </w:pPr>
      <w:r>
        <w:rPr>
          <w:rFonts w:ascii="Arial" w:eastAsia="Arial" w:hAnsi="Arial" w:cs="Arial"/>
          <w:sz w:val="22"/>
          <w:szCs w:val="22"/>
        </w:rPr>
        <w:t>Gráfica 5</w:t>
      </w:r>
      <w:r>
        <w:rPr>
          <w:rFonts w:ascii="Arial" w:eastAsia="Arial" w:hAnsi="Arial" w:cs="Arial"/>
          <w:sz w:val="22"/>
          <w:szCs w:val="22"/>
        </w:rPr>
        <w:t xml:space="preserve">. Gráfica generación de residuos ordinarios y reciclables en la UPME, periodo agosto 2018-diciembre 2019 </w:t>
      </w:r>
    </w:p>
    <w:p w:rsidR="00B202A2" w:rsidRDefault="00295E06">
      <w:pPr>
        <w:shd w:val="clear" w:color="auto" w:fill="FFFFFF"/>
        <w:jc w:val="both"/>
        <w:rPr>
          <w:rFonts w:ascii="Arial" w:eastAsia="Arial" w:hAnsi="Arial" w:cs="Arial"/>
          <w:sz w:val="22"/>
          <w:szCs w:val="22"/>
        </w:rPr>
      </w:pPr>
      <w:r>
        <w:rPr>
          <w:rFonts w:ascii="Arial" w:eastAsia="Arial" w:hAnsi="Arial" w:cs="Arial"/>
          <w:sz w:val="22"/>
          <w:szCs w:val="22"/>
        </w:rPr>
        <w:t>Gráfica 6. Gráfica generación de residuos ordinarios y reciclables en la UPME vigencia 2019.</w:t>
      </w:r>
    </w:p>
    <w:p w:rsidR="00B202A2" w:rsidRDefault="00295E06">
      <w:pPr>
        <w:shd w:val="clear" w:color="auto" w:fill="FFFFFF"/>
        <w:jc w:val="both"/>
        <w:rPr>
          <w:rFonts w:ascii="Arial" w:eastAsia="Arial" w:hAnsi="Arial" w:cs="Arial"/>
          <w:sz w:val="22"/>
          <w:szCs w:val="22"/>
        </w:rPr>
      </w:pPr>
      <w:r>
        <w:rPr>
          <w:rFonts w:ascii="Arial" w:eastAsia="Arial" w:hAnsi="Arial" w:cs="Arial"/>
          <w:sz w:val="22"/>
          <w:szCs w:val="22"/>
        </w:rPr>
        <w:t>Gráfica 7. Gráfica generación de residuos ordinarios y re</w:t>
      </w:r>
      <w:r>
        <w:rPr>
          <w:rFonts w:ascii="Arial" w:eastAsia="Arial" w:hAnsi="Arial" w:cs="Arial"/>
          <w:sz w:val="22"/>
          <w:szCs w:val="22"/>
        </w:rPr>
        <w:t>ciclables en la UPME con fecha de corte 20 de octubre de 2020</w:t>
      </w:r>
    </w:p>
    <w:p w:rsidR="00B202A2" w:rsidRDefault="00295E06">
      <w:pPr>
        <w:shd w:val="clear" w:color="auto" w:fill="FFFFFF"/>
        <w:jc w:val="both"/>
        <w:rPr>
          <w:rFonts w:ascii="Arial" w:eastAsia="Arial" w:hAnsi="Arial" w:cs="Arial"/>
          <w:sz w:val="22"/>
          <w:szCs w:val="22"/>
        </w:rPr>
      </w:pPr>
      <w:r>
        <w:rPr>
          <w:rFonts w:ascii="Arial" w:eastAsia="Arial" w:hAnsi="Arial" w:cs="Arial"/>
          <w:sz w:val="22"/>
          <w:szCs w:val="22"/>
        </w:rPr>
        <w:t>Gráfica 8. Tipos de residuos reciclables generados en la UPME con fecha de corte 20 de octubre de 2020.</w:t>
      </w:r>
    </w:p>
    <w:p w:rsidR="00B202A2" w:rsidRDefault="00295E06">
      <w:pPr>
        <w:shd w:val="clear" w:color="auto" w:fill="FFFFFF"/>
        <w:jc w:val="both"/>
        <w:rPr>
          <w:rFonts w:ascii="Arial" w:eastAsia="Arial" w:hAnsi="Arial" w:cs="Arial"/>
          <w:sz w:val="22"/>
          <w:szCs w:val="22"/>
        </w:rPr>
      </w:pPr>
      <w:r>
        <w:rPr>
          <w:rFonts w:ascii="Arial" w:eastAsia="Arial" w:hAnsi="Arial" w:cs="Arial"/>
          <w:sz w:val="22"/>
          <w:szCs w:val="22"/>
        </w:rPr>
        <w:t>Gráfica 9. Consumo de energía en el Piso 9 de la UPME, periodo 1 enero – 13 de octubre 202</w:t>
      </w:r>
      <w:r>
        <w:rPr>
          <w:rFonts w:ascii="Arial" w:eastAsia="Arial" w:hAnsi="Arial" w:cs="Arial"/>
          <w:sz w:val="22"/>
          <w:szCs w:val="22"/>
        </w:rPr>
        <w:t>0.</w:t>
      </w:r>
    </w:p>
    <w:p w:rsidR="00B202A2" w:rsidRDefault="00295E06">
      <w:pPr>
        <w:shd w:val="clear" w:color="auto" w:fill="FFFFFF"/>
        <w:jc w:val="both"/>
        <w:rPr>
          <w:rFonts w:ascii="Arial" w:eastAsia="Arial" w:hAnsi="Arial" w:cs="Arial"/>
          <w:sz w:val="22"/>
          <w:szCs w:val="22"/>
        </w:rPr>
      </w:pPr>
      <w:r>
        <w:rPr>
          <w:rFonts w:ascii="Arial" w:eastAsia="Arial" w:hAnsi="Arial" w:cs="Arial"/>
          <w:sz w:val="22"/>
          <w:szCs w:val="22"/>
        </w:rPr>
        <w:t>Gráfica 10. Consumo de energía en otras oficinas de la UPME, periodo 1 enero – 13 octubre 2020.</w:t>
      </w:r>
    </w:p>
    <w:p w:rsidR="00B202A2" w:rsidRDefault="00295E06">
      <w:pPr>
        <w:shd w:val="clear" w:color="auto" w:fill="FFFFFF"/>
        <w:jc w:val="both"/>
        <w:rPr>
          <w:rFonts w:ascii="Arial" w:eastAsia="Arial" w:hAnsi="Arial" w:cs="Arial"/>
          <w:sz w:val="22"/>
          <w:szCs w:val="22"/>
        </w:rPr>
      </w:pPr>
      <w:r>
        <w:rPr>
          <w:rFonts w:ascii="Arial" w:eastAsia="Arial" w:hAnsi="Arial" w:cs="Arial"/>
          <w:sz w:val="22"/>
          <w:szCs w:val="22"/>
        </w:rPr>
        <w:t>Gráfica 11. Consumo de agua en la UPME, periodo 1 enero – 1 de septiembre de 2020</w:t>
      </w:r>
    </w:p>
    <w:p w:rsidR="00B202A2" w:rsidRDefault="00295E06">
      <w:pPr>
        <w:shd w:val="clear" w:color="auto" w:fill="FFFFFF"/>
        <w:jc w:val="both"/>
        <w:rPr>
          <w:rFonts w:ascii="Arial" w:eastAsia="Arial" w:hAnsi="Arial" w:cs="Arial"/>
          <w:sz w:val="22"/>
          <w:szCs w:val="22"/>
        </w:rPr>
      </w:pPr>
      <w:r>
        <w:rPr>
          <w:rFonts w:ascii="Arial" w:eastAsia="Arial" w:hAnsi="Arial" w:cs="Arial"/>
          <w:sz w:val="22"/>
          <w:szCs w:val="22"/>
        </w:rPr>
        <w:t>Gráfica 12. Ejecución Presupuestal Compromisos a septiembre 30 de 2020</w:t>
      </w:r>
    </w:p>
    <w:p w:rsidR="00B202A2" w:rsidRDefault="00B202A2">
      <w:pPr>
        <w:rPr>
          <w:rFonts w:ascii="Arial" w:eastAsia="Arial" w:hAnsi="Arial" w:cs="Arial"/>
          <w:sz w:val="22"/>
          <w:szCs w:val="22"/>
          <w:highlight w:val="yellow"/>
          <w:u w:val="single"/>
        </w:rPr>
      </w:pPr>
    </w:p>
    <w:p w:rsidR="00B202A2" w:rsidRDefault="00B202A2">
      <w:pPr>
        <w:rPr>
          <w:rFonts w:ascii="Arial" w:eastAsia="Arial" w:hAnsi="Arial" w:cs="Arial"/>
          <w:sz w:val="22"/>
          <w:szCs w:val="22"/>
          <w:highlight w:val="yellow"/>
          <w:u w:val="single"/>
        </w:rPr>
      </w:pPr>
    </w:p>
    <w:p w:rsidR="00B202A2" w:rsidRDefault="00295E06">
      <w:pPr>
        <w:pStyle w:val="Ttulo1"/>
        <w:numPr>
          <w:ilvl w:val="0"/>
          <w:numId w:val="1"/>
        </w:numPr>
        <w:rPr>
          <w:rFonts w:ascii="Arial" w:eastAsia="Arial" w:hAnsi="Arial" w:cs="Arial"/>
          <w:sz w:val="22"/>
          <w:szCs w:val="22"/>
        </w:rPr>
      </w:pPr>
      <w:bookmarkStart w:id="1" w:name="_Toc55494266"/>
      <w:r>
        <w:rPr>
          <w:rFonts w:ascii="Arial" w:eastAsia="Arial" w:hAnsi="Arial" w:cs="Arial"/>
          <w:sz w:val="22"/>
          <w:szCs w:val="22"/>
        </w:rPr>
        <w:lastRenderedPageBreak/>
        <w:t>Planeación Estratégica</w:t>
      </w:r>
      <w:bookmarkEnd w:id="1"/>
      <w:r>
        <w:rPr>
          <w:rFonts w:ascii="Arial" w:eastAsia="Arial" w:hAnsi="Arial" w:cs="Arial"/>
          <w:sz w:val="22"/>
          <w:szCs w:val="22"/>
        </w:rPr>
        <w:t xml:space="preserve"> </w:t>
      </w:r>
    </w:p>
    <w:p w:rsidR="00B202A2" w:rsidRDefault="00295E06">
      <w:pPr>
        <w:pStyle w:val="Ttulo2"/>
        <w:rPr>
          <w:rFonts w:ascii="Arial" w:eastAsia="Arial" w:hAnsi="Arial" w:cs="Arial"/>
          <w:color w:val="335B8A"/>
          <w:sz w:val="22"/>
          <w:szCs w:val="22"/>
        </w:rPr>
      </w:pPr>
      <w:bookmarkStart w:id="2" w:name="_Toc55494267"/>
      <w:r>
        <w:rPr>
          <w:rFonts w:ascii="Arial" w:eastAsia="Arial" w:hAnsi="Arial" w:cs="Arial"/>
          <w:color w:val="335B8A"/>
          <w:sz w:val="22"/>
          <w:szCs w:val="22"/>
        </w:rPr>
        <w:t>1.1. Contexto estratégico 2020-2022</w:t>
      </w:r>
      <w:bookmarkEnd w:id="2"/>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La Unidad de Planeación Minero Energética- UPME es una unidad administrativa especial del orden nacional, de carácter técnico, adscrita al Ministerio de Minas y Energía, regida por la Ley 143 de 1994 y por el Decreto número 1258 de junio 17 de 2013, con in</w:t>
      </w:r>
      <w:r>
        <w:rPr>
          <w:rFonts w:ascii="Arial" w:eastAsia="Arial" w:hAnsi="Arial" w:cs="Arial"/>
          <w:sz w:val="22"/>
          <w:szCs w:val="22"/>
        </w:rPr>
        <w:t>gresos provenientes de cuatro entidades aportantes: Ministerio de Minas y Energía, Agencia Nacional de Minería, Ecopetrol e ISA.</w:t>
      </w: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 xml:space="preserve">Tiene por objeto </w:t>
      </w:r>
      <w:r>
        <w:rPr>
          <w:rFonts w:ascii="Arial" w:eastAsia="Arial" w:hAnsi="Arial" w:cs="Arial"/>
          <w:i/>
          <w:sz w:val="22"/>
          <w:szCs w:val="22"/>
        </w:rPr>
        <w:t xml:space="preserve">“planear en forma integral, indicativa, permanente y coordinada con los agentes del sector minero energético, </w:t>
      </w:r>
      <w:r>
        <w:rPr>
          <w:rFonts w:ascii="Arial" w:eastAsia="Arial" w:hAnsi="Arial" w:cs="Arial"/>
          <w:i/>
          <w:sz w:val="22"/>
          <w:szCs w:val="22"/>
        </w:rPr>
        <w:t>el desarrollo y aprovechamiento de los recursos mineros y energéticos; producir y divulgar la información requerida para la formulación de política y toma de decisiones; y apoyar al Ministerio de Minas y Energía en el logro de sus objetivos y metas”</w:t>
      </w:r>
      <w:r>
        <w:rPr>
          <w:rFonts w:ascii="Arial" w:eastAsia="Arial" w:hAnsi="Arial" w:cs="Arial"/>
          <w:sz w:val="22"/>
          <w:szCs w:val="22"/>
        </w:rPr>
        <w:t xml:space="preserve">, bajo </w:t>
      </w:r>
      <w:r>
        <w:rPr>
          <w:rFonts w:ascii="Arial" w:eastAsia="Arial" w:hAnsi="Arial" w:cs="Arial"/>
          <w:sz w:val="22"/>
          <w:szCs w:val="22"/>
        </w:rPr>
        <w:t>este contexto y los retos fijados por el Nuevo Plan Nacional de Desarrollo – PND 2018-2022, así como con las metas transformacionales del Ministerio de Minas y Energía, la entidad ha actualizado su direccionamiento estratégico con el fin de contribuir al l</w:t>
      </w:r>
      <w:r>
        <w:rPr>
          <w:rFonts w:ascii="Arial" w:eastAsia="Arial" w:hAnsi="Arial" w:cs="Arial"/>
          <w:sz w:val="22"/>
          <w:szCs w:val="22"/>
        </w:rPr>
        <w:t>ogro de las metas de gobierno, y el crecimiento sostenible del sector.</w:t>
      </w: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Se definieron los objetivos estratégicos que serán el marco para cumplir con la visión y de manera articulada se plantearon las estrategias, actividades estratégicas y recursos de inver</w:t>
      </w:r>
      <w:r>
        <w:rPr>
          <w:rFonts w:ascii="Arial" w:eastAsia="Arial" w:hAnsi="Arial" w:cs="Arial"/>
          <w:sz w:val="22"/>
          <w:szCs w:val="22"/>
        </w:rPr>
        <w:t>sión para alcanzar resultados de gran impacto para el cuatrienio 2019- 2022; no sin antes hacer un análisis del contexto interno y externo, así como un ejercicio minucioso con el equipo directivo y todos los funcionarios, en el que se recogieron las princi</w:t>
      </w:r>
      <w:r>
        <w:rPr>
          <w:rFonts w:ascii="Arial" w:eastAsia="Arial" w:hAnsi="Arial" w:cs="Arial"/>
          <w:sz w:val="22"/>
          <w:szCs w:val="22"/>
        </w:rPr>
        <w:t>pales motivaciones que dieron origen a la definición de este nuevo propósito, que permitirán a la Unidad avanzar  como entidad estratégica para el desarrollo y crecimiento del país.</w:t>
      </w: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Misión: Planear el desarrollo minero-energético, apoyar la formulación e i</w:t>
      </w:r>
      <w:r>
        <w:rPr>
          <w:rFonts w:ascii="Arial" w:eastAsia="Arial" w:hAnsi="Arial" w:cs="Arial"/>
          <w:sz w:val="22"/>
          <w:szCs w:val="22"/>
        </w:rPr>
        <w:t>mplementación de la política pública y generar conocimiento e información para un futuro sostenible.</w:t>
      </w: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Visión: En 2030 liderar la transformación minero-energética con innovación, responsabilidad y conocimiento.</w:t>
      </w:r>
    </w:p>
    <w:p w:rsidR="00B202A2" w:rsidRDefault="00295E06">
      <w:pPr>
        <w:pStyle w:val="Ttulo2"/>
        <w:rPr>
          <w:rFonts w:ascii="Arial" w:eastAsia="Arial" w:hAnsi="Arial" w:cs="Arial"/>
          <w:color w:val="335B8A"/>
          <w:sz w:val="22"/>
          <w:szCs w:val="22"/>
        </w:rPr>
      </w:pPr>
      <w:bookmarkStart w:id="3" w:name="_Toc55494268"/>
      <w:r>
        <w:rPr>
          <w:rFonts w:ascii="Arial" w:eastAsia="Arial" w:hAnsi="Arial" w:cs="Arial"/>
          <w:color w:val="335B8A"/>
          <w:sz w:val="22"/>
          <w:szCs w:val="22"/>
        </w:rPr>
        <w:t>1.2. Objetivos estratégicos</w:t>
      </w:r>
      <w:bookmarkEnd w:id="3"/>
    </w:p>
    <w:p w:rsidR="00B202A2" w:rsidRDefault="00295E06">
      <w:pPr>
        <w:spacing w:before="240" w:after="240"/>
        <w:ind w:left="360"/>
        <w:jc w:val="both"/>
        <w:rPr>
          <w:rFonts w:ascii="Arial" w:eastAsia="Arial" w:hAnsi="Arial" w:cs="Arial"/>
          <w:sz w:val="22"/>
          <w:szCs w:val="22"/>
        </w:rPr>
      </w:pPr>
      <w:r>
        <w:rPr>
          <w:rFonts w:ascii="Arial" w:eastAsia="Arial" w:hAnsi="Arial" w:cs="Arial"/>
          <w:b/>
          <w:sz w:val="22"/>
          <w:szCs w:val="22"/>
        </w:rPr>
        <w:t xml:space="preserve">I.   </w:t>
      </w:r>
      <w:r>
        <w:rPr>
          <w:rFonts w:ascii="Arial" w:eastAsia="Arial" w:hAnsi="Arial" w:cs="Arial"/>
          <w:b/>
          <w:sz w:val="22"/>
          <w:szCs w:val="22"/>
        </w:rPr>
        <w:tab/>
        <w:t>Generar valor</w:t>
      </w:r>
      <w:r>
        <w:rPr>
          <w:rFonts w:ascii="Arial" w:eastAsia="Arial" w:hAnsi="Arial" w:cs="Arial"/>
          <w:b/>
          <w:sz w:val="22"/>
          <w:szCs w:val="22"/>
        </w:rPr>
        <w:t xml:space="preserve"> público, económico y social, a partir del conocimiento integral de los recursos minero-energéticos.</w:t>
      </w:r>
      <w:r>
        <w:rPr>
          <w:rFonts w:ascii="Arial" w:eastAsia="Arial" w:hAnsi="Arial" w:cs="Arial"/>
          <w:sz w:val="22"/>
          <w:szCs w:val="22"/>
        </w:rPr>
        <w:t xml:space="preserve"> Este objetivo centra su atención en la gestión del conocimiento e información para contribuir al desarrollo económico y social del país, que brinde insumos</w:t>
      </w:r>
      <w:r>
        <w:rPr>
          <w:rFonts w:ascii="Arial" w:eastAsia="Arial" w:hAnsi="Arial" w:cs="Arial"/>
          <w:sz w:val="22"/>
          <w:szCs w:val="22"/>
        </w:rPr>
        <w:t xml:space="preserve"> a la formulación de política pública, toma de decisiones y contribuya a la atracción de la inversión en el sector.</w:t>
      </w:r>
    </w:p>
    <w:p w:rsidR="00B202A2" w:rsidRDefault="00295E06">
      <w:pPr>
        <w:spacing w:before="240" w:after="240"/>
        <w:ind w:left="360"/>
        <w:jc w:val="both"/>
        <w:rPr>
          <w:rFonts w:ascii="Arial" w:eastAsia="Arial" w:hAnsi="Arial" w:cs="Arial"/>
          <w:sz w:val="22"/>
          <w:szCs w:val="22"/>
        </w:rPr>
      </w:pPr>
      <w:r>
        <w:rPr>
          <w:rFonts w:ascii="Arial" w:eastAsia="Arial" w:hAnsi="Arial" w:cs="Arial"/>
          <w:sz w:val="22"/>
          <w:szCs w:val="22"/>
        </w:rPr>
        <w:t xml:space="preserve">Las principales acciones de este objetivo estratégico incluyen: La actualización de los atlas de recursos energéticos como el de geotermia, </w:t>
      </w:r>
      <w:r>
        <w:rPr>
          <w:rFonts w:ascii="Arial" w:eastAsia="Arial" w:hAnsi="Arial" w:cs="Arial"/>
          <w:sz w:val="22"/>
          <w:szCs w:val="22"/>
        </w:rPr>
        <w:t>biomasa, hidroelectricidad, la elaboración del catastro multipropósito del sector minero energético, el Balance Energético Colombiano –BECO, el Sistema Información Minero –SIMCO. El desarrollo de actividades de I+D, asi como del Observatorio de Energía y M</w:t>
      </w:r>
      <w:r>
        <w:rPr>
          <w:rFonts w:ascii="Arial" w:eastAsia="Arial" w:hAnsi="Arial" w:cs="Arial"/>
          <w:sz w:val="22"/>
          <w:szCs w:val="22"/>
        </w:rPr>
        <w:t>inería, entre otras.</w:t>
      </w:r>
    </w:p>
    <w:p w:rsidR="00B202A2" w:rsidRDefault="00295E06">
      <w:pPr>
        <w:spacing w:before="240" w:after="240"/>
        <w:ind w:left="360"/>
        <w:jc w:val="both"/>
        <w:rPr>
          <w:rFonts w:ascii="Arial" w:eastAsia="Arial" w:hAnsi="Arial" w:cs="Arial"/>
          <w:sz w:val="22"/>
          <w:szCs w:val="22"/>
        </w:rPr>
      </w:pPr>
      <w:r>
        <w:rPr>
          <w:rFonts w:ascii="Arial" w:eastAsia="Arial" w:hAnsi="Arial" w:cs="Arial"/>
          <w:b/>
          <w:sz w:val="22"/>
          <w:szCs w:val="22"/>
        </w:rPr>
        <w:t>II.</w:t>
      </w:r>
      <w:r>
        <w:rPr>
          <w:rFonts w:ascii="Arial" w:eastAsia="Arial" w:hAnsi="Arial" w:cs="Arial"/>
          <w:sz w:val="22"/>
          <w:szCs w:val="22"/>
        </w:rPr>
        <w:t xml:space="preserve">       </w:t>
      </w:r>
      <w:r>
        <w:rPr>
          <w:rFonts w:ascii="Arial" w:eastAsia="Arial" w:hAnsi="Arial" w:cs="Arial"/>
          <w:b/>
          <w:sz w:val="22"/>
          <w:szCs w:val="22"/>
        </w:rPr>
        <w:t xml:space="preserve">Incorporar las mejores prácticas organizacionales y tecnológicas que garanticen calidad e integridad de la gestión pública. </w:t>
      </w:r>
      <w:r>
        <w:rPr>
          <w:rFonts w:ascii="Arial" w:eastAsia="Arial" w:hAnsi="Arial" w:cs="Arial"/>
          <w:sz w:val="22"/>
          <w:szCs w:val="22"/>
        </w:rPr>
        <w:t xml:space="preserve">Este objetivo es transversal </w:t>
      </w:r>
      <w:r>
        <w:rPr>
          <w:rFonts w:ascii="Arial" w:eastAsia="Arial" w:hAnsi="Arial" w:cs="Arial"/>
          <w:sz w:val="22"/>
          <w:szCs w:val="22"/>
        </w:rPr>
        <w:lastRenderedPageBreak/>
        <w:t>y busca la mejora continua de los procesos con un capital humano altamen</w:t>
      </w:r>
      <w:r>
        <w:rPr>
          <w:rFonts w:ascii="Arial" w:eastAsia="Arial" w:hAnsi="Arial" w:cs="Arial"/>
          <w:sz w:val="22"/>
          <w:szCs w:val="22"/>
        </w:rPr>
        <w:t>te competente, bajo un ambiente de trabajo seguro y armónico, con elementos de la transformación digital, alineación con el</w:t>
      </w:r>
      <w:r>
        <w:rPr>
          <w:rFonts w:ascii="Arial" w:eastAsia="Arial" w:hAnsi="Arial" w:cs="Arial"/>
          <w:b/>
          <w:sz w:val="22"/>
          <w:szCs w:val="22"/>
        </w:rPr>
        <w:t xml:space="preserve"> </w:t>
      </w:r>
      <w:r>
        <w:rPr>
          <w:rFonts w:ascii="Arial" w:eastAsia="Arial" w:hAnsi="Arial" w:cs="Arial"/>
          <w:sz w:val="22"/>
          <w:szCs w:val="22"/>
        </w:rPr>
        <w:t>Modelo Integrado de Planeación y Gestión, con elementos claves de comunicación, transparencia y relacionamiento con las partes inter</w:t>
      </w:r>
      <w:r>
        <w:rPr>
          <w:rFonts w:ascii="Arial" w:eastAsia="Arial" w:hAnsi="Arial" w:cs="Arial"/>
          <w:sz w:val="22"/>
          <w:szCs w:val="22"/>
        </w:rPr>
        <w:t>esadas.</w:t>
      </w:r>
    </w:p>
    <w:p w:rsidR="00B202A2" w:rsidRDefault="00295E06">
      <w:pPr>
        <w:spacing w:before="240" w:after="240"/>
        <w:ind w:left="360"/>
        <w:jc w:val="both"/>
        <w:rPr>
          <w:rFonts w:ascii="Arial" w:eastAsia="Arial" w:hAnsi="Arial" w:cs="Arial"/>
          <w:sz w:val="22"/>
          <w:szCs w:val="22"/>
        </w:rPr>
      </w:pPr>
      <w:r>
        <w:rPr>
          <w:rFonts w:ascii="Arial" w:eastAsia="Arial" w:hAnsi="Arial" w:cs="Arial"/>
          <w:b/>
          <w:sz w:val="22"/>
          <w:szCs w:val="22"/>
        </w:rPr>
        <w:t xml:space="preserve">III.   Orientar el aprovechamiento y uso eficiente y responsable de los recursos minero – energéticos. </w:t>
      </w:r>
      <w:r>
        <w:rPr>
          <w:rFonts w:ascii="Arial" w:eastAsia="Arial" w:hAnsi="Arial" w:cs="Arial"/>
          <w:sz w:val="22"/>
          <w:szCs w:val="22"/>
        </w:rPr>
        <w:t xml:space="preserve">Este objetivo se enfoca en los planes que elabora la UPME para cada uno de los subsectores, alineados con los Objetivos de Desarrollo Sostenible </w:t>
      </w:r>
      <w:r>
        <w:rPr>
          <w:rFonts w:ascii="Arial" w:eastAsia="Arial" w:hAnsi="Arial" w:cs="Arial"/>
          <w:sz w:val="22"/>
          <w:szCs w:val="22"/>
        </w:rPr>
        <w:t>– ODS, lineamientos de la OCDE, Plan Nacional de Desarrollo, Objetivos Transformacionales del Ministerio de Minas y Energía. Los planes que deben contar con esta alineación son: Plan Energético Nacional, Plan de Abastecimiento de Gas, Plan de Abastecimient</w:t>
      </w:r>
      <w:r>
        <w:rPr>
          <w:rFonts w:ascii="Arial" w:eastAsia="Arial" w:hAnsi="Arial" w:cs="Arial"/>
          <w:sz w:val="22"/>
          <w:szCs w:val="22"/>
        </w:rPr>
        <w:t>o de Combustibles Líquidos, Plan de Abastecimiento de GLP, Plan Indicativo de Expansión de Cobertura de Energía Eléctrica, Plan Indicativo de Expansión de Cobertura de Gas Combustible, Plan de Expansión de Generación y Transmisión Eléctrica, Plan de Ahorro</w:t>
      </w:r>
      <w:r>
        <w:rPr>
          <w:rFonts w:ascii="Arial" w:eastAsia="Arial" w:hAnsi="Arial" w:cs="Arial"/>
          <w:sz w:val="22"/>
          <w:szCs w:val="22"/>
        </w:rPr>
        <w:t xml:space="preserve"> PAI-PROURE, Plan de Desarrollo Minero.</w:t>
      </w:r>
    </w:p>
    <w:p w:rsidR="00B202A2" w:rsidRDefault="00295E06">
      <w:pPr>
        <w:spacing w:before="240" w:after="240"/>
        <w:ind w:left="360"/>
        <w:jc w:val="both"/>
        <w:rPr>
          <w:rFonts w:ascii="Arial" w:eastAsia="Arial" w:hAnsi="Arial" w:cs="Arial"/>
          <w:sz w:val="22"/>
          <w:szCs w:val="22"/>
        </w:rPr>
      </w:pPr>
      <w:r>
        <w:rPr>
          <w:rFonts w:ascii="Arial" w:eastAsia="Arial" w:hAnsi="Arial" w:cs="Arial"/>
          <w:b/>
          <w:sz w:val="22"/>
          <w:szCs w:val="22"/>
        </w:rPr>
        <w:t>IV.   Desarrollar las acciones necesarias que permitan materializar los planes, programas y proyectos en el sector minero energético</w:t>
      </w:r>
      <w:r>
        <w:rPr>
          <w:rFonts w:ascii="Arial" w:eastAsia="Arial" w:hAnsi="Arial" w:cs="Arial"/>
          <w:sz w:val="22"/>
          <w:szCs w:val="22"/>
        </w:rPr>
        <w:t>. Este objetivo está enfocado principalmente a: impulsar obras de infraestructura pa</w:t>
      </w:r>
      <w:r>
        <w:rPr>
          <w:rFonts w:ascii="Arial" w:eastAsia="Arial" w:hAnsi="Arial" w:cs="Arial"/>
          <w:sz w:val="22"/>
          <w:szCs w:val="22"/>
        </w:rPr>
        <w:t>ra abastecimiento y confiabilidad energética, a través de las convocatorias de energía eléctrica e hidrocarburos, promoción de las FNCER y la Eficiencia Energética, acciones para extender la cobertura de servicios públicos de electricidad y gas combustible</w:t>
      </w:r>
      <w:r>
        <w:rPr>
          <w:rFonts w:ascii="Arial" w:eastAsia="Arial" w:hAnsi="Arial" w:cs="Arial"/>
          <w:sz w:val="22"/>
          <w:szCs w:val="22"/>
        </w:rPr>
        <w:t xml:space="preserve">, impulso a la movilidad eléctrica.  </w:t>
      </w:r>
    </w:p>
    <w:p w:rsidR="00B202A2" w:rsidRDefault="00295E06">
      <w:pPr>
        <w:pStyle w:val="Ttulo1"/>
        <w:numPr>
          <w:ilvl w:val="0"/>
          <w:numId w:val="1"/>
        </w:numPr>
        <w:rPr>
          <w:rFonts w:ascii="Arial" w:eastAsia="Arial" w:hAnsi="Arial" w:cs="Arial"/>
          <w:sz w:val="22"/>
          <w:szCs w:val="22"/>
        </w:rPr>
      </w:pPr>
      <w:bookmarkStart w:id="4" w:name="_Toc55494269"/>
      <w:r>
        <w:rPr>
          <w:rFonts w:ascii="Arial" w:eastAsia="Arial" w:hAnsi="Arial" w:cs="Arial"/>
          <w:sz w:val="22"/>
          <w:szCs w:val="22"/>
        </w:rPr>
        <w:t>Gestión institucional 2020</w:t>
      </w:r>
      <w:bookmarkEnd w:id="4"/>
    </w:p>
    <w:p w:rsidR="00B202A2" w:rsidRDefault="00295E06">
      <w:pPr>
        <w:pStyle w:val="Ttulo2"/>
        <w:rPr>
          <w:rFonts w:ascii="Arial" w:eastAsia="Arial" w:hAnsi="Arial" w:cs="Arial"/>
          <w:sz w:val="22"/>
          <w:szCs w:val="22"/>
        </w:rPr>
      </w:pPr>
      <w:bookmarkStart w:id="5" w:name="_Toc55494270"/>
      <w:r>
        <w:rPr>
          <w:rFonts w:ascii="Arial" w:eastAsia="Arial" w:hAnsi="Arial" w:cs="Arial"/>
          <w:color w:val="335B8A"/>
          <w:sz w:val="22"/>
          <w:szCs w:val="22"/>
        </w:rPr>
        <w:t>2.1. Demanda y prospectiva energética</w:t>
      </w:r>
      <w:bookmarkEnd w:id="5"/>
    </w:p>
    <w:p w:rsidR="00B202A2" w:rsidRDefault="00295E06">
      <w:pPr>
        <w:pStyle w:val="Ttulo3"/>
        <w:jc w:val="both"/>
        <w:rPr>
          <w:rFonts w:ascii="Arial" w:eastAsia="Arial" w:hAnsi="Arial" w:cs="Arial"/>
          <w:sz w:val="22"/>
          <w:szCs w:val="22"/>
        </w:rPr>
      </w:pPr>
      <w:bookmarkStart w:id="6" w:name="_Toc55494271"/>
      <w:r>
        <w:rPr>
          <w:rFonts w:ascii="Arial" w:eastAsia="Arial" w:hAnsi="Arial" w:cs="Arial"/>
          <w:sz w:val="22"/>
          <w:szCs w:val="22"/>
        </w:rPr>
        <w:t>2.1.1. Publicación proyecciones de demanda de energéticos ante el Covid 19.</w:t>
      </w:r>
      <w:bookmarkEnd w:id="6"/>
    </w:p>
    <w:p w:rsidR="00B202A2" w:rsidRDefault="00B202A2">
      <w:pPr>
        <w:rPr>
          <w:rFonts w:ascii="Arial" w:eastAsia="Arial" w:hAnsi="Arial" w:cs="Arial"/>
          <w:sz w:val="22"/>
          <w:szCs w:val="22"/>
        </w:rPr>
      </w:pPr>
    </w:p>
    <w:p w:rsidR="00B202A2" w:rsidRDefault="00295E06">
      <w:pPr>
        <w:jc w:val="both"/>
        <w:rPr>
          <w:rFonts w:ascii="Arial" w:eastAsia="Arial" w:hAnsi="Arial" w:cs="Arial"/>
          <w:sz w:val="22"/>
          <w:szCs w:val="22"/>
        </w:rPr>
      </w:pPr>
      <w:r>
        <w:rPr>
          <w:rFonts w:ascii="Arial" w:eastAsia="Arial" w:hAnsi="Arial" w:cs="Arial"/>
          <w:sz w:val="22"/>
          <w:szCs w:val="22"/>
        </w:rPr>
        <w:t>Sin lugar a dudas el  coronavirus  (Covid 19) fue el protagonista de esta vi</w:t>
      </w:r>
      <w:r>
        <w:rPr>
          <w:rFonts w:ascii="Arial" w:eastAsia="Arial" w:hAnsi="Arial" w:cs="Arial"/>
          <w:sz w:val="22"/>
          <w:szCs w:val="22"/>
        </w:rPr>
        <w:t>gencia. La rápida propagación de este virus a escala global y el potencial volumen de pacientes infectados, condujo a que muchos gobiernos adoptaran medidas drásticas para mitigar los efectos en la salud pública.</w:t>
      </w:r>
    </w:p>
    <w:p w:rsidR="00B202A2" w:rsidRDefault="00B202A2">
      <w:pPr>
        <w:jc w:val="both"/>
        <w:rPr>
          <w:rFonts w:ascii="Arial" w:eastAsia="Arial" w:hAnsi="Arial" w:cs="Arial"/>
          <w:sz w:val="22"/>
          <w:szCs w:val="22"/>
        </w:rPr>
      </w:pPr>
    </w:p>
    <w:p w:rsidR="00B202A2" w:rsidRDefault="00295E06">
      <w:pPr>
        <w:jc w:val="both"/>
        <w:rPr>
          <w:rFonts w:ascii="Arial" w:eastAsia="Arial" w:hAnsi="Arial" w:cs="Arial"/>
          <w:sz w:val="22"/>
          <w:szCs w:val="22"/>
        </w:rPr>
      </w:pPr>
      <w:r>
        <w:rPr>
          <w:rFonts w:ascii="Arial" w:eastAsia="Arial" w:hAnsi="Arial" w:cs="Arial"/>
          <w:sz w:val="22"/>
          <w:szCs w:val="22"/>
        </w:rPr>
        <w:t>Colombia no fue ajena a esta coyuntura. El</w:t>
      </w:r>
      <w:r>
        <w:rPr>
          <w:rFonts w:ascii="Arial" w:eastAsia="Arial" w:hAnsi="Arial" w:cs="Arial"/>
          <w:sz w:val="22"/>
          <w:szCs w:val="22"/>
        </w:rPr>
        <w:t xml:space="preserve"> Gobierno nacional decretó la emergencia sanitaria desde el 26 de mayo y hasta la fecha esta situación se mantiene. Bajo las medidas tomadas para mitigar los efectos del coronavirus, se restringió la movilidad de los ciudadanos y la actividad económica, en</w:t>
      </w:r>
      <w:r>
        <w:rPr>
          <w:rFonts w:ascii="Arial" w:eastAsia="Arial" w:hAnsi="Arial" w:cs="Arial"/>
          <w:sz w:val="22"/>
          <w:szCs w:val="22"/>
        </w:rPr>
        <w:t>tre otras. Esta situación tuvo un impacto directo en la demanda de todos los energéticos del país.</w:t>
      </w:r>
    </w:p>
    <w:p w:rsidR="00B202A2" w:rsidRDefault="00B202A2">
      <w:pPr>
        <w:jc w:val="both"/>
        <w:rPr>
          <w:rFonts w:ascii="Arial" w:eastAsia="Arial" w:hAnsi="Arial" w:cs="Arial"/>
          <w:sz w:val="22"/>
          <w:szCs w:val="22"/>
        </w:rPr>
      </w:pPr>
    </w:p>
    <w:p w:rsidR="00B202A2" w:rsidRDefault="00295E06">
      <w:pPr>
        <w:jc w:val="both"/>
        <w:rPr>
          <w:rFonts w:ascii="Arial" w:eastAsia="Arial" w:hAnsi="Arial" w:cs="Arial"/>
          <w:sz w:val="22"/>
          <w:szCs w:val="22"/>
        </w:rPr>
      </w:pPr>
      <w:r>
        <w:rPr>
          <w:rFonts w:ascii="Arial" w:eastAsia="Arial" w:hAnsi="Arial" w:cs="Arial"/>
          <w:sz w:val="22"/>
          <w:szCs w:val="22"/>
        </w:rPr>
        <w:t>En los meses de marzo y abril, en los que aplicó de forma más restrictiva el aislamiento obligatorio preventivo, la demanda de energéticos se redujo sustanc</w:t>
      </w:r>
      <w:r>
        <w:rPr>
          <w:rFonts w:ascii="Arial" w:eastAsia="Arial" w:hAnsi="Arial" w:cs="Arial"/>
          <w:sz w:val="22"/>
          <w:szCs w:val="22"/>
        </w:rPr>
        <w:t>ialmente. En el caso de energía eléctrica se registraron reducciones de 6,5% en el mercado regulado y en un 20,3% en el mercado no regulado. En gas natural, los sectores de consumo más afectados fueron el transporte, la industria y las refinerías, con caíd</w:t>
      </w:r>
      <w:r>
        <w:rPr>
          <w:rFonts w:ascii="Arial" w:eastAsia="Arial" w:hAnsi="Arial" w:cs="Arial"/>
          <w:sz w:val="22"/>
          <w:szCs w:val="22"/>
        </w:rPr>
        <w:t>as de 50%, 26% y 30%, respectivamente. Finalmente, los combustibles líquidos fueron los más impactados por la restricción en movilidad, transporte público y aéreo. El consumo de gasolina disminuyó 60%, el de ACPM 46% y el de jet se redujo 85%.</w:t>
      </w:r>
    </w:p>
    <w:p w:rsidR="00B202A2" w:rsidRDefault="00B202A2">
      <w:pPr>
        <w:jc w:val="both"/>
        <w:rPr>
          <w:rFonts w:ascii="Arial" w:eastAsia="Arial" w:hAnsi="Arial" w:cs="Arial"/>
          <w:sz w:val="22"/>
          <w:szCs w:val="22"/>
        </w:rPr>
      </w:pPr>
    </w:p>
    <w:p w:rsidR="00B202A2" w:rsidRDefault="00295E06">
      <w:pPr>
        <w:jc w:val="both"/>
        <w:rPr>
          <w:rFonts w:ascii="Arial" w:eastAsia="Arial" w:hAnsi="Arial" w:cs="Arial"/>
          <w:sz w:val="22"/>
          <w:szCs w:val="22"/>
        </w:rPr>
      </w:pPr>
      <w:r>
        <w:rPr>
          <w:rFonts w:ascii="Arial" w:eastAsia="Arial" w:hAnsi="Arial" w:cs="Arial"/>
          <w:sz w:val="22"/>
          <w:szCs w:val="22"/>
        </w:rPr>
        <w:t>Frente a es</w:t>
      </w:r>
      <w:r>
        <w:rPr>
          <w:rFonts w:ascii="Arial" w:eastAsia="Arial" w:hAnsi="Arial" w:cs="Arial"/>
          <w:sz w:val="22"/>
          <w:szCs w:val="22"/>
        </w:rPr>
        <w:t>ta situación, se identificó la necesidad de realizar un nuevo ejercicio de proyección de demanda, para actualizar la información publicada en octubre de 2019 e incorporar las posibles sendas de recuperación de demanda, conforme se eliminen las restriccione</w:t>
      </w:r>
      <w:r>
        <w:rPr>
          <w:rFonts w:ascii="Arial" w:eastAsia="Arial" w:hAnsi="Arial" w:cs="Arial"/>
          <w:sz w:val="22"/>
          <w:szCs w:val="22"/>
        </w:rPr>
        <w:t>s asociadas al Covid 19 y se retome la actividad económica.</w:t>
      </w:r>
    </w:p>
    <w:p w:rsidR="00B202A2" w:rsidRDefault="00B202A2">
      <w:pPr>
        <w:jc w:val="both"/>
        <w:rPr>
          <w:rFonts w:ascii="Arial" w:eastAsia="Arial" w:hAnsi="Arial" w:cs="Arial"/>
          <w:sz w:val="22"/>
          <w:szCs w:val="22"/>
        </w:rPr>
      </w:pPr>
    </w:p>
    <w:p w:rsidR="00B202A2" w:rsidRDefault="00295E06">
      <w:pPr>
        <w:jc w:val="both"/>
        <w:rPr>
          <w:rFonts w:ascii="Arial" w:eastAsia="Arial" w:hAnsi="Arial" w:cs="Arial"/>
          <w:sz w:val="22"/>
          <w:szCs w:val="22"/>
        </w:rPr>
      </w:pPr>
      <w:r>
        <w:rPr>
          <w:rFonts w:ascii="Arial" w:eastAsia="Arial" w:hAnsi="Arial" w:cs="Arial"/>
          <w:sz w:val="22"/>
          <w:szCs w:val="22"/>
        </w:rPr>
        <w:t>Respondiendo a esta necesidad, la UPME publicó en julio de 2020 un documento que contiene las proyecciones de energía eléctrica, gas natural y combustibles líquidos para el periodo 2020-2026. En este documento, se actualizan las perspectivas económicas a c</w:t>
      </w:r>
      <w:r>
        <w:rPr>
          <w:rFonts w:ascii="Arial" w:eastAsia="Arial" w:hAnsi="Arial" w:cs="Arial"/>
          <w:sz w:val="22"/>
          <w:szCs w:val="22"/>
        </w:rPr>
        <w:t>orto y mediano plazo para el crecimiento económico del país y se presentan posibles sendas de recuperación de demanda para los 3 energéticos.</w:t>
      </w:r>
    </w:p>
    <w:p w:rsidR="00B202A2" w:rsidRDefault="00B202A2">
      <w:pPr>
        <w:jc w:val="both"/>
        <w:rPr>
          <w:rFonts w:ascii="Arial" w:eastAsia="Arial" w:hAnsi="Arial" w:cs="Arial"/>
          <w:sz w:val="22"/>
          <w:szCs w:val="22"/>
        </w:rPr>
      </w:pPr>
    </w:p>
    <w:p w:rsidR="00B202A2" w:rsidRDefault="00295E06">
      <w:pPr>
        <w:pStyle w:val="Ttulo3"/>
        <w:jc w:val="both"/>
        <w:rPr>
          <w:rFonts w:ascii="Arial" w:eastAsia="Arial" w:hAnsi="Arial" w:cs="Arial"/>
          <w:sz w:val="22"/>
          <w:szCs w:val="22"/>
        </w:rPr>
      </w:pPr>
      <w:bookmarkStart w:id="7" w:name="_Toc55494272"/>
      <w:r>
        <w:rPr>
          <w:rFonts w:ascii="Arial" w:eastAsia="Arial" w:hAnsi="Arial" w:cs="Arial"/>
          <w:sz w:val="22"/>
          <w:szCs w:val="22"/>
        </w:rPr>
        <w:t>2.1.2. Expedición del nuevo procedimiento para la solicitud del certificado UPME para acceder a los incentivos tr</w:t>
      </w:r>
      <w:r>
        <w:rPr>
          <w:rFonts w:ascii="Arial" w:eastAsia="Arial" w:hAnsi="Arial" w:cs="Arial"/>
          <w:sz w:val="22"/>
          <w:szCs w:val="22"/>
        </w:rPr>
        <w:t>ibutarios en proyectos FNCE y GEE.</w:t>
      </w:r>
      <w:bookmarkEnd w:id="7"/>
    </w:p>
    <w:p w:rsidR="00B202A2" w:rsidRDefault="00B202A2">
      <w:pPr>
        <w:rPr>
          <w:rFonts w:ascii="Arial" w:eastAsia="Arial" w:hAnsi="Arial" w:cs="Arial"/>
          <w:sz w:val="22"/>
          <w:szCs w:val="22"/>
        </w:rPr>
      </w:pPr>
    </w:p>
    <w:p w:rsidR="00B202A2" w:rsidRDefault="00295E06">
      <w:pPr>
        <w:jc w:val="both"/>
        <w:rPr>
          <w:rFonts w:ascii="Arial" w:eastAsia="Arial" w:hAnsi="Arial" w:cs="Arial"/>
          <w:sz w:val="22"/>
          <w:szCs w:val="22"/>
        </w:rPr>
      </w:pPr>
      <w:r>
        <w:rPr>
          <w:rFonts w:ascii="Arial" w:eastAsia="Arial" w:hAnsi="Arial" w:cs="Arial"/>
          <w:sz w:val="22"/>
          <w:szCs w:val="22"/>
        </w:rPr>
        <w:t>Ante el impacto positivo que han tenido los incentivos tributarios otorgados en la Ley 1715 de 2014 para la inversión en proyectos de fuentes no convencionales de energía (FNCE) y gestión eficiente de energía (GEE), el P</w:t>
      </w:r>
      <w:r>
        <w:rPr>
          <w:rFonts w:ascii="Arial" w:eastAsia="Arial" w:hAnsi="Arial" w:cs="Arial"/>
          <w:sz w:val="22"/>
          <w:szCs w:val="22"/>
        </w:rPr>
        <w:t>lan Nacional de Desarrollo (Ley 1955 de 2019) amplió los beneficios y simplificó el trámite necesario para acceder a éstos.</w:t>
      </w:r>
    </w:p>
    <w:p w:rsidR="00B202A2" w:rsidRDefault="00B202A2">
      <w:pPr>
        <w:jc w:val="both"/>
        <w:rPr>
          <w:rFonts w:ascii="Arial" w:eastAsia="Arial" w:hAnsi="Arial" w:cs="Arial"/>
          <w:sz w:val="22"/>
          <w:szCs w:val="22"/>
        </w:rPr>
      </w:pPr>
    </w:p>
    <w:p w:rsidR="00B202A2" w:rsidRDefault="00295E06">
      <w:pPr>
        <w:jc w:val="both"/>
        <w:rPr>
          <w:rFonts w:ascii="Arial" w:eastAsia="Arial" w:hAnsi="Arial" w:cs="Arial"/>
          <w:sz w:val="22"/>
          <w:szCs w:val="22"/>
        </w:rPr>
      </w:pPr>
      <w:r>
        <w:rPr>
          <w:rFonts w:ascii="Arial" w:eastAsia="Arial" w:hAnsi="Arial" w:cs="Arial"/>
          <w:sz w:val="22"/>
          <w:szCs w:val="22"/>
        </w:rPr>
        <w:t>Frente a estos cambios normativos y su reglamentación a través del Decreto 620 de 2020, la UPME expidió las resoluciones que establ</w:t>
      </w:r>
      <w:r>
        <w:rPr>
          <w:rFonts w:ascii="Arial" w:eastAsia="Arial" w:hAnsi="Arial" w:cs="Arial"/>
          <w:sz w:val="22"/>
          <w:szCs w:val="22"/>
        </w:rPr>
        <w:t>ecen el nuevo procedimiento para que los interesados en invertir en FNCE o GEE soliciten el certificado de la UPME, que les permite acceder a los beneficios tributarios.</w:t>
      </w:r>
    </w:p>
    <w:p w:rsidR="00B202A2" w:rsidRDefault="00B202A2">
      <w:pPr>
        <w:jc w:val="both"/>
        <w:rPr>
          <w:rFonts w:ascii="Arial" w:eastAsia="Arial" w:hAnsi="Arial" w:cs="Arial"/>
          <w:sz w:val="22"/>
          <w:szCs w:val="22"/>
        </w:rPr>
      </w:pPr>
    </w:p>
    <w:p w:rsidR="00B202A2" w:rsidRDefault="00295E06">
      <w:pPr>
        <w:jc w:val="both"/>
        <w:rPr>
          <w:rFonts w:ascii="Arial" w:eastAsia="Arial" w:hAnsi="Arial" w:cs="Arial"/>
          <w:sz w:val="22"/>
          <w:szCs w:val="22"/>
        </w:rPr>
      </w:pPr>
      <w:r>
        <w:rPr>
          <w:rFonts w:ascii="Arial" w:eastAsia="Arial" w:hAnsi="Arial" w:cs="Arial"/>
          <w:sz w:val="22"/>
          <w:szCs w:val="22"/>
        </w:rPr>
        <w:t>Gracias a las resoluciones UPME 196 y 203 de 2020, los solicitantes pueden acceder al</w:t>
      </w:r>
      <w:r>
        <w:rPr>
          <w:rFonts w:ascii="Arial" w:eastAsia="Arial" w:hAnsi="Arial" w:cs="Arial"/>
          <w:sz w:val="22"/>
          <w:szCs w:val="22"/>
        </w:rPr>
        <w:t xml:space="preserve"> certificado de la UPME con menores requisitos y mejores tiempos de respuesta. Para facilitar la solicitud, la UPME ha ideado maneras de mejorar y facilitar el procedimiento para los solicitantes, a través de las siguientes acciones:</w:t>
      </w:r>
    </w:p>
    <w:p w:rsidR="00B202A2" w:rsidRDefault="00B202A2">
      <w:pPr>
        <w:jc w:val="both"/>
        <w:rPr>
          <w:rFonts w:ascii="Arial" w:eastAsia="Arial" w:hAnsi="Arial" w:cs="Arial"/>
          <w:sz w:val="22"/>
          <w:szCs w:val="22"/>
        </w:rPr>
      </w:pPr>
    </w:p>
    <w:p w:rsidR="00B202A2" w:rsidRDefault="00295E06">
      <w:pPr>
        <w:numPr>
          <w:ilvl w:val="0"/>
          <w:numId w:val="3"/>
        </w:numPr>
        <w:jc w:val="both"/>
        <w:rPr>
          <w:rFonts w:ascii="Arial" w:eastAsia="Arial" w:hAnsi="Arial" w:cs="Arial"/>
          <w:sz w:val="22"/>
          <w:szCs w:val="22"/>
        </w:rPr>
      </w:pPr>
      <w:r>
        <w:rPr>
          <w:rFonts w:ascii="Arial" w:eastAsia="Arial" w:hAnsi="Arial" w:cs="Arial"/>
          <w:sz w:val="22"/>
          <w:szCs w:val="22"/>
        </w:rPr>
        <w:t>Rediseño del contenid</w:t>
      </w:r>
      <w:r>
        <w:rPr>
          <w:rFonts w:ascii="Arial" w:eastAsia="Arial" w:hAnsi="Arial" w:cs="Arial"/>
          <w:sz w:val="22"/>
          <w:szCs w:val="22"/>
        </w:rPr>
        <w:t xml:space="preserve">o web asociado a los incentivos tributarios. </w:t>
      </w:r>
    </w:p>
    <w:p w:rsidR="00B202A2" w:rsidRDefault="00295E06">
      <w:pPr>
        <w:numPr>
          <w:ilvl w:val="0"/>
          <w:numId w:val="3"/>
        </w:numPr>
        <w:jc w:val="both"/>
        <w:rPr>
          <w:rFonts w:ascii="Arial" w:eastAsia="Arial" w:hAnsi="Arial" w:cs="Arial"/>
          <w:sz w:val="22"/>
          <w:szCs w:val="22"/>
        </w:rPr>
      </w:pPr>
      <w:r>
        <w:rPr>
          <w:rFonts w:ascii="Arial" w:eastAsia="Arial" w:hAnsi="Arial" w:cs="Arial"/>
          <w:sz w:val="22"/>
          <w:szCs w:val="22"/>
        </w:rPr>
        <w:t>Diseño y disposición de material pedagógico para ayudar en el diligenciamiento de los requisitos.</w:t>
      </w:r>
    </w:p>
    <w:p w:rsidR="00B202A2" w:rsidRDefault="00295E06">
      <w:pPr>
        <w:numPr>
          <w:ilvl w:val="0"/>
          <w:numId w:val="3"/>
        </w:numPr>
        <w:jc w:val="both"/>
        <w:rPr>
          <w:rFonts w:ascii="Arial" w:eastAsia="Arial" w:hAnsi="Arial" w:cs="Arial"/>
          <w:sz w:val="22"/>
          <w:szCs w:val="22"/>
        </w:rPr>
      </w:pPr>
      <w:r>
        <w:rPr>
          <w:rFonts w:ascii="Arial" w:eastAsia="Arial" w:hAnsi="Arial" w:cs="Arial"/>
          <w:sz w:val="22"/>
          <w:szCs w:val="22"/>
        </w:rPr>
        <w:t>Buscador en línea para que los solicitantes puedan llevar traza de su trámite.</w:t>
      </w:r>
    </w:p>
    <w:p w:rsidR="00B202A2" w:rsidRDefault="00295E06">
      <w:pPr>
        <w:numPr>
          <w:ilvl w:val="0"/>
          <w:numId w:val="3"/>
        </w:numPr>
        <w:jc w:val="both"/>
        <w:rPr>
          <w:rFonts w:ascii="Arial" w:eastAsia="Arial" w:hAnsi="Arial" w:cs="Arial"/>
          <w:sz w:val="22"/>
          <w:szCs w:val="22"/>
        </w:rPr>
      </w:pPr>
      <w:r>
        <w:rPr>
          <w:rFonts w:ascii="Arial" w:eastAsia="Arial" w:hAnsi="Arial" w:cs="Arial"/>
          <w:sz w:val="22"/>
          <w:szCs w:val="22"/>
        </w:rPr>
        <w:t>Mecanismos en línea para la radicación de las solicitudes de tal suerte que no sea necesario acercarse a las oficinas de la UPME.</w:t>
      </w:r>
    </w:p>
    <w:p w:rsidR="00B202A2" w:rsidRDefault="00B202A2">
      <w:pPr>
        <w:jc w:val="both"/>
        <w:rPr>
          <w:rFonts w:ascii="Arial" w:eastAsia="Arial" w:hAnsi="Arial" w:cs="Arial"/>
          <w:sz w:val="22"/>
          <w:szCs w:val="22"/>
          <w:highlight w:val="yellow"/>
        </w:rPr>
      </w:pPr>
    </w:p>
    <w:p w:rsidR="00B202A2" w:rsidRDefault="00295E06">
      <w:pPr>
        <w:pStyle w:val="Ttulo3"/>
        <w:jc w:val="both"/>
        <w:rPr>
          <w:rFonts w:ascii="Arial" w:eastAsia="Arial" w:hAnsi="Arial" w:cs="Arial"/>
          <w:sz w:val="22"/>
          <w:szCs w:val="22"/>
        </w:rPr>
      </w:pPr>
      <w:bookmarkStart w:id="8" w:name="_Toc55494273"/>
      <w:r>
        <w:rPr>
          <w:rFonts w:ascii="Arial" w:eastAsia="Arial" w:hAnsi="Arial" w:cs="Arial"/>
          <w:sz w:val="22"/>
          <w:szCs w:val="22"/>
        </w:rPr>
        <w:t>2.1.3. Construcción colectiva del PEN 2020-2050: Transformación energética como habilitador del desarrollo sostenible.</w:t>
      </w:r>
      <w:bookmarkEnd w:id="8"/>
    </w:p>
    <w:p w:rsidR="00B202A2" w:rsidRDefault="00B202A2">
      <w:pPr>
        <w:rPr>
          <w:rFonts w:ascii="Arial" w:eastAsia="Arial" w:hAnsi="Arial" w:cs="Arial"/>
          <w:sz w:val="22"/>
          <w:szCs w:val="22"/>
        </w:rPr>
      </w:pP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El Pl</w:t>
      </w:r>
      <w:r>
        <w:rPr>
          <w:rFonts w:ascii="Arial" w:eastAsia="Arial" w:hAnsi="Arial" w:cs="Arial"/>
          <w:sz w:val="22"/>
          <w:szCs w:val="22"/>
        </w:rPr>
        <w:t>an Energético Nacional es el documento en el que se identifican posibles escenarios energéticos que le permitan al sector y al país alcanzar una visión de largo plazo. En este sentido, el PEN propone un punto de llegada y construye a partir de las posibili</w:t>
      </w:r>
      <w:r>
        <w:rPr>
          <w:rFonts w:ascii="Arial" w:eastAsia="Arial" w:hAnsi="Arial" w:cs="Arial"/>
          <w:sz w:val="22"/>
          <w:szCs w:val="22"/>
        </w:rPr>
        <w:t xml:space="preserve">dades tecnológicas tanto en la oferta como en la demanda de energéticos, los posibles caminos para llegar a él. </w:t>
      </w: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lastRenderedPageBreak/>
        <w:t>El PEN 2020-2050 es el resultado del engranaje de tres piezas fundamentales. La primera corresponde a la incorporación de una visión multidisci</w:t>
      </w:r>
      <w:r>
        <w:rPr>
          <w:rFonts w:ascii="Arial" w:eastAsia="Arial" w:hAnsi="Arial" w:cs="Arial"/>
          <w:sz w:val="22"/>
          <w:szCs w:val="22"/>
        </w:rPr>
        <w:t xml:space="preserve">plinaria de largo plazo en los ámbitos de ciencia y tecnología, economía y sociedad y gobiernos y políticas públicas. La segunda, la participación y construcción colectiva entre gobierno y sociedad de la visión y los pilares; y finalmente, el modelamiento </w:t>
      </w:r>
      <w:r>
        <w:rPr>
          <w:rFonts w:ascii="Arial" w:eastAsia="Arial" w:hAnsi="Arial" w:cs="Arial"/>
          <w:sz w:val="22"/>
          <w:szCs w:val="22"/>
        </w:rPr>
        <w:t>y análisis energético al interior de la UPME.</w:t>
      </w: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Durante 2020, la UPME realizó entrevistas a líderes de opinión en las que se abordaron aspectos tales como: las principales apuestas en ciencia y tecnología a largo plazo, las repercusiones en el empleo de la d</w:t>
      </w:r>
      <w:r>
        <w:rPr>
          <w:rFonts w:ascii="Arial" w:eastAsia="Arial" w:hAnsi="Arial" w:cs="Arial"/>
          <w:sz w:val="22"/>
          <w:szCs w:val="22"/>
        </w:rPr>
        <w:t>igitalización y robotización de procesos, las dinámicas poblacionales y su efecto en el desarrollo económico, las tendencias de consumo a largo plazo, las nuevas formas de comunicación y de control por parte de los ciudadanos a los gobiernos, entre otros.</w:t>
      </w: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La construcción colectiva del PEN comenzó con la publicación de una primera versión del documento en enero de 2020 y la recepción de comentarios hasta febrero.  Como complemento a lo anterior, se llevaron a cabo talleres de construcción colectiva en los me</w:t>
      </w:r>
      <w:r>
        <w:rPr>
          <w:rFonts w:ascii="Arial" w:eastAsia="Arial" w:hAnsi="Arial" w:cs="Arial"/>
          <w:sz w:val="22"/>
          <w:szCs w:val="22"/>
        </w:rPr>
        <w:t xml:space="preserve">ses de junio y julio de 2020, en los que la UPME contó con la participación 229 personas de todos los sectores y otras instituciones del gobierno. Como resultado de esta actividad, el PEN incorporó las perspectivas de largo plazo de diferentes agentes del </w:t>
      </w:r>
      <w:r>
        <w:rPr>
          <w:rFonts w:ascii="Arial" w:eastAsia="Arial" w:hAnsi="Arial" w:cs="Arial"/>
          <w:sz w:val="22"/>
          <w:szCs w:val="22"/>
        </w:rPr>
        <w:t xml:space="preserve">sector y las potencialidades de diferentes energéticos y tecnologías, con lo que se construyó la visión, los pilares y las iniciativas contenidas en el PEN. </w:t>
      </w: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 xml:space="preserve">El tercer engranaje del PEN son los escenarios a largo plazo que permiten alcanzar la visión y le </w:t>
      </w:r>
      <w:r>
        <w:rPr>
          <w:rFonts w:ascii="Arial" w:eastAsia="Arial" w:hAnsi="Arial" w:cs="Arial"/>
          <w:sz w:val="22"/>
          <w:szCs w:val="22"/>
        </w:rPr>
        <w:t>apuntan a los objetivos planteados. Todos los escenarios planteados en este documento parten de la seguridad del suministro como bastión fundamental y fueron caracterizados en tres dimensiones: i) su aporte a la mitigación al cambio climático, ii) el estad</w:t>
      </w:r>
      <w:r>
        <w:rPr>
          <w:rFonts w:ascii="Arial" w:eastAsia="Arial" w:hAnsi="Arial" w:cs="Arial"/>
          <w:sz w:val="22"/>
          <w:szCs w:val="22"/>
        </w:rPr>
        <w:t xml:space="preserve">o de desarrollo tecnológico y iii) el reto de transformación o cambio que implicaría su adopción. </w:t>
      </w:r>
    </w:p>
    <w:p w:rsidR="00B202A2" w:rsidRDefault="00295E06">
      <w:pPr>
        <w:pStyle w:val="Ttulo3"/>
        <w:jc w:val="both"/>
        <w:rPr>
          <w:rFonts w:ascii="Arial" w:eastAsia="Arial" w:hAnsi="Arial" w:cs="Arial"/>
          <w:sz w:val="22"/>
          <w:szCs w:val="22"/>
        </w:rPr>
      </w:pPr>
      <w:bookmarkStart w:id="9" w:name="_Toc55494274"/>
      <w:r>
        <w:rPr>
          <w:rFonts w:ascii="Arial" w:eastAsia="Arial" w:hAnsi="Arial" w:cs="Arial"/>
          <w:sz w:val="22"/>
          <w:szCs w:val="22"/>
        </w:rPr>
        <w:t>2.1.4.  Iniciativas de eficiencia energética y transporte sostenible.</w:t>
      </w:r>
      <w:bookmarkEnd w:id="9"/>
    </w:p>
    <w:p w:rsidR="00B202A2" w:rsidRDefault="00295E06">
      <w:pPr>
        <w:spacing w:before="240" w:after="240"/>
        <w:jc w:val="both"/>
        <w:rPr>
          <w:rFonts w:ascii="Arial" w:eastAsia="Arial" w:hAnsi="Arial" w:cs="Arial"/>
          <w:sz w:val="22"/>
          <w:szCs w:val="22"/>
        </w:rPr>
      </w:pPr>
      <w:r>
        <w:rPr>
          <w:rFonts w:ascii="Arial" w:eastAsia="Arial" w:hAnsi="Arial" w:cs="Arial"/>
          <w:color w:val="000000"/>
          <w:sz w:val="22"/>
          <w:szCs w:val="22"/>
        </w:rPr>
        <w:t>Las tareas adelantadas en materia de eficiencia energética responden a las acciones pri</w:t>
      </w:r>
      <w:r>
        <w:rPr>
          <w:rFonts w:ascii="Arial" w:eastAsia="Arial" w:hAnsi="Arial" w:cs="Arial"/>
          <w:color w:val="000000"/>
          <w:sz w:val="22"/>
          <w:szCs w:val="22"/>
        </w:rPr>
        <w:t xml:space="preserve">oritarias establecidas en el Plan de Acción Indicativo del Programa de </w:t>
      </w:r>
      <w:r>
        <w:rPr>
          <w:rFonts w:ascii="Arial" w:eastAsia="Arial" w:hAnsi="Arial" w:cs="Arial"/>
          <w:sz w:val="22"/>
          <w:szCs w:val="22"/>
        </w:rPr>
        <w:t>U</w:t>
      </w:r>
      <w:r>
        <w:rPr>
          <w:rFonts w:ascii="Arial" w:eastAsia="Arial" w:hAnsi="Arial" w:cs="Arial"/>
          <w:color w:val="000000"/>
          <w:sz w:val="22"/>
          <w:szCs w:val="22"/>
        </w:rPr>
        <w:t xml:space="preserve">so </w:t>
      </w:r>
      <w:r>
        <w:rPr>
          <w:rFonts w:ascii="Arial" w:eastAsia="Arial" w:hAnsi="Arial" w:cs="Arial"/>
          <w:sz w:val="22"/>
          <w:szCs w:val="22"/>
        </w:rPr>
        <w:t>R</w:t>
      </w:r>
      <w:r>
        <w:rPr>
          <w:rFonts w:ascii="Arial" w:eastAsia="Arial" w:hAnsi="Arial" w:cs="Arial"/>
          <w:color w:val="000000"/>
          <w:sz w:val="22"/>
          <w:szCs w:val="22"/>
        </w:rPr>
        <w:t xml:space="preserve">acional y </w:t>
      </w:r>
      <w:r>
        <w:rPr>
          <w:rFonts w:ascii="Arial" w:eastAsia="Arial" w:hAnsi="Arial" w:cs="Arial"/>
          <w:sz w:val="22"/>
          <w:szCs w:val="22"/>
        </w:rPr>
        <w:t>E</w:t>
      </w:r>
      <w:r>
        <w:rPr>
          <w:rFonts w:ascii="Arial" w:eastAsia="Arial" w:hAnsi="Arial" w:cs="Arial"/>
          <w:color w:val="000000"/>
          <w:sz w:val="22"/>
          <w:szCs w:val="22"/>
        </w:rPr>
        <w:t xml:space="preserve">ficiente de la </w:t>
      </w:r>
      <w:r>
        <w:rPr>
          <w:rFonts w:ascii="Arial" w:eastAsia="Arial" w:hAnsi="Arial" w:cs="Arial"/>
          <w:sz w:val="22"/>
          <w:szCs w:val="22"/>
        </w:rPr>
        <w:t>E</w:t>
      </w:r>
      <w:r>
        <w:rPr>
          <w:rFonts w:ascii="Arial" w:eastAsia="Arial" w:hAnsi="Arial" w:cs="Arial"/>
          <w:color w:val="000000"/>
          <w:sz w:val="22"/>
          <w:szCs w:val="22"/>
        </w:rPr>
        <w:t>nergía, PAI PROURE 2017-2022 (Resolución MME 41286 de 2020).</w:t>
      </w:r>
    </w:p>
    <w:p w:rsidR="00B202A2" w:rsidRDefault="00295E06">
      <w:pPr>
        <w:spacing w:before="240" w:after="240"/>
        <w:jc w:val="both"/>
        <w:rPr>
          <w:rFonts w:ascii="Arial" w:eastAsia="Arial" w:hAnsi="Arial" w:cs="Arial"/>
          <w:sz w:val="22"/>
          <w:szCs w:val="22"/>
        </w:rPr>
      </w:pPr>
      <w:r>
        <w:rPr>
          <w:rFonts w:ascii="Arial" w:eastAsia="Arial" w:hAnsi="Arial" w:cs="Arial"/>
          <w:color w:val="000000"/>
          <w:sz w:val="22"/>
          <w:szCs w:val="22"/>
        </w:rPr>
        <w:t>En el sector transporte, mayor consumidor de energía y con potencial significativo de eficie</w:t>
      </w:r>
      <w:r>
        <w:rPr>
          <w:rFonts w:ascii="Arial" w:eastAsia="Arial" w:hAnsi="Arial" w:cs="Arial"/>
          <w:color w:val="000000"/>
          <w:sz w:val="22"/>
          <w:szCs w:val="22"/>
        </w:rPr>
        <w:t>ncia energética, la apuesta es promover la movilidad sostenible a través de la sustitución tecnológica y de combustibles. Por ello, durante 2020 se realizaron las siguientes acciones: i) Se definió una estrategia integral para la implementación del program</w:t>
      </w:r>
      <w:r>
        <w:rPr>
          <w:rFonts w:ascii="Arial" w:eastAsia="Arial" w:hAnsi="Arial" w:cs="Arial"/>
          <w:color w:val="000000"/>
          <w:sz w:val="22"/>
          <w:szCs w:val="22"/>
        </w:rPr>
        <w:t xml:space="preserve">a de reemplazo de flota oficial, que permita alcanzar las metas de la Ley de Movilidad Eléctrica; ii) La ampliación de los factores de emisión de combustibles colombianos FECOC por actividad, para caracterizar con mayor exactitud las emisiones de gases de </w:t>
      </w:r>
      <w:r>
        <w:rPr>
          <w:rFonts w:ascii="Arial" w:eastAsia="Arial" w:hAnsi="Arial" w:cs="Arial"/>
          <w:color w:val="000000"/>
          <w:sz w:val="22"/>
          <w:szCs w:val="22"/>
        </w:rPr>
        <w:t>efecto invernadero; y iii) La caracterización del transporte de carga que permita definir metas e incentivos en dicho segmento.</w:t>
      </w:r>
    </w:p>
    <w:p w:rsidR="00B202A2" w:rsidRDefault="00295E06">
      <w:pPr>
        <w:spacing w:before="240" w:after="240"/>
        <w:jc w:val="both"/>
        <w:rPr>
          <w:rFonts w:ascii="Arial" w:eastAsia="Arial" w:hAnsi="Arial" w:cs="Arial"/>
          <w:color w:val="000000"/>
          <w:sz w:val="22"/>
          <w:szCs w:val="22"/>
        </w:rPr>
      </w:pPr>
      <w:r>
        <w:rPr>
          <w:rFonts w:ascii="Arial" w:eastAsia="Arial" w:hAnsi="Arial" w:cs="Arial"/>
          <w:color w:val="000000"/>
          <w:sz w:val="22"/>
          <w:szCs w:val="22"/>
        </w:rPr>
        <w:t>En el sector industrial, la UPME inició la creación de tres centros de evaluación industrial en universidades colombianas, para apoyar a las industrias en la consecución de metas de eficiencia energética y fortalecer capacidades locales en el marco del Pro</w:t>
      </w:r>
      <w:r>
        <w:rPr>
          <w:rFonts w:ascii="Arial" w:eastAsia="Arial" w:hAnsi="Arial" w:cs="Arial"/>
          <w:color w:val="000000"/>
          <w:sz w:val="22"/>
          <w:szCs w:val="22"/>
        </w:rPr>
        <w:t xml:space="preserve">grama de Evaluación Industrial para Colombia, PEVI, con apoyo de ONUDI. </w:t>
      </w:r>
    </w:p>
    <w:p w:rsidR="00B202A2" w:rsidRDefault="00295E06">
      <w:pPr>
        <w:spacing w:before="240" w:after="240"/>
        <w:jc w:val="both"/>
        <w:rPr>
          <w:rFonts w:ascii="Arial" w:eastAsia="Arial" w:hAnsi="Arial" w:cs="Arial"/>
          <w:color w:val="000000"/>
          <w:sz w:val="22"/>
          <w:szCs w:val="22"/>
        </w:rPr>
      </w:pPr>
      <w:r>
        <w:rPr>
          <w:rFonts w:ascii="Arial" w:eastAsia="Arial" w:hAnsi="Arial" w:cs="Arial"/>
          <w:color w:val="000000"/>
          <w:sz w:val="22"/>
          <w:szCs w:val="22"/>
        </w:rPr>
        <w:lastRenderedPageBreak/>
        <w:t>Para el sector de las edificaciones se desarrolla: i) La actualización de la guía para Planes de Gestión Eficiente de la Energía en Entidades Públicas, PGEE en EP, como apoyo al cumpl</w:t>
      </w:r>
      <w:r>
        <w:rPr>
          <w:rFonts w:ascii="Arial" w:eastAsia="Arial" w:hAnsi="Arial" w:cs="Arial"/>
          <w:color w:val="000000"/>
          <w:sz w:val="22"/>
          <w:szCs w:val="22"/>
        </w:rPr>
        <w:t xml:space="preserve">imiento del art. 292 de la ley del PND; y ii) La definición de una hoja de ruta de etiquetado energético para edificios colombianos, en el marco del convenio CV 724 de 2018, </w:t>
      </w:r>
      <w:hyperlink r:id="rId10">
        <w:r>
          <w:rPr>
            <w:rFonts w:ascii="Arial" w:eastAsia="Arial" w:hAnsi="Arial" w:cs="Arial"/>
            <w:color w:val="000000"/>
            <w:sz w:val="22"/>
            <w:szCs w:val="22"/>
          </w:rPr>
          <w:t xml:space="preserve">Ministerio de Ciencia Tecnología e </w:t>
        </w:r>
        <w:r>
          <w:rPr>
            <w:rFonts w:ascii="Arial" w:eastAsia="Arial" w:hAnsi="Arial" w:cs="Arial"/>
            <w:color w:val="000000"/>
            <w:sz w:val="22"/>
            <w:szCs w:val="22"/>
          </w:rPr>
          <w:t>Innovación</w:t>
        </w:r>
      </w:hyperlink>
      <w:r>
        <w:rPr>
          <w:rFonts w:ascii="Arial" w:eastAsia="Arial" w:hAnsi="Arial" w:cs="Arial"/>
          <w:color w:val="000000"/>
          <w:sz w:val="22"/>
          <w:szCs w:val="22"/>
        </w:rPr>
        <w:t xml:space="preserve"> y UPME.</w:t>
      </w:r>
    </w:p>
    <w:p w:rsidR="00B202A2" w:rsidRDefault="00295E06">
      <w:pPr>
        <w:spacing w:before="240" w:after="240"/>
        <w:jc w:val="both"/>
        <w:rPr>
          <w:rFonts w:ascii="Arial" w:eastAsia="Arial" w:hAnsi="Arial" w:cs="Arial"/>
          <w:color w:val="000000"/>
          <w:sz w:val="22"/>
          <w:szCs w:val="22"/>
        </w:rPr>
      </w:pPr>
      <w:bookmarkStart w:id="10" w:name="_heading=h.l4fies2136pz" w:colFirst="0" w:colLast="0"/>
      <w:bookmarkEnd w:id="10"/>
      <w:r>
        <w:rPr>
          <w:rFonts w:ascii="Arial" w:eastAsia="Arial" w:hAnsi="Arial" w:cs="Arial"/>
          <w:color w:val="000000"/>
          <w:sz w:val="22"/>
          <w:szCs w:val="22"/>
        </w:rPr>
        <w:t>Otra de las acciones sectoriales y regionales de eficiencia energética que ha desarrollado la UPME y que aporta al cumplimiento del PROURE es su participación en la iniciativa “Ciudad Energética” desarrollada por el Gobierno Suizo, que i</w:t>
      </w:r>
      <w:r>
        <w:rPr>
          <w:rFonts w:ascii="Arial" w:eastAsia="Arial" w:hAnsi="Arial" w:cs="Arial"/>
          <w:color w:val="000000"/>
          <w:sz w:val="22"/>
          <w:szCs w:val="22"/>
        </w:rPr>
        <w:t xml:space="preserve">ncluye el desarrollo de los siguientes pilotos: </w:t>
      </w:r>
    </w:p>
    <w:p w:rsidR="00B202A2" w:rsidRDefault="00295E06">
      <w:pPr>
        <w:numPr>
          <w:ilvl w:val="0"/>
          <w:numId w:val="2"/>
        </w:numPr>
        <w:pBdr>
          <w:top w:val="nil"/>
          <w:left w:val="nil"/>
          <w:bottom w:val="nil"/>
          <w:right w:val="nil"/>
          <w:between w:val="nil"/>
        </w:pBdr>
        <w:spacing w:line="259" w:lineRule="auto"/>
        <w:jc w:val="both"/>
        <w:rPr>
          <w:rFonts w:ascii="Arial" w:eastAsia="Arial" w:hAnsi="Arial" w:cs="Arial"/>
          <w:color w:val="000000"/>
          <w:sz w:val="22"/>
          <w:szCs w:val="22"/>
        </w:rPr>
      </w:pPr>
      <w:bookmarkStart w:id="11" w:name="_heading=h.4hqfaiobkc85" w:colFirst="0" w:colLast="0"/>
      <w:bookmarkEnd w:id="11"/>
      <w:r>
        <w:rPr>
          <w:rFonts w:ascii="Arial" w:eastAsia="Arial" w:hAnsi="Arial" w:cs="Arial"/>
          <w:color w:val="000000"/>
          <w:sz w:val="22"/>
          <w:szCs w:val="22"/>
        </w:rPr>
        <w:t>Colegio Verde en Montería</w:t>
      </w:r>
    </w:p>
    <w:p w:rsidR="00B202A2" w:rsidRDefault="00295E06">
      <w:pPr>
        <w:numPr>
          <w:ilvl w:val="0"/>
          <w:numId w:val="2"/>
        </w:numPr>
        <w:pBdr>
          <w:top w:val="nil"/>
          <w:left w:val="nil"/>
          <w:bottom w:val="nil"/>
          <w:right w:val="nil"/>
          <w:between w:val="nil"/>
        </w:pBdr>
        <w:spacing w:line="259" w:lineRule="auto"/>
        <w:jc w:val="both"/>
        <w:rPr>
          <w:rFonts w:ascii="Arial" w:eastAsia="Arial" w:hAnsi="Arial" w:cs="Arial"/>
          <w:color w:val="000000"/>
          <w:sz w:val="22"/>
          <w:szCs w:val="22"/>
        </w:rPr>
      </w:pPr>
      <w:bookmarkStart w:id="12" w:name="_heading=h.a6vcs62jy81f" w:colFirst="0" w:colLast="0"/>
      <w:bookmarkEnd w:id="12"/>
      <w:r>
        <w:rPr>
          <w:rFonts w:ascii="Arial" w:eastAsia="Arial" w:hAnsi="Arial" w:cs="Arial"/>
          <w:color w:val="000000"/>
          <w:sz w:val="22"/>
          <w:szCs w:val="22"/>
        </w:rPr>
        <w:t xml:space="preserve">Alternativa de movilidad para Pasto </w:t>
      </w:r>
    </w:p>
    <w:p w:rsidR="00B202A2" w:rsidRDefault="00295E06">
      <w:pPr>
        <w:numPr>
          <w:ilvl w:val="0"/>
          <w:numId w:val="2"/>
        </w:numPr>
        <w:pBdr>
          <w:top w:val="nil"/>
          <w:left w:val="nil"/>
          <w:bottom w:val="nil"/>
          <w:right w:val="nil"/>
          <w:between w:val="nil"/>
        </w:pBdr>
        <w:spacing w:after="240" w:line="259" w:lineRule="auto"/>
        <w:jc w:val="both"/>
        <w:rPr>
          <w:rFonts w:ascii="Arial" w:eastAsia="Arial" w:hAnsi="Arial" w:cs="Arial"/>
          <w:color w:val="000000"/>
          <w:sz w:val="22"/>
          <w:szCs w:val="22"/>
        </w:rPr>
      </w:pPr>
      <w:bookmarkStart w:id="13" w:name="_heading=h.kecwszb3gj5i" w:colFirst="0" w:colLast="0"/>
      <w:bookmarkEnd w:id="13"/>
      <w:r>
        <w:rPr>
          <w:rFonts w:ascii="Arial" w:eastAsia="Arial" w:hAnsi="Arial" w:cs="Arial"/>
          <w:color w:val="000000"/>
          <w:sz w:val="22"/>
          <w:szCs w:val="22"/>
        </w:rPr>
        <w:t>Techos solares fotovoltaicos en Fusagasugá en entidades públicas y residenciales.</w:t>
      </w:r>
    </w:p>
    <w:p w:rsidR="00B202A2" w:rsidRDefault="00295E06">
      <w:pPr>
        <w:spacing w:after="240"/>
        <w:jc w:val="both"/>
        <w:rPr>
          <w:rFonts w:ascii="Arial" w:eastAsia="Arial" w:hAnsi="Arial" w:cs="Arial"/>
          <w:color w:val="000000"/>
          <w:sz w:val="22"/>
          <w:szCs w:val="22"/>
        </w:rPr>
      </w:pPr>
      <w:bookmarkStart w:id="14" w:name="_heading=h.1vicuheys2hv" w:colFirst="0" w:colLast="0"/>
      <w:bookmarkEnd w:id="14"/>
      <w:r>
        <w:rPr>
          <w:rFonts w:ascii="Arial" w:eastAsia="Arial" w:hAnsi="Arial" w:cs="Arial"/>
          <w:color w:val="000000"/>
          <w:sz w:val="22"/>
          <w:szCs w:val="22"/>
        </w:rPr>
        <w:t>En conjunto con el gobierno Francés, la UPME participó apoyand</w:t>
      </w:r>
      <w:r>
        <w:rPr>
          <w:rFonts w:ascii="Arial" w:eastAsia="Arial" w:hAnsi="Arial" w:cs="Arial"/>
          <w:color w:val="000000"/>
          <w:sz w:val="22"/>
          <w:szCs w:val="22"/>
        </w:rPr>
        <w:t>o técnicamente  el piloto de renovación energética de edificaciones de entidades públicas. Con este proyecto se pretenden realizar auditorías energéticas que permitan el diseño de planes de gestión eficiente para el sector público. A la fecha se han realiz</w:t>
      </w:r>
      <w:r>
        <w:rPr>
          <w:rFonts w:ascii="Arial" w:eastAsia="Arial" w:hAnsi="Arial" w:cs="Arial"/>
          <w:color w:val="000000"/>
          <w:sz w:val="22"/>
          <w:szCs w:val="22"/>
        </w:rPr>
        <w:t>ado 18 Auditorías Energéticas en Bogotá, Cali, Barranquilla, Cartagena y Medellín, principalmente.</w:t>
      </w:r>
    </w:p>
    <w:p w:rsidR="00B202A2" w:rsidRDefault="00295E06">
      <w:pPr>
        <w:spacing w:after="240"/>
        <w:jc w:val="both"/>
        <w:rPr>
          <w:rFonts w:ascii="Arial" w:eastAsia="Arial" w:hAnsi="Arial" w:cs="Arial"/>
          <w:color w:val="000000"/>
          <w:sz w:val="22"/>
          <w:szCs w:val="22"/>
        </w:rPr>
      </w:pPr>
      <w:bookmarkStart w:id="15" w:name="_heading=h.b8495tp9cbpy" w:colFirst="0" w:colLast="0"/>
      <w:bookmarkEnd w:id="15"/>
      <w:r>
        <w:rPr>
          <w:rFonts w:ascii="Arial" w:eastAsia="Arial" w:hAnsi="Arial" w:cs="Arial"/>
          <w:color w:val="000000"/>
          <w:sz w:val="22"/>
          <w:szCs w:val="22"/>
        </w:rPr>
        <w:t xml:space="preserve">Finalmente, la UPME ha participado en los comités técnicos de seguimiento y evaluación de los proyectos de eficiencia energética que fueron concebidos en la </w:t>
      </w:r>
      <w:r>
        <w:rPr>
          <w:rFonts w:ascii="Arial" w:eastAsia="Arial" w:hAnsi="Arial" w:cs="Arial"/>
          <w:color w:val="000000"/>
          <w:sz w:val="22"/>
          <w:szCs w:val="22"/>
        </w:rPr>
        <w:t xml:space="preserve">entidad y elegidos para ser financiados por el FENOGE. </w:t>
      </w:r>
    </w:p>
    <w:p w:rsidR="00B202A2" w:rsidRDefault="00295E06">
      <w:pPr>
        <w:spacing w:after="240"/>
        <w:jc w:val="both"/>
        <w:rPr>
          <w:rFonts w:ascii="Arial" w:eastAsia="Arial" w:hAnsi="Arial" w:cs="Arial"/>
          <w:color w:val="000000"/>
          <w:sz w:val="22"/>
          <w:szCs w:val="22"/>
        </w:rPr>
      </w:pPr>
      <w:r>
        <w:rPr>
          <w:rFonts w:ascii="Arial" w:eastAsia="Arial" w:hAnsi="Arial" w:cs="Arial"/>
          <w:color w:val="000000"/>
          <w:sz w:val="22"/>
          <w:szCs w:val="22"/>
        </w:rPr>
        <w:t>En este sentido, la UPME realiza el acompañamiento de los dos siguientes proyectos: i) Piloto de sustitución de refrigeradores domésticos en región Caribe y ii) Programa de eficiencia energética de San Andrés, Providencia y Santa Catalina (CONPES 3855 de 2</w:t>
      </w:r>
      <w:r>
        <w:rPr>
          <w:rFonts w:ascii="Arial" w:eastAsia="Arial" w:hAnsi="Arial" w:cs="Arial"/>
          <w:color w:val="000000"/>
          <w:sz w:val="22"/>
          <w:szCs w:val="22"/>
        </w:rPr>
        <w:t>016), para reemplazar equipos ineficientes y promover las buenas prácticas en su operación.</w:t>
      </w:r>
    </w:p>
    <w:p w:rsidR="00B202A2" w:rsidRDefault="00295E06">
      <w:pPr>
        <w:pStyle w:val="Ttulo2"/>
        <w:rPr>
          <w:rFonts w:ascii="Arial" w:eastAsia="Arial" w:hAnsi="Arial" w:cs="Arial"/>
          <w:color w:val="335B8A"/>
          <w:sz w:val="22"/>
          <w:szCs w:val="22"/>
        </w:rPr>
      </w:pPr>
      <w:bookmarkStart w:id="16" w:name="_Toc55494275"/>
      <w:r>
        <w:rPr>
          <w:rFonts w:ascii="Arial" w:eastAsia="Arial" w:hAnsi="Arial" w:cs="Arial"/>
          <w:color w:val="335B8A"/>
          <w:sz w:val="22"/>
          <w:szCs w:val="22"/>
        </w:rPr>
        <w:t>2.2. Energía y gestión de proyectos de fondos</w:t>
      </w:r>
      <w:bookmarkEnd w:id="16"/>
    </w:p>
    <w:p w:rsidR="00B202A2" w:rsidRDefault="00295E06">
      <w:pPr>
        <w:pStyle w:val="Ttulo3"/>
        <w:rPr>
          <w:rFonts w:ascii="Arial" w:eastAsia="Arial" w:hAnsi="Arial" w:cs="Arial"/>
          <w:b w:val="0"/>
          <w:sz w:val="22"/>
          <w:szCs w:val="22"/>
        </w:rPr>
      </w:pPr>
      <w:bookmarkStart w:id="17" w:name="_Toc55494276"/>
      <w:r>
        <w:rPr>
          <w:rFonts w:ascii="Arial" w:eastAsia="Arial" w:hAnsi="Arial" w:cs="Arial"/>
          <w:b w:val="0"/>
          <w:sz w:val="22"/>
          <w:szCs w:val="22"/>
        </w:rPr>
        <w:t xml:space="preserve">2.2.1. </w:t>
      </w:r>
      <w:r>
        <w:rPr>
          <w:rFonts w:ascii="Arial" w:eastAsia="Arial" w:hAnsi="Arial" w:cs="Arial"/>
          <w:b w:val="0"/>
          <w:sz w:val="22"/>
          <w:szCs w:val="22"/>
        </w:rPr>
        <w:tab/>
        <w:t>Generación</w:t>
      </w:r>
      <w:bookmarkEnd w:id="17"/>
      <w:r>
        <w:rPr>
          <w:rFonts w:ascii="Arial" w:eastAsia="Arial" w:hAnsi="Arial" w:cs="Arial"/>
          <w:b w:val="0"/>
          <w:sz w:val="22"/>
          <w:szCs w:val="22"/>
        </w:rPr>
        <w:t xml:space="preserve">     </w:t>
      </w:r>
      <w:r>
        <w:rPr>
          <w:rFonts w:ascii="Arial" w:eastAsia="Arial" w:hAnsi="Arial" w:cs="Arial"/>
          <w:b w:val="0"/>
          <w:sz w:val="22"/>
          <w:szCs w:val="22"/>
        </w:rPr>
        <w:tab/>
      </w:r>
    </w:p>
    <w:p w:rsidR="00B202A2" w:rsidRDefault="00295E06">
      <w:pPr>
        <w:jc w:val="both"/>
        <w:rPr>
          <w:rFonts w:ascii="Arial" w:eastAsia="Arial" w:hAnsi="Arial" w:cs="Arial"/>
          <w:sz w:val="22"/>
          <w:szCs w:val="22"/>
        </w:rPr>
      </w:pPr>
      <w:r>
        <w:rPr>
          <w:rFonts w:ascii="Arial" w:eastAsia="Arial" w:hAnsi="Arial" w:cs="Arial"/>
          <w:sz w:val="22"/>
          <w:szCs w:val="22"/>
        </w:rPr>
        <w:t xml:space="preserve"> </w:t>
      </w:r>
    </w:p>
    <w:p w:rsidR="00B202A2" w:rsidRDefault="00295E06">
      <w:pPr>
        <w:jc w:val="both"/>
        <w:rPr>
          <w:rFonts w:ascii="Arial" w:eastAsia="Arial" w:hAnsi="Arial" w:cs="Arial"/>
          <w:sz w:val="22"/>
          <w:szCs w:val="22"/>
        </w:rPr>
      </w:pPr>
      <w:r>
        <w:rPr>
          <w:rFonts w:ascii="Arial" w:eastAsia="Arial" w:hAnsi="Arial" w:cs="Arial"/>
          <w:sz w:val="22"/>
          <w:szCs w:val="22"/>
        </w:rPr>
        <w:t>Logros:</w:t>
      </w: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Finalizaron los análisis de la versión preliminar del Plan de Expansión de generación. Se formularon diversos escenarios tendientes a identificar la expansión requerida en el largo plazo, es decir, en los próximos 15 años, adicional a la expansión ya compr</w:t>
      </w:r>
      <w:r>
        <w:rPr>
          <w:rFonts w:ascii="Arial" w:eastAsia="Arial" w:hAnsi="Arial" w:cs="Arial"/>
          <w:sz w:val="22"/>
          <w:szCs w:val="22"/>
        </w:rPr>
        <w:t>ometida a través de diferentes mecanismos como la subasta del cargo por confiabilidad, de contratación de largo plazo y aquellos proyectos que constituyeron garantías para respaldar la expansión de red.</w:t>
      </w: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Los escenarios consideran condiciones regulares de de</w:t>
      </w:r>
      <w:r>
        <w:rPr>
          <w:rFonts w:ascii="Arial" w:eastAsia="Arial" w:hAnsi="Arial" w:cs="Arial"/>
          <w:sz w:val="22"/>
          <w:szCs w:val="22"/>
        </w:rPr>
        <w:t>sarrollo, mayor penetración de renovables, impacto de bajas hidrologías, impacto de la guía de caudal ambiental, impacto de un impuesto al CO2, análisis con resolución horaria para identificar el comportamiento ante la variabilidad de las renovables en los</w:t>
      </w:r>
      <w:r>
        <w:rPr>
          <w:rFonts w:ascii="Arial" w:eastAsia="Arial" w:hAnsi="Arial" w:cs="Arial"/>
          <w:sz w:val="22"/>
          <w:szCs w:val="22"/>
        </w:rPr>
        <w:t xml:space="preserve"> años 2023 y 2024 y sensibilidades frente a la evolución de Hidroituango.</w:t>
      </w: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lastRenderedPageBreak/>
        <w:t>En resumen, los análisis dejan ver que adicional a la expansión fija, se pueden llegar a requerir cerca de 5000 MW adicionales. No obstante, ante las variantes entre escenarios, se i</w:t>
      </w:r>
      <w:r>
        <w:rPr>
          <w:rFonts w:ascii="Arial" w:eastAsia="Arial" w:hAnsi="Arial" w:cs="Arial"/>
          <w:sz w:val="22"/>
          <w:szCs w:val="22"/>
        </w:rPr>
        <w:t>dentifica impacto sobre el uso de los recursos y los costos marginales. Todos los escenarios de expansión permiten cumplir con la meta de emisiones a 2030.</w:t>
      </w: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Por otra parte, se participó junto con Minenergía en la mesa de geotermia, con el fin de analizar la</w:t>
      </w:r>
      <w:r>
        <w:rPr>
          <w:rFonts w:ascii="Arial" w:eastAsia="Arial" w:hAnsi="Arial" w:cs="Arial"/>
          <w:sz w:val="22"/>
          <w:szCs w:val="22"/>
        </w:rPr>
        <w:t>s barreras que permitan el desarrollo de esta fuente en el país. Uno de los escenarios del Plan de Expansión ya identifica la posibilidad de su ingreso.</w:t>
      </w: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Los primeros entregables del estudio UPME-BID-Barlovento para análisis de simultaneidad del recurso eól</w:t>
      </w:r>
      <w:r>
        <w:rPr>
          <w:rFonts w:ascii="Arial" w:eastAsia="Arial" w:hAnsi="Arial" w:cs="Arial"/>
          <w:sz w:val="22"/>
          <w:szCs w:val="22"/>
        </w:rPr>
        <w:t>ico permitió obtener la proyección de series de viento de 20 años con resolución cada diez minutos, lo cual es base fundamental para el Plan de Expansión y los análisis de flexibilidad.</w:t>
      </w: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En lo relacionado con el “Registro de proyectos de generación” y su co</w:t>
      </w:r>
      <w:r>
        <w:rPr>
          <w:rFonts w:ascii="Arial" w:eastAsia="Arial" w:hAnsi="Arial" w:cs="Arial"/>
          <w:sz w:val="22"/>
          <w:szCs w:val="22"/>
        </w:rPr>
        <w:t>rrespondiente inscripción de iniciativas de desarrollo, se registraron 152 proyectos de generación, distribuidos como se indica en la siguiente gráfica.</w:t>
      </w:r>
    </w:p>
    <w:p w:rsidR="00B202A2" w:rsidRDefault="00295E06">
      <w:pPr>
        <w:spacing w:before="240" w:after="240"/>
        <w:jc w:val="center"/>
        <w:rPr>
          <w:rFonts w:ascii="Arial" w:eastAsia="Arial" w:hAnsi="Arial" w:cs="Arial"/>
          <w:b/>
          <w:sz w:val="22"/>
          <w:szCs w:val="22"/>
        </w:rPr>
      </w:pPr>
      <w:bookmarkStart w:id="18" w:name="_heading=h.2s8eyo1" w:colFirst="0" w:colLast="0"/>
      <w:bookmarkEnd w:id="18"/>
      <w:r>
        <w:rPr>
          <w:rFonts w:ascii="Arial" w:eastAsia="Arial" w:hAnsi="Arial" w:cs="Arial"/>
          <w:b/>
          <w:sz w:val="22"/>
          <w:szCs w:val="22"/>
        </w:rPr>
        <w:t>Gráfica 1. Proyectos de Generación registrados</w:t>
      </w:r>
    </w:p>
    <w:p w:rsidR="00B202A2" w:rsidRDefault="00295E06">
      <w:pPr>
        <w:spacing w:before="240" w:after="240"/>
        <w:jc w:val="center"/>
        <w:rPr>
          <w:rFonts w:ascii="Arial" w:eastAsia="Arial" w:hAnsi="Arial" w:cs="Arial"/>
          <w:sz w:val="22"/>
          <w:szCs w:val="22"/>
        </w:rPr>
      </w:pPr>
      <w:r>
        <w:rPr>
          <w:rFonts w:ascii="Arial" w:eastAsia="Arial" w:hAnsi="Arial" w:cs="Arial"/>
          <w:noProof/>
          <w:sz w:val="22"/>
          <w:szCs w:val="22"/>
          <w:lang w:val="en-US"/>
        </w:rPr>
        <w:drawing>
          <wp:inline distT="114300" distB="114300" distL="114300" distR="114300" wp14:anchorId="1D7F201B" wp14:editId="30FF807B">
            <wp:extent cx="5438775" cy="2492990"/>
            <wp:effectExtent l="0" t="0" r="0" b="0"/>
            <wp:docPr id="145"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1"/>
                    <a:srcRect/>
                    <a:stretch>
                      <a:fillRect/>
                    </a:stretch>
                  </pic:blipFill>
                  <pic:spPr>
                    <a:xfrm>
                      <a:off x="0" y="0"/>
                      <a:ext cx="5438775" cy="2492990"/>
                    </a:xfrm>
                    <a:prstGeom prst="rect">
                      <a:avLst/>
                    </a:prstGeom>
                    <a:ln/>
                  </pic:spPr>
                </pic:pic>
              </a:graphicData>
            </a:graphic>
          </wp:inline>
        </w:drawing>
      </w: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En cuanto a los conceptos de potencial hidroenergético</w:t>
      </w:r>
      <w:r>
        <w:rPr>
          <w:rFonts w:ascii="Arial" w:eastAsia="Arial" w:hAnsi="Arial" w:cs="Arial"/>
          <w:sz w:val="22"/>
          <w:szCs w:val="22"/>
        </w:rPr>
        <w:t>, se recibieron 9 solicitudes, de las cuales se han expedido 7 conceptos (seis pequeñas centrales y una mayor). Las dos restantes se encuentran en requerimiento de información adicional.</w:t>
      </w:r>
    </w:p>
    <w:p w:rsidR="00B202A2" w:rsidRDefault="00295E06">
      <w:pPr>
        <w:spacing w:before="240" w:after="240"/>
        <w:rPr>
          <w:rFonts w:ascii="Arial" w:eastAsia="Arial" w:hAnsi="Arial" w:cs="Arial"/>
          <w:sz w:val="22"/>
          <w:szCs w:val="22"/>
        </w:rPr>
      </w:pPr>
      <w:r>
        <w:rPr>
          <w:rFonts w:ascii="Arial" w:eastAsia="Arial" w:hAnsi="Arial" w:cs="Arial"/>
          <w:sz w:val="22"/>
          <w:szCs w:val="22"/>
        </w:rPr>
        <w:t>Retos:</w:t>
      </w:r>
    </w:p>
    <w:p w:rsidR="00B202A2" w:rsidRDefault="00295E06">
      <w:pPr>
        <w:spacing w:before="240" w:after="240"/>
        <w:rPr>
          <w:rFonts w:ascii="Arial" w:eastAsia="Arial" w:hAnsi="Arial" w:cs="Arial"/>
          <w:sz w:val="22"/>
          <w:szCs w:val="22"/>
        </w:rPr>
      </w:pPr>
      <w:r>
        <w:rPr>
          <w:rFonts w:ascii="Arial" w:eastAsia="Arial" w:hAnsi="Arial" w:cs="Arial"/>
          <w:sz w:val="22"/>
          <w:szCs w:val="22"/>
        </w:rPr>
        <w:t>Publicar la versión final del Plan de Expansión de generación.</w:t>
      </w:r>
    </w:p>
    <w:p w:rsidR="00B202A2" w:rsidRDefault="00295E06">
      <w:pPr>
        <w:pStyle w:val="Ttulo3"/>
        <w:spacing w:before="0"/>
        <w:jc w:val="both"/>
        <w:rPr>
          <w:rFonts w:ascii="Arial" w:eastAsia="Arial" w:hAnsi="Arial" w:cs="Arial"/>
          <w:color w:val="FF0000"/>
          <w:sz w:val="22"/>
          <w:szCs w:val="22"/>
          <w:highlight w:val="yellow"/>
        </w:rPr>
      </w:pPr>
      <w:bookmarkStart w:id="19" w:name="_Toc55494277"/>
      <w:r>
        <w:rPr>
          <w:rFonts w:ascii="Arial" w:eastAsia="Arial" w:hAnsi="Arial" w:cs="Arial"/>
          <w:b w:val="0"/>
          <w:sz w:val="22"/>
          <w:szCs w:val="22"/>
        </w:rPr>
        <w:t>2.2.2. Transmisión</w:t>
      </w:r>
      <w:bookmarkEnd w:id="19"/>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Logros:</w:t>
      </w: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Finalizaron los análisis de la versión preliminar del Plan de Expansión de transmisión. Este plan define infraestructura como nuevas subestaciones, líneas y transformadores, sus características generales, capacidad y puntos de i</w:t>
      </w:r>
      <w:r>
        <w:rPr>
          <w:rFonts w:ascii="Arial" w:eastAsia="Arial" w:hAnsi="Arial" w:cs="Arial"/>
          <w:sz w:val="22"/>
          <w:szCs w:val="22"/>
        </w:rPr>
        <w:t xml:space="preserve">nicio y fin, entre otros, con el fin </w:t>
      </w:r>
      <w:r>
        <w:rPr>
          <w:rFonts w:ascii="Arial" w:eastAsia="Arial" w:hAnsi="Arial" w:cs="Arial"/>
          <w:sz w:val="22"/>
          <w:szCs w:val="22"/>
        </w:rPr>
        <w:lastRenderedPageBreak/>
        <w:t>de atender el crecimiento de la demanda de energía eléctrica, garantizar la continuidad en el servicio, permitir la conexión de generadores y otros usuarios, y hacer eficientes los costos de operación del sistema.</w:t>
      </w: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Se pr</w:t>
      </w:r>
      <w:r>
        <w:rPr>
          <w:rFonts w:ascii="Arial" w:eastAsia="Arial" w:hAnsi="Arial" w:cs="Arial"/>
          <w:sz w:val="22"/>
          <w:szCs w:val="22"/>
        </w:rPr>
        <w:t>oponen obras de mediano plazo que pueden entrar antes de cinco años (transformadores, compensadores y válvulas inteligentes para redireccionar flujos) y obras de largo plazo que pueden tomar más de cinco años (subestaciones y líneas).</w:t>
      </w: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 xml:space="preserve"> Obras de mediano pla</w:t>
      </w:r>
      <w:r>
        <w:rPr>
          <w:rFonts w:ascii="Arial" w:eastAsia="Arial" w:hAnsi="Arial" w:cs="Arial"/>
          <w:sz w:val="22"/>
          <w:szCs w:val="22"/>
        </w:rPr>
        <w:t>zo:</w:t>
      </w:r>
    </w:p>
    <w:p w:rsidR="00B202A2" w:rsidRDefault="00295E06">
      <w:pPr>
        <w:spacing w:before="240" w:after="240"/>
        <w:ind w:left="360"/>
        <w:jc w:val="both"/>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2"/>
          <w:szCs w:val="22"/>
        </w:rPr>
        <w:tab/>
        <w:t>Transformador 500/230 kV en las subestaciones Sogamoso. Permite la conexión de generación adicional en la zona comprendida entre Antioquia, Caldas y Santander.</w:t>
      </w:r>
    </w:p>
    <w:p w:rsidR="00B202A2" w:rsidRDefault="00295E06">
      <w:pPr>
        <w:spacing w:before="240" w:after="240"/>
        <w:ind w:left="360"/>
        <w:jc w:val="both"/>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2"/>
          <w:szCs w:val="22"/>
        </w:rPr>
        <w:tab/>
        <w:t>Transformador 500/230 kV Primavera. Permite la conexión de generación adicional en</w:t>
      </w:r>
      <w:r>
        <w:rPr>
          <w:rFonts w:ascii="Arial" w:eastAsia="Arial" w:hAnsi="Arial" w:cs="Arial"/>
          <w:sz w:val="22"/>
          <w:szCs w:val="22"/>
        </w:rPr>
        <w:t xml:space="preserve"> la zona comprendida entre Antioquia, Caldas y Santander.</w:t>
      </w:r>
    </w:p>
    <w:p w:rsidR="00B202A2" w:rsidRDefault="00295E06">
      <w:pPr>
        <w:spacing w:before="240" w:after="240"/>
        <w:ind w:left="360"/>
        <w:jc w:val="both"/>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2"/>
          <w:szCs w:val="22"/>
        </w:rPr>
        <w:tab/>
        <w:t>Compensador a 500 kV en Guajira-Cesar-Magdalena. Permite control de tensión (voltaje) y con ello reducir restricciones.</w:t>
      </w:r>
    </w:p>
    <w:p w:rsidR="00B202A2" w:rsidRDefault="00295E06">
      <w:pPr>
        <w:spacing w:before="240" w:after="240"/>
        <w:ind w:left="360"/>
        <w:jc w:val="both"/>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2"/>
          <w:szCs w:val="22"/>
        </w:rPr>
        <w:tab/>
        <w:t>Compensador a 500 kV Valle del Cauca. Permite control de tensión (vo</w:t>
      </w:r>
      <w:r>
        <w:rPr>
          <w:rFonts w:ascii="Arial" w:eastAsia="Arial" w:hAnsi="Arial" w:cs="Arial"/>
          <w:sz w:val="22"/>
          <w:szCs w:val="22"/>
        </w:rPr>
        <w:t>ltaje) y con ello reducir restricciones.</w:t>
      </w:r>
    </w:p>
    <w:p w:rsidR="00B202A2" w:rsidRDefault="00295E06">
      <w:pPr>
        <w:spacing w:before="240" w:after="240"/>
        <w:ind w:left="360"/>
        <w:jc w:val="both"/>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2"/>
          <w:szCs w:val="22"/>
        </w:rPr>
        <w:tab/>
        <w:t>Válvulas inteligentes en Bolívar, Atlántico y Magdalena. Permiten la conexión adicional de generación.</w:t>
      </w:r>
    </w:p>
    <w:p w:rsidR="00B202A2" w:rsidRDefault="00295E06">
      <w:pPr>
        <w:spacing w:before="240" w:after="240"/>
        <w:ind w:left="360"/>
        <w:jc w:val="both"/>
        <w:rPr>
          <w:rFonts w:ascii="Arial" w:eastAsia="Arial" w:hAnsi="Arial" w:cs="Arial"/>
          <w:sz w:val="22"/>
          <w:szCs w:val="22"/>
        </w:rPr>
      </w:pPr>
      <w:r>
        <w:rPr>
          <w:rFonts w:ascii="Arial" w:eastAsia="Arial" w:hAnsi="Arial" w:cs="Arial"/>
          <w:sz w:val="22"/>
          <w:szCs w:val="22"/>
        </w:rPr>
        <w:t>Obras de largo plazo: Nueva subestación Estambul en Palmira y la nueva subestación Huila en Neiva. Ambas su</w:t>
      </w:r>
      <w:r>
        <w:rPr>
          <w:rFonts w:ascii="Arial" w:eastAsia="Arial" w:hAnsi="Arial" w:cs="Arial"/>
          <w:sz w:val="22"/>
          <w:szCs w:val="22"/>
        </w:rPr>
        <w:t>bestaciones solucionan limitaciones en la capacidad de transporte y habilitan la conexión de nueva generación.</w:t>
      </w:r>
    </w:p>
    <w:p w:rsidR="00B202A2" w:rsidRDefault="00295E06">
      <w:pPr>
        <w:spacing w:before="240" w:after="240"/>
        <w:ind w:left="283" w:hanging="283"/>
        <w:jc w:val="both"/>
        <w:rPr>
          <w:rFonts w:ascii="Arial" w:eastAsia="Arial" w:hAnsi="Arial" w:cs="Arial"/>
          <w:sz w:val="22"/>
          <w:szCs w:val="22"/>
        </w:rPr>
      </w:pPr>
      <w:r>
        <w:rPr>
          <w:rFonts w:ascii="Arial" w:eastAsia="Arial" w:hAnsi="Arial" w:cs="Arial"/>
          <w:sz w:val="22"/>
          <w:szCs w:val="22"/>
        </w:rPr>
        <w:t xml:space="preserve"> ·   </w:t>
      </w:r>
      <w:r>
        <w:rPr>
          <w:rFonts w:ascii="Arial" w:eastAsia="Arial" w:hAnsi="Arial" w:cs="Arial"/>
          <w:sz w:val="22"/>
          <w:szCs w:val="22"/>
        </w:rPr>
        <w:tab/>
      </w:r>
      <w:r>
        <w:rPr>
          <w:rFonts w:ascii="Arial" w:eastAsia="Arial" w:hAnsi="Arial" w:cs="Arial"/>
          <w:sz w:val="22"/>
          <w:szCs w:val="22"/>
        </w:rPr>
        <w:t>Nueva subestación Huila en Neiva, Huila.  punto de conexión STN/STR en Huila. Habilita un nuevo punto de conexión entre la red nacional y la red regional y permite eliminar limitaciones de transporte, elimina la dependencia de la subestación Oriente de una</w:t>
      </w:r>
      <w:r>
        <w:rPr>
          <w:rFonts w:ascii="Arial" w:eastAsia="Arial" w:hAnsi="Arial" w:cs="Arial"/>
          <w:sz w:val="22"/>
          <w:szCs w:val="22"/>
        </w:rPr>
        <w:t xml:space="preserve"> única vía de suministro y mejorar las condiciones de prestación del servicio en el departamento.</w:t>
      </w:r>
    </w:p>
    <w:p w:rsidR="00B202A2" w:rsidRDefault="00295E06">
      <w:pPr>
        <w:spacing w:before="240" w:after="240"/>
        <w:ind w:left="283" w:hanging="360"/>
        <w:jc w:val="both"/>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2"/>
          <w:szCs w:val="22"/>
        </w:rPr>
        <w:tab/>
        <w:t>Nueva subestación Estambúl en Palmira, Valle del Cauca. Habilita un nuevo punto de conexión entre la red nacional y la red regional y permite eliminar li</w:t>
      </w:r>
      <w:r>
        <w:rPr>
          <w:rFonts w:ascii="Arial" w:eastAsia="Arial" w:hAnsi="Arial" w:cs="Arial"/>
          <w:sz w:val="22"/>
          <w:szCs w:val="22"/>
        </w:rPr>
        <w:t>mitaciones de transporte, reducir niveles de corto en algunas subestaciones y así atender la demanda con criterios de calidad, confiabilidad y seguridad.</w:t>
      </w: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 xml:space="preserve">Se realizan análisis de configuración, corto circuito y conectividad de las subestaciones del Sistema </w:t>
      </w:r>
      <w:r>
        <w:rPr>
          <w:rFonts w:ascii="Arial" w:eastAsia="Arial" w:hAnsi="Arial" w:cs="Arial"/>
          <w:sz w:val="22"/>
          <w:szCs w:val="22"/>
        </w:rPr>
        <w:t>Interconectado Nacional y el plan de acción a implementar.</w:t>
      </w: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 xml:space="preserve">Adicionalmente, se propone la incorporación de la segunda fase de renovables en La Guajira que constaría de dos subestaciones colectoras en la media y alta Guajira y una línea en corriente directa </w:t>
      </w:r>
      <w:r>
        <w:rPr>
          <w:rFonts w:ascii="Arial" w:eastAsia="Arial" w:hAnsi="Arial" w:cs="Arial"/>
          <w:sz w:val="22"/>
          <w:szCs w:val="22"/>
        </w:rPr>
        <w:t>entre las Colectoras y Cerromatoso. La obra permitiría adicionar al menos 2000 MW, principalmente eólicas. La tecnología en corriente directa no ha sido desarrollada en el país, permite aislar problemas de estabilidad y transportar grandes cantidades de en</w:t>
      </w:r>
      <w:r>
        <w:rPr>
          <w:rFonts w:ascii="Arial" w:eastAsia="Arial" w:hAnsi="Arial" w:cs="Arial"/>
          <w:sz w:val="22"/>
          <w:szCs w:val="22"/>
        </w:rPr>
        <w:t>ergía a grandes distancias, que para este caso es de cerca de 800 km.</w:t>
      </w:r>
    </w:p>
    <w:p w:rsidR="00B202A2" w:rsidRDefault="00295E06">
      <w:pPr>
        <w:spacing w:before="240" w:after="240"/>
        <w:jc w:val="both"/>
        <w:rPr>
          <w:rFonts w:ascii="Arial" w:eastAsia="Arial" w:hAnsi="Arial" w:cs="Arial"/>
          <w:b/>
          <w:sz w:val="22"/>
          <w:szCs w:val="22"/>
          <w:u w:val="single"/>
        </w:rPr>
      </w:pPr>
      <w:r>
        <w:rPr>
          <w:rFonts w:ascii="Arial" w:eastAsia="Arial" w:hAnsi="Arial" w:cs="Arial"/>
          <w:b/>
          <w:sz w:val="22"/>
          <w:szCs w:val="22"/>
          <w:u w:val="single"/>
        </w:rPr>
        <w:lastRenderedPageBreak/>
        <w:t xml:space="preserve"> </w:t>
      </w:r>
    </w:p>
    <w:p w:rsidR="00B202A2" w:rsidRDefault="00295E06">
      <w:pPr>
        <w:spacing w:before="240" w:after="240"/>
        <w:jc w:val="both"/>
        <w:rPr>
          <w:rFonts w:ascii="Arial" w:eastAsia="Arial" w:hAnsi="Arial" w:cs="Arial"/>
          <w:b/>
          <w:sz w:val="22"/>
          <w:szCs w:val="22"/>
          <w:u w:val="single"/>
        </w:rPr>
      </w:pPr>
      <w:r>
        <w:rPr>
          <w:rFonts w:ascii="Arial" w:eastAsia="Arial" w:hAnsi="Arial" w:cs="Arial"/>
          <w:b/>
          <w:sz w:val="22"/>
          <w:szCs w:val="22"/>
          <w:u w:val="single"/>
        </w:rPr>
        <w:t>Conexión de generadores aprobadas:</w:t>
      </w: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 xml:space="preserve"> Se aprobaron 50 conexiones por 2485 MW, distribuidos de la siguiente manera: </w:t>
      </w:r>
    </w:p>
    <w:p w:rsidR="00B202A2" w:rsidRDefault="00295E06">
      <w:pPr>
        <w:spacing w:before="240" w:after="240"/>
        <w:jc w:val="center"/>
        <w:rPr>
          <w:rFonts w:ascii="Arial" w:eastAsia="Arial" w:hAnsi="Arial" w:cs="Arial"/>
          <w:b/>
          <w:sz w:val="22"/>
          <w:szCs w:val="22"/>
        </w:rPr>
      </w:pPr>
      <w:bookmarkStart w:id="20" w:name="_heading=h.3rdcrjn" w:colFirst="0" w:colLast="0"/>
      <w:bookmarkEnd w:id="20"/>
      <w:r>
        <w:rPr>
          <w:rFonts w:ascii="Arial" w:eastAsia="Arial" w:hAnsi="Arial" w:cs="Arial"/>
          <w:b/>
          <w:sz w:val="22"/>
          <w:szCs w:val="22"/>
        </w:rPr>
        <w:t>Gráfica 2. Conexiones de generación aprobadas</w:t>
      </w:r>
    </w:p>
    <w:p w:rsidR="00B202A2" w:rsidRDefault="00295E06">
      <w:pPr>
        <w:spacing w:before="240" w:after="240"/>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noProof/>
          <w:sz w:val="22"/>
          <w:szCs w:val="22"/>
          <w:lang w:val="en-US"/>
        </w:rPr>
        <w:drawing>
          <wp:inline distT="114300" distB="114300" distL="114300" distR="114300" wp14:anchorId="54F0ABE6" wp14:editId="2FFF7FC1">
            <wp:extent cx="5486400" cy="3162300"/>
            <wp:effectExtent l="0" t="0" r="0" b="0"/>
            <wp:docPr id="144"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2"/>
                    <a:srcRect/>
                    <a:stretch>
                      <a:fillRect/>
                    </a:stretch>
                  </pic:blipFill>
                  <pic:spPr>
                    <a:xfrm>
                      <a:off x="0" y="0"/>
                      <a:ext cx="5486400" cy="3162300"/>
                    </a:xfrm>
                    <a:prstGeom prst="rect">
                      <a:avLst/>
                    </a:prstGeom>
                    <a:ln/>
                  </pic:spPr>
                </pic:pic>
              </a:graphicData>
            </a:graphic>
          </wp:inline>
        </w:drawing>
      </w:r>
    </w:p>
    <w:p w:rsidR="00B202A2" w:rsidRDefault="00295E06">
      <w:pPr>
        <w:spacing w:before="240" w:after="240"/>
        <w:jc w:val="center"/>
        <w:rPr>
          <w:rFonts w:ascii="Arial" w:eastAsia="Arial" w:hAnsi="Arial" w:cs="Arial"/>
          <w:b/>
          <w:sz w:val="22"/>
          <w:szCs w:val="22"/>
        </w:rPr>
      </w:pPr>
      <w:r>
        <w:rPr>
          <w:rFonts w:ascii="Arial" w:eastAsia="Arial" w:hAnsi="Arial" w:cs="Arial"/>
          <w:b/>
          <w:sz w:val="22"/>
          <w:szCs w:val="22"/>
        </w:rPr>
        <w:t>Fuente: UPME</w:t>
      </w:r>
    </w:p>
    <w:p w:rsidR="00B202A2" w:rsidRDefault="00295E06">
      <w:pPr>
        <w:spacing w:before="240" w:after="240"/>
        <w:rPr>
          <w:rFonts w:ascii="Arial" w:eastAsia="Arial" w:hAnsi="Arial" w:cs="Arial"/>
          <w:sz w:val="22"/>
          <w:szCs w:val="22"/>
        </w:rPr>
      </w:pPr>
      <w:r>
        <w:rPr>
          <w:rFonts w:ascii="Arial" w:eastAsia="Arial" w:hAnsi="Arial" w:cs="Arial"/>
          <w:sz w:val="22"/>
          <w:szCs w:val="22"/>
        </w:rPr>
        <w:t xml:space="preserve"> </w:t>
      </w:r>
    </w:p>
    <w:p w:rsidR="00B202A2" w:rsidRDefault="00295E06">
      <w:pPr>
        <w:spacing w:before="240" w:after="240"/>
        <w:jc w:val="both"/>
        <w:rPr>
          <w:rFonts w:ascii="Arial" w:eastAsia="Arial" w:hAnsi="Arial" w:cs="Arial"/>
          <w:b/>
          <w:sz w:val="22"/>
          <w:szCs w:val="22"/>
          <w:u w:val="single"/>
        </w:rPr>
      </w:pPr>
      <w:r>
        <w:rPr>
          <w:rFonts w:ascii="Arial" w:eastAsia="Arial" w:hAnsi="Arial" w:cs="Arial"/>
          <w:b/>
          <w:sz w:val="22"/>
          <w:szCs w:val="22"/>
          <w:u w:val="single"/>
        </w:rPr>
        <w:t>Conexión de grandes consumidores aprobadas:</w:t>
      </w:r>
    </w:p>
    <w:sdt>
      <w:sdtPr>
        <w:tag w:val="goog_rdk_1"/>
        <w:id w:val="-170638025"/>
      </w:sdtPr>
      <w:sdtEndPr/>
      <w:sdtContent>
        <w:p w:rsidR="00B202A2" w:rsidRDefault="00295E06">
          <w:pPr>
            <w:spacing w:before="240" w:after="240"/>
            <w:rPr>
              <w:rFonts w:ascii="Arial" w:eastAsia="Arial" w:hAnsi="Arial" w:cs="Arial"/>
              <w:sz w:val="22"/>
              <w:szCs w:val="22"/>
            </w:rPr>
          </w:pPr>
          <w:r>
            <w:rPr>
              <w:rFonts w:ascii="Arial" w:eastAsia="Arial" w:hAnsi="Arial" w:cs="Arial"/>
              <w:sz w:val="22"/>
              <w:szCs w:val="22"/>
            </w:rPr>
            <w:t xml:space="preserve"> Se aprobaron 4 conexiones de grandes consumidores:</w:t>
          </w:r>
        </w:p>
      </w:sdtContent>
    </w:sdt>
    <w:tbl>
      <w:tblPr>
        <w:tblStyle w:val="afd"/>
        <w:tblW w:w="850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835"/>
        <w:gridCol w:w="2834"/>
        <w:gridCol w:w="2834"/>
      </w:tblGrid>
      <w:tr w:rsidR="00B202A2">
        <w:trPr>
          <w:trHeight w:val="462"/>
        </w:trPr>
        <w:tc>
          <w:tcPr>
            <w:tcW w:w="283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B202A2" w:rsidRDefault="00295E06">
            <w:pPr>
              <w:spacing w:before="240" w:after="240"/>
              <w:jc w:val="center"/>
              <w:rPr>
                <w:rFonts w:ascii="Arial" w:eastAsia="Arial" w:hAnsi="Arial" w:cs="Arial"/>
                <w:b/>
                <w:sz w:val="22"/>
                <w:szCs w:val="22"/>
              </w:rPr>
            </w:pPr>
            <w:r>
              <w:rPr>
                <w:rFonts w:ascii="Arial" w:eastAsia="Arial" w:hAnsi="Arial" w:cs="Arial"/>
                <w:b/>
                <w:sz w:val="22"/>
                <w:szCs w:val="22"/>
              </w:rPr>
              <w:t>Gran consumidor</w:t>
            </w:r>
          </w:p>
        </w:tc>
        <w:tc>
          <w:tcPr>
            <w:tcW w:w="2834" w:type="dxa"/>
            <w:tcBorders>
              <w:top w:val="single" w:sz="8" w:space="0" w:color="000000"/>
              <w:left w:val="nil"/>
              <w:bottom w:val="single" w:sz="8" w:space="0" w:color="000000"/>
              <w:right w:val="single" w:sz="8" w:space="0" w:color="000000"/>
            </w:tcBorders>
            <w:shd w:val="clear" w:color="auto" w:fill="CFE2F3"/>
            <w:tcMar>
              <w:top w:w="100" w:type="dxa"/>
              <w:left w:w="100" w:type="dxa"/>
              <w:bottom w:w="100" w:type="dxa"/>
              <w:right w:w="100" w:type="dxa"/>
            </w:tcMar>
          </w:tcPr>
          <w:p w:rsidR="00B202A2" w:rsidRDefault="00295E06">
            <w:pPr>
              <w:spacing w:before="240" w:after="240"/>
              <w:jc w:val="center"/>
              <w:rPr>
                <w:rFonts w:ascii="Arial" w:eastAsia="Arial" w:hAnsi="Arial" w:cs="Arial"/>
                <w:b/>
                <w:sz w:val="22"/>
                <w:szCs w:val="22"/>
              </w:rPr>
            </w:pPr>
            <w:r>
              <w:rPr>
                <w:rFonts w:ascii="Arial" w:eastAsia="Arial" w:hAnsi="Arial" w:cs="Arial"/>
                <w:b/>
                <w:sz w:val="22"/>
                <w:szCs w:val="22"/>
              </w:rPr>
              <w:t>Capacidad solicitada</w:t>
            </w:r>
          </w:p>
        </w:tc>
        <w:tc>
          <w:tcPr>
            <w:tcW w:w="2834" w:type="dxa"/>
            <w:tcBorders>
              <w:top w:val="single" w:sz="8" w:space="0" w:color="000000"/>
              <w:left w:val="nil"/>
              <w:bottom w:val="single" w:sz="8" w:space="0" w:color="000000"/>
              <w:right w:val="single" w:sz="8" w:space="0" w:color="000000"/>
            </w:tcBorders>
            <w:shd w:val="clear" w:color="auto" w:fill="CFE2F3"/>
            <w:tcMar>
              <w:top w:w="100" w:type="dxa"/>
              <w:left w:w="100" w:type="dxa"/>
              <w:bottom w:w="100" w:type="dxa"/>
              <w:right w:w="100" w:type="dxa"/>
            </w:tcMar>
          </w:tcPr>
          <w:p w:rsidR="00B202A2" w:rsidRDefault="00295E06">
            <w:pPr>
              <w:spacing w:before="240" w:after="240"/>
              <w:jc w:val="center"/>
              <w:rPr>
                <w:rFonts w:ascii="Arial" w:eastAsia="Arial" w:hAnsi="Arial" w:cs="Arial"/>
                <w:b/>
                <w:sz w:val="22"/>
                <w:szCs w:val="22"/>
              </w:rPr>
            </w:pPr>
            <w:r>
              <w:rPr>
                <w:rFonts w:ascii="Arial" w:eastAsia="Arial" w:hAnsi="Arial" w:cs="Arial"/>
                <w:b/>
                <w:sz w:val="22"/>
                <w:szCs w:val="22"/>
              </w:rPr>
              <w:t>Punto de conexión</w:t>
            </w:r>
          </w:p>
        </w:tc>
      </w:tr>
      <w:tr w:rsidR="00B202A2">
        <w:trPr>
          <w:trHeight w:val="770"/>
        </w:trPr>
        <w:tc>
          <w:tcPr>
            <w:tcW w:w="28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202A2" w:rsidRDefault="00295E06">
            <w:pPr>
              <w:spacing w:before="240" w:after="240"/>
              <w:rPr>
                <w:rFonts w:ascii="Arial" w:eastAsia="Arial" w:hAnsi="Arial" w:cs="Arial"/>
                <w:sz w:val="22"/>
                <w:szCs w:val="22"/>
              </w:rPr>
            </w:pPr>
            <w:r>
              <w:rPr>
                <w:rFonts w:ascii="Arial" w:eastAsia="Arial" w:hAnsi="Arial" w:cs="Arial"/>
                <w:sz w:val="22"/>
                <w:szCs w:val="22"/>
              </w:rPr>
              <w:t>Minera De Cobre Quebradona</w:t>
            </w:r>
          </w:p>
        </w:tc>
        <w:tc>
          <w:tcPr>
            <w:tcW w:w="2834" w:type="dxa"/>
            <w:tcBorders>
              <w:top w:val="nil"/>
              <w:left w:val="nil"/>
              <w:bottom w:val="single" w:sz="8" w:space="0" w:color="000000"/>
              <w:right w:val="single" w:sz="8" w:space="0" w:color="000000"/>
            </w:tcBorders>
            <w:tcMar>
              <w:top w:w="100" w:type="dxa"/>
              <w:left w:w="100" w:type="dxa"/>
              <w:bottom w:w="100" w:type="dxa"/>
              <w:right w:w="100" w:type="dxa"/>
            </w:tcMar>
          </w:tcPr>
          <w:p w:rsidR="00B202A2" w:rsidRDefault="00295E06">
            <w:pPr>
              <w:spacing w:before="240" w:after="240"/>
              <w:jc w:val="center"/>
              <w:rPr>
                <w:rFonts w:ascii="Arial" w:eastAsia="Arial" w:hAnsi="Arial" w:cs="Arial"/>
                <w:sz w:val="22"/>
                <w:szCs w:val="22"/>
              </w:rPr>
            </w:pPr>
            <w:r>
              <w:rPr>
                <w:rFonts w:ascii="Arial" w:eastAsia="Arial" w:hAnsi="Arial" w:cs="Arial"/>
                <w:sz w:val="22"/>
                <w:szCs w:val="22"/>
              </w:rPr>
              <w:t>58 MW</w:t>
            </w:r>
          </w:p>
        </w:tc>
        <w:tc>
          <w:tcPr>
            <w:tcW w:w="2834" w:type="dxa"/>
            <w:tcBorders>
              <w:top w:val="nil"/>
              <w:left w:val="nil"/>
              <w:bottom w:val="single" w:sz="8" w:space="0" w:color="000000"/>
              <w:right w:val="single" w:sz="8" w:space="0" w:color="000000"/>
            </w:tcBorders>
            <w:tcMar>
              <w:top w:w="100" w:type="dxa"/>
              <w:left w:w="100" w:type="dxa"/>
              <w:bottom w:w="100" w:type="dxa"/>
              <w:right w:w="100" w:type="dxa"/>
            </w:tcMar>
          </w:tcPr>
          <w:p w:rsidR="00B202A2" w:rsidRDefault="00295E06">
            <w:pPr>
              <w:spacing w:before="240" w:after="240"/>
              <w:rPr>
                <w:rFonts w:ascii="Arial" w:eastAsia="Arial" w:hAnsi="Arial" w:cs="Arial"/>
                <w:sz w:val="22"/>
                <w:szCs w:val="22"/>
              </w:rPr>
            </w:pPr>
            <w:r>
              <w:rPr>
                <w:rFonts w:ascii="Arial" w:eastAsia="Arial" w:hAnsi="Arial" w:cs="Arial"/>
                <w:sz w:val="22"/>
                <w:szCs w:val="22"/>
              </w:rPr>
              <w:t>Nueva subestación Carrieles 230 kV</w:t>
            </w:r>
          </w:p>
        </w:tc>
      </w:tr>
      <w:tr w:rsidR="00B202A2">
        <w:trPr>
          <w:trHeight w:val="355"/>
        </w:trPr>
        <w:tc>
          <w:tcPr>
            <w:tcW w:w="28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202A2" w:rsidRDefault="00295E06">
            <w:pPr>
              <w:spacing w:before="240" w:after="240"/>
              <w:rPr>
                <w:rFonts w:ascii="Arial" w:eastAsia="Arial" w:hAnsi="Arial" w:cs="Arial"/>
                <w:sz w:val="22"/>
                <w:szCs w:val="22"/>
              </w:rPr>
            </w:pPr>
            <w:r>
              <w:rPr>
                <w:rFonts w:ascii="Arial" w:eastAsia="Arial" w:hAnsi="Arial" w:cs="Arial"/>
                <w:sz w:val="22"/>
                <w:szCs w:val="22"/>
              </w:rPr>
              <w:t>Mina Gramalote</w:t>
            </w:r>
          </w:p>
        </w:tc>
        <w:tc>
          <w:tcPr>
            <w:tcW w:w="2834" w:type="dxa"/>
            <w:tcBorders>
              <w:top w:val="nil"/>
              <w:left w:val="nil"/>
              <w:bottom w:val="single" w:sz="8" w:space="0" w:color="000000"/>
              <w:right w:val="single" w:sz="8" w:space="0" w:color="000000"/>
            </w:tcBorders>
            <w:tcMar>
              <w:top w:w="100" w:type="dxa"/>
              <w:left w:w="100" w:type="dxa"/>
              <w:bottom w:w="100" w:type="dxa"/>
              <w:right w:w="100" w:type="dxa"/>
            </w:tcMar>
          </w:tcPr>
          <w:p w:rsidR="00B202A2" w:rsidRDefault="00295E06">
            <w:pPr>
              <w:spacing w:before="240" w:after="240"/>
              <w:jc w:val="center"/>
              <w:rPr>
                <w:rFonts w:ascii="Arial" w:eastAsia="Arial" w:hAnsi="Arial" w:cs="Arial"/>
                <w:sz w:val="22"/>
                <w:szCs w:val="22"/>
              </w:rPr>
            </w:pPr>
            <w:r>
              <w:rPr>
                <w:rFonts w:ascii="Arial" w:eastAsia="Arial" w:hAnsi="Arial" w:cs="Arial"/>
                <w:sz w:val="22"/>
                <w:szCs w:val="22"/>
              </w:rPr>
              <w:t>60 MW</w:t>
            </w:r>
          </w:p>
        </w:tc>
        <w:tc>
          <w:tcPr>
            <w:tcW w:w="2834" w:type="dxa"/>
            <w:tcBorders>
              <w:top w:val="nil"/>
              <w:left w:val="nil"/>
              <w:bottom w:val="single" w:sz="8" w:space="0" w:color="000000"/>
              <w:right w:val="single" w:sz="8" w:space="0" w:color="000000"/>
            </w:tcBorders>
            <w:tcMar>
              <w:top w:w="100" w:type="dxa"/>
              <w:left w:w="100" w:type="dxa"/>
              <w:bottom w:w="100" w:type="dxa"/>
              <w:right w:w="100" w:type="dxa"/>
            </w:tcMar>
          </w:tcPr>
          <w:p w:rsidR="00B202A2" w:rsidRDefault="00295E06">
            <w:pPr>
              <w:spacing w:before="240" w:after="240"/>
              <w:rPr>
                <w:rFonts w:ascii="Arial" w:eastAsia="Arial" w:hAnsi="Arial" w:cs="Arial"/>
                <w:sz w:val="22"/>
                <w:szCs w:val="22"/>
              </w:rPr>
            </w:pPr>
            <w:r>
              <w:rPr>
                <w:rFonts w:ascii="Arial" w:eastAsia="Arial" w:hAnsi="Arial" w:cs="Arial"/>
                <w:sz w:val="22"/>
                <w:szCs w:val="22"/>
              </w:rPr>
              <w:t>Subestación existente Jaguas 230 kV</w:t>
            </w:r>
          </w:p>
        </w:tc>
      </w:tr>
      <w:tr w:rsidR="00B202A2">
        <w:tc>
          <w:tcPr>
            <w:tcW w:w="28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202A2" w:rsidRDefault="00295E06">
            <w:pPr>
              <w:spacing w:before="240" w:after="240"/>
              <w:rPr>
                <w:rFonts w:ascii="Arial" w:eastAsia="Arial" w:hAnsi="Arial" w:cs="Arial"/>
                <w:sz w:val="22"/>
                <w:szCs w:val="22"/>
              </w:rPr>
            </w:pPr>
            <w:r>
              <w:rPr>
                <w:rFonts w:ascii="Arial" w:eastAsia="Arial" w:hAnsi="Arial" w:cs="Arial"/>
                <w:sz w:val="22"/>
                <w:szCs w:val="22"/>
              </w:rPr>
              <w:lastRenderedPageBreak/>
              <w:t>Mina Minesa</w:t>
            </w:r>
          </w:p>
        </w:tc>
        <w:tc>
          <w:tcPr>
            <w:tcW w:w="2834" w:type="dxa"/>
            <w:tcBorders>
              <w:top w:val="nil"/>
              <w:left w:val="nil"/>
              <w:bottom w:val="single" w:sz="8" w:space="0" w:color="000000"/>
              <w:right w:val="single" w:sz="8" w:space="0" w:color="000000"/>
            </w:tcBorders>
            <w:tcMar>
              <w:top w:w="100" w:type="dxa"/>
              <w:left w:w="100" w:type="dxa"/>
              <w:bottom w:w="100" w:type="dxa"/>
              <w:right w:w="100" w:type="dxa"/>
            </w:tcMar>
          </w:tcPr>
          <w:p w:rsidR="00B202A2" w:rsidRDefault="00295E06">
            <w:pPr>
              <w:spacing w:before="240" w:after="240"/>
              <w:jc w:val="center"/>
              <w:rPr>
                <w:rFonts w:ascii="Arial" w:eastAsia="Arial" w:hAnsi="Arial" w:cs="Arial"/>
                <w:sz w:val="22"/>
                <w:szCs w:val="22"/>
              </w:rPr>
            </w:pPr>
            <w:r>
              <w:rPr>
                <w:rFonts w:ascii="Arial" w:eastAsia="Arial" w:hAnsi="Arial" w:cs="Arial"/>
                <w:sz w:val="22"/>
                <w:szCs w:val="22"/>
              </w:rPr>
              <w:t>36 MW</w:t>
            </w:r>
          </w:p>
        </w:tc>
        <w:tc>
          <w:tcPr>
            <w:tcW w:w="2834" w:type="dxa"/>
            <w:tcBorders>
              <w:top w:val="nil"/>
              <w:left w:val="nil"/>
              <w:bottom w:val="single" w:sz="8" w:space="0" w:color="000000"/>
              <w:right w:val="single" w:sz="8" w:space="0" w:color="000000"/>
            </w:tcBorders>
            <w:tcMar>
              <w:top w:w="100" w:type="dxa"/>
              <w:left w:w="100" w:type="dxa"/>
              <w:bottom w:w="100" w:type="dxa"/>
              <w:right w:w="100" w:type="dxa"/>
            </w:tcMar>
          </w:tcPr>
          <w:p w:rsidR="00B202A2" w:rsidRDefault="00295E06">
            <w:pPr>
              <w:spacing w:before="240" w:after="240"/>
              <w:rPr>
                <w:rFonts w:ascii="Arial" w:eastAsia="Arial" w:hAnsi="Arial" w:cs="Arial"/>
                <w:sz w:val="22"/>
                <w:szCs w:val="22"/>
              </w:rPr>
            </w:pPr>
            <w:r>
              <w:rPr>
                <w:rFonts w:ascii="Arial" w:eastAsia="Arial" w:hAnsi="Arial" w:cs="Arial"/>
                <w:sz w:val="22"/>
                <w:szCs w:val="22"/>
              </w:rPr>
              <w:t>Subestación existente Palos 230 kV</w:t>
            </w:r>
          </w:p>
        </w:tc>
      </w:tr>
      <w:tr w:rsidR="00B202A2">
        <w:trPr>
          <w:trHeight w:val="770"/>
        </w:trPr>
        <w:tc>
          <w:tcPr>
            <w:tcW w:w="28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202A2" w:rsidRDefault="00295E06">
            <w:pPr>
              <w:spacing w:before="240" w:after="240"/>
              <w:rPr>
                <w:rFonts w:ascii="Arial" w:eastAsia="Arial" w:hAnsi="Arial" w:cs="Arial"/>
                <w:sz w:val="22"/>
                <w:szCs w:val="22"/>
              </w:rPr>
            </w:pPr>
            <w:r>
              <w:rPr>
                <w:rFonts w:ascii="Arial" w:eastAsia="Arial" w:hAnsi="Arial" w:cs="Arial"/>
                <w:sz w:val="22"/>
                <w:szCs w:val="22"/>
              </w:rPr>
              <w:t>Vidrio Andino Atlántico</w:t>
            </w:r>
          </w:p>
        </w:tc>
        <w:tc>
          <w:tcPr>
            <w:tcW w:w="2834" w:type="dxa"/>
            <w:tcBorders>
              <w:top w:val="nil"/>
              <w:left w:val="nil"/>
              <w:bottom w:val="single" w:sz="8" w:space="0" w:color="000000"/>
              <w:right w:val="single" w:sz="8" w:space="0" w:color="000000"/>
            </w:tcBorders>
            <w:tcMar>
              <w:top w:w="100" w:type="dxa"/>
              <w:left w:w="100" w:type="dxa"/>
              <w:bottom w:w="100" w:type="dxa"/>
              <w:right w:w="100" w:type="dxa"/>
            </w:tcMar>
          </w:tcPr>
          <w:p w:rsidR="00B202A2" w:rsidRDefault="00295E06">
            <w:pPr>
              <w:spacing w:before="240" w:after="240"/>
              <w:jc w:val="center"/>
              <w:rPr>
                <w:rFonts w:ascii="Arial" w:eastAsia="Arial" w:hAnsi="Arial" w:cs="Arial"/>
                <w:sz w:val="22"/>
                <w:szCs w:val="22"/>
              </w:rPr>
            </w:pPr>
            <w:r>
              <w:rPr>
                <w:rFonts w:ascii="Arial" w:eastAsia="Arial" w:hAnsi="Arial" w:cs="Arial"/>
                <w:sz w:val="22"/>
                <w:szCs w:val="22"/>
              </w:rPr>
              <w:t>20 MW</w:t>
            </w:r>
          </w:p>
        </w:tc>
        <w:tc>
          <w:tcPr>
            <w:tcW w:w="2834" w:type="dxa"/>
            <w:tcBorders>
              <w:top w:val="nil"/>
              <w:left w:val="nil"/>
              <w:bottom w:val="single" w:sz="8" w:space="0" w:color="000000"/>
              <w:right w:val="single" w:sz="8" w:space="0" w:color="000000"/>
            </w:tcBorders>
            <w:tcMar>
              <w:top w:w="100" w:type="dxa"/>
              <w:left w:w="100" w:type="dxa"/>
              <w:bottom w:w="100" w:type="dxa"/>
              <w:right w:w="100" w:type="dxa"/>
            </w:tcMar>
          </w:tcPr>
          <w:p w:rsidR="00B202A2" w:rsidRDefault="00295E06">
            <w:pPr>
              <w:spacing w:before="240" w:after="240"/>
              <w:rPr>
                <w:rFonts w:ascii="Arial" w:eastAsia="Arial" w:hAnsi="Arial" w:cs="Arial"/>
                <w:sz w:val="22"/>
                <w:szCs w:val="22"/>
              </w:rPr>
            </w:pPr>
            <w:r>
              <w:rPr>
                <w:rFonts w:ascii="Arial" w:eastAsia="Arial" w:hAnsi="Arial" w:cs="Arial"/>
                <w:sz w:val="22"/>
                <w:szCs w:val="22"/>
              </w:rPr>
              <w:t>Subestación existente Caracolí 230 kV</w:t>
            </w:r>
          </w:p>
        </w:tc>
      </w:tr>
    </w:tbl>
    <w:p w:rsidR="00B202A2" w:rsidRDefault="00295E06">
      <w:pPr>
        <w:spacing w:before="240" w:after="240"/>
        <w:rPr>
          <w:rFonts w:ascii="Arial" w:eastAsia="Arial" w:hAnsi="Arial" w:cs="Arial"/>
          <w:sz w:val="22"/>
          <w:szCs w:val="22"/>
        </w:rPr>
      </w:pPr>
      <w:r>
        <w:rPr>
          <w:rFonts w:ascii="Arial" w:eastAsia="Arial" w:hAnsi="Arial" w:cs="Arial"/>
          <w:sz w:val="22"/>
          <w:szCs w:val="22"/>
        </w:rPr>
        <w:t xml:space="preserve"> </w:t>
      </w:r>
    </w:p>
    <w:p w:rsidR="00B202A2" w:rsidRDefault="00295E06">
      <w:pPr>
        <w:spacing w:before="240" w:after="240"/>
        <w:rPr>
          <w:rFonts w:ascii="Arial" w:eastAsia="Arial" w:hAnsi="Arial" w:cs="Arial"/>
          <w:sz w:val="22"/>
          <w:szCs w:val="22"/>
        </w:rPr>
      </w:pPr>
      <w:r>
        <w:rPr>
          <w:rFonts w:ascii="Arial" w:eastAsia="Arial" w:hAnsi="Arial" w:cs="Arial"/>
          <w:sz w:val="22"/>
          <w:szCs w:val="22"/>
        </w:rPr>
        <w:t>Retos:</w:t>
      </w:r>
    </w:p>
    <w:p w:rsidR="00B202A2" w:rsidRDefault="00295E06">
      <w:pPr>
        <w:spacing w:before="240" w:after="240"/>
        <w:rPr>
          <w:rFonts w:ascii="Arial" w:eastAsia="Arial" w:hAnsi="Arial" w:cs="Arial"/>
          <w:sz w:val="22"/>
          <w:szCs w:val="22"/>
        </w:rPr>
      </w:pPr>
      <w:r>
        <w:rPr>
          <w:rFonts w:ascii="Arial" w:eastAsia="Arial" w:hAnsi="Arial" w:cs="Arial"/>
          <w:sz w:val="22"/>
          <w:szCs w:val="22"/>
        </w:rPr>
        <w:t>Publicar la versión final del Plan de Expansión de Transmisión.</w:t>
      </w:r>
    </w:p>
    <w:p w:rsidR="00B202A2" w:rsidRDefault="00295E06">
      <w:pPr>
        <w:spacing w:before="240" w:after="240"/>
        <w:rPr>
          <w:rFonts w:ascii="Arial" w:eastAsia="Arial" w:hAnsi="Arial" w:cs="Arial"/>
          <w:sz w:val="22"/>
          <w:szCs w:val="22"/>
        </w:rPr>
      </w:pPr>
      <w:r>
        <w:rPr>
          <w:rFonts w:ascii="Arial" w:eastAsia="Arial" w:hAnsi="Arial" w:cs="Arial"/>
          <w:sz w:val="22"/>
          <w:szCs w:val="22"/>
        </w:rPr>
        <w:t xml:space="preserve">Diseñar el nuevo proceso de solicitudes de conexión. </w:t>
      </w:r>
    </w:p>
    <w:p w:rsidR="00B202A2" w:rsidRDefault="00295E06">
      <w:pPr>
        <w:pStyle w:val="Ttulo3"/>
        <w:spacing w:before="0"/>
        <w:jc w:val="both"/>
        <w:rPr>
          <w:rFonts w:ascii="Arial" w:eastAsia="Arial" w:hAnsi="Arial" w:cs="Arial"/>
          <w:sz w:val="22"/>
          <w:szCs w:val="22"/>
        </w:rPr>
      </w:pPr>
      <w:bookmarkStart w:id="21" w:name="_Toc55494278"/>
      <w:r>
        <w:rPr>
          <w:rFonts w:ascii="Arial" w:eastAsia="Arial" w:hAnsi="Arial" w:cs="Arial"/>
          <w:sz w:val="22"/>
          <w:szCs w:val="22"/>
        </w:rPr>
        <w:t>2.2.3. Convocatorias</w:t>
      </w:r>
      <w:bookmarkEnd w:id="21"/>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Logros:</w:t>
      </w: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A continuación, se resumen los principales logros y gestión referente a las convocatorias públicas de los proyectos de transmisión nacional y regional definidos por la UPME.</w:t>
      </w:r>
    </w:p>
    <w:p w:rsidR="00B202A2" w:rsidRDefault="00295E06">
      <w:pPr>
        <w:spacing w:before="240" w:after="240"/>
        <w:ind w:left="283" w:hanging="283"/>
        <w:jc w:val="both"/>
        <w:rPr>
          <w:rFonts w:ascii="Arial" w:eastAsia="Arial" w:hAnsi="Arial" w:cs="Arial"/>
          <w:sz w:val="22"/>
          <w:szCs w:val="22"/>
        </w:rPr>
      </w:pPr>
      <w:r>
        <w:rPr>
          <w:rFonts w:ascii="Arial" w:eastAsia="Arial" w:hAnsi="Arial" w:cs="Arial"/>
          <w:sz w:val="22"/>
          <w:szCs w:val="22"/>
        </w:rPr>
        <w:t>·       2 convocatorias iniciadas oficialmente.</w:t>
      </w:r>
    </w:p>
    <w:p w:rsidR="00B202A2" w:rsidRDefault="00295E06">
      <w:pPr>
        <w:spacing w:before="240" w:after="240"/>
        <w:ind w:left="283" w:hanging="283"/>
        <w:jc w:val="both"/>
        <w:rPr>
          <w:rFonts w:ascii="Arial" w:eastAsia="Arial" w:hAnsi="Arial" w:cs="Arial"/>
          <w:sz w:val="22"/>
          <w:szCs w:val="22"/>
        </w:rPr>
      </w:pPr>
      <w:r>
        <w:rPr>
          <w:rFonts w:ascii="Arial" w:eastAsia="Arial" w:hAnsi="Arial" w:cs="Arial"/>
          <w:sz w:val="22"/>
          <w:szCs w:val="22"/>
        </w:rPr>
        <w:t>·    4 convocatorias abiertas en versión preliminar para comentarios, todas ellas del Sistema de Transmisión Regional en el Caribe: El Rio 110 kV, San Juan 110 kV, Toluviejo 110 kV y Sistemas de almacenamien</w:t>
      </w:r>
      <w:r>
        <w:rPr>
          <w:rFonts w:ascii="Arial" w:eastAsia="Arial" w:hAnsi="Arial" w:cs="Arial"/>
          <w:sz w:val="22"/>
          <w:szCs w:val="22"/>
        </w:rPr>
        <w:t>to de energía eléctrica mediante Baterías en Atlántico.</w:t>
      </w:r>
    </w:p>
    <w:p w:rsidR="00B202A2" w:rsidRDefault="00295E06">
      <w:pPr>
        <w:spacing w:before="240" w:after="240"/>
        <w:ind w:left="283" w:hanging="283"/>
        <w:jc w:val="both"/>
        <w:rPr>
          <w:rFonts w:ascii="Arial" w:eastAsia="Arial" w:hAnsi="Arial" w:cs="Arial"/>
          <w:sz w:val="22"/>
          <w:szCs w:val="22"/>
        </w:rPr>
      </w:pPr>
      <w:r>
        <w:rPr>
          <w:rFonts w:ascii="Arial" w:eastAsia="Arial" w:hAnsi="Arial" w:cs="Arial"/>
          <w:sz w:val="22"/>
          <w:szCs w:val="22"/>
        </w:rPr>
        <w:t>·       4 convocatorias adjudicadas por 0.99 billones: 3 del STN y 1 del STR.</w:t>
      </w:r>
    </w:p>
    <w:p w:rsidR="00B202A2" w:rsidRDefault="00295E06">
      <w:pPr>
        <w:spacing w:before="240" w:after="240"/>
        <w:ind w:left="283" w:hanging="283"/>
        <w:jc w:val="both"/>
        <w:rPr>
          <w:rFonts w:ascii="Arial" w:eastAsia="Arial" w:hAnsi="Arial" w:cs="Arial"/>
          <w:sz w:val="22"/>
          <w:szCs w:val="22"/>
        </w:rPr>
      </w:pPr>
      <w:r>
        <w:rPr>
          <w:rFonts w:ascii="Arial" w:eastAsia="Arial" w:hAnsi="Arial" w:cs="Arial"/>
          <w:sz w:val="22"/>
          <w:szCs w:val="22"/>
        </w:rPr>
        <w:t>·      Seguimiento a 25 proyectos: 2 que entraron en operación y 23 actualmente están en ejecución (18 del STN y 5). Se ci</w:t>
      </w:r>
      <w:r>
        <w:rPr>
          <w:rFonts w:ascii="Arial" w:eastAsia="Arial" w:hAnsi="Arial" w:cs="Arial"/>
          <w:sz w:val="22"/>
          <w:szCs w:val="22"/>
        </w:rPr>
        <w:t xml:space="preserve">tan: </w:t>
      </w:r>
    </w:p>
    <w:p w:rsidR="00B202A2" w:rsidRDefault="00295E06">
      <w:pPr>
        <w:spacing w:before="240" w:after="240"/>
        <w:rPr>
          <w:rFonts w:ascii="Arial" w:eastAsia="Arial" w:hAnsi="Arial" w:cs="Arial"/>
          <w:b/>
          <w:sz w:val="22"/>
          <w:szCs w:val="22"/>
        </w:rPr>
      </w:pPr>
      <w:r>
        <w:rPr>
          <w:rFonts w:ascii="Arial" w:eastAsia="Arial" w:hAnsi="Arial" w:cs="Arial"/>
          <w:b/>
          <w:sz w:val="22"/>
          <w:szCs w:val="22"/>
        </w:rPr>
        <w:t>En operación 2 (1 STN, 1 STR):</w:t>
      </w:r>
    </w:p>
    <w:p w:rsidR="00B202A2" w:rsidRDefault="00295E06">
      <w:pPr>
        <w:spacing w:before="240" w:after="240"/>
        <w:rPr>
          <w:rFonts w:ascii="Arial" w:eastAsia="Arial" w:hAnsi="Arial" w:cs="Arial"/>
          <w:sz w:val="22"/>
          <w:szCs w:val="22"/>
        </w:rPr>
      </w:pPr>
      <w:r>
        <w:rPr>
          <w:rFonts w:ascii="Arial" w:eastAsia="Arial" w:hAnsi="Arial" w:cs="Arial"/>
          <w:sz w:val="22"/>
          <w:szCs w:val="22"/>
        </w:rPr>
        <w:t>1.       Palenque 230 kV</w:t>
      </w:r>
    </w:p>
    <w:p w:rsidR="00B202A2" w:rsidRDefault="00295E06">
      <w:pPr>
        <w:spacing w:before="240" w:after="240"/>
        <w:rPr>
          <w:rFonts w:ascii="Arial" w:eastAsia="Arial" w:hAnsi="Arial" w:cs="Arial"/>
          <w:b/>
          <w:sz w:val="22"/>
          <w:szCs w:val="22"/>
        </w:rPr>
      </w:pPr>
      <w:r>
        <w:rPr>
          <w:rFonts w:ascii="Arial" w:eastAsia="Arial" w:hAnsi="Arial" w:cs="Arial"/>
          <w:sz w:val="22"/>
          <w:szCs w:val="22"/>
        </w:rPr>
        <w:t>2. Tercer Transformador El Bosque 220/66 kV</w:t>
      </w:r>
    </w:p>
    <w:p w:rsidR="00B202A2" w:rsidRDefault="00295E06">
      <w:pPr>
        <w:spacing w:before="240" w:after="240"/>
        <w:rPr>
          <w:rFonts w:ascii="Arial" w:eastAsia="Arial" w:hAnsi="Arial" w:cs="Arial"/>
          <w:b/>
          <w:sz w:val="22"/>
          <w:szCs w:val="22"/>
        </w:rPr>
      </w:pPr>
      <w:r>
        <w:rPr>
          <w:rFonts w:ascii="Arial" w:eastAsia="Arial" w:hAnsi="Arial" w:cs="Arial"/>
          <w:b/>
          <w:sz w:val="22"/>
          <w:szCs w:val="22"/>
        </w:rPr>
        <w:t xml:space="preserve">En ejecución: </w:t>
      </w:r>
    </w:p>
    <w:sdt>
      <w:sdtPr>
        <w:tag w:val="goog_rdk_2"/>
        <w:id w:val="-1869522416"/>
      </w:sdtPr>
      <w:sdtEndPr/>
      <w:sdtContent>
        <w:p w:rsidR="00B202A2" w:rsidRDefault="00295E06">
          <w:pPr>
            <w:spacing w:before="240" w:after="240"/>
            <w:rPr>
              <w:rFonts w:ascii="Arial" w:eastAsia="Arial" w:hAnsi="Arial" w:cs="Arial"/>
              <w:b/>
              <w:sz w:val="22"/>
              <w:szCs w:val="22"/>
            </w:rPr>
          </w:pPr>
          <w:r>
            <w:rPr>
              <w:rFonts w:ascii="Arial" w:eastAsia="Arial" w:hAnsi="Arial" w:cs="Arial"/>
              <w:b/>
              <w:sz w:val="22"/>
              <w:szCs w:val="22"/>
            </w:rPr>
            <w:t>STN (18 del STN y 5 del STR)</w:t>
          </w:r>
        </w:p>
      </w:sdtContent>
    </w:sdt>
    <w:p w:rsidR="00B202A2" w:rsidRDefault="00295E06">
      <w:pPr>
        <w:spacing w:before="240" w:after="240"/>
        <w:ind w:left="283" w:hanging="285"/>
        <w:rPr>
          <w:rFonts w:ascii="Arial" w:eastAsia="Arial" w:hAnsi="Arial" w:cs="Arial"/>
          <w:sz w:val="22"/>
          <w:szCs w:val="22"/>
        </w:rPr>
      </w:pPr>
      <w:r>
        <w:rPr>
          <w:rFonts w:ascii="Arial" w:eastAsia="Arial" w:hAnsi="Arial" w:cs="Arial"/>
          <w:sz w:val="22"/>
          <w:szCs w:val="22"/>
        </w:rPr>
        <w:t>1.  Tesalia (Quimbo) - Alférez 230 kV. En construcción.</w:t>
      </w:r>
    </w:p>
    <w:p w:rsidR="00B202A2" w:rsidRDefault="00295E06">
      <w:pPr>
        <w:spacing w:before="240" w:after="240"/>
        <w:ind w:left="283" w:hanging="285"/>
        <w:rPr>
          <w:rFonts w:ascii="Arial" w:eastAsia="Arial" w:hAnsi="Arial" w:cs="Arial"/>
          <w:sz w:val="22"/>
          <w:szCs w:val="22"/>
        </w:rPr>
      </w:pPr>
      <w:r>
        <w:rPr>
          <w:rFonts w:ascii="Arial" w:eastAsia="Arial" w:hAnsi="Arial" w:cs="Arial"/>
          <w:sz w:val="22"/>
          <w:szCs w:val="22"/>
        </w:rPr>
        <w:t>2.  Chivor - Chivor II - Norte - Bacatá 230 kV. Finalizando licenciamiento ambiental.</w:t>
      </w:r>
    </w:p>
    <w:p w:rsidR="00B202A2" w:rsidRDefault="00295E06">
      <w:pPr>
        <w:spacing w:before="240" w:after="240"/>
        <w:ind w:left="283" w:hanging="285"/>
        <w:rPr>
          <w:rFonts w:ascii="Arial" w:eastAsia="Arial" w:hAnsi="Arial" w:cs="Arial"/>
          <w:sz w:val="22"/>
          <w:szCs w:val="22"/>
        </w:rPr>
      </w:pPr>
      <w:r>
        <w:rPr>
          <w:rFonts w:ascii="Arial" w:eastAsia="Arial" w:hAnsi="Arial" w:cs="Arial"/>
          <w:sz w:val="22"/>
          <w:szCs w:val="22"/>
        </w:rPr>
        <w:lastRenderedPageBreak/>
        <w:t>3.  Sogamoso – Norte – Nueva Esperanza 500 kV. Finalizando licenciamiento ambiental.</w:t>
      </w:r>
    </w:p>
    <w:p w:rsidR="00B202A2" w:rsidRDefault="00295E06">
      <w:pPr>
        <w:spacing w:before="240" w:after="240"/>
        <w:ind w:left="283" w:hanging="285"/>
        <w:rPr>
          <w:rFonts w:ascii="Arial" w:eastAsia="Arial" w:hAnsi="Arial" w:cs="Arial"/>
          <w:sz w:val="22"/>
          <w:szCs w:val="22"/>
        </w:rPr>
      </w:pPr>
      <w:r>
        <w:rPr>
          <w:rFonts w:ascii="Arial" w:eastAsia="Arial" w:hAnsi="Arial" w:cs="Arial"/>
          <w:sz w:val="22"/>
          <w:szCs w:val="22"/>
        </w:rPr>
        <w:t>4.  Colectora – Cuestecitas – La Loma 500 kV. En consultas previas.</w:t>
      </w:r>
    </w:p>
    <w:p w:rsidR="00B202A2" w:rsidRDefault="00295E06">
      <w:pPr>
        <w:spacing w:before="240" w:after="240"/>
        <w:ind w:left="283" w:hanging="285"/>
        <w:rPr>
          <w:rFonts w:ascii="Arial" w:eastAsia="Arial" w:hAnsi="Arial" w:cs="Arial"/>
          <w:sz w:val="22"/>
          <w:szCs w:val="22"/>
        </w:rPr>
      </w:pPr>
      <w:r>
        <w:rPr>
          <w:rFonts w:ascii="Arial" w:eastAsia="Arial" w:hAnsi="Arial" w:cs="Arial"/>
          <w:sz w:val="22"/>
          <w:szCs w:val="22"/>
        </w:rPr>
        <w:t>5.  Termoflores -</w:t>
      </w:r>
      <w:r>
        <w:rPr>
          <w:rFonts w:ascii="Arial" w:eastAsia="Arial" w:hAnsi="Arial" w:cs="Arial"/>
          <w:sz w:val="22"/>
          <w:szCs w:val="22"/>
        </w:rPr>
        <w:t xml:space="preserve"> El Rio 220 – Tebsa kV. En fase de licenciamiento ambiental.</w:t>
      </w:r>
    </w:p>
    <w:p w:rsidR="00B202A2" w:rsidRDefault="00295E06">
      <w:pPr>
        <w:spacing w:before="240" w:after="240"/>
        <w:ind w:left="283" w:hanging="285"/>
        <w:rPr>
          <w:rFonts w:ascii="Arial" w:eastAsia="Arial" w:hAnsi="Arial" w:cs="Arial"/>
          <w:sz w:val="22"/>
          <w:szCs w:val="22"/>
        </w:rPr>
      </w:pPr>
      <w:r>
        <w:rPr>
          <w:rFonts w:ascii="Arial" w:eastAsia="Arial" w:hAnsi="Arial" w:cs="Arial"/>
          <w:sz w:val="22"/>
          <w:szCs w:val="22"/>
        </w:rPr>
        <w:t>6.  Segundo Transformador Ocaña 500/230 kV. En fase de instalación.</w:t>
      </w:r>
    </w:p>
    <w:p w:rsidR="00B202A2" w:rsidRDefault="00295E06">
      <w:pPr>
        <w:spacing w:before="240" w:after="240"/>
        <w:ind w:left="283" w:hanging="285"/>
        <w:rPr>
          <w:rFonts w:ascii="Arial" w:eastAsia="Arial" w:hAnsi="Arial" w:cs="Arial"/>
          <w:sz w:val="22"/>
          <w:szCs w:val="22"/>
        </w:rPr>
      </w:pPr>
      <w:r>
        <w:rPr>
          <w:rFonts w:ascii="Arial" w:eastAsia="Arial" w:hAnsi="Arial" w:cs="Arial"/>
          <w:sz w:val="22"/>
          <w:szCs w:val="22"/>
        </w:rPr>
        <w:t>7.  San Juan 220 kV. En fase de licenciamiento ambiental.</w:t>
      </w:r>
    </w:p>
    <w:p w:rsidR="00B202A2" w:rsidRDefault="00295E06">
      <w:pPr>
        <w:spacing w:before="240" w:after="240"/>
        <w:ind w:left="283" w:hanging="285"/>
        <w:rPr>
          <w:rFonts w:ascii="Arial" w:eastAsia="Arial" w:hAnsi="Arial" w:cs="Arial"/>
          <w:sz w:val="22"/>
          <w:szCs w:val="22"/>
        </w:rPr>
      </w:pPr>
      <w:r>
        <w:rPr>
          <w:rFonts w:ascii="Arial" w:eastAsia="Arial" w:hAnsi="Arial" w:cs="Arial"/>
          <w:sz w:val="22"/>
          <w:szCs w:val="22"/>
        </w:rPr>
        <w:t>8. Chinú – Toluviejo – Bolívar 220 kV. En fase de consultas previas.</w:t>
      </w:r>
    </w:p>
    <w:p w:rsidR="00B202A2" w:rsidRDefault="00295E06">
      <w:pPr>
        <w:spacing w:before="240" w:after="240"/>
        <w:ind w:left="283" w:hanging="285"/>
        <w:rPr>
          <w:rFonts w:ascii="Arial" w:eastAsia="Arial" w:hAnsi="Arial" w:cs="Arial"/>
          <w:sz w:val="22"/>
          <w:szCs w:val="22"/>
        </w:rPr>
      </w:pPr>
      <w:r>
        <w:rPr>
          <w:rFonts w:ascii="Arial" w:eastAsia="Arial" w:hAnsi="Arial" w:cs="Arial"/>
          <w:sz w:val="22"/>
          <w:szCs w:val="22"/>
        </w:rPr>
        <w:t>9.  Refuerzo Suroccidental 500 kV: Medellín – Virginia en construcción; Virginia – Alférez reiniciando proceso de licenciamiento; y Alférez – San Marcos iniciando construcción.</w:t>
      </w:r>
    </w:p>
    <w:p w:rsidR="00B202A2" w:rsidRDefault="00295E06">
      <w:pPr>
        <w:spacing w:before="240" w:after="240"/>
        <w:ind w:left="283" w:hanging="285"/>
        <w:rPr>
          <w:rFonts w:ascii="Arial" w:eastAsia="Arial" w:hAnsi="Arial" w:cs="Arial"/>
          <w:sz w:val="22"/>
          <w:szCs w:val="22"/>
        </w:rPr>
      </w:pPr>
      <w:r>
        <w:rPr>
          <w:rFonts w:ascii="Arial" w:eastAsia="Arial" w:hAnsi="Arial" w:cs="Arial"/>
          <w:sz w:val="22"/>
          <w:szCs w:val="22"/>
        </w:rPr>
        <w:t>10. Conexión Ituango 500 kV: Ituango – Cerromatoso, Ituango – Medellín, Ituango</w:t>
      </w:r>
      <w:r>
        <w:rPr>
          <w:rFonts w:ascii="Arial" w:eastAsia="Arial" w:hAnsi="Arial" w:cs="Arial"/>
          <w:sz w:val="22"/>
          <w:szCs w:val="22"/>
        </w:rPr>
        <w:t xml:space="preserve"> – Porce III y Porce III – Sogamoso finalizando construcción.</w:t>
      </w:r>
    </w:p>
    <w:p w:rsidR="00B202A2" w:rsidRDefault="00295E06">
      <w:pPr>
        <w:spacing w:before="240" w:after="240"/>
        <w:ind w:left="283" w:hanging="285"/>
        <w:rPr>
          <w:rFonts w:ascii="Arial" w:eastAsia="Arial" w:hAnsi="Arial" w:cs="Arial"/>
          <w:sz w:val="22"/>
          <w:szCs w:val="22"/>
        </w:rPr>
      </w:pPr>
      <w:r>
        <w:rPr>
          <w:rFonts w:ascii="Arial" w:eastAsia="Arial" w:hAnsi="Arial" w:cs="Arial"/>
          <w:sz w:val="22"/>
          <w:szCs w:val="22"/>
        </w:rPr>
        <w:t>11. Virginia - Nueva Esperanza 500 kV. En fase de licenciamiento ambiental.</w:t>
      </w:r>
    </w:p>
    <w:p w:rsidR="00B202A2" w:rsidRDefault="00295E06">
      <w:pPr>
        <w:spacing w:before="240" w:after="240"/>
        <w:ind w:left="283" w:hanging="285"/>
        <w:rPr>
          <w:rFonts w:ascii="Arial" w:eastAsia="Arial" w:hAnsi="Arial" w:cs="Arial"/>
          <w:sz w:val="22"/>
          <w:szCs w:val="22"/>
        </w:rPr>
      </w:pPr>
      <w:r>
        <w:rPr>
          <w:rFonts w:ascii="Arial" w:eastAsia="Arial" w:hAnsi="Arial" w:cs="Arial"/>
          <w:sz w:val="22"/>
          <w:szCs w:val="22"/>
        </w:rPr>
        <w:t>12. Refuerzo Costa Caribe 500 kV: Cerromatoso – Chinú – Copey en construcción.</w:t>
      </w:r>
    </w:p>
    <w:p w:rsidR="00B202A2" w:rsidRDefault="00295E06">
      <w:pPr>
        <w:spacing w:before="240" w:after="240"/>
        <w:ind w:left="283" w:hanging="285"/>
        <w:rPr>
          <w:rFonts w:ascii="Arial" w:eastAsia="Arial" w:hAnsi="Arial" w:cs="Arial"/>
          <w:sz w:val="22"/>
          <w:szCs w:val="22"/>
        </w:rPr>
      </w:pPr>
      <w:r>
        <w:rPr>
          <w:rFonts w:ascii="Arial" w:eastAsia="Arial" w:hAnsi="Arial" w:cs="Arial"/>
          <w:sz w:val="22"/>
          <w:szCs w:val="22"/>
        </w:rPr>
        <w:t xml:space="preserve">13. Copey - Cuestecitas 500 kV y Copey </w:t>
      </w:r>
      <w:r>
        <w:rPr>
          <w:rFonts w:ascii="Arial" w:eastAsia="Arial" w:hAnsi="Arial" w:cs="Arial"/>
          <w:sz w:val="22"/>
          <w:szCs w:val="22"/>
        </w:rPr>
        <w:t>- Fundación 220 kV. En consultas previas.</w:t>
      </w:r>
    </w:p>
    <w:p w:rsidR="00B202A2" w:rsidRDefault="00295E06">
      <w:pPr>
        <w:spacing w:before="240" w:after="240"/>
        <w:ind w:left="283" w:hanging="285"/>
        <w:rPr>
          <w:rFonts w:ascii="Arial" w:eastAsia="Arial" w:hAnsi="Arial" w:cs="Arial"/>
          <w:sz w:val="22"/>
          <w:szCs w:val="22"/>
        </w:rPr>
      </w:pPr>
      <w:r>
        <w:rPr>
          <w:rFonts w:ascii="Arial" w:eastAsia="Arial" w:hAnsi="Arial" w:cs="Arial"/>
          <w:sz w:val="22"/>
          <w:szCs w:val="22"/>
        </w:rPr>
        <w:t>14.  Sabanalarga – Bolívar 500 kV. Por iniciar consultas previas.</w:t>
      </w:r>
    </w:p>
    <w:p w:rsidR="00B202A2" w:rsidRDefault="00295E06">
      <w:pPr>
        <w:spacing w:before="240" w:after="240"/>
        <w:ind w:left="283" w:hanging="285"/>
        <w:rPr>
          <w:rFonts w:ascii="Arial" w:eastAsia="Arial" w:hAnsi="Arial" w:cs="Arial"/>
          <w:sz w:val="22"/>
          <w:szCs w:val="22"/>
        </w:rPr>
      </w:pPr>
      <w:r>
        <w:rPr>
          <w:rFonts w:ascii="Arial" w:eastAsia="Arial" w:hAnsi="Arial" w:cs="Arial"/>
          <w:sz w:val="22"/>
          <w:szCs w:val="22"/>
        </w:rPr>
        <w:t>15. Suria 230 kV. En construcción.</w:t>
      </w:r>
    </w:p>
    <w:p w:rsidR="00B202A2" w:rsidRDefault="00295E06">
      <w:pPr>
        <w:spacing w:before="240" w:after="240"/>
        <w:ind w:left="283" w:hanging="285"/>
        <w:rPr>
          <w:rFonts w:ascii="Arial" w:eastAsia="Arial" w:hAnsi="Arial" w:cs="Arial"/>
          <w:sz w:val="22"/>
          <w:szCs w:val="22"/>
        </w:rPr>
      </w:pPr>
      <w:r>
        <w:rPr>
          <w:rFonts w:ascii="Arial" w:eastAsia="Arial" w:hAnsi="Arial" w:cs="Arial"/>
          <w:sz w:val="22"/>
          <w:szCs w:val="22"/>
        </w:rPr>
        <w:t>16. La Loma - Sogamoso 500 kV. Iniciando trámites ambientales.</w:t>
      </w:r>
    </w:p>
    <w:p w:rsidR="00B202A2" w:rsidRDefault="00295E06">
      <w:pPr>
        <w:spacing w:before="240" w:after="240"/>
        <w:ind w:left="283" w:hanging="285"/>
        <w:rPr>
          <w:rFonts w:ascii="Arial" w:eastAsia="Arial" w:hAnsi="Arial" w:cs="Arial"/>
          <w:sz w:val="22"/>
          <w:szCs w:val="22"/>
        </w:rPr>
      </w:pPr>
      <w:r>
        <w:rPr>
          <w:rFonts w:ascii="Arial" w:eastAsia="Arial" w:hAnsi="Arial" w:cs="Arial"/>
          <w:sz w:val="22"/>
          <w:szCs w:val="22"/>
        </w:rPr>
        <w:t>17. Sahagún 500 kV. Con licencia, preparando inici</w:t>
      </w:r>
      <w:r>
        <w:rPr>
          <w:rFonts w:ascii="Arial" w:eastAsia="Arial" w:hAnsi="Arial" w:cs="Arial"/>
          <w:sz w:val="22"/>
          <w:szCs w:val="22"/>
        </w:rPr>
        <w:t>o de construcción.</w:t>
      </w:r>
    </w:p>
    <w:p w:rsidR="00B202A2" w:rsidRDefault="00295E06">
      <w:pPr>
        <w:spacing w:before="240" w:after="240"/>
        <w:ind w:left="283" w:hanging="285"/>
        <w:rPr>
          <w:rFonts w:ascii="Arial" w:eastAsia="Arial" w:hAnsi="Arial" w:cs="Arial"/>
          <w:sz w:val="22"/>
          <w:szCs w:val="22"/>
        </w:rPr>
      </w:pPr>
      <w:r>
        <w:rPr>
          <w:rFonts w:ascii="Arial" w:eastAsia="Arial" w:hAnsi="Arial" w:cs="Arial"/>
          <w:sz w:val="22"/>
          <w:szCs w:val="22"/>
        </w:rPr>
        <w:t>18. Rio Córdoba - Termocol 220 kV. Iniciando trámites ambientales.</w:t>
      </w:r>
    </w:p>
    <w:p w:rsidR="00B202A2" w:rsidRDefault="00B202A2">
      <w:pPr>
        <w:spacing w:before="240" w:after="240"/>
        <w:rPr>
          <w:rFonts w:ascii="Arial" w:eastAsia="Arial" w:hAnsi="Arial" w:cs="Arial"/>
          <w:sz w:val="22"/>
          <w:szCs w:val="22"/>
        </w:rPr>
      </w:pPr>
    </w:p>
    <w:sdt>
      <w:sdtPr>
        <w:tag w:val="goog_rdk_3"/>
        <w:id w:val="2054884842"/>
      </w:sdtPr>
      <w:sdtEndPr/>
      <w:sdtContent>
        <w:p w:rsidR="00B202A2" w:rsidRDefault="00295E06">
          <w:pPr>
            <w:spacing w:before="240" w:after="240"/>
            <w:rPr>
              <w:rFonts w:ascii="Arial" w:eastAsia="Arial" w:hAnsi="Arial" w:cs="Arial"/>
              <w:b/>
              <w:sz w:val="22"/>
              <w:szCs w:val="22"/>
            </w:rPr>
          </w:pPr>
          <w:r>
            <w:rPr>
              <w:rFonts w:ascii="Arial" w:eastAsia="Arial" w:hAnsi="Arial" w:cs="Arial"/>
              <w:b/>
              <w:sz w:val="22"/>
              <w:szCs w:val="22"/>
            </w:rPr>
            <w:t>STR</w:t>
          </w:r>
        </w:p>
      </w:sdtContent>
    </w:sdt>
    <w:p w:rsidR="00B202A2" w:rsidRDefault="00295E06">
      <w:pPr>
        <w:spacing w:before="240" w:after="240"/>
        <w:ind w:left="283" w:hanging="283"/>
        <w:rPr>
          <w:rFonts w:ascii="Arial" w:eastAsia="Arial" w:hAnsi="Arial" w:cs="Arial"/>
          <w:sz w:val="22"/>
          <w:szCs w:val="22"/>
        </w:rPr>
      </w:pPr>
      <w:r>
        <w:rPr>
          <w:rFonts w:ascii="Arial" w:eastAsia="Arial" w:hAnsi="Arial" w:cs="Arial"/>
          <w:sz w:val="22"/>
          <w:szCs w:val="22"/>
        </w:rPr>
        <w:t>19. Refuerzo Guajira 110 kV: Cuestecitas – Riohacha en servicio y Riohacha – Maicao terminando construcción.</w:t>
      </w:r>
    </w:p>
    <w:p w:rsidR="00B202A2" w:rsidRDefault="00295E06">
      <w:pPr>
        <w:spacing w:before="240" w:after="240"/>
        <w:rPr>
          <w:rFonts w:ascii="Arial" w:eastAsia="Arial" w:hAnsi="Arial" w:cs="Arial"/>
          <w:sz w:val="22"/>
          <w:szCs w:val="22"/>
        </w:rPr>
      </w:pPr>
      <w:r>
        <w:rPr>
          <w:rFonts w:ascii="Arial" w:eastAsia="Arial" w:hAnsi="Arial" w:cs="Arial"/>
          <w:sz w:val="22"/>
          <w:szCs w:val="22"/>
        </w:rPr>
        <w:t>20.   La Loma – La Jagua y La Loma – El Paso 110 kV. En consultas previas.</w:t>
      </w:r>
    </w:p>
    <w:p w:rsidR="00B202A2" w:rsidRDefault="00295E06">
      <w:pPr>
        <w:spacing w:before="240" w:after="240"/>
        <w:rPr>
          <w:rFonts w:ascii="Arial" w:eastAsia="Arial" w:hAnsi="Arial" w:cs="Arial"/>
          <w:sz w:val="22"/>
          <w:szCs w:val="22"/>
        </w:rPr>
      </w:pPr>
      <w:r>
        <w:rPr>
          <w:rFonts w:ascii="Arial" w:eastAsia="Arial" w:hAnsi="Arial" w:cs="Arial"/>
          <w:sz w:val="22"/>
          <w:szCs w:val="22"/>
        </w:rPr>
        <w:t>21.   La Marina 110 kV. Iniciando trámites ambientales.</w:t>
      </w:r>
    </w:p>
    <w:p w:rsidR="00B202A2" w:rsidRDefault="00295E06">
      <w:pPr>
        <w:spacing w:before="240" w:after="240"/>
        <w:rPr>
          <w:rFonts w:ascii="Arial" w:eastAsia="Arial" w:hAnsi="Arial" w:cs="Arial"/>
          <w:sz w:val="22"/>
          <w:szCs w:val="22"/>
        </w:rPr>
      </w:pPr>
      <w:r>
        <w:rPr>
          <w:rFonts w:ascii="Arial" w:eastAsia="Arial" w:hAnsi="Arial" w:cs="Arial"/>
          <w:sz w:val="22"/>
          <w:szCs w:val="22"/>
        </w:rPr>
        <w:t>22.   Guatapurí 110 kV. Iniciando trámites ambientales.</w:t>
      </w:r>
    </w:p>
    <w:p w:rsidR="00B202A2" w:rsidRDefault="00295E06">
      <w:pPr>
        <w:spacing w:before="240" w:after="240"/>
        <w:rPr>
          <w:rFonts w:ascii="Arial" w:eastAsia="Arial" w:hAnsi="Arial" w:cs="Arial"/>
          <w:sz w:val="22"/>
          <w:szCs w:val="22"/>
        </w:rPr>
      </w:pPr>
      <w:r>
        <w:rPr>
          <w:rFonts w:ascii="Arial" w:eastAsia="Arial" w:hAnsi="Arial" w:cs="Arial"/>
          <w:sz w:val="22"/>
          <w:szCs w:val="22"/>
        </w:rPr>
        <w:t>23.   Atlántico 110 kV. Iniciando trámites ambientales.</w:t>
      </w:r>
    </w:p>
    <w:p w:rsidR="00B202A2" w:rsidRDefault="00B202A2">
      <w:pPr>
        <w:spacing w:before="240" w:after="240"/>
        <w:rPr>
          <w:rFonts w:ascii="Arial" w:eastAsia="Arial" w:hAnsi="Arial" w:cs="Arial"/>
          <w:sz w:val="22"/>
          <w:szCs w:val="22"/>
        </w:rPr>
      </w:pPr>
    </w:p>
    <w:p w:rsidR="00B202A2" w:rsidRDefault="00295E06">
      <w:pPr>
        <w:spacing w:before="240" w:after="240"/>
        <w:rPr>
          <w:rFonts w:ascii="Arial" w:eastAsia="Arial" w:hAnsi="Arial" w:cs="Arial"/>
          <w:sz w:val="22"/>
          <w:szCs w:val="22"/>
        </w:rPr>
      </w:pPr>
      <w:r>
        <w:rPr>
          <w:rFonts w:ascii="Arial" w:eastAsia="Arial" w:hAnsi="Arial" w:cs="Arial"/>
          <w:noProof/>
          <w:sz w:val="22"/>
          <w:szCs w:val="22"/>
          <w:lang w:val="en-US"/>
        </w:rPr>
        <w:lastRenderedPageBreak/>
        <w:drawing>
          <wp:inline distT="114300" distB="114300" distL="114300" distR="114300" wp14:anchorId="77D4E9D9" wp14:editId="3E1C28C3">
            <wp:extent cx="5610225" cy="6505575"/>
            <wp:effectExtent l="0" t="0" r="0" b="0"/>
            <wp:docPr id="146"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13"/>
                    <a:srcRect/>
                    <a:stretch>
                      <a:fillRect/>
                    </a:stretch>
                  </pic:blipFill>
                  <pic:spPr>
                    <a:xfrm>
                      <a:off x="0" y="0"/>
                      <a:ext cx="5610225" cy="6505575"/>
                    </a:xfrm>
                    <a:prstGeom prst="rect">
                      <a:avLst/>
                    </a:prstGeom>
                    <a:ln/>
                  </pic:spPr>
                </pic:pic>
              </a:graphicData>
            </a:graphic>
          </wp:inline>
        </w:drawing>
      </w:r>
    </w:p>
    <w:p w:rsidR="00B202A2" w:rsidRDefault="00B202A2">
      <w:pPr>
        <w:spacing w:before="240" w:after="240"/>
        <w:rPr>
          <w:rFonts w:ascii="Arial" w:eastAsia="Arial" w:hAnsi="Arial" w:cs="Arial"/>
          <w:sz w:val="22"/>
          <w:szCs w:val="22"/>
        </w:rPr>
      </w:pP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Entre las herramientas de apoyo al seguimiento, se mejoró el desarrollo del geovisor de proyectos de transmisión, el cual permite visualizar los proyectos en ejecución y previstos, incluyendo información básica y de estado de avance general. Éste puede ser</w:t>
      </w:r>
      <w:r>
        <w:rPr>
          <w:rFonts w:ascii="Arial" w:eastAsia="Arial" w:hAnsi="Arial" w:cs="Arial"/>
          <w:sz w:val="22"/>
          <w:szCs w:val="22"/>
        </w:rPr>
        <w:t xml:space="preserve"> consultado en http://upmeonline.maps.arcgis.com/apps/webappviewer/index.html.</w:t>
      </w:r>
    </w:p>
    <w:p w:rsidR="00B202A2" w:rsidRDefault="00295E06">
      <w:pPr>
        <w:spacing w:before="240" w:after="240"/>
        <w:rPr>
          <w:rFonts w:ascii="Arial" w:eastAsia="Arial" w:hAnsi="Arial" w:cs="Arial"/>
          <w:b/>
          <w:sz w:val="22"/>
          <w:szCs w:val="22"/>
        </w:rPr>
      </w:pPr>
      <w:r>
        <w:rPr>
          <w:rFonts w:ascii="Arial" w:eastAsia="Arial" w:hAnsi="Arial" w:cs="Arial"/>
          <w:b/>
          <w:sz w:val="22"/>
          <w:szCs w:val="22"/>
        </w:rPr>
        <w:t>Alertas tempranas para proyectos de transmisión:</w:t>
      </w: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lastRenderedPageBreak/>
        <w:t>Se han trabajado 5 documentos de alertas tempranas a efectos de proyectos de convocatoria, de los cuales 2 se encuentran publica</w:t>
      </w:r>
      <w:r>
        <w:rPr>
          <w:rFonts w:ascii="Arial" w:eastAsia="Arial" w:hAnsi="Arial" w:cs="Arial"/>
          <w:sz w:val="22"/>
          <w:szCs w:val="22"/>
        </w:rPr>
        <w:t>dos y los otros 3 se encuentran finalizados para los proyectos en estructuración. Este trabajo permite identificar las posibilidades y condicionantes de los proyectos, de tal manera que en una primera fase (planeamiento) se puedan tomar decisiones frente a</w:t>
      </w:r>
      <w:r>
        <w:rPr>
          <w:rFonts w:ascii="Arial" w:eastAsia="Arial" w:hAnsi="Arial" w:cs="Arial"/>
          <w:sz w:val="22"/>
          <w:szCs w:val="22"/>
        </w:rPr>
        <w:t xml:space="preserve"> la definición de un proyecto o decidir otra alternativa eléctrica y finalmente estimar el tiempo de ejecución y cronograma del mismo. En una segunda fase (convocatoria) permite ofrecer información detallada a los inversionistas potenciales para que tomen </w:t>
      </w:r>
      <w:r>
        <w:rPr>
          <w:rFonts w:ascii="Arial" w:eastAsia="Arial" w:hAnsi="Arial" w:cs="Arial"/>
          <w:sz w:val="22"/>
          <w:szCs w:val="22"/>
        </w:rPr>
        <w:t>decisiones respecto a sus ofertas y respecto a la ejecución misma.</w:t>
      </w: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En tal sentido, se crearon alianzas interinstitucionales y espacios de articulación con la Autoridad Nacional de Licencias Ambientales - ANLA y con el Comité Asesor de Planeamiento de la Tr</w:t>
      </w:r>
      <w:r>
        <w:rPr>
          <w:rFonts w:ascii="Arial" w:eastAsia="Arial" w:hAnsi="Arial" w:cs="Arial"/>
          <w:sz w:val="22"/>
          <w:szCs w:val="22"/>
        </w:rPr>
        <w:t>ansmisión – CAPT donde se han analizado los proyectos que se han venido proponiendo y definiendo. Se dio a conocer la metodología y resultados de los documentos de “</w:t>
      </w:r>
      <w:r>
        <w:rPr>
          <w:rFonts w:ascii="Arial" w:eastAsia="Arial" w:hAnsi="Arial" w:cs="Arial"/>
          <w:i/>
          <w:sz w:val="22"/>
          <w:szCs w:val="22"/>
        </w:rPr>
        <w:t>Análisis del Área de Estudio Preliminar y Alertas Tempranas</w:t>
      </w:r>
      <w:r>
        <w:rPr>
          <w:rFonts w:ascii="Arial" w:eastAsia="Arial" w:hAnsi="Arial" w:cs="Arial"/>
          <w:sz w:val="22"/>
          <w:szCs w:val="22"/>
        </w:rPr>
        <w:t>” elaborados por la UPME y se pr</w:t>
      </w:r>
      <w:r>
        <w:rPr>
          <w:rFonts w:ascii="Arial" w:eastAsia="Arial" w:hAnsi="Arial" w:cs="Arial"/>
          <w:sz w:val="22"/>
          <w:szCs w:val="22"/>
        </w:rPr>
        <w:t>ocesaron e incluyeron las observaciones recibidas.</w:t>
      </w: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Retos:</w:t>
      </w: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En lo que resta del 2020, iniciar 5 convocatorias públicas y en 2021 continuar con iniciaciones y adjudicaciones de los nuevos proyectos.</w:t>
      </w:r>
    </w:p>
    <w:p w:rsidR="00B202A2" w:rsidRDefault="00295E06">
      <w:pPr>
        <w:pStyle w:val="Ttulo3"/>
        <w:spacing w:before="0"/>
        <w:jc w:val="both"/>
        <w:rPr>
          <w:rFonts w:ascii="Arial" w:eastAsia="Arial" w:hAnsi="Arial" w:cs="Arial"/>
          <w:sz w:val="22"/>
          <w:szCs w:val="22"/>
        </w:rPr>
      </w:pPr>
      <w:bookmarkStart w:id="22" w:name="_Toc55494279"/>
      <w:r>
        <w:rPr>
          <w:rFonts w:ascii="Arial" w:eastAsia="Arial" w:hAnsi="Arial" w:cs="Arial"/>
          <w:sz w:val="22"/>
          <w:szCs w:val="22"/>
        </w:rPr>
        <w:t>2.2.4. Plan Indicativo de Expansión de Cobertura – PIEC</w:t>
      </w:r>
      <w:bookmarkEnd w:id="22"/>
    </w:p>
    <w:p w:rsidR="00B202A2" w:rsidRDefault="00295E06">
      <w:pPr>
        <w:jc w:val="both"/>
        <w:rPr>
          <w:rFonts w:ascii="Arial" w:eastAsia="Arial" w:hAnsi="Arial" w:cs="Arial"/>
          <w:sz w:val="22"/>
          <w:szCs w:val="22"/>
        </w:rPr>
      </w:pPr>
      <w:r>
        <w:rPr>
          <w:rFonts w:ascii="Arial" w:eastAsia="Arial" w:hAnsi="Arial" w:cs="Arial"/>
          <w:sz w:val="22"/>
          <w:szCs w:val="22"/>
        </w:rPr>
        <w:t xml:space="preserve"> </w:t>
      </w:r>
    </w:p>
    <w:p w:rsidR="00B202A2" w:rsidRDefault="00295E06">
      <w:pPr>
        <w:jc w:val="both"/>
        <w:rPr>
          <w:rFonts w:ascii="Arial" w:eastAsia="Arial" w:hAnsi="Arial" w:cs="Arial"/>
          <w:sz w:val="22"/>
          <w:szCs w:val="22"/>
        </w:rPr>
      </w:pPr>
      <w:r>
        <w:rPr>
          <w:rFonts w:ascii="Arial" w:eastAsia="Arial" w:hAnsi="Arial" w:cs="Arial"/>
          <w:sz w:val="22"/>
          <w:szCs w:val="22"/>
        </w:rPr>
        <w:t>Lo</w:t>
      </w:r>
      <w:r>
        <w:rPr>
          <w:rFonts w:ascii="Arial" w:eastAsia="Arial" w:hAnsi="Arial" w:cs="Arial"/>
          <w:sz w:val="22"/>
          <w:szCs w:val="22"/>
        </w:rPr>
        <w:t>gros:</w:t>
      </w:r>
    </w:p>
    <w:p w:rsidR="00B202A2" w:rsidRDefault="00295E06">
      <w:pPr>
        <w:shd w:val="clear" w:color="auto" w:fill="FFFFFF"/>
        <w:spacing w:before="240" w:after="240"/>
        <w:jc w:val="both"/>
        <w:rPr>
          <w:rFonts w:ascii="Arial" w:eastAsia="Arial" w:hAnsi="Arial" w:cs="Arial"/>
          <w:sz w:val="22"/>
          <w:szCs w:val="22"/>
        </w:rPr>
      </w:pPr>
      <w:r>
        <w:rPr>
          <w:rFonts w:ascii="Arial" w:eastAsia="Arial" w:hAnsi="Arial" w:cs="Arial"/>
          <w:sz w:val="22"/>
          <w:szCs w:val="22"/>
        </w:rPr>
        <w:t>Se publicó el Plan Indicativo de Expansión de la Cobertura del servicio de energía eléctrica – PIEC 2019-2023 y se recibieron observaciones al mismo. Este plan incluyó información de los resultados del Censo Nacional de Población y Vivienda - CNPV 20</w:t>
      </w:r>
      <w:r>
        <w:rPr>
          <w:rFonts w:ascii="Arial" w:eastAsia="Arial" w:hAnsi="Arial" w:cs="Arial"/>
          <w:sz w:val="22"/>
          <w:szCs w:val="22"/>
        </w:rPr>
        <w:t>18 - realizado por el DANE, redes georeferenciadas de los operadores que presentaron sus propios planes de cobertura (PECOR) e información de los transformadores del SUI de la Superservicios. En dicho plan se identificaron las posibilidades de interconexió</w:t>
      </w:r>
      <w:r>
        <w:rPr>
          <w:rFonts w:ascii="Arial" w:eastAsia="Arial" w:hAnsi="Arial" w:cs="Arial"/>
          <w:sz w:val="22"/>
          <w:szCs w:val="22"/>
        </w:rPr>
        <w:t>n y soluciones individuales y se trabaja en el proceso de optimización a efectos de identificar las posibilidades de microrredes.</w:t>
      </w:r>
    </w:p>
    <w:p w:rsidR="00B202A2" w:rsidRDefault="00295E06">
      <w:pPr>
        <w:shd w:val="clear" w:color="auto" w:fill="FFFFFF"/>
        <w:spacing w:before="240" w:after="240"/>
        <w:jc w:val="both"/>
        <w:rPr>
          <w:rFonts w:ascii="Arial" w:eastAsia="Arial" w:hAnsi="Arial" w:cs="Arial"/>
          <w:sz w:val="22"/>
          <w:szCs w:val="22"/>
        </w:rPr>
      </w:pPr>
      <w:r>
        <w:rPr>
          <w:rFonts w:ascii="Arial" w:eastAsia="Arial" w:hAnsi="Arial" w:cs="Arial"/>
          <w:sz w:val="22"/>
          <w:szCs w:val="22"/>
        </w:rPr>
        <w:t>Se realizaron mesas de trabajo con el DANE para precisar información de las proyecciones de viviendas.</w:t>
      </w:r>
    </w:p>
    <w:p w:rsidR="00B202A2" w:rsidRDefault="00295E06">
      <w:pPr>
        <w:shd w:val="clear" w:color="auto" w:fill="FFFFFF"/>
        <w:spacing w:before="240" w:after="240"/>
        <w:jc w:val="both"/>
        <w:rPr>
          <w:rFonts w:ascii="Arial" w:eastAsia="Arial" w:hAnsi="Arial" w:cs="Arial"/>
          <w:sz w:val="22"/>
          <w:szCs w:val="22"/>
        </w:rPr>
      </w:pPr>
      <w:r>
        <w:rPr>
          <w:rFonts w:ascii="Arial" w:eastAsia="Arial" w:hAnsi="Arial" w:cs="Arial"/>
          <w:sz w:val="22"/>
          <w:szCs w:val="22"/>
        </w:rPr>
        <w:t>A efectos de la refinac</w:t>
      </w:r>
      <w:r>
        <w:rPr>
          <w:rFonts w:ascii="Arial" w:eastAsia="Arial" w:hAnsi="Arial" w:cs="Arial"/>
          <w:sz w:val="22"/>
          <w:szCs w:val="22"/>
        </w:rPr>
        <w:t>ión del cálculo de cobertura, se solicitó información a los operadores de red, la cual recién ha venido presentándose.</w:t>
      </w:r>
    </w:p>
    <w:p w:rsidR="00B202A2" w:rsidRDefault="00295E06">
      <w:pPr>
        <w:jc w:val="both"/>
        <w:rPr>
          <w:rFonts w:ascii="Arial" w:eastAsia="Arial" w:hAnsi="Arial" w:cs="Arial"/>
          <w:sz w:val="22"/>
          <w:szCs w:val="22"/>
          <w:highlight w:val="magenta"/>
        </w:rPr>
      </w:pPr>
      <w:r>
        <w:rPr>
          <w:rFonts w:ascii="Arial" w:eastAsia="Arial" w:hAnsi="Arial" w:cs="Arial"/>
          <w:sz w:val="22"/>
          <w:szCs w:val="22"/>
          <w:highlight w:val="magenta"/>
        </w:rPr>
        <w:t xml:space="preserve"> </w:t>
      </w:r>
    </w:p>
    <w:p w:rsidR="00B202A2" w:rsidRDefault="00295E06">
      <w:pPr>
        <w:jc w:val="both"/>
        <w:rPr>
          <w:rFonts w:ascii="Arial" w:eastAsia="Arial" w:hAnsi="Arial" w:cs="Arial"/>
          <w:sz w:val="22"/>
          <w:szCs w:val="22"/>
        </w:rPr>
      </w:pPr>
      <w:r>
        <w:rPr>
          <w:rFonts w:ascii="Arial" w:eastAsia="Arial" w:hAnsi="Arial" w:cs="Arial"/>
          <w:sz w:val="22"/>
          <w:szCs w:val="22"/>
        </w:rPr>
        <w:t xml:space="preserve">Retos:    </w:t>
      </w:r>
      <w:r>
        <w:rPr>
          <w:rFonts w:ascii="Arial" w:eastAsia="Arial" w:hAnsi="Arial" w:cs="Arial"/>
          <w:sz w:val="22"/>
          <w:szCs w:val="22"/>
        </w:rPr>
        <w:tab/>
      </w: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Finalizar los análisis de optimización a efectos de las soluciones de cobertura con microrredes aisladas como alternativa p</w:t>
      </w:r>
      <w:r>
        <w:rPr>
          <w:rFonts w:ascii="Arial" w:eastAsia="Arial" w:hAnsi="Arial" w:cs="Arial"/>
          <w:sz w:val="22"/>
          <w:szCs w:val="22"/>
        </w:rPr>
        <w:t>ara lograr la universalización del servicio e incluir como opción pequeñas centrales hidroeléctricas en regiones con potencial, según el atlas de potencial hidroenergético de Colombia.</w:t>
      </w: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lastRenderedPageBreak/>
        <w:t>Gestionar la información georeferenciada de las necesidades del servici</w:t>
      </w:r>
      <w:r>
        <w:rPr>
          <w:rFonts w:ascii="Arial" w:eastAsia="Arial" w:hAnsi="Arial" w:cs="Arial"/>
          <w:sz w:val="22"/>
          <w:szCs w:val="22"/>
        </w:rPr>
        <w:t>o de energía a través de la herramienta de SIITOS UPME, así como la consecución de las redes eléctricas de distribución y la infraestructura de ZNI.</w:t>
      </w: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Articulación con otros sectores como opción de prestación de servicios a consumidores de índole institucion</w:t>
      </w:r>
      <w:r>
        <w:rPr>
          <w:rFonts w:ascii="Arial" w:eastAsia="Arial" w:hAnsi="Arial" w:cs="Arial"/>
          <w:sz w:val="22"/>
          <w:szCs w:val="22"/>
        </w:rPr>
        <w:t xml:space="preserve">al como centros educativos, centros de salud y centros comunitarios. </w:t>
      </w: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Articulación con el Plan de Cobertura de Gas. Incorporar líneas estratégicas de articulación con proyecciones de demanda de energía y eficiencia energética en zonas aisladas.</w:t>
      </w: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Participar de las consultorías vigentes sobre mecanismos de ampliación de cobertura en otros países, aplicación del modelo REM y NRECA para el Plan de Cobertura en La Guajira.</w:t>
      </w:r>
    </w:p>
    <w:p w:rsidR="00B202A2" w:rsidRDefault="00295E06">
      <w:pPr>
        <w:pStyle w:val="Ttulo2"/>
        <w:rPr>
          <w:rFonts w:ascii="Arial" w:eastAsia="Arial" w:hAnsi="Arial" w:cs="Arial"/>
          <w:color w:val="335B8A"/>
          <w:sz w:val="22"/>
          <w:szCs w:val="22"/>
        </w:rPr>
      </w:pPr>
      <w:bookmarkStart w:id="23" w:name="_Toc55494280"/>
      <w:r>
        <w:rPr>
          <w:rFonts w:ascii="Arial" w:eastAsia="Arial" w:hAnsi="Arial" w:cs="Arial"/>
          <w:color w:val="335B8A"/>
          <w:sz w:val="22"/>
          <w:szCs w:val="22"/>
        </w:rPr>
        <w:t>2.3. Hidrocarburos</w:t>
      </w:r>
      <w:bookmarkEnd w:id="23"/>
    </w:p>
    <w:p w:rsidR="00B202A2" w:rsidRDefault="00295E06">
      <w:pPr>
        <w:pStyle w:val="Ttulo3"/>
        <w:jc w:val="both"/>
        <w:rPr>
          <w:rFonts w:ascii="Arial" w:eastAsia="Arial" w:hAnsi="Arial" w:cs="Arial"/>
          <w:sz w:val="22"/>
          <w:szCs w:val="22"/>
        </w:rPr>
      </w:pPr>
      <w:bookmarkStart w:id="24" w:name="_Toc55494281"/>
      <w:r>
        <w:rPr>
          <w:rFonts w:ascii="Arial" w:eastAsia="Arial" w:hAnsi="Arial" w:cs="Arial"/>
          <w:sz w:val="22"/>
          <w:szCs w:val="22"/>
        </w:rPr>
        <w:t>2.3.1. Abastecimiento Gas Natural</w:t>
      </w:r>
      <w:bookmarkEnd w:id="24"/>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En enero de 2020 la UPME pr</w:t>
      </w:r>
      <w:r>
        <w:rPr>
          <w:rFonts w:ascii="Arial" w:eastAsia="Arial" w:hAnsi="Arial" w:cs="Arial"/>
          <w:sz w:val="22"/>
          <w:szCs w:val="22"/>
        </w:rPr>
        <w:t>esentó y publicó para comentarios la versión preliminar del estudio técnico del plan de abastecimiento de gas natural</w:t>
      </w:r>
      <w:r>
        <w:rPr>
          <w:rFonts w:ascii="Arial" w:eastAsia="Arial" w:hAnsi="Arial" w:cs="Arial"/>
          <w:sz w:val="22"/>
          <w:szCs w:val="22"/>
          <w:vertAlign w:val="superscript"/>
        </w:rPr>
        <w:t>[1]</w:t>
      </w:r>
      <w:r>
        <w:rPr>
          <w:rFonts w:ascii="Arial" w:eastAsia="Arial" w:hAnsi="Arial" w:cs="Arial"/>
          <w:sz w:val="22"/>
          <w:szCs w:val="22"/>
        </w:rPr>
        <w:t>. Posteriormente y luego de incorporar los comentarios recibidos, en el mes de julio se presentó formalmente al Ministerio de Minas y En</w:t>
      </w:r>
      <w:r>
        <w:rPr>
          <w:rFonts w:ascii="Arial" w:eastAsia="Arial" w:hAnsi="Arial" w:cs="Arial"/>
          <w:sz w:val="22"/>
          <w:szCs w:val="22"/>
        </w:rPr>
        <w:t>ergía el Estudio Técnico para el Plan de Abastecimiento de Gas Natural 2019-28 que incluye: i) La descripción de los proyectos recomendados a ser incluidos en el Plan de Abastecimiento de Gas Natural, ii) la identificación de los beneficiarios de cada proy</w:t>
      </w:r>
      <w:r>
        <w:rPr>
          <w:rFonts w:ascii="Arial" w:eastAsia="Arial" w:hAnsi="Arial" w:cs="Arial"/>
          <w:sz w:val="22"/>
          <w:szCs w:val="22"/>
        </w:rPr>
        <w:t>ecto y iii) el análisis de costo-beneficio de los proyectos recomendados para un horizonte de planeamiento de 10 años.</w:t>
      </w:r>
    </w:p>
    <w:p w:rsidR="00B202A2" w:rsidRDefault="00295E06">
      <w:pPr>
        <w:shd w:val="clear" w:color="auto" w:fill="FFFFFF"/>
        <w:spacing w:before="240" w:after="240"/>
        <w:jc w:val="both"/>
        <w:rPr>
          <w:rFonts w:ascii="Arial" w:eastAsia="Arial" w:hAnsi="Arial" w:cs="Arial"/>
          <w:sz w:val="22"/>
          <w:szCs w:val="22"/>
        </w:rPr>
      </w:pPr>
      <w:r>
        <w:rPr>
          <w:rFonts w:ascii="Arial" w:eastAsia="Arial" w:hAnsi="Arial" w:cs="Arial"/>
          <w:sz w:val="22"/>
          <w:szCs w:val="22"/>
        </w:rPr>
        <w:t xml:space="preserve">El </w:t>
      </w:r>
      <w:r>
        <w:rPr>
          <w:rFonts w:ascii="Arial" w:eastAsia="Arial" w:hAnsi="Arial" w:cs="Arial"/>
          <w:i/>
          <w:sz w:val="22"/>
          <w:szCs w:val="22"/>
        </w:rPr>
        <w:t>Estudio Técnico para el Plan de Abastecimiento de Gas Natural 2019-28</w:t>
      </w:r>
      <w:r>
        <w:rPr>
          <w:rFonts w:ascii="Arial" w:eastAsia="Arial" w:hAnsi="Arial" w:cs="Arial"/>
          <w:sz w:val="22"/>
          <w:szCs w:val="22"/>
        </w:rPr>
        <w:t>, constituye un instrumento de planeación que proporciona una eva</w:t>
      </w:r>
      <w:r>
        <w:rPr>
          <w:rFonts w:ascii="Arial" w:eastAsia="Arial" w:hAnsi="Arial" w:cs="Arial"/>
          <w:sz w:val="22"/>
          <w:szCs w:val="22"/>
        </w:rPr>
        <w:t>luación sobre disponibilidad de oferta y el crecimiento de la demanda de gas natural en el corto, mediano y largo plazo, brindando mayor certidumbre sobre los proyectos de infraestructura en suministro y transporte de gas natural en el país, así como eleme</w:t>
      </w:r>
      <w:r>
        <w:rPr>
          <w:rFonts w:ascii="Arial" w:eastAsia="Arial" w:hAnsi="Arial" w:cs="Arial"/>
          <w:sz w:val="22"/>
          <w:szCs w:val="22"/>
        </w:rPr>
        <w:t>ntos para la toma de decisiones de inversión.</w:t>
      </w:r>
    </w:p>
    <w:p w:rsidR="00B202A2" w:rsidRDefault="00295E06">
      <w:pPr>
        <w:shd w:val="clear" w:color="auto" w:fill="FFFFFF"/>
        <w:spacing w:before="240" w:after="240"/>
        <w:jc w:val="both"/>
        <w:rPr>
          <w:rFonts w:ascii="Arial" w:eastAsia="Arial" w:hAnsi="Arial" w:cs="Arial"/>
          <w:sz w:val="22"/>
          <w:szCs w:val="22"/>
        </w:rPr>
      </w:pPr>
      <w:r>
        <w:rPr>
          <w:rFonts w:ascii="Arial" w:eastAsia="Arial" w:hAnsi="Arial" w:cs="Arial"/>
          <w:sz w:val="22"/>
          <w:szCs w:val="22"/>
        </w:rPr>
        <w:t>La UPME recomendó al Ministerio de Minas y Energía, para la adopción del Plan de Abastecimiento de Gas Natural 2019-28, el listado de obras de infraestructura que se listan en la Tabla 1, con las cuales se gara</w:t>
      </w:r>
      <w:r>
        <w:rPr>
          <w:rFonts w:ascii="Arial" w:eastAsia="Arial" w:hAnsi="Arial" w:cs="Arial"/>
          <w:sz w:val="22"/>
          <w:szCs w:val="22"/>
        </w:rPr>
        <w:t>ntiza el cumplimiento de las premisas dictadas por el Decreto 2345 de 2015 de seguridad de abastecimiento y confiabilidad del servicio de gas natural en el país. El contenido del Plan se elaboró en función del resultado de los análisis realizados con la me</w:t>
      </w:r>
      <w:r>
        <w:rPr>
          <w:rFonts w:ascii="Arial" w:eastAsia="Arial" w:hAnsi="Arial" w:cs="Arial"/>
          <w:sz w:val="22"/>
          <w:szCs w:val="22"/>
        </w:rPr>
        <w:t>jor información disponible al momento de su emisión.</w:t>
      </w:r>
    </w:p>
    <w:p w:rsidR="00B202A2" w:rsidRDefault="00B202A2">
      <w:pPr>
        <w:shd w:val="clear" w:color="auto" w:fill="FFFFFF"/>
        <w:spacing w:before="240" w:after="240"/>
        <w:jc w:val="both"/>
        <w:rPr>
          <w:rFonts w:ascii="Arial" w:eastAsia="Arial" w:hAnsi="Arial" w:cs="Arial"/>
          <w:sz w:val="22"/>
          <w:szCs w:val="22"/>
        </w:rPr>
      </w:pPr>
    </w:p>
    <w:p w:rsidR="00B202A2" w:rsidRDefault="00B202A2">
      <w:pPr>
        <w:shd w:val="clear" w:color="auto" w:fill="FFFFFF"/>
        <w:spacing w:before="240" w:after="240"/>
        <w:jc w:val="both"/>
        <w:rPr>
          <w:rFonts w:ascii="Arial" w:eastAsia="Arial" w:hAnsi="Arial" w:cs="Arial"/>
          <w:sz w:val="22"/>
          <w:szCs w:val="22"/>
        </w:rPr>
      </w:pPr>
    </w:p>
    <w:p w:rsidR="00B202A2" w:rsidRDefault="00295E06">
      <w:pPr>
        <w:shd w:val="clear" w:color="auto" w:fill="FFFFFF"/>
        <w:spacing w:before="240" w:after="240"/>
        <w:jc w:val="center"/>
        <w:rPr>
          <w:rFonts w:ascii="Arial" w:eastAsia="Arial" w:hAnsi="Arial" w:cs="Arial"/>
          <w:b/>
          <w:sz w:val="22"/>
          <w:szCs w:val="22"/>
          <w:u w:val="single"/>
        </w:rPr>
      </w:pPr>
      <w:r>
        <w:rPr>
          <w:rFonts w:ascii="Arial" w:eastAsia="Arial" w:hAnsi="Arial" w:cs="Arial"/>
          <w:b/>
          <w:sz w:val="22"/>
          <w:szCs w:val="22"/>
          <w:u w:val="single"/>
        </w:rPr>
        <w:t>Tabla 1. Obras propuestas para adoptar el Plan de Abastecimiento de Gas Natural</w:t>
      </w:r>
    </w:p>
    <w:tbl>
      <w:tblPr>
        <w:tblStyle w:val="afe"/>
        <w:tblW w:w="85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05"/>
        <w:gridCol w:w="3795"/>
        <w:gridCol w:w="2295"/>
        <w:gridCol w:w="1770"/>
      </w:tblGrid>
      <w:tr w:rsidR="00B202A2">
        <w:trPr>
          <w:trHeight w:val="1061"/>
        </w:trPr>
        <w:tc>
          <w:tcPr>
            <w:tcW w:w="705"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rsidR="00B202A2" w:rsidRDefault="00295E06">
            <w:pPr>
              <w:spacing w:before="240" w:after="240"/>
              <w:jc w:val="center"/>
              <w:rPr>
                <w:rFonts w:ascii="Arial" w:eastAsia="Arial" w:hAnsi="Arial" w:cs="Arial"/>
                <w:b/>
                <w:sz w:val="22"/>
                <w:szCs w:val="22"/>
              </w:rPr>
            </w:pPr>
            <w:r>
              <w:rPr>
                <w:rFonts w:ascii="Arial" w:eastAsia="Arial" w:hAnsi="Arial" w:cs="Arial"/>
                <w:b/>
                <w:sz w:val="22"/>
                <w:szCs w:val="22"/>
              </w:rPr>
              <w:lastRenderedPageBreak/>
              <w:t>Nro.</w:t>
            </w:r>
          </w:p>
        </w:tc>
        <w:tc>
          <w:tcPr>
            <w:tcW w:w="3795" w:type="dxa"/>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
          <w:p w:rsidR="00B202A2" w:rsidRDefault="00295E06">
            <w:pPr>
              <w:spacing w:before="240" w:after="240"/>
              <w:jc w:val="center"/>
              <w:rPr>
                <w:rFonts w:ascii="Arial" w:eastAsia="Arial" w:hAnsi="Arial" w:cs="Arial"/>
                <w:b/>
                <w:sz w:val="22"/>
                <w:szCs w:val="22"/>
              </w:rPr>
            </w:pPr>
            <w:r>
              <w:rPr>
                <w:rFonts w:ascii="Arial" w:eastAsia="Arial" w:hAnsi="Arial" w:cs="Arial"/>
                <w:b/>
                <w:sz w:val="22"/>
                <w:szCs w:val="22"/>
              </w:rPr>
              <w:t>Descripción Obra</w:t>
            </w:r>
          </w:p>
        </w:tc>
        <w:tc>
          <w:tcPr>
            <w:tcW w:w="2295" w:type="dxa"/>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
          <w:p w:rsidR="00B202A2" w:rsidRDefault="00295E06">
            <w:pPr>
              <w:spacing w:before="240" w:after="240"/>
              <w:jc w:val="center"/>
              <w:rPr>
                <w:rFonts w:ascii="Arial" w:eastAsia="Arial" w:hAnsi="Arial" w:cs="Arial"/>
                <w:b/>
                <w:sz w:val="22"/>
                <w:szCs w:val="22"/>
              </w:rPr>
            </w:pPr>
            <w:r>
              <w:rPr>
                <w:rFonts w:ascii="Arial" w:eastAsia="Arial" w:hAnsi="Arial" w:cs="Arial"/>
                <w:b/>
                <w:sz w:val="22"/>
                <w:szCs w:val="22"/>
              </w:rPr>
              <w:t>Causa Obra</w:t>
            </w:r>
          </w:p>
        </w:tc>
        <w:tc>
          <w:tcPr>
            <w:tcW w:w="1770" w:type="dxa"/>
            <w:tcBorders>
              <w:top w:val="single" w:sz="8" w:space="0" w:color="000000"/>
              <w:left w:val="nil"/>
              <w:bottom w:val="single" w:sz="8" w:space="0" w:color="000000"/>
              <w:right w:val="single" w:sz="8" w:space="0" w:color="000000"/>
            </w:tcBorders>
            <w:shd w:val="clear" w:color="auto" w:fill="F2F2F2"/>
            <w:tcMar>
              <w:top w:w="100" w:type="dxa"/>
              <w:left w:w="100" w:type="dxa"/>
              <w:bottom w:w="100" w:type="dxa"/>
              <w:right w:w="100" w:type="dxa"/>
            </w:tcMar>
          </w:tcPr>
          <w:p w:rsidR="00B202A2" w:rsidRDefault="00295E06">
            <w:pPr>
              <w:spacing w:before="240" w:after="240"/>
              <w:jc w:val="center"/>
              <w:rPr>
                <w:rFonts w:ascii="Arial" w:eastAsia="Arial" w:hAnsi="Arial" w:cs="Arial"/>
                <w:b/>
                <w:sz w:val="22"/>
                <w:szCs w:val="22"/>
              </w:rPr>
            </w:pPr>
            <w:r>
              <w:rPr>
                <w:rFonts w:ascii="Arial" w:eastAsia="Arial" w:hAnsi="Arial" w:cs="Arial"/>
                <w:b/>
                <w:sz w:val="22"/>
                <w:szCs w:val="22"/>
              </w:rPr>
              <w:t>Fecha de Puesta en Operación Propuesta</w:t>
            </w:r>
          </w:p>
        </w:tc>
      </w:tr>
      <w:tr w:rsidR="00B202A2">
        <w:trPr>
          <w:trHeight w:val="1088"/>
        </w:trPr>
        <w:tc>
          <w:tcPr>
            <w:tcW w:w="7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202A2" w:rsidRDefault="00295E06">
            <w:pPr>
              <w:spacing w:before="240" w:after="240"/>
              <w:jc w:val="center"/>
              <w:rPr>
                <w:rFonts w:ascii="Arial" w:eastAsia="Arial" w:hAnsi="Arial" w:cs="Arial"/>
                <w:sz w:val="22"/>
                <w:szCs w:val="22"/>
              </w:rPr>
            </w:pPr>
            <w:r>
              <w:rPr>
                <w:rFonts w:ascii="Arial" w:eastAsia="Arial" w:hAnsi="Arial" w:cs="Arial"/>
                <w:sz w:val="22"/>
                <w:szCs w:val="22"/>
              </w:rPr>
              <w:t>1</w:t>
            </w:r>
          </w:p>
        </w:tc>
        <w:tc>
          <w:tcPr>
            <w:tcW w:w="3795" w:type="dxa"/>
            <w:tcBorders>
              <w:top w:val="nil"/>
              <w:left w:val="nil"/>
              <w:bottom w:val="single" w:sz="8" w:space="0" w:color="000000"/>
              <w:right w:val="single" w:sz="8" w:space="0" w:color="000000"/>
            </w:tcBorders>
            <w:tcMar>
              <w:top w:w="100" w:type="dxa"/>
              <w:left w:w="100" w:type="dxa"/>
              <w:bottom w:w="100" w:type="dxa"/>
              <w:right w:w="100" w:type="dxa"/>
            </w:tcMar>
          </w:tcPr>
          <w:p w:rsidR="00B202A2" w:rsidRDefault="00295E06">
            <w:pPr>
              <w:spacing w:before="240" w:after="240"/>
              <w:jc w:val="both"/>
              <w:rPr>
                <w:rFonts w:ascii="Arial" w:eastAsia="Arial" w:hAnsi="Arial" w:cs="Arial"/>
                <w:sz w:val="22"/>
                <w:szCs w:val="22"/>
              </w:rPr>
            </w:pPr>
            <w:r>
              <w:rPr>
                <w:rFonts w:ascii="Arial" w:eastAsia="Arial" w:hAnsi="Arial" w:cs="Arial"/>
                <w:sz w:val="22"/>
                <w:szCs w:val="22"/>
              </w:rPr>
              <w:t>Planta de Almacenamiento (170.000m</w:t>
            </w:r>
            <w:r>
              <w:rPr>
                <w:rFonts w:ascii="Arial" w:eastAsia="Arial" w:hAnsi="Arial" w:cs="Arial"/>
                <w:sz w:val="22"/>
                <w:szCs w:val="22"/>
                <w:vertAlign w:val="superscript"/>
              </w:rPr>
              <w:t>3</w:t>
            </w:r>
            <w:r>
              <w:rPr>
                <w:rFonts w:ascii="Arial" w:eastAsia="Arial" w:hAnsi="Arial" w:cs="Arial"/>
                <w:sz w:val="22"/>
                <w:szCs w:val="22"/>
              </w:rPr>
              <w:t>) y Regasificación (400 MPCD) en la Bahía de Buenaventura</w:t>
            </w:r>
          </w:p>
        </w:tc>
        <w:tc>
          <w:tcPr>
            <w:tcW w:w="2295" w:type="dxa"/>
            <w:tcBorders>
              <w:top w:val="nil"/>
              <w:left w:val="nil"/>
              <w:bottom w:val="single" w:sz="8" w:space="0" w:color="000000"/>
              <w:right w:val="single" w:sz="8" w:space="0" w:color="000000"/>
            </w:tcBorders>
            <w:tcMar>
              <w:top w:w="100" w:type="dxa"/>
              <w:left w:w="100" w:type="dxa"/>
              <w:bottom w:w="100" w:type="dxa"/>
              <w:right w:w="100" w:type="dxa"/>
            </w:tcMar>
          </w:tcPr>
          <w:p w:rsidR="00B202A2" w:rsidRDefault="00295E06">
            <w:pPr>
              <w:spacing w:before="240" w:after="240"/>
              <w:jc w:val="both"/>
              <w:rPr>
                <w:rFonts w:ascii="Arial" w:eastAsia="Arial" w:hAnsi="Arial" w:cs="Arial"/>
                <w:sz w:val="22"/>
                <w:szCs w:val="22"/>
              </w:rPr>
            </w:pPr>
            <w:r>
              <w:rPr>
                <w:rFonts w:ascii="Arial" w:eastAsia="Arial" w:hAnsi="Arial" w:cs="Arial"/>
                <w:sz w:val="22"/>
                <w:szCs w:val="22"/>
              </w:rPr>
              <w:t>Abastecimiento y Confiabilidad</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B202A2" w:rsidRDefault="00295E06">
            <w:pPr>
              <w:spacing w:before="240" w:after="240"/>
              <w:jc w:val="both"/>
              <w:rPr>
                <w:rFonts w:ascii="Arial" w:eastAsia="Arial" w:hAnsi="Arial" w:cs="Arial"/>
                <w:sz w:val="22"/>
                <w:szCs w:val="22"/>
              </w:rPr>
            </w:pPr>
            <w:r>
              <w:rPr>
                <w:rFonts w:ascii="Arial" w:eastAsia="Arial" w:hAnsi="Arial" w:cs="Arial"/>
                <w:sz w:val="22"/>
                <w:szCs w:val="22"/>
              </w:rPr>
              <w:t>Ene. 2024</w:t>
            </w:r>
          </w:p>
        </w:tc>
      </w:tr>
      <w:tr w:rsidR="00B202A2">
        <w:trPr>
          <w:trHeight w:val="1208"/>
        </w:trPr>
        <w:tc>
          <w:tcPr>
            <w:tcW w:w="7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202A2" w:rsidRDefault="00295E06">
            <w:pPr>
              <w:spacing w:before="240" w:after="240"/>
              <w:jc w:val="center"/>
              <w:rPr>
                <w:rFonts w:ascii="Arial" w:eastAsia="Arial" w:hAnsi="Arial" w:cs="Arial"/>
                <w:sz w:val="22"/>
                <w:szCs w:val="22"/>
              </w:rPr>
            </w:pPr>
            <w:r>
              <w:rPr>
                <w:rFonts w:ascii="Arial" w:eastAsia="Arial" w:hAnsi="Arial" w:cs="Arial"/>
                <w:sz w:val="22"/>
                <w:szCs w:val="22"/>
              </w:rPr>
              <w:t>2</w:t>
            </w:r>
          </w:p>
        </w:tc>
        <w:tc>
          <w:tcPr>
            <w:tcW w:w="3795" w:type="dxa"/>
            <w:tcBorders>
              <w:top w:val="nil"/>
              <w:left w:val="nil"/>
              <w:bottom w:val="single" w:sz="8" w:space="0" w:color="000000"/>
              <w:right w:val="single" w:sz="8" w:space="0" w:color="000000"/>
            </w:tcBorders>
            <w:tcMar>
              <w:top w:w="100" w:type="dxa"/>
              <w:left w:w="100" w:type="dxa"/>
              <w:bottom w:w="100" w:type="dxa"/>
              <w:right w:w="100" w:type="dxa"/>
            </w:tcMar>
          </w:tcPr>
          <w:p w:rsidR="00B202A2" w:rsidRDefault="00295E06">
            <w:pPr>
              <w:spacing w:before="240" w:after="240"/>
              <w:jc w:val="both"/>
              <w:rPr>
                <w:rFonts w:ascii="Arial" w:eastAsia="Arial" w:hAnsi="Arial" w:cs="Arial"/>
                <w:sz w:val="22"/>
                <w:szCs w:val="22"/>
              </w:rPr>
            </w:pPr>
            <w:r>
              <w:rPr>
                <w:rFonts w:ascii="Arial" w:eastAsia="Arial" w:hAnsi="Arial" w:cs="Arial"/>
                <w:sz w:val="22"/>
                <w:szCs w:val="22"/>
              </w:rPr>
              <w:t>Gasoducto Buenaventura/Yumbo con una capacidad de transporte de 400 MPCD.</w:t>
            </w:r>
          </w:p>
        </w:tc>
        <w:tc>
          <w:tcPr>
            <w:tcW w:w="2295" w:type="dxa"/>
            <w:tcBorders>
              <w:top w:val="nil"/>
              <w:left w:val="nil"/>
              <w:bottom w:val="single" w:sz="8" w:space="0" w:color="000000"/>
              <w:right w:val="single" w:sz="8" w:space="0" w:color="000000"/>
            </w:tcBorders>
            <w:tcMar>
              <w:top w:w="100" w:type="dxa"/>
              <w:left w:w="100" w:type="dxa"/>
              <w:bottom w:w="100" w:type="dxa"/>
              <w:right w:w="100" w:type="dxa"/>
            </w:tcMar>
          </w:tcPr>
          <w:p w:rsidR="00B202A2" w:rsidRDefault="00295E06">
            <w:pPr>
              <w:spacing w:before="240" w:after="240"/>
              <w:jc w:val="both"/>
              <w:rPr>
                <w:rFonts w:ascii="Arial" w:eastAsia="Arial" w:hAnsi="Arial" w:cs="Arial"/>
                <w:sz w:val="22"/>
                <w:szCs w:val="22"/>
              </w:rPr>
            </w:pPr>
            <w:r>
              <w:rPr>
                <w:rFonts w:ascii="Arial" w:eastAsia="Arial" w:hAnsi="Arial" w:cs="Arial"/>
                <w:sz w:val="22"/>
                <w:szCs w:val="22"/>
              </w:rPr>
              <w:t>Abastecimiento y Confiabilidad</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B202A2" w:rsidRDefault="00295E06">
            <w:pPr>
              <w:spacing w:before="240" w:after="240"/>
              <w:jc w:val="both"/>
              <w:rPr>
                <w:rFonts w:ascii="Arial" w:eastAsia="Arial" w:hAnsi="Arial" w:cs="Arial"/>
                <w:sz w:val="22"/>
                <w:szCs w:val="22"/>
              </w:rPr>
            </w:pPr>
            <w:r>
              <w:rPr>
                <w:rFonts w:ascii="Arial" w:eastAsia="Arial" w:hAnsi="Arial" w:cs="Arial"/>
                <w:sz w:val="22"/>
                <w:szCs w:val="22"/>
              </w:rPr>
              <w:t>Ene. 2024</w:t>
            </w:r>
          </w:p>
        </w:tc>
      </w:tr>
      <w:tr w:rsidR="00B202A2">
        <w:trPr>
          <w:trHeight w:val="1739"/>
        </w:trPr>
        <w:tc>
          <w:tcPr>
            <w:tcW w:w="7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202A2" w:rsidRDefault="00295E06">
            <w:pPr>
              <w:spacing w:before="240" w:after="240"/>
              <w:jc w:val="center"/>
              <w:rPr>
                <w:rFonts w:ascii="Arial" w:eastAsia="Arial" w:hAnsi="Arial" w:cs="Arial"/>
                <w:sz w:val="22"/>
                <w:szCs w:val="22"/>
              </w:rPr>
            </w:pPr>
            <w:r>
              <w:rPr>
                <w:rFonts w:ascii="Arial" w:eastAsia="Arial" w:hAnsi="Arial" w:cs="Arial"/>
                <w:sz w:val="22"/>
                <w:szCs w:val="22"/>
              </w:rPr>
              <w:t>3</w:t>
            </w:r>
          </w:p>
        </w:tc>
        <w:tc>
          <w:tcPr>
            <w:tcW w:w="3795" w:type="dxa"/>
            <w:tcBorders>
              <w:top w:val="nil"/>
              <w:left w:val="nil"/>
              <w:bottom w:val="single" w:sz="8" w:space="0" w:color="000000"/>
              <w:right w:val="single" w:sz="8" w:space="0" w:color="000000"/>
            </w:tcBorders>
            <w:tcMar>
              <w:top w:w="100" w:type="dxa"/>
              <w:left w:w="100" w:type="dxa"/>
              <w:bottom w:w="100" w:type="dxa"/>
              <w:right w:w="100" w:type="dxa"/>
            </w:tcMar>
          </w:tcPr>
          <w:p w:rsidR="00B202A2" w:rsidRDefault="00295E06">
            <w:pPr>
              <w:spacing w:before="240" w:after="240"/>
              <w:jc w:val="both"/>
              <w:rPr>
                <w:rFonts w:ascii="Arial" w:eastAsia="Arial" w:hAnsi="Arial" w:cs="Arial"/>
                <w:sz w:val="22"/>
                <w:szCs w:val="22"/>
              </w:rPr>
            </w:pPr>
            <w:r>
              <w:rPr>
                <w:rFonts w:ascii="Arial" w:eastAsia="Arial" w:hAnsi="Arial" w:cs="Arial"/>
                <w:sz w:val="22"/>
                <w:szCs w:val="22"/>
              </w:rPr>
              <w:t>Adecuación y montaje de infraestructura necesaria para garantizar una capacidad de transporte bidireccional en el tramo Yumbo – Mariquita de 250 MPCD.</w:t>
            </w:r>
          </w:p>
        </w:tc>
        <w:tc>
          <w:tcPr>
            <w:tcW w:w="2295" w:type="dxa"/>
            <w:tcBorders>
              <w:top w:val="nil"/>
              <w:left w:val="nil"/>
              <w:bottom w:val="single" w:sz="8" w:space="0" w:color="000000"/>
              <w:right w:val="single" w:sz="8" w:space="0" w:color="000000"/>
            </w:tcBorders>
            <w:tcMar>
              <w:top w:w="100" w:type="dxa"/>
              <w:left w:w="100" w:type="dxa"/>
              <w:bottom w:w="100" w:type="dxa"/>
              <w:right w:w="100" w:type="dxa"/>
            </w:tcMar>
          </w:tcPr>
          <w:p w:rsidR="00B202A2" w:rsidRDefault="00295E06">
            <w:pPr>
              <w:spacing w:before="240" w:after="240"/>
              <w:jc w:val="both"/>
              <w:rPr>
                <w:rFonts w:ascii="Arial" w:eastAsia="Arial" w:hAnsi="Arial" w:cs="Arial"/>
                <w:sz w:val="22"/>
                <w:szCs w:val="22"/>
              </w:rPr>
            </w:pPr>
            <w:r>
              <w:rPr>
                <w:rFonts w:ascii="Arial" w:eastAsia="Arial" w:hAnsi="Arial" w:cs="Arial"/>
                <w:sz w:val="22"/>
                <w:szCs w:val="22"/>
              </w:rPr>
              <w:t>Abastecimiento y Confiabilidad</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B202A2" w:rsidRDefault="00295E06">
            <w:pPr>
              <w:spacing w:before="240" w:after="240"/>
              <w:jc w:val="both"/>
              <w:rPr>
                <w:rFonts w:ascii="Arial" w:eastAsia="Arial" w:hAnsi="Arial" w:cs="Arial"/>
                <w:sz w:val="22"/>
                <w:szCs w:val="22"/>
              </w:rPr>
            </w:pPr>
            <w:r>
              <w:rPr>
                <w:rFonts w:ascii="Arial" w:eastAsia="Arial" w:hAnsi="Arial" w:cs="Arial"/>
                <w:sz w:val="22"/>
                <w:szCs w:val="22"/>
              </w:rPr>
              <w:t>Ene. 2024</w:t>
            </w:r>
          </w:p>
        </w:tc>
      </w:tr>
      <w:tr w:rsidR="00B202A2">
        <w:trPr>
          <w:trHeight w:val="2060"/>
        </w:trPr>
        <w:tc>
          <w:tcPr>
            <w:tcW w:w="7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202A2" w:rsidRDefault="00295E06">
            <w:pPr>
              <w:spacing w:before="240" w:after="240"/>
              <w:jc w:val="center"/>
              <w:rPr>
                <w:rFonts w:ascii="Arial" w:eastAsia="Arial" w:hAnsi="Arial" w:cs="Arial"/>
                <w:sz w:val="22"/>
                <w:szCs w:val="22"/>
              </w:rPr>
            </w:pPr>
            <w:r>
              <w:rPr>
                <w:rFonts w:ascii="Arial" w:eastAsia="Arial" w:hAnsi="Arial" w:cs="Arial"/>
                <w:sz w:val="22"/>
                <w:szCs w:val="22"/>
              </w:rPr>
              <w:t>4</w:t>
            </w:r>
          </w:p>
        </w:tc>
        <w:tc>
          <w:tcPr>
            <w:tcW w:w="3795" w:type="dxa"/>
            <w:tcBorders>
              <w:top w:val="nil"/>
              <w:left w:val="nil"/>
              <w:bottom w:val="single" w:sz="8" w:space="0" w:color="000000"/>
              <w:right w:val="single" w:sz="8" w:space="0" w:color="000000"/>
            </w:tcBorders>
            <w:tcMar>
              <w:top w:w="100" w:type="dxa"/>
              <w:left w:w="100" w:type="dxa"/>
              <w:bottom w:w="100" w:type="dxa"/>
              <w:right w:w="100" w:type="dxa"/>
            </w:tcMar>
          </w:tcPr>
          <w:p w:rsidR="00B202A2" w:rsidRDefault="00295E06">
            <w:pPr>
              <w:spacing w:before="240" w:after="240"/>
              <w:jc w:val="both"/>
              <w:rPr>
                <w:rFonts w:ascii="Arial" w:eastAsia="Arial" w:hAnsi="Arial" w:cs="Arial"/>
                <w:sz w:val="22"/>
                <w:szCs w:val="22"/>
              </w:rPr>
            </w:pPr>
            <w:r>
              <w:rPr>
                <w:rFonts w:ascii="Arial" w:eastAsia="Arial" w:hAnsi="Arial" w:cs="Arial"/>
                <w:sz w:val="22"/>
                <w:szCs w:val="22"/>
              </w:rPr>
              <w:t>Adecuación y montaje de la infraestructura necesaria para garantizar una capacidad de transporte bidireccional en el tramo Barranquilla – Ballena de 170 MPCD.</w:t>
            </w:r>
          </w:p>
        </w:tc>
        <w:tc>
          <w:tcPr>
            <w:tcW w:w="2295" w:type="dxa"/>
            <w:tcBorders>
              <w:top w:val="nil"/>
              <w:left w:val="nil"/>
              <w:bottom w:val="single" w:sz="8" w:space="0" w:color="000000"/>
              <w:right w:val="single" w:sz="8" w:space="0" w:color="000000"/>
            </w:tcBorders>
            <w:tcMar>
              <w:top w:w="100" w:type="dxa"/>
              <w:left w:w="100" w:type="dxa"/>
              <w:bottom w:w="100" w:type="dxa"/>
              <w:right w:w="100" w:type="dxa"/>
            </w:tcMar>
          </w:tcPr>
          <w:p w:rsidR="00B202A2" w:rsidRDefault="00295E06">
            <w:pPr>
              <w:spacing w:before="240" w:after="240"/>
              <w:jc w:val="both"/>
              <w:rPr>
                <w:rFonts w:ascii="Arial" w:eastAsia="Arial" w:hAnsi="Arial" w:cs="Arial"/>
                <w:sz w:val="22"/>
                <w:szCs w:val="22"/>
              </w:rPr>
            </w:pPr>
            <w:r>
              <w:rPr>
                <w:rFonts w:ascii="Arial" w:eastAsia="Arial" w:hAnsi="Arial" w:cs="Arial"/>
                <w:sz w:val="22"/>
                <w:szCs w:val="22"/>
              </w:rPr>
              <w:t>Abastecimiento y Confiabilidad</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B202A2" w:rsidRDefault="00295E06">
            <w:pPr>
              <w:spacing w:before="240" w:after="240"/>
              <w:jc w:val="both"/>
              <w:rPr>
                <w:rFonts w:ascii="Arial" w:eastAsia="Arial" w:hAnsi="Arial" w:cs="Arial"/>
                <w:sz w:val="22"/>
                <w:szCs w:val="22"/>
              </w:rPr>
            </w:pPr>
            <w:r>
              <w:rPr>
                <w:rFonts w:ascii="Arial" w:eastAsia="Arial" w:hAnsi="Arial" w:cs="Arial"/>
                <w:sz w:val="22"/>
                <w:szCs w:val="22"/>
              </w:rPr>
              <w:t>Dic. 2022</w:t>
            </w:r>
          </w:p>
        </w:tc>
      </w:tr>
      <w:tr w:rsidR="00B202A2">
        <w:trPr>
          <w:trHeight w:val="2075"/>
        </w:trPr>
        <w:tc>
          <w:tcPr>
            <w:tcW w:w="7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202A2" w:rsidRDefault="00295E06">
            <w:pPr>
              <w:spacing w:before="240" w:after="240"/>
              <w:jc w:val="center"/>
              <w:rPr>
                <w:rFonts w:ascii="Arial" w:eastAsia="Arial" w:hAnsi="Arial" w:cs="Arial"/>
                <w:sz w:val="22"/>
                <w:szCs w:val="22"/>
              </w:rPr>
            </w:pPr>
            <w:r>
              <w:rPr>
                <w:rFonts w:ascii="Arial" w:eastAsia="Arial" w:hAnsi="Arial" w:cs="Arial"/>
                <w:sz w:val="22"/>
                <w:szCs w:val="22"/>
              </w:rPr>
              <w:t>5</w:t>
            </w:r>
          </w:p>
        </w:tc>
        <w:tc>
          <w:tcPr>
            <w:tcW w:w="3795" w:type="dxa"/>
            <w:tcBorders>
              <w:top w:val="nil"/>
              <w:left w:val="nil"/>
              <w:bottom w:val="single" w:sz="8" w:space="0" w:color="000000"/>
              <w:right w:val="single" w:sz="8" w:space="0" w:color="000000"/>
            </w:tcBorders>
            <w:tcMar>
              <w:top w:w="100" w:type="dxa"/>
              <w:left w:w="100" w:type="dxa"/>
              <w:bottom w:w="100" w:type="dxa"/>
              <w:right w:w="100" w:type="dxa"/>
            </w:tcMar>
          </w:tcPr>
          <w:p w:rsidR="00B202A2" w:rsidRDefault="00295E06">
            <w:pPr>
              <w:spacing w:before="240" w:after="240"/>
              <w:jc w:val="both"/>
              <w:rPr>
                <w:rFonts w:ascii="Arial" w:eastAsia="Arial" w:hAnsi="Arial" w:cs="Arial"/>
                <w:sz w:val="22"/>
                <w:szCs w:val="22"/>
              </w:rPr>
            </w:pPr>
            <w:r>
              <w:rPr>
                <w:rFonts w:ascii="Arial" w:eastAsia="Arial" w:hAnsi="Arial" w:cs="Arial"/>
                <w:sz w:val="22"/>
                <w:szCs w:val="22"/>
              </w:rPr>
              <w:t>Adecuación y montaje de la infraestructura necesaria para la interconexión del tramo Barranquilla – Ballena y el tramo Ballena – Barrancabermeja con una capacidad Bidireccional de 170 MPCD</w:t>
            </w:r>
          </w:p>
        </w:tc>
        <w:tc>
          <w:tcPr>
            <w:tcW w:w="2295" w:type="dxa"/>
            <w:tcBorders>
              <w:top w:val="nil"/>
              <w:left w:val="nil"/>
              <w:bottom w:val="single" w:sz="8" w:space="0" w:color="000000"/>
              <w:right w:val="single" w:sz="8" w:space="0" w:color="000000"/>
            </w:tcBorders>
            <w:tcMar>
              <w:top w:w="100" w:type="dxa"/>
              <w:left w:w="100" w:type="dxa"/>
              <w:bottom w:w="100" w:type="dxa"/>
              <w:right w:w="100" w:type="dxa"/>
            </w:tcMar>
          </w:tcPr>
          <w:p w:rsidR="00B202A2" w:rsidRDefault="00295E06">
            <w:pPr>
              <w:spacing w:before="240" w:after="240"/>
              <w:jc w:val="both"/>
              <w:rPr>
                <w:rFonts w:ascii="Arial" w:eastAsia="Arial" w:hAnsi="Arial" w:cs="Arial"/>
                <w:sz w:val="22"/>
                <w:szCs w:val="22"/>
              </w:rPr>
            </w:pPr>
            <w:r>
              <w:rPr>
                <w:rFonts w:ascii="Arial" w:eastAsia="Arial" w:hAnsi="Arial" w:cs="Arial"/>
                <w:sz w:val="22"/>
                <w:szCs w:val="22"/>
              </w:rPr>
              <w:t>Abastecimiento y Confiabilidad</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B202A2" w:rsidRDefault="00295E06">
            <w:pPr>
              <w:spacing w:before="240" w:after="240"/>
              <w:jc w:val="both"/>
              <w:rPr>
                <w:rFonts w:ascii="Arial" w:eastAsia="Arial" w:hAnsi="Arial" w:cs="Arial"/>
                <w:sz w:val="22"/>
                <w:szCs w:val="22"/>
              </w:rPr>
            </w:pPr>
            <w:r>
              <w:rPr>
                <w:rFonts w:ascii="Arial" w:eastAsia="Arial" w:hAnsi="Arial" w:cs="Arial"/>
                <w:sz w:val="22"/>
                <w:szCs w:val="22"/>
              </w:rPr>
              <w:t>Dic. 2022</w:t>
            </w:r>
          </w:p>
        </w:tc>
      </w:tr>
      <w:tr w:rsidR="00B202A2">
        <w:trPr>
          <w:trHeight w:val="1605"/>
        </w:trPr>
        <w:tc>
          <w:tcPr>
            <w:tcW w:w="7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202A2" w:rsidRDefault="00295E06">
            <w:pPr>
              <w:spacing w:before="240" w:after="240"/>
              <w:jc w:val="center"/>
              <w:rPr>
                <w:rFonts w:ascii="Arial" w:eastAsia="Arial" w:hAnsi="Arial" w:cs="Arial"/>
                <w:sz w:val="22"/>
                <w:szCs w:val="22"/>
              </w:rPr>
            </w:pPr>
            <w:r>
              <w:rPr>
                <w:rFonts w:ascii="Arial" w:eastAsia="Arial" w:hAnsi="Arial" w:cs="Arial"/>
                <w:sz w:val="22"/>
                <w:szCs w:val="22"/>
              </w:rPr>
              <w:t>6</w:t>
            </w:r>
          </w:p>
        </w:tc>
        <w:tc>
          <w:tcPr>
            <w:tcW w:w="3795" w:type="dxa"/>
            <w:tcBorders>
              <w:top w:val="nil"/>
              <w:left w:val="nil"/>
              <w:bottom w:val="single" w:sz="8" w:space="0" w:color="000000"/>
              <w:right w:val="single" w:sz="8" w:space="0" w:color="000000"/>
            </w:tcBorders>
            <w:tcMar>
              <w:top w:w="100" w:type="dxa"/>
              <w:left w:w="100" w:type="dxa"/>
              <w:bottom w:w="100" w:type="dxa"/>
              <w:right w:w="100" w:type="dxa"/>
            </w:tcMar>
          </w:tcPr>
          <w:p w:rsidR="00B202A2" w:rsidRDefault="00295E06">
            <w:pPr>
              <w:spacing w:before="240" w:after="240"/>
              <w:jc w:val="both"/>
              <w:rPr>
                <w:rFonts w:ascii="Arial" w:eastAsia="Arial" w:hAnsi="Arial" w:cs="Arial"/>
                <w:sz w:val="22"/>
                <w:szCs w:val="22"/>
              </w:rPr>
            </w:pPr>
            <w:r>
              <w:rPr>
                <w:rFonts w:ascii="Arial" w:eastAsia="Arial" w:hAnsi="Arial" w:cs="Arial"/>
                <w:sz w:val="22"/>
                <w:szCs w:val="22"/>
              </w:rPr>
              <w:t xml:space="preserve">Adecuación y montaje de la infraestructura necesaria para garantizar una capacidad de </w:t>
            </w:r>
            <w:r>
              <w:rPr>
                <w:rFonts w:ascii="Arial" w:eastAsia="Arial" w:hAnsi="Arial" w:cs="Arial"/>
                <w:sz w:val="22"/>
                <w:szCs w:val="22"/>
              </w:rPr>
              <w:lastRenderedPageBreak/>
              <w:t>transporte bidireccional en el tramo Barranca – Ballena de 100 MPCD.</w:t>
            </w:r>
          </w:p>
        </w:tc>
        <w:tc>
          <w:tcPr>
            <w:tcW w:w="2295" w:type="dxa"/>
            <w:tcBorders>
              <w:top w:val="nil"/>
              <w:left w:val="nil"/>
              <w:bottom w:val="single" w:sz="8" w:space="0" w:color="000000"/>
              <w:right w:val="single" w:sz="8" w:space="0" w:color="000000"/>
            </w:tcBorders>
            <w:tcMar>
              <w:top w:w="100" w:type="dxa"/>
              <w:left w:w="100" w:type="dxa"/>
              <w:bottom w:w="100" w:type="dxa"/>
              <w:right w:w="100" w:type="dxa"/>
            </w:tcMar>
          </w:tcPr>
          <w:p w:rsidR="00B202A2" w:rsidRDefault="00295E06">
            <w:pPr>
              <w:spacing w:before="240" w:after="240"/>
              <w:jc w:val="both"/>
              <w:rPr>
                <w:rFonts w:ascii="Arial" w:eastAsia="Arial" w:hAnsi="Arial" w:cs="Arial"/>
                <w:sz w:val="22"/>
                <w:szCs w:val="22"/>
              </w:rPr>
            </w:pPr>
            <w:r>
              <w:rPr>
                <w:rFonts w:ascii="Arial" w:eastAsia="Arial" w:hAnsi="Arial" w:cs="Arial"/>
                <w:sz w:val="22"/>
                <w:szCs w:val="22"/>
              </w:rPr>
              <w:lastRenderedPageBreak/>
              <w:t>Confiabilidad</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B202A2" w:rsidRDefault="00295E06">
            <w:pPr>
              <w:spacing w:before="240" w:after="240"/>
              <w:jc w:val="both"/>
              <w:rPr>
                <w:rFonts w:ascii="Arial" w:eastAsia="Arial" w:hAnsi="Arial" w:cs="Arial"/>
                <w:sz w:val="22"/>
                <w:szCs w:val="22"/>
              </w:rPr>
            </w:pPr>
            <w:r>
              <w:rPr>
                <w:rFonts w:ascii="Arial" w:eastAsia="Arial" w:hAnsi="Arial" w:cs="Arial"/>
                <w:sz w:val="22"/>
                <w:szCs w:val="22"/>
              </w:rPr>
              <w:t>Dic. 2022</w:t>
            </w:r>
          </w:p>
        </w:tc>
      </w:tr>
      <w:tr w:rsidR="00B202A2">
        <w:trPr>
          <w:trHeight w:val="1710"/>
        </w:trPr>
        <w:tc>
          <w:tcPr>
            <w:tcW w:w="7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202A2" w:rsidRDefault="00295E06">
            <w:pPr>
              <w:spacing w:before="240" w:after="240"/>
              <w:jc w:val="center"/>
              <w:rPr>
                <w:rFonts w:ascii="Arial" w:eastAsia="Arial" w:hAnsi="Arial" w:cs="Arial"/>
                <w:sz w:val="22"/>
                <w:szCs w:val="22"/>
              </w:rPr>
            </w:pPr>
            <w:r>
              <w:rPr>
                <w:rFonts w:ascii="Arial" w:eastAsia="Arial" w:hAnsi="Arial" w:cs="Arial"/>
                <w:sz w:val="22"/>
                <w:szCs w:val="22"/>
              </w:rPr>
              <w:lastRenderedPageBreak/>
              <w:t>7</w:t>
            </w:r>
          </w:p>
        </w:tc>
        <w:tc>
          <w:tcPr>
            <w:tcW w:w="3795" w:type="dxa"/>
            <w:tcBorders>
              <w:top w:val="nil"/>
              <w:left w:val="nil"/>
              <w:bottom w:val="single" w:sz="8" w:space="0" w:color="000000"/>
              <w:right w:val="single" w:sz="8" w:space="0" w:color="000000"/>
            </w:tcBorders>
            <w:tcMar>
              <w:top w:w="100" w:type="dxa"/>
              <w:left w:w="100" w:type="dxa"/>
              <w:bottom w:w="100" w:type="dxa"/>
              <w:right w:w="100" w:type="dxa"/>
            </w:tcMar>
          </w:tcPr>
          <w:p w:rsidR="00B202A2" w:rsidRDefault="00295E06">
            <w:pPr>
              <w:spacing w:before="240" w:after="240"/>
              <w:jc w:val="both"/>
              <w:rPr>
                <w:rFonts w:ascii="Arial" w:eastAsia="Arial" w:hAnsi="Arial" w:cs="Arial"/>
                <w:sz w:val="22"/>
                <w:szCs w:val="22"/>
              </w:rPr>
            </w:pPr>
            <w:r>
              <w:rPr>
                <w:rFonts w:ascii="Arial" w:eastAsia="Arial" w:hAnsi="Arial" w:cs="Arial"/>
                <w:sz w:val="22"/>
                <w:szCs w:val="22"/>
              </w:rPr>
              <w:t>Adecuación y montaje de la infraestructura necesaria en el ramal Jamundí que garantice la atención de la demanda en el nodo Popayán de 3 MPCD.</w:t>
            </w:r>
          </w:p>
        </w:tc>
        <w:tc>
          <w:tcPr>
            <w:tcW w:w="2295" w:type="dxa"/>
            <w:tcBorders>
              <w:top w:val="nil"/>
              <w:left w:val="nil"/>
              <w:bottom w:val="single" w:sz="8" w:space="0" w:color="000000"/>
              <w:right w:val="single" w:sz="8" w:space="0" w:color="000000"/>
            </w:tcBorders>
            <w:tcMar>
              <w:top w:w="100" w:type="dxa"/>
              <w:left w:w="100" w:type="dxa"/>
              <w:bottom w:w="100" w:type="dxa"/>
              <w:right w:w="100" w:type="dxa"/>
            </w:tcMar>
          </w:tcPr>
          <w:p w:rsidR="00B202A2" w:rsidRDefault="00295E06">
            <w:pPr>
              <w:spacing w:before="240" w:after="240"/>
              <w:jc w:val="both"/>
              <w:rPr>
                <w:rFonts w:ascii="Arial" w:eastAsia="Arial" w:hAnsi="Arial" w:cs="Arial"/>
                <w:sz w:val="22"/>
                <w:szCs w:val="22"/>
              </w:rPr>
            </w:pPr>
            <w:r>
              <w:rPr>
                <w:rFonts w:ascii="Arial" w:eastAsia="Arial" w:hAnsi="Arial" w:cs="Arial"/>
                <w:sz w:val="22"/>
                <w:szCs w:val="22"/>
              </w:rPr>
              <w:t>Abastecimiento</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B202A2" w:rsidRDefault="00295E06">
            <w:pPr>
              <w:spacing w:before="240" w:after="240"/>
              <w:jc w:val="both"/>
              <w:rPr>
                <w:rFonts w:ascii="Arial" w:eastAsia="Arial" w:hAnsi="Arial" w:cs="Arial"/>
                <w:sz w:val="22"/>
                <w:szCs w:val="22"/>
              </w:rPr>
            </w:pPr>
            <w:r>
              <w:rPr>
                <w:rFonts w:ascii="Arial" w:eastAsia="Arial" w:hAnsi="Arial" w:cs="Arial"/>
                <w:sz w:val="22"/>
                <w:szCs w:val="22"/>
              </w:rPr>
              <w:t>Dic. 2022</w:t>
            </w:r>
          </w:p>
        </w:tc>
      </w:tr>
      <w:tr w:rsidR="00B202A2">
        <w:trPr>
          <w:trHeight w:val="1770"/>
        </w:trPr>
        <w:tc>
          <w:tcPr>
            <w:tcW w:w="7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202A2" w:rsidRDefault="00295E06">
            <w:pPr>
              <w:spacing w:before="240" w:after="240"/>
              <w:jc w:val="center"/>
              <w:rPr>
                <w:rFonts w:ascii="Arial" w:eastAsia="Arial" w:hAnsi="Arial" w:cs="Arial"/>
                <w:sz w:val="22"/>
                <w:szCs w:val="22"/>
              </w:rPr>
            </w:pPr>
            <w:r>
              <w:rPr>
                <w:rFonts w:ascii="Arial" w:eastAsia="Arial" w:hAnsi="Arial" w:cs="Arial"/>
                <w:sz w:val="22"/>
                <w:szCs w:val="22"/>
              </w:rPr>
              <w:t>8</w:t>
            </w:r>
          </w:p>
        </w:tc>
        <w:tc>
          <w:tcPr>
            <w:tcW w:w="3795" w:type="dxa"/>
            <w:tcBorders>
              <w:top w:val="nil"/>
              <w:left w:val="nil"/>
              <w:bottom w:val="single" w:sz="8" w:space="0" w:color="000000"/>
              <w:right w:val="single" w:sz="8" w:space="0" w:color="000000"/>
            </w:tcBorders>
            <w:tcMar>
              <w:top w:w="100" w:type="dxa"/>
              <w:left w:w="100" w:type="dxa"/>
              <w:bottom w:w="100" w:type="dxa"/>
              <w:right w:w="100" w:type="dxa"/>
            </w:tcMar>
          </w:tcPr>
          <w:p w:rsidR="00B202A2" w:rsidRDefault="00295E06">
            <w:pPr>
              <w:spacing w:before="240" w:after="240"/>
              <w:jc w:val="both"/>
              <w:rPr>
                <w:rFonts w:ascii="Arial" w:eastAsia="Arial" w:hAnsi="Arial" w:cs="Arial"/>
                <w:sz w:val="22"/>
                <w:szCs w:val="22"/>
              </w:rPr>
            </w:pPr>
            <w:r>
              <w:rPr>
                <w:rFonts w:ascii="Arial" w:eastAsia="Arial" w:hAnsi="Arial" w:cs="Arial"/>
                <w:sz w:val="22"/>
                <w:szCs w:val="22"/>
              </w:rPr>
              <w:t>Adecuación y montaje de la infraestructura necesaria para garantizar una capacidad de transporte en el tramo Mariquita – Gualanday de 20 MPCD.</w:t>
            </w:r>
          </w:p>
        </w:tc>
        <w:tc>
          <w:tcPr>
            <w:tcW w:w="2295" w:type="dxa"/>
            <w:tcBorders>
              <w:top w:val="nil"/>
              <w:left w:val="nil"/>
              <w:bottom w:val="single" w:sz="8" w:space="0" w:color="000000"/>
              <w:right w:val="single" w:sz="8" w:space="0" w:color="000000"/>
            </w:tcBorders>
            <w:tcMar>
              <w:top w:w="100" w:type="dxa"/>
              <w:left w:w="100" w:type="dxa"/>
              <w:bottom w:w="100" w:type="dxa"/>
              <w:right w:w="100" w:type="dxa"/>
            </w:tcMar>
          </w:tcPr>
          <w:p w:rsidR="00B202A2" w:rsidRDefault="00295E06">
            <w:pPr>
              <w:spacing w:before="240" w:after="240"/>
              <w:jc w:val="both"/>
              <w:rPr>
                <w:rFonts w:ascii="Arial" w:eastAsia="Arial" w:hAnsi="Arial" w:cs="Arial"/>
                <w:sz w:val="22"/>
                <w:szCs w:val="22"/>
              </w:rPr>
            </w:pPr>
            <w:r>
              <w:rPr>
                <w:rFonts w:ascii="Arial" w:eastAsia="Arial" w:hAnsi="Arial" w:cs="Arial"/>
                <w:sz w:val="22"/>
                <w:szCs w:val="22"/>
              </w:rPr>
              <w:t>Abastecimiento</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rsidR="00B202A2" w:rsidRDefault="00295E06">
            <w:pPr>
              <w:spacing w:before="240" w:after="240"/>
              <w:jc w:val="both"/>
              <w:rPr>
                <w:rFonts w:ascii="Arial" w:eastAsia="Arial" w:hAnsi="Arial" w:cs="Arial"/>
                <w:sz w:val="22"/>
                <w:szCs w:val="22"/>
              </w:rPr>
            </w:pPr>
            <w:r>
              <w:rPr>
                <w:rFonts w:ascii="Arial" w:eastAsia="Arial" w:hAnsi="Arial" w:cs="Arial"/>
                <w:sz w:val="22"/>
                <w:szCs w:val="22"/>
              </w:rPr>
              <w:t>Dic. 2022</w:t>
            </w:r>
          </w:p>
        </w:tc>
      </w:tr>
    </w:tbl>
    <w:p w:rsidR="00B202A2" w:rsidRDefault="00295E06">
      <w:pPr>
        <w:shd w:val="clear" w:color="auto" w:fill="FFFFFF"/>
        <w:spacing w:before="240" w:after="240"/>
        <w:jc w:val="both"/>
        <w:rPr>
          <w:rFonts w:ascii="Arial" w:eastAsia="Arial" w:hAnsi="Arial" w:cs="Arial"/>
          <w:sz w:val="22"/>
          <w:szCs w:val="22"/>
        </w:rPr>
      </w:pPr>
      <w:r>
        <w:rPr>
          <w:rFonts w:ascii="Arial" w:eastAsia="Arial" w:hAnsi="Arial" w:cs="Arial"/>
          <w:sz w:val="22"/>
          <w:szCs w:val="22"/>
        </w:rPr>
        <w:t>El Ministerio de Minas y Energía, mediante la Resolución 40304 de octubre 15 de 2020, adoptó el Plan de Abastecimiento de Gas Natural y otras disposiciones al respecto.</w:t>
      </w:r>
    </w:p>
    <w:p w:rsidR="00B202A2" w:rsidRDefault="00295E06">
      <w:pPr>
        <w:pStyle w:val="Ttulo3"/>
        <w:jc w:val="both"/>
        <w:rPr>
          <w:rFonts w:ascii="Arial" w:eastAsia="Arial" w:hAnsi="Arial" w:cs="Arial"/>
          <w:sz w:val="22"/>
          <w:szCs w:val="22"/>
        </w:rPr>
      </w:pPr>
      <w:bookmarkStart w:id="25" w:name="_Toc55494282"/>
      <w:r>
        <w:rPr>
          <w:rFonts w:ascii="Arial" w:eastAsia="Arial" w:hAnsi="Arial" w:cs="Arial"/>
          <w:sz w:val="22"/>
          <w:szCs w:val="22"/>
        </w:rPr>
        <w:t>2.3.2 Convocatoria Infraestructura Regasificación del Pacifico</w:t>
      </w:r>
      <w:bookmarkEnd w:id="25"/>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 xml:space="preserve">Con respecto al proceso </w:t>
      </w:r>
      <w:r>
        <w:rPr>
          <w:rFonts w:ascii="Arial" w:eastAsia="Arial" w:hAnsi="Arial" w:cs="Arial"/>
          <w:sz w:val="22"/>
          <w:szCs w:val="22"/>
        </w:rPr>
        <w:t>de estructuración de la convocatoria para seleccionar el inversionista que lleve a cabo el diseño, la construcción, la operación y el mantenimiento de la Infraestructura de Importación de Gas del Pacífico, se publicaron las respuestas a las observaciones r</w:t>
      </w:r>
      <w:r>
        <w:rPr>
          <w:rFonts w:ascii="Arial" w:eastAsia="Arial" w:hAnsi="Arial" w:cs="Arial"/>
          <w:sz w:val="22"/>
          <w:szCs w:val="22"/>
        </w:rPr>
        <w:t xml:space="preserve">ecibidas a los Documentos de Selección de Inversionista (DSI) prepublicados en el mes de mayo de 2018 </w:t>
      </w:r>
      <w:r>
        <w:rPr>
          <w:rFonts w:ascii="Arial" w:eastAsia="Arial" w:hAnsi="Arial" w:cs="Arial"/>
          <w:sz w:val="22"/>
          <w:szCs w:val="22"/>
          <w:vertAlign w:val="superscript"/>
        </w:rPr>
        <w:t>[2]</w:t>
      </w:r>
      <w:r>
        <w:rPr>
          <w:rFonts w:ascii="Arial" w:eastAsia="Arial" w:hAnsi="Arial" w:cs="Arial"/>
          <w:sz w:val="22"/>
          <w:szCs w:val="22"/>
        </w:rPr>
        <w:t>. Así mismo, en junio de 2020 se realizó la prepublicación de la segunda versión de los Documentos de Selección de Inversionista (DSI), que tienen como</w:t>
      </w:r>
      <w:r>
        <w:rPr>
          <w:rFonts w:ascii="Arial" w:eastAsia="Arial" w:hAnsi="Arial" w:cs="Arial"/>
          <w:sz w:val="22"/>
          <w:szCs w:val="22"/>
        </w:rPr>
        <w:t xml:space="preserve"> insumo principal los comentarios recibidos a los DSI prepublicados en el año 2018 y las diferentes reuniones llevadas a cabo con los inversionistas interesados en el proceso</w:t>
      </w:r>
      <w:r>
        <w:rPr>
          <w:rFonts w:ascii="Arial" w:eastAsia="Arial" w:hAnsi="Arial" w:cs="Arial"/>
          <w:sz w:val="22"/>
          <w:szCs w:val="22"/>
          <w:vertAlign w:val="superscript"/>
        </w:rPr>
        <w:t>[3]</w:t>
      </w:r>
      <w:r>
        <w:rPr>
          <w:rFonts w:ascii="Arial" w:eastAsia="Arial" w:hAnsi="Arial" w:cs="Arial"/>
          <w:sz w:val="22"/>
          <w:szCs w:val="22"/>
        </w:rPr>
        <w:t>.</w:t>
      </w: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Actualmente se están llevando a cabo el ajuste a partir de las observaciones recibidas en el 2020 y se espera realizar la apertura formal de la convocatoria el último trimestre de 2020.</w:t>
      </w:r>
    </w:p>
    <w:p w:rsidR="00B202A2" w:rsidRDefault="00295E06">
      <w:pPr>
        <w:pStyle w:val="Ttulo3"/>
        <w:jc w:val="both"/>
        <w:rPr>
          <w:rFonts w:ascii="Arial" w:eastAsia="Arial" w:hAnsi="Arial" w:cs="Arial"/>
          <w:sz w:val="22"/>
          <w:szCs w:val="22"/>
        </w:rPr>
      </w:pPr>
      <w:bookmarkStart w:id="26" w:name="_Toc55494283"/>
      <w:r>
        <w:rPr>
          <w:rFonts w:ascii="Arial" w:eastAsia="Arial" w:hAnsi="Arial" w:cs="Arial"/>
          <w:sz w:val="22"/>
          <w:szCs w:val="22"/>
        </w:rPr>
        <w:t>2.3.3 Abastecimiento de Combustibles Líquidos</w:t>
      </w:r>
      <w:bookmarkEnd w:id="26"/>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Se elaboró el Plan Indic</w:t>
      </w:r>
      <w:r>
        <w:rPr>
          <w:rFonts w:ascii="Arial" w:eastAsia="Arial" w:hAnsi="Arial" w:cs="Arial"/>
          <w:sz w:val="22"/>
          <w:szCs w:val="22"/>
        </w:rPr>
        <w:t xml:space="preserve">ativo de Combustibles Líquidos, en el cual se efectuó una evaluación prospectiva que comprende toda la secuencia de actividades de la cadena de petróleo y combustibles líquidos, cuyo objetivo final es la entrega de los productos derivados del petróleo que </w:t>
      </w:r>
      <w:r>
        <w:rPr>
          <w:rFonts w:ascii="Arial" w:eastAsia="Arial" w:hAnsi="Arial" w:cs="Arial"/>
          <w:sz w:val="22"/>
          <w:szCs w:val="22"/>
        </w:rPr>
        <w:t>requiere el mercado colombiano para los próximos años, luego de analizar distintos comportamientos futuros de producción de petróleo en el ámbito nacional y de consumo por parte de los usuarios.</w:t>
      </w: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lastRenderedPageBreak/>
        <w:t>El abastecimiento y la confiabilidad de petróleo y combustibl</w:t>
      </w:r>
      <w:r>
        <w:rPr>
          <w:rFonts w:ascii="Arial" w:eastAsia="Arial" w:hAnsi="Arial" w:cs="Arial"/>
          <w:sz w:val="22"/>
          <w:szCs w:val="22"/>
        </w:rPr>
        <w:t>es líquidos a nivel nacional constituye el punto de partida para evaluar el desempeño de un sector estratégico y su capacidad para brindar servicios ininterrumpidos a fin de alcanzar las metas definidas en la política socioeconómica de largo plazo. Es rele</w:t>
      </w:r>
      <w:r>
        <w:rPr>
          <w:rFonts w:ascii="Arial" w:eastAsia="Arial" w:hAnsi="Arial" w:cs="Arial"/>
          <w:sz w:val="22"/>
          <w:szCs w:val="22"/>
        </w:rPr>
        <w:t>vante tener en cuenta que no solo se proveen soluciones en el plano estrictamente energético, sino que también sirven como instrumentos de desarrollo, en particular, como generador de recursos por exportaciones y de bienes para programas y proyectos de des</w:t>
      </w:r>
      <w:r>
        <w:rPr>
          <w:rFonts w:ascii="Arial" w:eastAsia="Arial" w:hAnsi="Arial" w:cs="Arial"/>
          <w:sz w:val="22"/>
          <w:szCs w:val="22"/>
        </w:rPr>
        <w:t>arrollo social, regional y de infraestructura.</w:t>
      </w: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Debido a la coyuntura del COVID-19, se incluyeron análisis adicionales, revisando las prospectivas de producción de crudo, capacidad de refinación, demanda de combustibles líquidos y crecimiento macroeconómico</w:t>
      </w:r>
      <w:r>
        <w:rPr>
          <w:rFonts w:ascii="Arial" w:eastAsia="Arial" w:hAnsi="Arial" w:cs="Arial"/>
          <w:sz w:val="22"/>
          <w:szCs w:val="22"/>
        </w:rPr>
        <w:t>. Además, el Ministerio de Minas y Energía, mediante Decreto 1281 del 23 de septiembre de 2020, incluyó dentro de su Plan de Continuidad la posibilidad de evaluar las obras propuestas en el Plan Indicativo de Combustibles Líquidos.</w:t>
      </w:r>
    </w:p>
    <w:p w:rsidR="00B202A2" w:rsidRDefault="00295E06">
      <w:pPr>
        <w:pStyle w:val="Ttulo3"/>
        <w:jc w:val="both"/>
        <w:rPr>
          <w:rFonts w:ascii="Arial" w:eastAsia="Arial" w:hAnsi="Arial" w:cs="Arial"/>
          <w:sz w:val="22"/>
          <w:szCs w:val="22"/>
        </w:rPr>
      </w:pPr>
      <w:bookmarkStart w:id="27" w:name="_Toc55494284"/>
      <w:r>
        <w:rPr>
          <w:rFonts w:ascii="Arial" w:eastAsia="Arial" w:hAnsi="Arial" w:cs="Arial"/>
          <w:sz w:val="22"/>
          <w:szCs w:val="22"/>
        </w:rPr>
        <w:t>2.3.4 Principales estudi</w:t>
      </w:r>
      <w:r>
        <w:rPr>
          <w:rFonts w:ascii="Arial" w:eastAsia="Arial" w:hAnsi="Arial" w:cs="Arial"/>
          <w:sz w:val="22"/>
          <w:szCs w:val="22"/>
        </w:rPr>
        <w:t>os desarrollados</w:t>
      </w:r>
      <w:bookmarkEnd w:id="27"/>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La UPME contrató el estudio para revisar, validar y determinar la pertinencia de actualizar y/o modificar la metodología vigente para establecer los volúmenes máximos de GLP con derecho a compensación de transporte entre las plantas de aba</w:t>
      </w:r>
      <w:r>
        <w:rPr>
          <w:rFonts w:ascii="Arial" w:eastAsia="Arial" w:hAnsi="Arial" w:cs="Arial"/>
          <w:sz w:val="22"/>
          <w:szCs w:val="22"/>
        </w:rPr>
        <w:t>sto o mayorista del municipio de Yumbo y la ciudad de San Juan de Pasto, identificando los ajustes a que haya lugar en cada una de las variables de la metodología vigente. Esto se hizo teniendo en cuenta las condiciones actuales del mercado, los precios, l</w:t>
      </w:r>
      <w:r>
        <w:rPr>
          <w:rFonts w:ascii="Arial" w:eastAsia="Arial" w:hAnsi="Arial" w:cs="Arial"/>
          <w:sz w:val="22"/>
          <w:szCs w:val="22"/>
        </w:rPr>
        <w:t>os niveles de competencia, el contrabando, el orden público y la infraestructura vial en la región, entre otros aspectos.</w:t>
      </w:r>
    </w:p>
    <w:p w:rsidR="00B202A2" w:rsidRDefault="00295E06">
      <w:pPr>
        <w:pStyle w:val="Ttulo3"/>
        <w:jc w:val="both"/>
        <w:rPr>
          <w:rFonts w:ascii="Arial" w:eastAsia="Arial" w:hAnsi="Arial" w:cs="Arial"/>
          <w:sz w:val="22"/>
          <w:szCs w:val="22"/>
        </w:rPr>
      </w:pPr>
      <w:bookmarkStart w:id="28" w:name="_Toc55494285"/>
      <w:r>
        <w:rPr>
          <w:rFonts w:ascii="Arial" w:eastAsia="Arial" w:hAnsi="Arial" w:cs="Arial"/>
          <w:sz w:val="22"/>
          <w:szCs w:val="22"/>
        </w:rPr>
        <w:t>2.3.5 Trámite de cupos de combustibles</w:t>
      </w:r>
      <w:bookmarkEnd w:id="28"/>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En lo transcurrido de 2020, de conformidad con la función asignada por el Decreto 1073 de 2015,</w:t>
      </w:r>
      <w:r>
        <w:rPr>
          <w:rFonts w:ascii="Arial" w:eastAsia="Arial" w:hAnsi="Arial" w:cs="Arial"/>
          <w:sz w:val="22"/>
          <w:szCs w:val="22"/>
        </w:rPr>
        <w:t xml:space="preserve"> la UPME ha asignado cupos de diésel marino y ACPM exentos de la sobretasa para empresas acuicultoras, Armada Nacional y embarcaciones de bandera nacional y extranjera que realizan actividades de pesca, cabotaje y remolque a las costas colombianas.</w:t>
      </w: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Bandera</w:t>
      </w:r>
      <w:r>
        <w:rPr>
          <w:rFonts w:ascii="Arial" w:eastAsia="Arial" w:hAnsi="Arial" w:cs="Arial"/>
          <w:sz w:val="22"/>
          <w:szCs w:val="22"/>
        </w:rPr>
        <w:t xml:space="preserve"> nacional: más de 12 millones de galones mensuales para un total de 432 embarcaciones mediante resolución 77 del 27 de febrero de 2020.</w:t>
      </w:r>
    </w:p>
    <w:p w:rsidR="00B202A2" w:rsidRDefault="00295E06">
      <w:pPr>
        <w:shd w:val="clear" w:color="auto" w:fill="FFFFFF"/>
        <w:spacing w:before="240" w:after="240"/>
        <w:jc w:val="center"/>
        <w:rPr>
          <w:rFonts w:ascii="Arial" w:eastAsia="Arial" w:hAnsi="Arial" w:cs="Arial"/>
          <w:b/>
          <w:sz w:val="22"/>
          <w:szCs w:val="22"/>
          <w:u w:val="single"/>
        </w:rPr>
      </w:pPr>
      <w:r>
        <w:rPr>
          <w:rFonts w:ascii="Arial" w:eastAsia="Arial" w:hAnsi="Arial" w:cs="Arial"/>
          <w:b/>
          <w:sz w:val="22"/>
          <w:szCs w:val="22"/>
          <w:u w:val="single"/>
        </w:rPr>
        <w:t>Tabla 2. Detalle de Cupos de Combustibles</w:t>
      </w:r>
    </w:p>
    <w:tbl>
      <w:tblPr>
        <w:tblStyle w:val="aff"/>
        <w:tblW w:w="84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565"/>
        <w:gridCol w:w="3225"/>
        <w:gridCol w:w="2700"/>
      </w:tblGrid>
      <w:tr w:rsidR="00B202A2">
        <w:trPr>
          <w:trHeight w:val="605"/>
        </w:trPr>
        <w:tc>
          <w:tcPr>
            <w:tcW w:w="256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rsidR="00B202A2" w:rsidRDefault="00295E06">
            <w:pPr>
              <w:jc w:val="center"/>
              <w:rPr>
                <w:rFonts w:ascii="Arial" w:eastAsia="Arial" w:hAnsi="Arial" w:cs="Arial"/>
                <w:b/>
                <w:sz w:val="22"/>
                <w:szCs w:val="22"/>
              </w:rPr>
            </w:pPr>
            <w:r>
              <w:rPr>
                <w:rFonts w:ascii="Arial" w:eastAsia="Arial" w:hAnsi="Arial" w:cs="Arial"/>
                <w:b/>
                <w:sz w:val="22"/>
                <w:szCs w:val="22"/>
              </w:rPr>
              <w:t>Actividad</w:t>
            </w:r>
          </w:p>
        </w:tc>
        <w:tc>
          <w:tcPr>
            <w:tcW w:w="3225" w:type="dxa"/>
            <w:tcBorders>
              <w:top w:val="single" w:sz="8" w:space="0" w:color="000000"/>
              <w:left w:val="nil"/>
              <w:bottom w:val="single" w:sz="8" w:space="0" w:color="000000"/>
              <w:right w:val="single" w:sz="8" w:space="0" w:color="000000"/>
            </w:tcBorders>
            <w:shd w:val="clear" w:color="auto" w:fill="CFE2F3"/>
            <w:tcMar>
              <w:top w:w="100" w:type="dxa"/>
              <w:left w:w="100" w:type="dxa"/>
              <w:bottom w:w="100" w:type="dxa"/>
              <w:right w:w="100" w:type="dxa"/>
            </w:tcMar>
          </w:tcPr>
          <w:p w:rsidR="00B202A2" w:rsidRDefault="00295E06">
            <w:pPr>
              <w:jc w:val="center"/>
              <w:rPr>
                <w:rFonts w:ascii="Arial" w:eastAsia="Arial" w:hAnsi="Arial" w:cs="Arial"/>
                <w:b/>
                <w:sz w:val="22"/>
                <w:szCs w:val="22"/>
              </w:rPr>
            </w:pPr>
            <w:r>
              <w:rPr>
                <w:rFonts w:ascii="Arial" w:eastAsia="Arial" w:hAnsi="Arial" w:cs="Arial"/>
                <w:b/>
                <w:sz w:val="22"/>
                <w:szCs w:val="22"/>
              </w:rPr>
              <w:t>Galones</w:t>
            </w:r>
          </w:p>
        </w:tc>
        <w:tc>
          <w:tcPr>
            <w:tcW w:w="2700" w:type="dxa"/>
            <w:tcBorders>
              <w:top w:val="single" w:sz="8" w:space="0" w:color="000000"/>
              <w:left w:val="nil"/>
              <w:bottom w:val="single" w:sz="8" w:space="0" w:color="000000"/>
              <w:right w:val="single" w:sz="8" w:space="0" w:color="000000"/>
            </w:tcBorders>
            <w:shd w:val="clear" w:color="auto" w:fill="CFE2F3"/>
            <w:tcMar>
              <w:top w:w="100" w:type="dxa"/>
              <w:left w:w="100" w:type="dxa"/>
              <w:bottom w:w="100" w:type="dxa"/>
              <w:right w:w="100" w:type="dxa"/>
            </w:tcMar>
          </w:tcPr>
          <w:p w:rsidR="00B202A2" w:rsidRDefault="00295E06">
            <w:pPr>
              <w:jc w:val="center"/>
              <w:rPr>
                <w:rFonts w:ascii="Arial" w:eastAsia="Arial" w:hAnsi="Arial" w:cs="Arial"/>
                <w:b/>
                <w:sz w:val="22"/>
                <w:szCs w:val="22"/>
              </w:rPr>
            </w:pPr>
            <w:r>
              <w:rPr>
                <w:rFonts w:ascii="Arial" w:eastAsia="Arial" w:hAnsi="Arial" w:cs="Arial"/>
                <w:b/>
                <w:sz w:val="22"/>
                <w:szCs w:val="22"/>
              </w:rPr>
              <w:t>Embarcaciones</w:t>
            </w:r>
          </w:p>
        </w:tc>
      </w:tr>
      <w:tr w:rsidR="00B202A2">
        <w:trPr>
          <w:trHeight w:val="605"/>
        </w:trPr>
        <w:tc>
          <w:tcPr>
            <w:tcW w:w="25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202A2" w:rsidRDefault="00295E06">
            <w:pPr>
              <w:rPr>
                <w:rFonts w:ascii="Arial" w:eastAsia="Arial" w:hAnsi="Arial" w:cs="Arial"/>
                <w:sz w:val="22"/>
                <w:szCs w:val="22"/>
              </w:rPr>
            </w:pPr>
            <w:r>
              <w:rPr>
                <w:rFonts w:ascii="Arial" w:eastAsia="Arial" w:hAnsi="Arial" w:cs="Arial"/>
                <w:sz w:val="22"/>
                <w:szCs w:val="22"/>
              </w:rPr>
              <w:t>Pesca</w:t>
            </w:r>
          </w:p>
        </w:tc>
        <w:tc>
          <w:tcPr>
            <w:tcW w:w="3225" w:type="dxa"/>
            <w:tcBorders>
              <w:top w:val="nil"/>
              <w:left w:val="nil"/>
              <w:bottom w:val="single" w:sz="8" w:space="0" w:color="000000"/>
              <w:right w:val="single" w:sz="8" w:space="0" w:color="000000"/>
            </w:tcBorders>
            <w:tcMar>
              <w:top w:w="100" w:type="dxa"/>
              <w:left w:w="100" w:type="dxa"/>
              <w:bottom w:w="100" w:type="dxa"/>
              <w:right w:w="100" w:type="dxa"/>
            </w:tcMar>
          </w:tcPr>
          <w:p w:rsidR="00B202A2" w:rsidRDefault="00295E06">
            <w:pPr>
              <w:rPr>
                <w:rFonts w:ascii="Arial" w:eastAsia="Arial" w:hAnsi="Arial" w:cs="Arial"/>
                <w:sz w:val="22"/>
                <w:szCs w:val="22"/>
              </w:rPr>
            </w:pPr>
            <w:r>
              <w:rPr>
                <w:rFonts w:ascii="Arial" w:eastAsia="Arial" w:hAnsi="Arial" w:cs="Arial"/>
                <w:sz w:val="22"/>
                <w:szCs w:val="22"/>
              </w:rPr>
              <w:t>2,228,455</w:t>
            </w:r>
          </w:p>
        </w:tc>
        <w:tc>
          <w:tcPr>
            <w:tcW w:w="2700" w:type="dxa"/>
            <w:tcBorders>
              <w:top w:val="nil"/>
              <w:left w:val="nil"/>
              <w:bottom w:val="single" w:sz="8" w:space="0" w:color="000000"/>
              <w:right w:val="single" w:sz="8" w:space="0" w:color="000000"/>
            </w:tcBorders>
            <w:tcMar>
              <w:top w:w="100" w:type="dxa"/>
              <w:left w:w="100" w:type="dxa"/>
              <w:bottom w:w="100" w:type="dxa"/>
              <w:right w:w="100" w:type="dxa"/>
            </w:tcMar>
          </w:tcPr>
          <w:p w:rsidR="00B202A2" w:rsidRDefault="00295E06">
            <w:pPr>
              <w:rPr>
                <w:rFonts w:ascii="Arial" w:eastAsia="Arial" w:hAnsi="Arial" w:cs="Arial"/>
                <w:sz w:val="22"/>
                <w:szCs w:val="22"/>
              </w:rPr>
            </w:pPr>
            <w:r>
              <w:rPr>
                <w:rFonts w:ascii="Arial" w:eastAsia="Arial" w:hAnsi="Arial" w:cs="Arial"/>
                <w:sz w:val="22"/>
                <w:szCs w:val="22"/>
              </w:rPr>
              <w:t>120</w:t>
            </w:r>
          </w:p>
        </w:tc>
      </w:tr>
      <w:tr w:rsidR="00B202A2">
        <w:trPr>
          <w:trHeight w:val="605"/>
        </w:trPr>
        <w:tc>
          <w:tcPr>
            <w:tcW w:w="25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202A2" w:rsidRDefault="00295E06">
            <w:pPr>
              <w:rPr>
                <w:rFonts w:ascii="Arial" w:eastAsia="Arial" w:hAnsi="Arial" w:cs="Arial"/>
                <w:sz w:val="22"/>
                <w:szCs w:val="22"/>
              </w:rPr>
            </w:pPr>
            <w:r>
              <w:rPr>
                <w:rFonts w:ascii="Arial" w:eastAsia="Arial" w:hAnsi="Arial" w:cs="Arial"/>
                <w:sz w:val="22"/>
                <w:szCs w:val="22"/>
              </w:rPr>
              <w:t>Cabotaje</w:t>
            </w:r>
          </w:p>
        </w:tc>
        <w:tc>
          <w:tcPr>
            <w:tcW w:w="3225" w:type="dxa"/>
            <w:tcBorders>
              <w:top w:val="nil"/>
              <w:left w:val="nil"/>
              <w:bottom w:val="single" w:sz="8" w:space="0" w:color="000000"/>
              <w:right w:val="single" w:sz="8" w:space="0" w:color="000000"/>
            </w:tcBorders>
            <w:tcMar>
              <w:top w:w="100" w:type="dxa"/>
              <w:left w:w="100" w:type="dxa"/>
              <w:bottom w:w="100" w:type="dxa"/>
              <w:right w:w="100" w:type="dxa"/>
            </w:tcMar>
          </w:tcPr>
          <w:p w:rsidR="00B202A2" w:rsidRDefault="00295E06">
            <w:pPr>
              <w:rPr>
                <w:rFonts w:ascii="Arial" w:eastAsia="Arial" w:hAnsi="Arial" w:cs="Arial"/>
                <w:sz w:val="22"/>
                <w:szCs w:val="22"/>
              </w:rPr>
            </w:pPr>
            <w:r>
              <w:rPr>
                <w:rFonts w:ascii="Arial" w:eastAsia="Arial" w:hAnsi="Arial" w:cs="Arial"/>
                <w:sz w:val="22"/>
                <w:szCs w:val="22"/>
              </w:rPr>
              <w:t>2,141,670</w:t>
            </w:r>
          </w:p>
        </w:tc>
        <w:tc>
          <w:tcPr>
            <w:tcW w:w="2700" w:type="dxa"/>
            <w:tcBorders>
              <w:top w:val="nil"/>
              <w:left w:val="nil"/>
              <w:bottom w:val="single" w:sz="8" w:space="0" w:color="000000"/>
              <w:right w:val="single" w:sz="8" w:space="0" w:color="000000"/>
            </w:tcBorders>
            <w:tcMar>
              <w:top w:w="100" w:type="dxa"/>
              <w:left w:w="100" w:type="dxa"/>
              <w:bottom w:w="100" w:type="dxa"/>
              <w:right w:w="100" w:type="dxa"/>
            </w:tcMar>
          </w:tcPr>
          <w:p w:rsidR="00B202A2" w:rsidRDefault="00295E06">
            <w:pPr>
              <w:rPr>
                <w:rFonts w:ascii="Arial" w:eastAsia="Arial" w:hAnsi="Arial" w:cs="Arial"/>
                <w:sz w:val="22"/>
                <w:szCs w:val="22"/>
              </w:rPr>
            </w:pPr>
            <w:r>
              <w:rPr>
                <w:rFonts w:ascii="Arial" w:eastAsia="Arial" w:hAnsi="Arial" w:cs="Arial"/>
                <w:sz w:val="22"/>
                <w:szCs w:val="22"/>
              </w:rPr>
              <w:t>184</w:t>
            </w:r>
          </w:p>
        </w:tc>
      </w:tr>
      <w:tr w:rsidR="00B202A2">
        <w:trPr>
          <w:trHeight w:val="605"/>
        </w:trPr>
        <w:tc>
          <w:tcPr>
            <w:tcW w:w="25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202A2" w:rsidRDefault="00295E06">
            <w:pPr>
              <w:rPr>
                <w:rFonts w:ascii="Arial" w:eastAsia="Arial" w:hAnsi="Arial" w:cs="Arial"/>
                <w:sz w:val="22"/>
                <w:szCs w:val="22"/>
              </w:rPr>
            </w:pPr>
            <w:r>
              <w:rPr>
                <w:rFonts w:ascii="Arial" w:eastAsia="Arial" w:hAnsi="Arial" w:cs="Arial"/>
                <w:sz w:val="22"/>
                <w:szCs w:val="22"/>
              </w:rPr>
              <w:lastRenderedPageBreak/>
              <w:t>Remolque</w:t>
            </w:r>
          </w:p>
        </w:tc>
        <w:tc>
          <w:tcPr>
            <w:tcW w:w="3225" w:type="dxa"/>
            <w:tcBorders>
              <w:top w:val="nil"/>
              <w:left w:val="nil"/>
              <w:bottom w:val="single" w:sz="8" w:space="0" w:color="000000"/>
              <w:right w:val="single" w:sz="8" w:space="0" w:color="000000"/>
            </w:tcBorders>
            <w:tcMar>
              <w:top w:w="100" w:type="dxa"/>
              <w:left w:w="100" w:type="dxa"/>
              <w:bottom w:w="100" w:type="dxa"/>
              <w:right w:w="100" w:type="dxa"/>
            </w:tcMar>
          </w:tcPr>
          <w:p w:rsidR="00B202A2" w:rsidRDefault="00295E06">
            <w:pPr>
              <w:rPr>
                <w:rFonts w:ascii="Arial" w:eastAsia="Arial" w:hAnsi="Arial" w:cs="Arial"/>
                <w:sz w:val="22"/>
                <w:szCs w:val="22"/>
              </w:rPr>
            </w:pPr>
            <w:r>
              <w:rPr>
                <w:rFonts w:ascii="Arial" w:eastAsia="Arial" w:hAnsi="Arial" w:cs="Arial"/>
                <w:sz w:val="22"/>
                <w:szCs w:val="22"/>
              </w:rPr>
              <w:t>8,317,025</w:t>
            </w:r>
          </w:p>
        </w:tc>
        <w:tc>
          <w:tcPr>
            <w:tcW w:w="2700" w:type="dxa"/>
            <w:tcBorders>
              <w:top w:val="nil"/>
              <w:left w:val="nil"/>
              <w:bottom w:val="single" w:sz="8" w:space="0" w:color="000000"/>
              <w:right w:val="single" w:sz="8" w:space="0" w:color="000000"/>
            </w:tcBorders>
            <w:tcMar>
              <w:top w:w="100" w:type="dxa"/>
              <w:left w:w="100" w:type="dxa"/>
              <w:bottom w:w="100" w:type="dxa"/>
              <w:right w:w="100" w:type="dxa"/>
            </w:tcMar>
          </w:tcPr>
          <w:p w:rsidR="00B202A2" w:rsidRDefault="00295E06">
            <w:pPr>
              <w:rPr>
                <w:rFonts w:ascii="Arial" w:eastAsia="Arial" w:hAnsi="Arial" w:cs="Arial"/>
                <w:sz w:val="22"/>
                <w:szCs w:val="22"/>
              </w:rPr>
            </w:pPr>
            <w:r>
              <w:rPr>
                <w:rFonts w:ascii="Arial" w:eastAsia="Arial" w:hAnsi="Arial" w:cs="Arial"/>
                <w:sz w:val="22"/>
                <w:szCs w:val="22"/>
              </w:rPr>
              <w:t>128</w:t>
            </w:r>
          </w:p>
        </w:tc>
      </w:tr>
      <w:tr w:rsidR="00B202A2">
        <w:trPr>
          <w:trHeight w:val="605"/>
        </w:trPr>
        <w:tc>
          <w:tcPr>
            <w:tcW w:w="25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202A2" w:rsidRDefault="00295E06">
            <w:pPr>
              <w:rPr>
                <w:rFonts w:ascii="Arial" w:eastAsia="Arial" w:hAnsi="Arial" w:cs="Arial"/>
                <w:b/>
                <w:sz w:val="22"/>
                <w:szCs w:val="22"/>
              </w:rPr>
            </w:pPr>
            <w:r>
              <w:rPr>
                <w:rFonts w:ascii="Arial" w:eastAsia="Arial" w:hAnsi="Arial" w:cs="Arial"/>
                <w:b/>
                <w:sz w:val="22"/>
                <w:szCs w:val="22"/>
              </w:rPr>
              <w:t>Total</w:t>
            </w:r>
          </w:p>
        </w:tc>
        <w:tc>
          <w:tcPr>
            <w:tcW w:w="3225" w:type="dxa"/>
            <w:tcBorders>
              <w:top w:val="nil"/>
              <w:left w:val="nil"/>
              <w:bottom w:val="single" w:sz="8" w:space="0" w:color="000000"/>
              <w:right w:val="single" w:sz="8" w:space="0" w:color="000000"/>
            </w:tcBorders>
            <w:tcMar>
              <w:top w:w="100" w:type="dxa"/>
              <w:left w:w="100" w:type="dxa"/>
              <w:bottom w:w="100" w:type="dxa"/>
              <w:right w:w="100" w:type="dxa"/>
            </w:tcMar>
          </w:tcPr>
          <w:p w:rsidR="00B202A2" w:rsidRDefault="00295E06">
            <w:pPr>
              <w:rPr>
                <w:rFonts w:ascii="Arial" w:eastAsia="Arial" w:hAnsi="Arial" w:cs="Arial"/>
                <w:b/>
                <w:sz w:val="22"/>
                <w:szCs w:val="22"/>
              </w:rPr>
            </w:pPr>
            <w:r>
              <w:rPr>
                <w:rFonts w:ascii="Arial" w:eastAsia="Arial" w:hAnsi="Arial" w:cs="Arial"/>
                <w:b/>
                <w:sz w:val="22"/>
                <w:szCs w:val="22"/>
              </w:rPr>
              <w:t>12,687,150</w:t>
            </w:r>
          </w:p>
        </w:tc>
        <w:tc>
          <w:tcPr>
            <w:tcW w:w="2700" w:type="dxa"/>
            <w:tcBorders>
              <w:top w:val="nil"/>
              <w:left w:val="nil"/>
              <w:bottom w:val="single" w:sz="8" w:space="0" w:color="000000"/>
              <w:right w:val="single" w:sz="8" w:space="0" w:color="000000"/>
            </w:tcBorders>
            <w:tcMar>
              <w:top w:w="100" w:type="dxa"/>
              <w:left w:w="100" w:type="dxa"/>
              <w:bottom w:w="100" w:type="dxa"/>
              <w:right w:w="100" w:type="dxa"/>
            </w:tcMar>
          </w:tcPr>
          <w:p w:rsidR="00B202A2" w:rsidRDefault="00295E06">
            <w:pPr>
              <w:rPr>
                <w:rFonts w:ascii="Arial" w:eastAsia="Arial" w:hAnsi="Arial" w:cs="Arial"/>
                <w:b/>
                <w:sz w:val="22"/>
                <w:szCs w:val="22"/>
              </w:rPr>
            </w:pPr>
            <w:r>
              <w:rPr>
                <w:rFonts w:ascii="Arial" w:eastAsia="Arial" w:hAnsi="Arial" w:cs="Arial"/>
                <w:b/>
                <w:sz w:val="22"/>
                <w:szCs w:val="22"/>
              </w:rPr>
              <w:t>432</w:t>
            </w:r>
          </w:p>
        </w:tc>
      </w:tr>
    </w:tbl>
    <w:p w:rsidR="00B202A2" w:rsidRDefault="00295E06">
      <w:pPr>
        <w:spacing w:before="240" w:after="240"/>
        <w:jc w:val="both"/>
        <w:rPr>
          <w:rFonts w:ascii="Arial" w:eastAsia="Arial" w:hAnsi="Arial" w:cs="Arial"/>
          <w:sz w:val="22"/>
          <w:szCs w:val="22"/>
        </w:rPr>
      </w:pPr>
      <w:r>
        <w:rPr>
          <w:rFonts w:ascii="Arial" w:eastAsia="Arial" w:hAnsi="Arial" w:cs="Arial"/>
          <w:sz w:val="22"/>
          <w:szCs w:val="22"/>
        </w:rPr>
        <w:t>Bandera extranjera: 75,625 galones/mes para un total de 7 embarcaciones. Mediante resolución 71 del 26 de febrero de 2020.</w:t>
      </w: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 xml:space="preserve">Acuícolas,  104,656 galones/mes para un total de 12 empresas mediante resolución 72 del 26 de febrero de 2020.                 </w:t>
      </w:r>
      <w:r>
        <w:rPr>
          <w:rFonts w:ascii="Arial" w:eastAsia="Arial" w:hAnsi="Arial" w:cs="Arial"/>
          <w:sz w:val="22"/>
          <w:szCs w:val="22"/>
        </w:rPr>
        <w:tab/>
        <w:t xml:space="preserve">                                          </w:t>
      </w: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Armada nacional: 1,285,117 galones/mes para un total de 115 embarcaciones. Mediante resolución 79 de 2020.</w:t>
      </w: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Las resoluciones se pueden consultar en el link:</w:t>
      </w: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https://www1.upme.gov.co/ServicioCiudadano/Notificaciones/Paginas/Notificacion-por-aviso.aspx</w:t>
      </w:r>
    </w:p>
    <w:p w:rsidR="00B202A2" w:rsidRDefault="00295E06">
      <w:pPr>
        <w:pStyle w:val="Ttulo3"/>
        <w:jc w:val="both"/>
        <w:rPr>
          <w:rFonts w:ascii="Arial" w:eastAsia="Arial" w:hAnsi="Arial" w:cs="Arial"/>
          <w:sz w:val="22"/>
          <w:szCs w:val="22"/>
        </w:rPr>
      </w:pPr>
      <w:bookmarkStart w:id="29" w:name="_Toc55494286"/>
      <w:r>
        <w:rPr>
          <w:rFonts w:ascii="Arial" w:eastAsia="Arial" w:hAnsi="Arial" w:cs="Arial"/>
          <w:sz w:val="22"/>
          <w:szCs w:val="22"/>
        </w:rPr>
        <w:t xml:space="preserve">2.3.6 </w:t>
      </w:r>
      <w:r>
        <w:rPr>
          <w:rFonts w:ascii="Arial" w:eastAsia="Arial" w:hAnsi="Arial" w:cs="Arial"/>
          <w:sz w:val="22"/>
          <w:szCs w:val="22"/>
        </w:rPr>
        <w:t>Grandes Consumidores Individuales no Intermediarios de ACPM</w:t>
      </w:r>
      <w:bookmarkEnd w:id="29"/>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La UPME realizó el listado de Grandes Consumidores Individuales no Intermediarios de ACPM (GCINI ACPM), que corresponde a aquel agente gran consumidor que tiene un consumo propio de ACPM, nacional</w:t>
      </w:r>
      <w:r>
        <w:rPr>
          <w:rFonts w:ascii="Arial" w:eastAsia="Arial" w:hAnsi="Arial" w:cs="Arial"/>
          <w:sz w:val="22"/>
          <w:szCs w:val="22"/>
        </w:rPr>
        <w:t xml:space="preserve"> o importado, igual o superior a diez mil (10,000) barriles mensuales, excepto sistemas de transporte masivo de pasajeros y empresas generadoras de energía ubicadas en Zonas Interconectadas del Territorio Nacional. En lo transcurrido del año, se han public</w:t>
      </w:r>
      <w:r>
        <w:rPr>
          <w:rFonts w:ascii="Arial" w:eastAsia="Arial" w:hAnsi="Arial" w:cs="Arial"/>
          <w:sz w:val="22"/>
          <w:szCs w:val="22"/>
        </w:rPr>
        <w:t>ado las Resoluciones Nro. 049, 118 y 166 en el sitio web:</w:t>
      </w: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http://www.sipg.gov.co/sipg/Home/SectorHidrocarburos/PreciosdeCombustibles/tabid/75/language/es-ES/Default.aspx</w:t>
      </w:r>
    </w:p>
    <w:p w:rsidR="00B202A2" w:rsidRDefault="00B202A2">
      <w:pPr>
        <w:jc w:val="both"/>
        <w:rPr>
          <w:rFonts w:ascii="Arial" w:eastAsia="Arial" w:hAnsi="Arial" w:cs="Arial"/>
          <w:sz w:val="22"/>
          <w:szCs w:val="22"/>
        </w:rPr>
      </w:pPr>
    </w:p>
    <w:p w:rsidR="00B202A2" w:rsidRDefault="00295E06">
      <w:pPr>
        <w:jc w:val="both"/>
        <w:rPr>
          <w:rFonts w:ascii="Arial" w:eastAsia="Arial" w:hAnsi="Arial" w:cs="Arial"/>
          <w:sz w:val="22"/>
          <w:szCs w:val="22"/>
        </w:rPr>
      </w:pPr>
      <w:r>
        <w:pict>
          <v:rect id="_x0000_i1030" style="width:0;height:1.5pt" o:hralign="center" o:hrstd="t" o:hr="t" fillcolor="#a0a0a0" stroked="f"/>
        </w:pict>
      </w:r>
    </w:p>
    <w:p w:rsidR="00B202A2" w:rsidRDefault="00295E06">
      <w:pPr>
        <w:jc w:val="both"/>
        <w:rPr>
          <w:rFonts w:ascii="Arial" w:eastAsia="Arial" w:hAnsi="Arial" w:cs="Arial"/>
          <w:sz w:val="22"/>
          <w:szCs w:val="22"/>
        </w:rPr>
      </w:pPr>
      <w:r>
        <w:rPr>
          <w:rFonts w:ascii="Arial" w:eastAsia="Arial" w:hAnsi="Arial" w:cs="Arial"/>
          <w:sz w:val="22"/>
          <w:szCs w:val="22"/>
          <w:vertAlign w:val="superscript"/>
        </w:rPr>
        <w:t>[1]</w:t>
      </w:r>
      <w:r>
        <w:rPr>
          <w:rFonts w:ascii="Arial" w:eastAsia="Arial" w:hAnsi="Arial" w:cs="Arial"/>
          <w:sz w:val="22"/>
          <w:szCs w:val="22"/>
        </w:rPr>
        <w:t xml:space="preserve"> https://www1.upme.gov.co/Hidrocarburos/Plan_de_gas_documento_de_consulta.pdf</w:t>
      </w:r>
    </w:p>
    <w:p w:rsidR="00B202A2" w:rsidRDefault="00295E06">
      <w:pPr>
        <w:jc w:val="both"/>
        <w:rPr>
          <w:rFonts w:ascii="Arial" w:eastAsia="Arial" w:hAnsi="Arial" w:cs="Arial"/>
          <w:sz w:val="22"/>
          <w:szCs w:val="22"/>
        </w:rPr>
      </w:pPr>
      <w:r>
        <w:rPr>
          <w:rFonts w:ascii="Arial" w:eastAsia="Arial" w:hAnsi="Arial" w:cs="Arial"/>
          <w:sz w:val="22"/>
          <w:szCs w:val="22"/>
          <w:vertAlign w:val="superscript"/>
        </w:rPr>
        <w:t>[2</w:t>
      </w:r>
      <w:r>
        <w:rPr>
          <w:rFonts w:ascii="Arial" w:eastAsia="Arial" w:hAnsi="Arial" w:cs="Arial"/>
          <w:sz w:val="22"/>
          <w:szCs w:val="22"/>
          <w:vertAlign w:val="superscript"/>
        </w:rPr>
        <w:t>]</w:t>
      </w:r>
      <w:r>
        <w:rPr>
          <w:rFonts w:ascii="Arial" w:eastAsia="Arial" w:hAnsi="Arial" w:cs="Arial"/>
          <w:sz w:val="22"/>
          <w:szCs w:val="22"/>
        </w:rPr>
        <w:t xml:space="preserve"> https://www1.upme.gov.co/Normatividad/Circular_028_2020.pdf</w:t>
      </w:r>
    </w:p>
    <w:p w:rsidR="00B202A2" w:rsidRDefault="00295E06">
      <w:pPr>
        <w:jc w:val="both"/>
        <w:rPr>
          <w:rFonts w:ascii="Arial" w:eastAsia="Arial" w:hAnsi="Arial" w:cs="Arial"/>
          <w:sz w:val="22"/>
          <w:szCs w:val="22"/>
        </w:rPr>
      </w:pPr>
      <w:r>
        <w:rPr>
          <w:rFonts w:ascii="Arial" w:eastAsia="Arial" w:hAnsi="Arial" w:cs="Arial"/>
          <w:sz w:val="22"/>
          <w:szCs w:val="22"/>
          <w:vertAlign w:val="superscript"/>
        </w:rPr>
        <w:t>[3]</w:t>
      </w:r>
      <w:r>
        <w:rPr>
          <w:rFonts w:ascii="Arial" w:eastAsia="Arial" w:hAnsi="Arial" w:cs="Arial"/>
          <w:sz w:val="22"/>
          <w:szCs w:val="22"/>
        </w:rPr>
        <w:t xml:space="preserve"> https://www1.upme.gov.co/Normatividad/Circular_026_2020.pdf</w:t>
      </w:r>
    </w:p>
    <w:p w:rsidR="00B202A2" w:rsidRDefault="00B202A2">
      <w:pPr>
        <w:jc w:val="both"/>
        <w:rPr>
          <w:rFonts w:ascii="Arial" w:eastAsia="Arial" w:hAnsi="Arial" w:cs="Arial"/>
          <w:sz w:val="22"/>
          <w:szCs w:val="22"/>
        </w:rPr>
      </w:pPr>
    </w:p>
    <w:p w:rsidR="00B202A2" w:rsidRDefault="00295E06">
      <w:pPr>
        <w:jc w:val="both"/>
        <w:rPr>
          <w:rFonts w:ascii="Arial" w:eastAsia="Arial" w:hAnsi="Arial" w:cs="Arial"/>
          <w:sz w:val="22"/>
          <w:szCs w:val="22"/>
        </w:rPr>
      </w:pPr>
      <w:r>
        <w:br w:type="page"/>
      </w:r>
    </w:p>
    <w:p w:rsidR="00B202A2" w:rsidRDefault="00B202A2">
      <w:pPr>
        <w:jc w:val="both"/>
        <w:rPr>
          <w:rFonts w:ascii="Arial" w:eastAsia="Arial" w:hAnsi="Arial" w:cs="Arial"/>
          <w:sz w:val="22"/>
          <w:szCs w:val="22"/>
        </w:rPr>
      </w:pPr>
    </w:p>
    <w:p w:rsidR="00B202A2" w:rsidRDefault="00295E06">
      <w:pPr>
        <w:pStyle w:val="Ttulo2"/>
        <w:spacing w:before="0"/>
        <w:rPr>
          <w:rFonts w:ascii="Arial" w:eastAsia="Arial" w:hAnsi="Arial" w:cs="Arial"/>
          <w:color w:val="335B8A"/>
          <w:sz w:val="22"/>
          <w:szCs w:val="22"/>
        </w:rPr>
      </w:pPr>
      <w:bookmarkStart w:id="30" w:name="_Toc55494287"/>
      <w:r>
        <w:rPr>
          <w:rFonts w:ascii="Arial" w:eastAsia="Arial" w:hAnsi="Arial" w:cs="Arial"/>
          <w:color w:val="335B8A"/>
          <w:sz w:val="22"/>
          <w:szCs w:val="22"/>
        </w:rPr>
        <w:t>2.4. Minería</w:t>
      </w:r>
      <w:bookmarkEnd w:id="30"/>
    </w:p>
    <w:p w:rsidR="00B202A2" w:rsidRDefault="00B202A2">
      <w:pPr>
        <w:rPr>
          <w:rFonts w:ascii="Arial" w:eastAsia="Arial" w:hAnsi="Arial" w:cs="Arial"/>
          <w:sz w:val="22"/>
          <w:szCs w:val="22"/>
        </w:rPr>
      </w:pPr>
    </w:p>
    <w:p w:rsidR="00B202A2" w:rsidRDefault="00295E06">
      <w:pPr>
        <w:jc w:val="both"/>
        <w:rPr>
          <w:rFonts w:ascii="Arial" w:eastAsia="Arial" w:hAnsi="Arial" w:cs="Arial"/>
          <w:sz w:val="22"/>
          <w:szCs w:val="22"/>
        </w:rPr>
      </w:pPr>
      <w:r>
        <w:rPr>
          <w:rFonts w:ascii="Arial" w:eastAsia="Arial" w:hAnsi="Arial" w:cs="Arial"/>
          <w:sz w:val="22"/>
          <w:szCs w:val="22"/>
        </w:rPr>
        <w:t>Los proyectos y actividades adelantadas por la Subdirección de Minería durante el período diciembre 2019 a octub</w:t>
      </w:r>
      <w:r>
        <w:rPr>
          <w:rFonts w:ascii="Arial" w:eastAsia="Arial" w:hAnsi="Arial" w:cs="Arial"/>
          <w:sz w:val="22"/>
          <w:szCs w:val="22"/>
        </w:rPr>
        <w:t>re de 2020, han estado enmarcadas en las estrategias y acciones establecidas en el Plan Nacional de Desarrollo 2018- 2022, que en su capítulo IX plantea el Pacto por los Recursos Minero Energéticos para el Crecimiento Sostenible y Expansión de Oportunidade</w:t>
      </w:r>
      <w:r>
        <w:rPr>
          <w:rFonts w:ascii="Arial" w:eastAsia="Arial" w:hAnsi="Arial" w:cs="Arial"/>
          <w:sz w:val="22"/>
          <w:szCs w:val="22"/>
        </w:rPr>
        <w:t>s.</w:t>
      </w:r>
    </w:p>
    <w:p w:rsidR="00B202A2" w:rsidRDefault="00295E06">
      <w:pPr>
        <w:spacing w:before="240"/>
        <w:jc w:val="both"/>
        <w:rPr>
          <w:rFonts w:ascii="Arial" w:eastAsia="Arial" w:hAnsi="Arial" w:cs="Arial"/>
          <w:b/>
          <w:sz w:val="22"/>
          <w:szCs w:val="22"/>
        </w:rPr>
      </w:pPr>
      <w:r>
        <w:rPr>
          <w:rFonts w:ascii="Arial" w:eastAsia="Arial" w:hAnsi="Arial" w:cs="Arial"/>
          <w:b/>
          <w:sz w:val="22"/>
          <w:szCs w:val="22"/>
        </w:rPr>
        <w:t>2.4.1. Plan Nacional de Desarrollo Minero</w:t>
      </w:r>
    </w:p>
    <w:p w:rsidR="00B202A2" w:rsidRDefault="00295E06">
      <w:pPr>
        <w:spacing w:before="240"/>
        <w:jc w:val="both"/>
        <w:rPr>
          <w:rFonts w:ascii="Arial" w:eastAsia="Arial" w:hAnsi="Arial" w:cs="Arial"/>
          <w:sz w:val="22"/>
          <w:szCs w:val="22"/>
        </w:rPr>
      </w:pPr>
      <w:r>
        <w:rPr>
          <w:rFonts w:ascii="Arial" w:eastAsia="Arial" w:hAnsi="Arial" w:cs="Arial"/>
          <w:sz w:val="22"/>
          <w:szCs w:val="22"/>
        </w:rPr>
        <w:t>Se elaboró y envió para revisión por parte del Ministerio de Minas y Energía, el Plan Nacional de Desarrollo Minero con horizonte a 2026.</w:t>
      </w:r>
    </w:p>
    <w:p w:rsidR="00B202A2" w:rsidRDefault="00295E06">
      <w:pPr>
        <w:spacing w:before="240"/>
        <w:jc w:val="both"/>
        <w:rPr>
          <w:rFonts w:ascii="Arial" w:eastAsia="Arial" w:hAnsi="Arial" w:cs="Arial"/>
          <w:b/>
          <w:sz w:val="22"/>
          <w:szCs w:val="22"/>
        </w:rPr>
      </w:pPr>
      <w:r>
        <w:rPr>
          <w:rFonts w:ascii="Arial" w:eastAsia="Arial" w:hAnsi="Arial" w:cs="Arial"/>
          <w:b/>
          <w:sz w:val="22"/>
          <w:szCs w:val="22"/>
        </w:rPr>
        <w:t>2.4.2. Metodología para actualizar minerales estratégicos</w:t>
      </w:r>
    </w:p>
    <w:p w:rsidR="00B202A2" w:rsidRDefault="00295E06">
      <w:pPr>
        <w:spacing w:before="240"/>
        <w:jc w:val="both"/>
        <w:rPr>
          <w:rFonts w:ascii="Arial" w:eastAsia="Arial" w:hAnsi="Arial" w:cs="Arial"/>
          <w:sz w:val="22"/>
          <w:szCs w:val="22"/>
        </w:rPr>
      </w:pPr>
      <w:r>
        <w:rPr>
          <w:rFonts w:ascii="Arial" w:eastAsia="Arial" w:hAnsi="Arial" w:cs="Arial"/>
          <w:sz w:val="22"/>
          <w:szCs w:val="22"/>
        </w:rPr>
        <w:t>Se diseñó y apl</w:t>
      </w:r>
      <w:r>
        <w:rPr>
          <w:rFonts w:ascii="Arial" w:eastAsia="Arial" w:hAnsi="Arial" w:cs="Arial"/>
          <w:sz w:val="22"/>
          <w:szCs w:val="22"/>
        </w:rPr>
        <w:t>icó una metodología para priorizar los minerales de gran oportunidad para el desarrollo económico del país y para el desarrollo de políticas públicas sectoriales, considerando aspectos tales como la dinámica de los mercados, los requerimientos de minerales</w:t>
      </w:r>
      <w:r>
        <w:rPr>
          <w:rFonts w:ascii="Arial" w:eastAsia="Arial" w:hAnsi="Arial" w:cs="Arial"/>
          <w:sz w:val="22"/>
          <w:szCs w:val="22"/>
        </w:rPr>
        <w:t xml:space="preserve"> para los avances tecnológicos, la transformación energética, la importancia de los minerales en la economía nacional, el potencial geológico del país y de las restricciones para el aprovechamiento de los recursos.</w:t>
      </w:r>
    </w:p>
    <w:p w:rsidR="00B202A2" w:rsidRDefault="00295E06">
      <w:pPr>
        <w:spacing w:before="240"/>
        <w:jc w:val="both"/>
        <w:rPr>
          <w:rFonts w:ascii="Arial" w:eastAsia="Arial" w:hAnsi="Arial" w:cs="Arial"/>
          <w:sz w:val="22"/>
          <w:szCs w:val="22"/>
        </w:rPr>
      </w:pPr>
      <w:r>
        <w:rPr>
          <w:rFonts w:ascii="Arial" w:eastAsia="Arial" w:hAnsi="Arial" w:cs="Arial"/>
          <w:sz w:val="22"/>
          <w:szCs w:val="22"/>
        </w:rPr>
        <w:t>Esta iniciativa se desarrolló con la part</w:t>
      </w:r>
      <w:r>
        <w:rPr>
          <w:rFonts w:ascii="Arial" w:eastAsia="Arial" w:hAnsi="Arial" w:cs="Arial"/>
          <w:sz w:val="22"/>
          <w:szCs w:val="22"/>
        </w:rPr>
        <w:t>icipación del Ministerio de Minas y Energía, la Agencia Nacional de Minería y el Servicio Geológico Colombiano, así como de la academia, centros de investigación y el sector privado.</w:t>
      </w:r>
    </w:p>
    <w:p w:rsidR="00B202A2" w:rsidRDefault="00295E06">
      <w:pPr>
        <w:spacing w:before="240"/>
        <w:jc w:val="both"/>
        <w:rPr>
          <w:rFonts w:ascii="Arial" w:eastAsia="Arial" w:hAnsi="Arial" w:cs="Arial"/>
          <w:b/>
          <w:sz w:val="22"/>
          <w:szCs w:val="22"/>
        </w:rPr>
      </w:pPr>
      <w:r>
        <w:rPr>
          <w:rFonts w:ascii="Arial" w:eastAsia="Arial" w:hAnsi="Arial" w:cs="Arial"/>
          <w:b/>
          <w:sz w:val="22"/>
          <w:szCs w:val="22"/>
        </w:rPr>
        <w:t xml:space="preserve">2.4.3. Diseño conceptual y metodológico para desarrollar el censo minero </w:t>
      </w:r>
      <w:r>
        <w:rPr>
          <w:rFonts w:ascii="Arial" w:eastAsia="Arial" w:hAnsi="Arial" w:cs="Arial"/>
          <w:b/>
          <w:sz w:val="22"/>
          <w:szCs w:val="22"/>
        </w:rPr>
        <w:t>nacional</w:t>
      </w:r>
    </w:p>
    <w:p w:rsidR="00B202A2" w:rsidRDefault="00295E06">
      <w:pPr>
        <w:spacing w:before="240"/>
        <w:jc w:val="both"/>
        <w:rPr>
          <w:rFonts w:ascii="Arial" w:eastAsia="Arial" w:hAnsi="Arial" w:cs="Arial"/>
          <w:sz w:val="22"/>
          <w:szCs w:val="22"/>
        </w:rPr>
      </w:pPr>
      <w:r>
        <w:rPr>
          <w:rFonts w:ascii="Arial" w:eastAsia="Arial" w:hAnsi="Arial" w:cs="Arial"/>
          <w:sz w:val="22"/>
          <w:szCs w:val="22"/>
        </w:rPr>
        <w:t>El Plan Nacional de Desarrollo 2018-2022, plantea la necesidad de contar con información estadística confiable y relevante para la generación de indicadores técnicos, sociales, ambientales, económicos, administrativos y empresariales que orienten la defini</w:t>
      </w:r>
      <w:r>
        <w:rPr>
          <w:rFonts w:ascii="Arial" w:eastAsia="Arial" w:hAnsi="Arial" w:cs="Arial"/>
          <w:sz w:val="22"/>
          <w:szCs w:val="22"/>
        </w:rPr>
        <w:t>ción de políticas integrales para el desarrollo de la actividad minera.</w:t>
      </w: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En este sentido, en el mes de marzo de 2020 fue entregado a la UPME por parte del DANE el diseño conceptual y metodológico del censo minero.  Durante el segundo semestre de 2020, se vi</w:t>
      </w:r>
      <w:r>
        <w:rPr>
          <w:rFonts w:ascii="Arial" w:eastAsia="Arial" w:hAnsi="Arial" w:cs="Arial"/>
          <w:sz w:val="22"/>
          <w:szCs w:val="22"/>
        </w:rPr>
        <w:t>ene trabajando con el DANE con miras a complementar la documentación de diseño generada y probar el instrumento de recolección en su versión web para el Censo Minero Nacional.</w:t>
      </w:r>
    </w:p>
    <w:p w:rsidR="00B202A2" w:rsidRDefault="00295E06">
      <w:pPr>
        <w:spacing w:before="240"/>
        <w:jc w:val="both"/>
        <w:rPr>
          <w:rFonts w:ascii="Arial" w:eastAsia="Arial" w:hAnsi="Arial" w:cs="Arial"/>
          <w:b/>
          <w:sz w:val="22"/>
          <w:szCs w:val="22"/>
        </w:rPr>
      </w:pPr>
      <w:r>
        <w:rPr>
          <w:rFonts w:ascii="Arial" w:eastAsia="Arial" w:hAnsi="Arial" w:cs="Arial"/>
          <w:b/>
          <w:sz w:val="22"/>
          <w:szCs w:val="22"/>
        </w:rPr>
        <w:t>2.4.4. Cuenta Satélite Minera</w:t>
      </w:r>
    </w:p>
    <w:p w:rsidR="00B202A2" w:rsidRDefault="00295E06">
      <w:pPr>
        <w:spacing w:before="240"/>
        <w:jc w:val="both"/>
        <w:rPr>
          <w:rFonts w:ascii="Arial" w:eastAsia="Arial" w:hAnsi="Arial" w:cs="Arial"/>
          <w:sz w:val="22"/>
          <w:szCs w:val="22"/>
        </w:rPr>
      </w:pPr>
      <w:r>
        <w:rPr>
          <w:rFonts w:ascii="Arial" w:eastAsia="Arial" w:hAnsi="Arial" w:cs="Arial"/>
          <w:sz w:val="22"/>
          <w:szCs w:val="22"/>
        </w:rPr>
        <w:t>Producción de una operación estadística específica como marco analítico para el sector minero, a través de la generación de la Cuenta Satélite de Minería.</w:t>
      </w:r>
    </w:p>
    <w:p w:rsidR="00B202A2" w:rsidRDefault="00295E06">
      <w:pPr>
        <w:spacing w:before="240"/>
        <w:jc w:val="both"/>
        <w:rPr>
          <w:rFonts w:ascii="Arial" w:eastAsia="Arial" w:hAnsi="Arial" w:cs="Arial"/>
          <w:sz w:val="22"/>
          <w:szCs w:val="22"/>
        </w:rPr>
      </w:pPr>
      <w:r>
        <w:rPr>
          <w:rFonts w:ascii="Arial" w:eastAsia="Arial" w:hAnsi="Arial" w:cs="Arial"/>
          <w:sz w:val="22"/>
          <w:szCs w:val="22"/>
        </w:rPr>
        <w:t>En diciembre de 2019 se culminó la primera fase de la cuenta satélite, arrojando como resultado los b</w:t>
      </w:r>
      <w:r>
        <w:rPr>
          <w:rFonts w:ascii="Arial" w:eastAsia="Arial" w:hAnsi="Arial" w:cs="Arial"/>
          <w:sz w:val="22"/>
          <w:szCs w:val="22"/>
        </w:rPr>
        <w:t>alances oferta utilización en cantidades físicas y en valores básicos a precios comprador de 34 minerales y la cuenta de producción y generación del ingreso de nueve actividades a 2017 versión preliminar.</w:t>
      </w:r>
    </w:p>
    <w:p w:rsidR="00B202A2" w:rsidRDefault="00295E06">
      <w:pPr>
        <w:spacing w:before="240"/>
        <w:jc w:val="both"/>
        <w:rPr>
          <w:rFonts w:ascii="Arial" w:eastAsia="Arial" w:hAnsi="Arial" w:cs="Arial"/>
          <w:sz w:val="22"/>
          <w:szCs w:val="22"/>
        </w:rPr>
      </w:pPr>
      <w:r>
        <w:rPr>
          <w:rFonts w:ascii="Arial" w:eastAsia="Arial" w:hAnsi="Arial" w:cs="Arial"/>
          <w:sz w:val="22"/>
          <w:szCs w:val="22"/>
        </w:rPr>
        <w:lastRenderedPageBreak/>
        <w:t>Durante el segundo semestre de 2020 se viene avanza</w:t>
      </w:r>
      <w:r>
        <w:rPr>
          <w:rFonts w:ascii="Arial" w:eastAsia="Arial" w:hAnsi="Arial" w:cs="Arial"/>
          <w:sz w:val="22"/>
          <w:szCs w:val="22"/>
        </w:rPr>
        <w:t>ndo en la actualización del balance oferta utilización de 34 productos mineros cantidades físicas y valores serie 2012-2017 versión definitiva y 2018 preliminar, así como en la cuenta de producción y generación del ingreso de 9 actividades a 2017 versión d</w:t>
      </w:r>
      <w:r>
        <w:rPr>
          <w:rFonts w:ascii="Arial" w:eastAsia="Arial" w:hAnsi="Arial" w:cs="Arial"/>
          <w:sz w:val="22"/>
          <w:szCs w:val="22"/>
        </w:rPr>
        <w:t>efinitiva y 2018 versión preliminar.</w:t>
      </w:r>
    </w:p>
    <w:p w:rsidR="00B202A2" w:rsidRDefault="00B202A2">
      <w:pPr>
        <w:spacing w:before="60" w:after="60"/>
        <w:jc w:val="both"/>
        <w:rPr>
          <w:rFonts w:ascii="Arial" w:eastAsia="Arial" w:hAnsi="Arial" w:cs="Arial"/>
          <w:sz w:val="22"/>
          <w:szCs w:val="22"/>
        </w:rPr>
      </w:pPr>
    </w:p>
    <w:p w:rsidR="00B202A2" w:rsidRDefault="00295E06">
      <w:pPr>
        <w:spacing w:before="60" w:after="60"/>
        <w:jc w:val="both"/>
        <w:rPr>
          <w:rFonts w:ascii="Arial" w:eastAsia="Arial" w:hAnsi="Arial" w:cs="Arial"/>
          <w:sz w:val="22"/>
          <w:szCs w:val="22"/>
        </w:rPr>
      </w:pPr>
      <w:r>
        <w:rPr>
          <w:rFonts w:ascii="Arial" w:eastAsia="Arial" w:hAnsi="Arial" w:cs="Arial"/>
          <w:sz w:val="22"/>
          <w:szCs w:val="22"/>
        </w:rPr>
        <w:t>En el año 2021 se espera terminar la cuenta satélite  minera con los siguientes productos: actualización de los balances oferta utilización para 34 productos mineros en versión definitiva a 2018 y versión preliminar 20</w:t>
      </w:r>
      <w:r>
        <w:rPr>
          <w:rFonts w:ascii="Arial" w:eastAsia="Arial" w:hAnsi="Arial" w:cs="Arial"/>
          <w:sz w:val="22"/>
          <w:szCs w:val="22"/>
        </w:rPr>
        <w:t>19, se entregará la cuenta de producción y generación del ingreso para 9 actividades CIIU versión definitiva a 2018 y versión preliminar 2019 y se construirán los Cuadros Oferta Utilización y la construcción y la extensión de la matriz insumo producto naci</w:t>
      </w:r>
      <w:r>
        <w:rPr>
          <w:rFonts w:ascii="Arial" w:eastAsia="Arial" w:hAnsi="Arial" w:cs="Arial"/>
          <w:sz w:val="22"/>
          <w:szCs w:val="22"/>
        </w:rPr>
        <w:t>onal detallando la actividad minera, lo que permitirá contar con información estratégica sobre los encadenamientos productivos de la actividad minera con el resto de la economía, y establecer un punto de partida para el análisis de las cadenas internaciona</w:t>
      </w:r>
      <w:r>
        <w:rPr>
          <w:rFonts w:ascii="Arial" w:eastAsia="Arial" w:hAnsi="Arial" w:cs="Arial"/>
          <w:sz w:val="22"/>
          <w:szCs w:val="22"/>
        </w:rPr>
        <w:t>les de generación de valor agregado.</w:t>
      </w:r>
    </w:p>
    <w:p w:rsidR="00B202A2" w:rsidRDefault="00B202A2">
      <w:pPr>
        <w:spacing w:before="60" w:after="60"/>
        <w:jc w:val="both"/>
        <w:rPr>
          <w:rFonts w:ascii="Arial" w:eastAsia="Arial" w:hAnsi="Arial" w:cs="Arial"/>
          <w:sz w:val="22"/>
          <w:szCs w:val="22"/>
        </w:rPr>
      </w:pPr>
    </w:p>
    <w:p w:rsidR="00B202A2" w:rsidRDefault="00295E06">
      <w:pPr>
        <w:spacing w:before="240"/>
        <w:jc w:val="both"/>
        <w:rPr>
          <w:rFonts w:ascii="Arial" w:eastAsia="Arial" w:hAnsi="Arial" w:cs="Arial"/>
          <w:b/>
          <w:sz w:val="22"/>
          <w:szCs w:val="22"/>
        </w:rPr>
      </w:pPr>
      <w:r>
        <w:rPr>
          <w:rFonts w:ascii="Arial" w:eastAsia="Arial" w:hAnsi="Arial" w:cs="Arial"/>
          <w:b/>
          <w:sz w:val="22"/>
          <w:szCs w:val="22"/>
        </w:rPr>
        <w:t>Estrategias de desarrollo local participativo que incentiven el beneficio de los territorios con proyectos mineros</w:t>
      </w:r>
    </w:p>
    <w:p w:rsidR="00B202A2" w:rsidRDefault="00295E06">
      <w:pPr>
        <w:spacing w:before="240"/>
        <w:jc w:val="both"/>
        <w:rPr>
          <w:rFonts w:ascii="Arial" w:eastAsia="Arial" w:hAnsi="Arial" w:cs="Arial"/>
          <w:sz w:val="22"/>
          <w:szCs w:val="22"/>
        </w:rPr>
      </w:pPr>
      <w:r>
        <w:rPr>
          <w:rFonts w:ascii="Arial" w:eastAsia="Arial" w:hAnsi="Arial" w:cs="Arial"/>
          <w:sz w:val="22"/>
          <w:szCs w:val="22"/>
        </w:rPr>
        <w:t>Conscientes de la necesidad de mejorar los beneficios que la actividad minera genera en los territorios</w:t>
      </w:r>
      <w:r>
        <w:rPr>
          <w:rFonts w:ascii="Arial" w:eastAsia="Arial" w:hAnsi="Arial" w:cs="Arial"/>
          <w:sz w:val="22"/>
          <w:szCs w:val="22"/>
        </w:rPr>
        <w:t>, se avanzó en el análisis y conocimiento de las dinámicas económicas locales generadas por los proyectos mineros, para fortalecer el desarrollo económico y social de las comunidades y poblaciones ubicadas en áreas de influencia de dichos proyectos. Es así</w:t>
      </w:r>
      <w:r>
        <w:rPr>
          <w:rFonts w:ascii="Arial" w:eastAsia="Arial" w:hAnsi="Arial" w:cs="Arial"/>
          <w:sz w:val="22"/>
          <w:szCs w:val="22"/>
        </w:rPr>
        <w:t xml:space="preserve"> como en diciembre de 2020 fue entregado a la UPME el estudio “Definir estrategias de desarrollo local participativo que incentiven el beneficio de los territorios con proyectos mineros a través de alianzas estratégicas”.</w:t>
      </w:r>
    </w:p>
    <w:p w:rsidR="00B202A2" w:rsidRDefault="00295E06">
      <w:pPr>
        <w:spacing w:before="240"/>
        <w:jc w:val="both"/>
        <w:rPr>
          <w:rFonts w:ascii="Arial" w:eastAsia="Arial" w:hAnsi="Arial" w:cs="Arial"/>
          <w:b/>
          <w:sz w:val="22"/>
          <w:szCs w:val="22"/>
        </w:rPr>
      </w:pPr>
      <w:r>
        <w:rPr>
          <w:rFonts w:ascii="Arial" w:eastAsia="Arial" w:hAnsi="Arial" w:cs="Arial"/>
          <w:b/>
          <w:sz w:val="22"/>
          <w:szCs w:val="22"/>
        </w:rPr>
        <w:t>Fortalecimiento SIMCO</w:t>
      </w:r>
    </w:p>
    <w:p w:rsidR="00B202A2" w:rsidRDefault="00295E06">
      <w:pPr>
        <w:spacing w:before="240"/>
        <w:jc w:val="both"/>
        <w:rPr>
          <w:rFonts w:ascii="Arial" w:eastAsia="Arial" w:hAnsi="Arial" w:cs="Arial"/>
          <w:sz w:val="22"/>
          <w:szCs w:val="22"/>
        </w:rPr>
      </w:pPr>
      <w:r>
        <w:rPr>
          <w:rFonts w:ascii="Arial" w:eastAsia="Arial" w:hAnsi="Arial" w:cs="Arial"/>
          <w:sz w:val="22"/>
          <w:szCs w:val="22"/>
        </w:rPr>
        <w:t>Se han mejor</w:t>
      </w:r>
      <w:r>
        <w:rPr>
          <w:rFonts w:ascii="Arial" w:eastAsia="Arial" w:hAnsi="Arial" w:cs="Arial"/>
          <w:sz w:val="22"/>
          <w:szCs w:val="22"/>
        </w:rPr>
        <w:t>ado los contenidos, el acceso y la consulta de la información del sector contenida en el SIMCO y a octubre de 2020 se han actualizado unos 50 reportes aproximadamente (Ruta:</w:t>
      </w:r>
      <w:hyperlink r:id="rId14">
        <w:r>
          <w:rPr>
            <w:rFonts w:ascii="Arial" w:eastAsia="Arial" w:hAnsi="Arial" w:cs="Arial"/>
            <w:sz w:val="22"/>
            <w:szCs w:val="22"/>
          </w:rPr>
          <w:t xml:space="preserve"> http://www1.upm</w:t>
        </w:r>
        <w:r>
          <w:rPr>
            <w:rFonts w:ascii="Arial" w:eastAsia="Arial" w:hAnsi="Arial" w:cs="Arial"/>
            <w:sz w:val="22"/>
            <w:szCs w:val="22"/>
          </w:rPr>
          <w:t>e.gov.co/simco/Paginas/home.aspx</w:t>
        </w:r>
      </w:hyperlink>
      <w:r>
        <w:rPr>
          <w:rFonts w:ascii="Arial" w:eastAsia="Arial" w:hAnsi="Arial" w:cs="Arial"/>
          <w:sz w:val="22"/>
          <w:szCs w:val="22"/>
        </w:rPr>
        <w:t>), relacionados con información de producción de minerales, regalías, exportaciones, importaciones, indicadores macroeconómicos del sector (PIB minero, IED, renta, mercados nacional e internacional) y precios base liquidació</w:t>
      </w:r>
      <w:r>
        <w:rPr>
          <w:rFonts w:ascii="Arial" w:eastAsia="Arial" w:hAnsi="Arial" w:cs="Arial"/>
          <w:sz w:val="22"/>
          <w:szCs w:val="22"/>
        </w:rPr>
        <w:t xml:space="preserve">n de regalías. </w:t>
      </w:r>
    </w:p>
    <w:p w:rsidR="00B202A2" w:rsidRDefault="00B202A2">
      <w:pPr>
        <w:spacing w:before="240"/>
        <w:jc w:val="both"/>
        <w:rPr>
          <w:rFonts w:ascii="Arial" w:eastAsia="Arial" w:hAnsi="Arial" w:cs="Arial"/>
          <w:sz w:val="22"/>
          <w:szCs w:val="22"/>
        </w:rPr>
      </w:pPr>
    </w:p>
    <w:p w:rsidR="00B202A2" w:rsidRDefault="00295E06">
      <w:pPr>
        <w:pStyle w:val="Ttulo2"/>
        <w:spacing w:before="0"/>
        <w:rPr>
          <w:rFonts w:ascii="Arial" w:eastAsia="Arial" w:hAnsi="Arial" w:cs="Arial"/>
          <w:color w:val="335B8A"/>
          <w:sz w:val="22"/>
          <w:szCs w:val="22"/>
        </w:rPr>
      </w:pPr>
      <w:bookmarkStart w:id="31" w:name="_Toc55494288"/>
      <w:r>
        <w:rPr>
          <w:rFonts w:ascii="Arial" w:eastAsia="Arial" w:hAnsi="Arial" w:cs="Arial"/>
          <w:color w:val="335B8A"/>
          <w:sz w:val="22"/>
          <w:szCs w:val="22"/>
        </w:rPr>
        <w:t>2.5. Gestión de la Información</w:t>
      </w:r>
      <w:bookmarkEnd w:id="31"/>
    </w:p>
    <w:p w:rsidR="00B202A2" w:rsidRDefault="00295E06">
      <w:pPr>
        <w:pStyle w:val="Ttulo3"/>
        <w:rPr>
          <w:rFonts w:ascii="Arial" w:eastAsia="Arial" w:hAnsi="Arial" w:cs="Arial"/>
          <w:sz w:val="22"/>
          <w:szCs w:val="22"/>
        </w:rPr>
      </w:pPr>
      <w:bookmarkStart w:id="32" w:name="_Toc55494289"/>
      <w:r>
        <w:rPr>
          <w:rFonts w:ascii="Arial" w:eastAsia="Arial" w:hAnsi="Arial" w:cs="Arial"/>
          <w:sz w:val="22"/>
          <w:szCs w:val="22"/>
        </w:rPr>
        <w:t>2.5.1. Fortalecimiento de la infraestructura tecnológica</w:t>
      </w:r>
      <w:bookmarkEnd w:id="32"/>
    </w:p>
    <w:p w:rsidR="00B202A2" w:rsidRDefault="00295E06">
      <w:pPr>
        <w:spacing w:after="160"/>
        <w:jc w:val="both"/>
        <w:rPr>
          <w:rFonts w:ascii="Arial" w:eastAsia="Arial" w:hAnsi="Arial" w:cs="Arial"/>
          <w:sz w:val="22"/>
          <w:szCs w:val="22"/>
        </w:rPr>
      </w:pPr>
      <w:r>
        <w:rPr>
          <w:rFonts w:ascii="Arial" w:eastAsia="Arial" w:hAnsi="Arial" w:cs="Arial"/>
          <w:color w:val="263238"/>
          <w:sz w:val="22"/>
          <w:szCs w:val="22"/>
        </w:rPr>
        <w:t xml:space="preserve">Se llevó a cabo la implementación de la solución de hiperconvergencia como fortalecimiento de la infraestructura tecnológica institucional, soportando </w:t>
      </w:r>
      <w:r>
        <w:rPr>
          <w:rFonts w:ascii="Arial" w:eastAsia="Arial" w:hAnsi="Arial" w:cs="Arial"/>
          <w:color w:val="263238"/>
          <w:sz w:val="22"/>
          <w:szCs w:val="22"/>
        </w:rPr>
        <w:t xml:space="preserve">y respondiendo de </w:t>
      </w:r>
      <w:r>
        <w:rPr>
          <w:rFonts w:ascii="Arial" w:eastAsia="Arial" w:hAnsi="Arial" w:cs="Arial"/>
          <w:sz w:val="22"/>
          <w:szCs w:val="22"/>
        </w:rPr>
        <w:t>manera eficiente y confiable, la generación y difusión de la información minero energética, bajo los principios de la disponibilidad, elasticidad, flexibilidad, centralización, robustez y seguridad.</w:t>
      </w:r>
    </w:p>
    <w:p w:rsidR="00B202A2" w:rsidRDefault="00295E06">
      <w:pPr>
        <w:ind w:left="720"/>
        <w:jc w:val="both"/>
        <w:rPr>
          <w:rFonts w:ascii="Arial" w:eastAsia="Arial" w:hAnsi="Arial" w:cs="Arial"/>
          <w:sz w:val="22"/>
          <w:szCs w:val="22"/>
        </w:rPr>
      </w:pPr>
      <w:r>
        <w:rPr>
          <w:rFonts w:ascii="Arial" w:eastAsia="Arial" w:hAnsi="Arial" w:cs="Arial"/>
          <w:sz w:val="22"/>
          <w:szCs w:val="22"/>
        </w:rPr>
        <w:t xml:space="preserve"> </w:t>
      </w:r>
    </w:p>
    <w:p w:rsidR="00B202A2" w:rsidRDefault="00295E06">
      <w:pPr>
        <w:jc w:val="both"/>
        <w:rPr>
          <w:rFonts w:ascii="Arial" w:eastAsia="Arial" w:hAnsi="Arial" w:cs="Arial"/>
          <w:sz w:val="22"/>
          <w:szCs w:val="22"/>
        </w:rPr>
      </w:pPr>
      <w:r>
        <w:rPr>
          <w:rFonts w:ascii="Arial" w:eastAsia="Arial" w:hAnsi="Arial" w:cs="Arial"/>
          <w:sz w:val="22"/>
          <w:szCs w:val="22"/>
        </w:rPr>
        <w:t>Al disponer de una plataforma informá</w:t>
      </w:r>
      <w:r>
        <w:rPr>
          <w:rFonts w:ascii="Arial" w:eastAsia="Arial" w:hAnsi="Arial" w:cs="Arial"/>
          <w:sz w:val="22"/>
          <w:szCs w:val="22"/>
        </w:rPr>
        <w:t xml:space="preserve">tica basada en los principios de diseño previamente referidos, se brindará a los usuarios internos confianza en el desarrollo de </w:t>
      </w:r>
      <w:r>
        <w:rPr>
          <w:rFonts w:ascii="Arial" w:eastAsia="Arial" w:hAnsi="Arial" w:cs="Arial"/>
          <w:sz w:val="22"/>
          <w:szCs w:val="22"/>
        </w:rPr>
        <w:lastRenderedPageBreak/>
        <w:t>sus labores que usan esta solución, así como el cumplimiento de las metas u objetivos institucionales.  Ante los usuarios exter</w:t>
      </w:r>
      <w:r>
        <w:rPr>
          <w:rFonts w:ascii="Arial" w:eastAsia="Arial" w:hAnsi="Arial" w:cs="Arial"/>
          <w:sz w:val="22"/>
          <w:szCs w:val="22"/>
        </w:rPr>
        <w:t>nos, se reflejará como una entidad confiable</w:t>
      </w:r>
    </w:p>
    <w:p w:rsidR="00B202A2" w:rsidRDefault="00295E06">
      <w:pPr>
        <w:spacing w:after="160"/>
        <w:ind w:left="720"/>
        <w:jc w:val="both"/>
        <w:rPr>
          <w:rFonts w:ascii="Arial" w:eastAsia="Arial" w:hAnsi="Arial" w:cs="Arial"/>
          <w:color w:val="263238"/>
          <w:sz w:val="22"/>
          <w:szCs w:val="22"/>
        </w:rPr>
      </w:pPr>
      <w:r>
        <w:rPr>
          <w:rFonts w:ascii="Arial" w:eastAsia="Arial" w:hAnsi="Arial" w:cs="Arial"/>
          <w:color w:val="263238"/>
          <w:sz w:val="22"/>
          <w:szCs w:val="22"/>
        </w:rPr>
        <w:t xml:space="preserve"> </w:t>
      </w:r>
    </w:p>
    <w:p w:rsidR="00B202A2" w:rsidRDefault="00295E06">
      <w:pPr>
        <w:jc w:val="both"/>
        <w:rPr>
          <w:rFonts w:ascii="Arial" w:eastAsia="Arial" w:hAnsi="Arial" w:cs="Arial"/>
          <w:sz w:val="22"/>
          <w:szCs w:val="22"/>
        </w:rPr>
      </w:pPr>
      <w:r>
        <w:rPr>
          <w:rFonts w:ascii="Arial" w:eastAsia="Arial" w:hAnsi="Arial" w:cs="Arial"/>
          <w:sz w:val="22"/>
          <w:szCs w:val="22"/>
        </w:rPr>
        <w:t>Lo anterior, respondiendo a la necesidad de mejoramiento de la infraestructura de TIC para la optimización de los procesos de consolidación, procesamiento y difusión, mediante la implementación de soluciones t</w:t>
      </w:r>
      <w:r>
        <w:rPr>
          <w:rFonts w:ascii="Arial" w:eastAsia="Arial" w:hAnsi="Arial" w:cs="Arial"/>
          <w:sz w:val="22"/>
          <w:szCs w:val="22"/>
        </w:rPr>
        <w:t>ecnológicas que brinden disponibilidad y confiabilidad a los diferentes proyectos liderados por la UPME.</w:t>
      </w:r>
    </w:p>
    <w:p w:rsidR="00B202A2" w:rsidRDefault="00295E06">
      <w:pPr>
        <w:spacing w:after="160"/>
        <w:jc w:val="both"/>
        <w:rPr>
          <w:rFonts w:ascii="Arial" w:eastAsia="Arial" w:hAnsi="Arial" w:cs="Arial"/>
          <w:color w:val="263238"/>
          <w:sz w:val="22"/>
          <w:szCs w:val="22"/>
        </w:rPr>
      </w:pPr>
      <w:r>
        <w:rPr>
          <w:rFonts w:ascii="Arial" w:eastAsia="Arial" w:hAnsi="Arial" w:cs="Arial"/>
          <w:color w:val="263238"/>
          <w:sz w:val="22"/>
          <w:szCs w:val="22"/>
        </w:rPr>
        <w:t xml:space="preserve"> </w:t>
      </w:r>
    </w:p>
    <w:p w:rsidR="00B202A2" w:rsidRDefault="00295E06">
      <w:pPr>
        <w:pStyle w:val="Ttulo3"/>
        <w:rPr>
          <w:rFonts w:ascii="Arial" w:eastAsia="Arial" w:hAnsi="Arial" w:cs="Arial"/>
          <w:b w:val="0"/>
          <w:color w:val="263238"/>
          <w:sz w:val="22"/>
          <w:szCs w:val="22"/>
        </w:rPr>
      </w:pPr>
      <w:bookmarkStart w:id="33" w:name="_Toc55494290"/>
      <w:r>
        <w:rPr>
          <w:rFonts w:ascii="Arial" w:eastAsia="Arial" w:hAnsi="Arial" w:cs="Arial"/>
          <w:sz w:val="22"/>
          <w:szCs w:val="22"/>
        </w:rPr>
        <w:t>2.5.2</w:t>
      </w:r>
      <w:r>
        <w:rPr>
          <w:rFonts w:ascii="Arial" w:eastAsia="Arial" w:hAnsi="Arial" w:cs="Arial"/>
          <w:sz w:val="22"/>
          <w:szCs w:val="22"/>
        </w:rPr>
        <w:tab/>
        <w:t>Creación, estructuración, e implementación del minisitio de incentivos tributarios</w:t>
      </w:r>
      <w:bookmarkEnd w:id="33"/>
    </w:p>
    <w:p w:rsidR="00B202A2" w:rsidRDefault="00295E06">
      <w:pPr>
        <w:spacing w:after="160"/>
        <w:jc w:val="both"/>
        <w:rPr>
          <w:rFonts w:ascii="Arial" w:eastAsia="Arial" w:hAnsi="Arial" w:cs="Arial"/>
          <w:sz w:val="22"/>
          <w:szCs w:val="22"/>
        </w:rPr>
      </w:pPr>
      <w:r>
        <w:rPr>
          <w:rFonts w:ascii="Arial" w:eastAsia="Arial" w:hAnsi="Arial" w:cs="Arial"/>
          <w:sz w:val="22"/>
          <w:szCs w:val="22"/>
        </w:rPr>
        <w:t>La disposición de la información de manera organizada, estructurada y coherente, contando con herramientas que faciliten su explotación y difusión, permitirá a los usuarios una búsqueda rápida y precisa de la información requerida; además, será el vector p</w:t>
      </w:r>
      <w:r>
        <w:rPr>
          <w:rFonts w:ascii="Arial" w:eastAsia="Arial" w:hAnsi="Arial" w:cs="Arial"/>
          <w:sz w:val="22"/>
          <w:szCs w:val="22"/>
        </w:rPr>
        <w:t>ara una mejor comprensión y análisis de la información.</w:t>
      </w:r>
    </w:p>
    <w:p w:rsidR="00B202A2" w:rsidRDefault="00295E06">
      <w:pPr>
        <w:spacing w:after="160"/>
        <w:rPr>
          <w:rFonts w:ascii="Arial" w:eastAsia="Arial" w:hAnsi="Arial" w:cs="Arial"/>
          <w:color w:val="263238"/>
          <w:sz w:val="22"/>
          <w:szCs w:val="22"/>
        </w:rPr>
      </w:pPr>
      <w:r>
        <w:rPr>
          <w:rFonts w:ascii="Arial" w:eastAsia="Arial" w:hAnsi="Arial" w:cs="Arial"/>
          <w:color w:val="263238"/>
          <w:sz w:val="22"/>
          <w:szCs w:val="22"/>
        </w:rPr>
        <w:t xml:space="preserve"> </w:t>
      </w:r>
    </w:p>
    <w:p w:rsidR="00B202A2" w:rsidRDefault="00295E06">
      <w:pPr>
        <w:pStyle w:val="Ttulo3"/>
        <w:jc w:val="both"/>
        <w:rPr>
          <w:rFonts w:ascii="Arial" w:eastAsia="Arial" w:hAnsi="Arial" w:cs="Arial"/>
          <w:sz w:val="22"/>
          <w:szCs w:val="22"/>
        </w:rPr>
      </w:pPr>
      <w:bookmarkStart w:id="34" w:name="_Toc55494291"/>
      <w:r>
        <w:rPr>
          <w:rFonts w:ascii="Arial" w:eastAsia="Arial" w:hAnsi="Arial" w:cs="Arial"/>
          <w:sz w:val="22"/>
          <w:szCs w:val="22"/>
        </w:rPr>
        <w:t>2.5.3 Acompañamiento técnico en la adopción de trabajo en casa para el desarrollo de las actividades de los servidores y contratistas de la UPME</w:t>
      </w:r>
      <w:bookmarkEnd w:id="34"/>
    </w:p>
    <w:p w:rsidR="00B202A2" w:rsidRDefault="00295E06">
      <w:pPr>
        <w:spacing w:after="160"/>
        <w:jc w:val="both"/>
        <w:rPr>
          <w:rFonts w:ascii="Arial" w:eastAsia="Arial" w:hAnsi="Arial" w:cs="Arial"/>
          <w:b/>
          <w:color w:val="263238"/>
          <w:sz w:val="22"/>
          <w:szCs w:val="22"/>
        </w:rPr>
      </w:pPr>
      <w:r>
        <w:rPr>
          <w:rFonts w:ascii="Arial" w:eastAsia="Arial" w:hAnsi="Arial" w:cs="Arial"/>
          <w:color w:val="263238"/>
          <w:sz w:val="22"/>
          <w:szCs w:val="22"/>
        </w:rPr>
        <w:t>D</w:t>
      </w:r>
      <w:r>
        <w:rPr>
          <w:rFonts w:ascii="Arial" w:eastAsia="Arial" w:hAnsi="Arial" w:cs="Arial"/>
          <w:sz w:val="22"/>
          <w:szCs w:val="22"/>
        </w:rPr>
        <w:t xml:space="preserve">e acuerdo con el estado de confinamiento decretado por el gobierno nacional derivado de la pandemia y, con el fin de responder a los requerimientos institucionales para el cumplimiento de los objetivos y proyectos de la Unidad, desde la Oficina de gestión </w:t>
      </w:r>
      <w:r>
        <w:rPr>
          <w:rFonts w:ascii="Arial" w:eastAsia="Arial" w:hAnsi="Arial" w:cs="Arial"/>
          <w:sz w:val="22"/>
          <w:szCs w:val="22"/>
        </w:rPr>
        <w:t>de la información se llevó a cabo la activación y prestación de soporte a los servicios de TI.</w:t>
      </w:r>
    </w:p>
    <w:p w:rsidR="00B202A2" w:rsidRDefault="00B202A2">
      <w:pPr>
        <w:spacing w:after="160"/>
        <w:jc w:val="both"/>
        <w:rPr>
          <w:rFonts w:ascii="Arial" w:eastAsia="Arial" w:hAnsi="Arial" w:cs="Arial"/>
          <w:sz w:val="22"/>
          <w:szCs w:val="22"/>
        </w:rPr>
      </w:pPr>
    </w:p>
    <w:p w:rsidR="00B202A2" w:rsidRDefault="00295E06">
      <w:pPr>
        <w:pStyle w:val="Ttulo3"/>
        <w:rPr>
          <w:rFonts w:ascii="Arial" w:eastAsia="Arial" w:hAnsi="Arial" w:cs="Arial"/>
          <w:sz w:val="22"/>
          <w:szCs w:val="22"/>
        </w:rPr>
      </w:pPr>
      <w:bookmarkStart w:id="35" w:name="_Toc55494292"/>
      <w:r>
        <w:rPr>
          <w:rFonts w:ascii="Arial" w:eastAsia="Arial" w:hAnsi="Arial" w:cs="Arial"/>
          <w:sz w:val="22"/>
          <w:szCs w:val="22"/>
        </w:rPr>
        <w:t>2.5.4</w:t>
      </w:r>
      <w:r>
        <w:rPr>
          <w:rFonts w:ascii="Arial" w:eastAsia="Arial" w:hAnsi="Arial" w:cs="Arial"/>
          <w:sz w:val="22"/>
          <w:szCs w:val="22"/>
        </w:rPr>
        <w:tab/>
        <w:t>Estrategias de comunicación</w:t>
      </w:r>
      <w:bookmarkEnd w:id="35"/>
    </w:p>
    <w:p w:rsidR="00B202A2" w:rsidRDefault="00295E06">
      <w:pPr>
        <w:spacing w:after="160"/>
        <w:jc w:val="both"/>
        <w:rPr>
          <w:rFonts w:ascii="Arial" w:eastAsia="Arial" w:hAnsi="Arial" w:cs="Arial"/>
          <w:color w:val="263238"/>
          <w:sz w:val="22"/>
          <w:szCs w:val="22"/>
        </w:rPr>
      </w:pPr>
      <w:r>
        <w:rPr>
          <w:rFonts w:ascii="Arial" w:eastAsia="Arial" w:hAnsi="Arial" w:cs="Arial"/>
          <w:color w:val="263238"/>
          <w:sz w:val="22"/>
          <w:szCs w:val="22"/>
        </w:rPr>
        <w:t>Se definió e implementó la Estrategia de comunicación de incentivos tributarios GEE y FNCE, con el objeto de socializar la reg</w:t>
      </w:r>
      <w:r>
        <w:rPr>
          <w:rFonts w:ascii="Arial" w:eastAsia="Arial" w:hAnsi="Arial" w:cs="Arial"/>
          <w:color w:val="263238"/>
          <w:sz w:val="22"/>
          <w:szCs w:val="22"/>
        </w:rPr>
        <w:t>lamentación de los procedimientos para incentivos tributarios a través de los diferentes canales adoptados por la UPME como la página web, redes sociales, prensa y espacios pedagógicos (talleres virtuales).</w:t>
      </w:r>
    </w:p>
    <w:p w:rsidR="00B202A2" w:rsidRDefault="00295E06">
      <w:pPr>
        <w:spacing w:after="160"/>
        <w:jc w:val="both"/>
        <w:rPr>
          <w:rFonts w:ascii="Arial" w:eastAsia="Arial" w:hAnsi="Arial" w:cs="Arial"/>
          <w:color w:val="263238"/>
          <w:sz w:val="22"/>
          <w:szCs w:val="22"/>
        </w:rPr>
      </w:pPr>
      <w:r>
        <w:rPr>
          <w:rFonts w:ascii="Arial" w:eastAsia="Arial" w:hAnsi="Arial" w:cs="Arial"/>
          <w:color w:val="263238"/>
          <w:sz w:val="22"/>
          <w:szCs w:val="22"/>
        </w:rPr>
        <w:t xml:space="preserve"> </w:t>
      </w:r>
    </w:p>
    <w:p w:rsidR="00B202A2" w:rsidRDefault="00295E06">
      <w:pPr>
        <w:pStyle w:val="Ttulo3"/>
        <w:rPr>
          <w:rFonts w:ascii="Arial" w:eastAsia="Arial" w:hAnsi="Arial" w:cs="Arial"/>
          <w:sz w:val="22"/>
          <w:szCs w:val="22"/>
        </w:rPr>
      </w:pPr>
      <w:bookmarkStart w:id="36" w:name="_Toc55494293"/>
      <w:r>
        <w:rPr>
          <w:rFonts w:ascii="Arial" w:eastAsia="Arial" w:hAnsi="Arial" w:cs="Arial"/>
          <w:sz w:val="22"/>
          <w:szCs w:val="22"/>
        </w:rPr>
        <w:t>2.5.5</w:t>
      </w:r>
      <w:r>
        <w:rPr>
          <w:rFonts w:ascii="Arial" w:eastAsia="Arial" w:hAnsi="Arial" w:cs="Arial"/>
          <w:sz w:val="22"/>
          <w:szCs w:val="22"/>
        </w:rPr>
        <w:tab/>
        <w:t>Desarrollo de talleres de socialización</w:t>
      </w:r>
      <w:bookmarkEnd w:id="36"/>
    </w:p>
    <w:p w:rsidR="00B202A2" w:rsidRDefault="00295E06">
      <w:pPr>
        <w:spacing w:after="160"/>
        <w:jc w:val="both"/>
        <w:rPr>
          <w:rFonts w:ascii="Arial" w:eastAsia="Arial" w:hAnsi="Arial" w:cs="Arial"/>
          <w:color w:val="263238"/>
          <w:sz w:val="22"/>
          <w:szCs w:val="22"/>
        </w:rPr>
      </w:pPr>
      <w:r>
        <w:rPr>
          <w:rFonts w:ascii="Arial" w:eastAsia="Arial" w:hAnsi="Arial" w:cs="Arial"/>
          <w:color w:val="263238"/>
          <w:sz w:val="22"/>
          <w:szCs w:val="22"/>
        </w:rPr>
        <w:t>S</w:t>
      </w:r>
      <w:r>
        <w:rPr>
          <w:rFonts w:ascii="Arial" w:eastAsia="Arial" w:hAnsi="Arial" w:cs="Arial"/>
          <w:color w:val="263238"/>
          <w:sz w:val="22"/>
          <w:szCs w:val="22"/>
        </w:rPr>
        <w:t>e llevaron a cabo talleres de socialización de temas misionales (planeación minero energética) a través de streaming, con la participación de más de 2.000 agentes del sector (en vivo y repeticiones)</w:t>
      </w:r>
    </w:p>
    <w:p w:rsidR="00B202A2" w:rsidRDefault="00B202A2">
      <w:pPr>
        <w:spacing w:after="160"/>
        <w:jc w:val="both"/>
        <w:rPr>
          <w:rFonts w:ascii="Arial" w:eastAsia="Arial" w:hAnsi="Arial" w:cs="Arial"/>
          <w:b/>
          <w:color w:val="263238"/>
          <w:sz w:val="22"/>
          <w:szCs w:val="22"/>
        </w:rPr>
      </w:pPr>
    </w:p>
    <w:p w:rsidR="00B202A2" w:rsidRDefault="00295E06">
      <w:pPr>
        <w:pStyle w:val="Ttulo3"/>
        <w:rPr>
          <w:rFonts w:ascii="Arial" w:eastAsia="Arial" w:hAnsi="Arial" w:cs="Arial"/>
          <w:sz w:val="22"/>
          <w:szCs w:val="22"/>
        </w:rPr>
      </w:pPr>
      <w:bookmarkStart w:id="37" w:name="_Toc55494294"/>
      <w:r>
        <w:rPr>
          <w:rFonts w:ascii="Arial" w:eastAsia="Arial" w:hAnsi="Arial" w:cs="Arial"/>
          <w:sz w:val="22"/>
          <w:szCs w:val="22"/>
        </w:rPr>
        <w:t>2.5.6</w:t>
      </w:r>
      <w:r>
        <w:rPr>
          <w:rFonts w:ascii="Arial" w:eastAsia="Arial" w:hAnsi="Arial" w:cs="Arial"/>
          <w:sz w:val="22"/>
          <w:szCs w:val="22"/>
        </w:rPr>
        <w:tab/>
        <w:t>Aumento de la audiencia Institucional</w:t>
      </w:r>
      <w:bookmarkEnd w:id="37"/>
    </w:p>
    <w:p w:rsidR="00B202A2" w:rsidRDefault="00295E06">
      <w:pPr>
        <w:spacing w:after="160"/>
        <w:jc w:val="both"/>
        <w:rPr>
          <w:rFonts w:ascii="Arial" w:eastAsia="Arial" w:hAnsi="Arial" w:cs="Arial"/>
          <w:color w:val="263238"/>
          <w:sz w:val="22"/>
          <w:szCs w:val="22"/>
        </w:rPr>
      </w:pPr>
      <w:r>
        <w:rPr>
          <w:rFonts w:ascii="Arial" w:eastAsia="Arial" w:hAnsi="Arial" w:cs="Arial"/>
          <w:color w:val="263238"/>
          <w:sz w:val="22"/>
          <w:szCs w:val="22"/>
        </w:rPr>
        <w:t xml:space="preserve">A través de </w:t>
      </w:r>
      <w:r>
        <w:rPr>
          <w:rFonts w:ascii="Arial" w:eastAsia="Arial" w:hAnsi="Arial" w:cs="Arial"/>
          <w:color w:val="263238"/>
          <w:sz w:val="22"/>
          <w:szCs w:val="22"/>
        </w:rPr>
        <w:t>la administración de contenidos digitales, se logró aumentar el alcance de la audiencia institucional en un 30% a través de perfiles corporativos, pasando de 27.4 mil en diciembre de 2019 seguidores a más de 35.4 mil por las redes sociales (Facebook, Twitt</w:t>
      </w:r>
      <w:r>
        <w:rPr>
          <w:rFonts w:ascii="Arial" w:eastAsia="Arial" w:hAnsi="Arial" w:cs="Arial"/>
          <w:color w:val="263238"/>
          <w:sz w:val="22"/>
          <w:szCs w:val="22"/>
        </w:rPr>
        <w:t>er y Linkedin).</w:t>
      </w:r>
    </w:p>
    <w:p w:rsidR="00B202A2" w:rsidRDefault="00B202A2">
      <w:pPr>
        <w:spacing w:after="160"/>
        <w:jc w:val="both"/>
        <w:rPr>
          <w:rFonts w:ascii="Arial" w:eastAsia="Arial" w:hAnsi="Arial" w:cs="Arial"/>
          <w:color w:val="263238"/>
          <w:sz w:val="22"/>
          <w:szCs w:val="22"/>
        </w:rPr>
      </w:pPr>
    </w:p>
    <w:p w:rsidR="00B202A2" w:rsidRDefault="00295E06">
      <w:pPr>
        <w:pStyle w:val="Ttulo2"/>
        <w:rPr>
          <w:rFonts w:ascii="Arial" w:eastAsia="Arial" w:hAnsi="Arial" w:cs="Arial"/>
          <w:color w:val="335B8A"/>
          <w:sz w:val="22"/>
          <w:szCs w:val="22"/>
        </w:rPr>
      </w:pPr>
      <w:bookmarkStart w:id="38" w:name="_Toc55494295"/>
      <w:r>
        <w:rPr>
          <w:rFonts w:ascii="Arial" w:eastAsia="Arial" w:hAnsi="Arial" w:cs="Arial"/>
          <w:color w:val="335B8A"/>
          <w:sz w:val="22"/>
          <w:szCs w:val="22"/>
        </w:rPr>
        <w:lastRenderedPageBreak/>
        <w:t>2.6. Gestión ambiental y social</w:t>
      </w:r>
      <w:bookmarkEnd w:id="38"/>
    </w:p>
    <w:p w:rsidR="00B202A2" w:rsidRDefault="00B202A2">
      <w:pPr>
        <w:pBdr>
          <w:top w:val="nil"/>
          <w:left w:val="nil"/>
          <w:bottom w:val="nil"/>
          <w:right w:val="nil"/>
          <w:between w:val="nil"/>
        </w:pBdr>
        <w:rPr>
          <w:rFonts w:ascii="Arial" w:eastAsia="Arial" w:hAnsi="Arial" w:cs="Arial"/>
          <w:b/>
          <w:color w:val="335B8A"/>
          <w:sz w:val="22"/>
          <w:szCs w:val="22"/>
        </w:rPr>
      </w:pPr>
    </w:p>
    <w:p w:rsidR="00B202A2" w:rsidRDefault="00295E06">
      <w:pPr>
        <w:pBdr>
          <w:top w:val="nil"/>
          <w:left w:val="nil"/>
          <w:bottom w:val="nil"/>
          <w:right w:val="nil"/>
          <w:between w:val="nil"/>
        </w:pBdr>
        <w:jc w:val="both"/>
        <w:rPr>
          <w:rFonts w:ascii="Arial" w:eastAsia="Arial" w:hAnsi="Arial" w:cs="Arial"/>
          <w:color w:val="263238"/>
          <w:sz w:val="22"/>
          <w:szCs w:val="22"/>
        </w:rPr>
      </w:pPr>
      <w:r>
        <w:rPr>
          <w:rFonts w:ascii="Arial" w:eastAsia="Arial" w:hAnsi="Arial" w:cs="Arial"/>
          <w:color w:val="263238"/>
          <w:sz w:val="22"/>
          <w:szCs w:val="22"/>
        </w:rPr>
        <w:t>Se fortaleció el proceso de apropiación de las herramientas desarrolladas por la UPME para incorporar la dimensión minero energética en la planeación y el ordenamiento territorial, mediante la puesta en fun</w:t>
      </w:r>
      <w:r>
        <w:rPr>
          <w:rFonts w:ascii="Arial" w:eastAsia="Arial" w:hAnsi="Arial" w:cs="Arial"/>
          <w:color w:val="263238"/>
          <w:sz w:val="22"/>
          <w:szCs w:val="22"/>
        </w:rPr>
        <w:t xml:space="preserve">cionamiento de un curso virtual orientado a funcionarios públicos, academia y actores sectoriales interesados en participar en los procesos de ordenamiento territorial municipal y departamental. </w:t>
      </w:r>
    </w:p>
    <w:p w:rsidR="00B202A2" w:rsidRDefault="00B202A2">
      <w:pPr>
        <w:pBdr>
          <w:top w:val="nil"/>
          <w:left w:val="nil"/>
          <w:bottom w:val="nil"/>
          <w:right w:val="nil"/>
          <w:between w:val="nil"/>
        </w:pBdr>
        <w:jc w:val="both"/>
        <w:rPr>
          <w:rFonts w:ascii="Arial" w:eastAsia="Arial" w:hAnsi="Arial" w:cs="Arial"/>
          <w:color w:val="263238"/>
          <w:sz w:val="22"/>
          <w:szCs w:val="22"/>
        </w:rPr>
      </w:pPr>
    </w:p>
    <w:p w:rsidR="00B202A2" w:rsidRDefault="00295E06">
      <w:pPr>
        <w:pBdr>
          <w:top w:val="nil"/>
          <w:left w:val="nil"/>
          <w:bottom w:val="nil"/>
          <w:right w:val="nil"/>
          <w:between w:val="nil"/>
        </w:pBdr>
        <w:jc w:val="both"/>
        <w:rPr>
          <w:rFonts w:ascii="Arial" w:eastAsia="Arial" w:hAnsi="Arial" w:cs="Arial"/>
          <w:color w:val="263238"/>
          <w:sz w:val="22"/>
          <w:szCs w:val="22"/>
        </w:rPr>
      </w:pPr>
      <w:r>
        <w:rPr>
          <w:rFonts w:ascii="Arial" w:eastAsia="Arial" w:hAnsi="Arial" w:cs="Arial"/>
          <w:color w:val="263238"/>
          <w:sz w:val="22"/>
          <w:szCs w:val="22"/>
        </w:rPr>
        <w:t xml:space="preserve">En ese marco, se realizó un evento nacional de lanzamiento </w:t>
      </w:r>
      <w:r>
        <w:rPr>
          <w:rFonts w:ascii="Arial" w:eastAsia="Arial" w:hAnsi="Arial" w:cs="Arial"/>
          <w:color w:val="263238"/>
          <w:sz w:val="22"/>
          <w:szCs w:val="22"/>
        </w:rPr>
        <w:t>de las herramientas elaboradas por la entidad, para acompañar la incorporación sectorial en el ordenamiento territorial en la ciudad de Bogotá.  De igual forma, se efectuaron diez jornadas adicionales de difusión y apropiación de las herramientas, en difer</w:t>
      </w:r>
      <w:r>
        <w:rPr>
          <w:rFonts w:ascii="Arial" w:eastAsia="Arial" w:hAnsi="Arial" w:cs="Arial"/>
          <w:color w:val="263238"/>
          <w:sz w:val="22"/>
          <w:szCs w:val="22"/>
        </w:rPr>
        <w:t>entes ciudades de Colombia.</w:t>
      </w:r>
    </w:p>
    <w:p w:rsidR="00B202A2" w:rsidRDefault="00B202A2">
      <w:pPr>
        <w:pBdr>
          <w:top w:val="nil"/>
          <w:left w:val="nil"/>
          <w:bottom w:val="nil"/>
          <w:right w:val="nil"/>
          <w:between w:val="nil"/>
        </w:pBdr>
        <w:jc w:val="both"/>
        <w:rPr>
          <w:rFonts w:ascii="Arial" w:eastAsia="Arial" w:hAnsi="Arial" w:cs="Arial"/>
          <w:color w:val="263238"/>
          <w:sz w:val="22"/>
          <w:szCs w:val="22"/>
        </w:rPr>
      </w:pPr>
    </w:p>
    <w:p w:rsidR="00B202A2" w:rsidRDefault="00295E06">
      <w:pPr>
        <w:pBdr>
          <w:top w:val="nil"/>
          <w:left w:val="nil"/>
          <w:bottom w:val="nil"/>
          <w:right w:val="nil"/>
          <w:between w:val="nil"/>
        </w:pBdr>
        <w:jc w:val="both"/>
        <w:rPr>
          <w:rFonts w:ascii="Arial" w:eastAsia="Arial" w:hAnsi="Arial" w:cs="Arial"/>
          <w:color w:val="263238"/>
          <w:sz w:val="22"/>
          <w:szCs w:val="22"/>
        </w:rPr>
      </w:pPr>
      <w:r>
        <w:rPr>
          <w:rFonts w:ascii="Arial" w:eastAsia="Arial" w:hAnsi="Arial" w:cs="Arial"/>
          <w:color w:val="263238"/>
          <w:sz w:val="22"/>
          <w:szCs w:val="22"/>
        </w:rPr>
        <w:t xml:space="preserve">De manera complementaria, la UPME ha venido acompañando técnicamente al Comité Especial Interinstitucional - CEI, de la Comisión de Ordenamiento Territorial- COT, en la formulación de la Política General de Ordenamiento Territorial - PGOT, para lo cual en </w:t>
      </w:r>
      <w:r>
        <w:rPr>
          <w:rFonts w:ascii="Arial" w:eastAsia="Arial" w:hAnsi="Arial" w:cs="Arial"/>
          <w:color w:val="263238"/>
          <w:sz w:val="22"/>
          <w:szCs w:val="22"/>
        </w:rPr>
        <w:t>representación del sector se han realizado importantes aportes a los documentos generados a la fecha.</w:t>
      </w:r>
    </w:p>
    <w:p w:rsidR="00B202A2" w:rsidRDefault="00B202A2">
      <w:pPr>
        <w:pBdr>
          <w:top w:val="nil"/>
          <w:left w:val="nil"/>
          <w:bottom w:val="nil"/>
          <w:right w:val="nil"/>
          <w:between w:val="nil"/>
        </w:pBdr>
        <w:jc w:val="both"/>
        <w:rPr>
          <w:rFonts w:ascii="Arial" w:eastAsia="Arial" w:hAnsi="Arial" w:cs="Arial"/>
          <w:color w:val="263238"/>
          <w:sz w:val="22"/>
          <w:szCs w:val="22"/>
        </w:rPr>
      </w:pPr>
    </w:p>
    <w:p w:rsidR="00B202A2" w:rsidRDefault="00295E06">
      <w:pPr>
        <w:pBdr>
          <w:top w:val="nil"/>
          <w:left w:val="nil"/>
          <w:bottom w:val="nil"/>
          <w:right w:val="nil"/>
          <w:between w:val="nil"/>
        </w:pBdr>
        <w:jc w:val="both"/>
        <w:rPr>
          <w:rFonts w:ascii="Arial" w:eastAsia="Arial" w:hAnsi="Arial" w:cs="Arial"/>
          <w:color w:val="263238"/>
          <w:sz w:val="22"/>
          <w:szCs w:val="22"/>
        </w:rPr>
      </w:pPr>
      <w:r>
        <w:rPr>
          <w:rFonts w:ascii="Arial" w:eastAsia="Arial" w:hAnsi="Arial" w:cs="Arial"/>
          <w:color w:val="263238"/>
          <w:sz w:val="22"/>
          <w:szCs w:val="22"/>
        </w:rPr>
        <w:t>En materia de derechos humanos y equidad de género, se avanza en el desarrollo de la metodología de mapa de riesgos para el sector minero energético requ</w:t>
      </w:r>
      <w:r>
        <w:rPr>
          <w:rFonts w:ascii="Arial" w:eastAsia="Arial" w:hAnsi="Arial" w:cs="Arial"/>
          <w:color w:val="263238"/>
          <w:sz w:val="22"/>
          <w:szCs w:val="22"/>
        </w:rPr>
        <w:t>erida para el uso y puesta en marcha en cada una de las fases de las actividades del sector minero energético, con especial énfasis en poblaciones de especial protección y bajo un enfoque de género.</w:t>
      </w:r>
    </w:p>
    <w:p w:rsidR="00B202A2" w:rsidRDefault="00B202A2">
      <w:pPr>
        <w:pBdr>
          <w:top w:val="nil"/>
          <w:left w:val="nil"/>
          <w:bottom w:val="nil"/>
          <w:right w:val="nil"/>
          <w:between w:val="nil"/>
        </w:pBdr>
        <w:jc w:val="both"/>
        <w:rPr>
          <w:rFonts w:ascii="Arial" w:eastAsia="Arial" w:hAnsi="Arial" w:cs="Arial"/>
          <w:color w:val="263238"/>
          <w:sz w:val="22"/>
          <w:szCs w:val="22"/>
        </w:rPr>
      </w:pPr>
    </w:p>
    <w:p w:rsidR="00B202A2" w:rsidRDefault="00295E06">
      <w:pPr>
        <w:pBdr>
          <w:top w:val="nil"/>
          <w:left w:val="nil"/>
          <w:bottom w:val="nil"/>
          <w:right w:val="nil"/>
          <w:between w:val="nil"/>
        </w:pBdr>
        <w:jc w:val="both"/>
        <w:rPr>
          <w:rFonts w:ascii="Arial" w:eastAsia="Arial" w:hAnsi="Arial" w:cs="Arial"/>
          <w:color w:val="263238"/>
          <w:sz w:val="22"/>
          <w:szCs w:val="22"/>
        </w:rPr>
      </w:pPr>
      <w:r>
        <w:rPr>
          <w:rFonts w:ascii="Arial" w:eastAsia="Arial" w:hAnsi="Arial" w:cs="Arial"/>
          <w:color w:val="263238"/>
          <w:sz w:val="22"/>
          <w:szCs w:val="22"/>
        </w:rPr>
        <w:t xml:space="preserve">Por otro lado, en el marco de la implementación de los compromisos del Plan Integral de Gestión de Cambio Climático del Sector Minero Energético PIGCCme, la UPME adelantó un ejercicio de análisis de riesgo al cambio climático al subsector de materiales de </w:t>
      </w:r>
      <w:r>
        <w:rPr>
          <w:rFonts w:ascii="Arial" w:eastAsia="Arial" w:hAnsi="Arial" w:cs="Arial"/>
          <w:color w:val="263238"/>
          <w:sz w:val="22"/>
          <w:szCs w:val="22"/>
        </w:rPr>
        <w:t xml:space="preserve">construcción, dado que por sus características de explotación y por los macroproyectos de construcción de infraestructura en curso, que aumentarán la demanda en los próximos años, se ha identificado como un subsector que debe incorporar de manera urgente  </w:t>
      </w:r>
      <w:r>
        <w:rPr>
          <w:rFonts w:ascii="Arial" w:eastAsia="Arial" w:hAnsi="Arial" w:cs="Arial"/>
          <w:color w:val="263238"/>
          <w:sz w:val="22"/>
          <w:szCs w:val="22"/>
        </w:rPr>
        <w:t>los análisis de riesgo asociados a la variabilidad y al cambio climático.</w:t>
      </w:r>
    </w:p>
    <w:p w:rsidR="00B202A2" w:rsidRDefault="00B202A2">
      <w:pPr>
        <w:pBdr>
          <w:top w:val="nil"/>
          <w:left w:val="nil"/>
          <w:bottom w:val="nil"/>
          <w:right w:val="nil"/>
          <w:between w:val="nil"/>
        </w:pBdr>
        <w:jc w:val="both"/>
        <w:rPr>
          <w:rFonts w:ascii="Arial" w:eastAsia="Arial" w:hAnsi="Arial" w:cs="Arial"/>
          <w:color w:val="263238"/>
          <w:sz w:val="22"/>
          <w:szCs w:val="22"/>
        </w:rPr>
      </w:pPr>
    </w:p>
    <w:p w:rsidR="00B202A2" w:rsidRDefault="00295E06">
      <w:pPr>
        <w:pBdr>
          <w:top w:val="nil"/>
          <w:left w:val="nil"/>
          <w:bottom w:val="nil"/>
          <w:right w:val="nil"/>
          <w:between w:val="nil"/>
        </w:pBdr>
        <w:jc w:val="both"/>
        <w:rPr>
          <w:rFonts w:ascii="Arial" w:eastAsia="Arial" w:hAnsi="Arial" w:cs="Arial"/>
          <w:color w:val="263238"/>
          <w:sz w:val="22"/>
          <w:szCs w:val="22"/>
        </w:rPr>
      </w:pPr>
      <w:r>
        <w:rPr>
          <w:rFonts w:ascii="Arial" w:eastAsia="Arial" w:hAnsi="Arial" w:cs="Arial"/>
          <w:color w:val="263238"/>
          <w:sz w:val="22"/>
          <w:szCs w:val="22"/>
        </w:rPr>
        <w:t>De manera complementaria, la UPME ha brindado acompañamiento técnico al proyecto de cooperación internacional “Materias Primas y Clima - MAPRIC” liderado por la Agencia de Cooperaci</w:t>
      </w:r>
      <w:r>
        <w:rPr>
          <w:rFonts w:ascii="Arial" w:eastAsia="Arial" w:hAnsi="Arial" w:cs="Arial"/>
          <w:color w:val="263238"/>
          <w:sz w:val="22"/>
          <w:szCs w:val="22"/>
        </w:rPr>
        <w:t>ón Alemana - GIZ, específicamente en temas de cierre minero, explotación aluvial, guías minero ambientales y en el desarrollo de una estratégia subsectorial de desarrollo bajo en carbono. En materia de emisiones de gases de efecto invernadero del sector, s</w:t>
      </w:r>
      <w:r>
        <w:rPr>
          <w:rFonts w:ascii="Arial" w:eastAsia="Arial" w:hAnsi="Arial" w:cs="Arial"/>
          <w:color w:val="263238"/>
          <w:sz w:val="22"/>
          <w:szCs w:val="22"/>
        </w:rPr>
        <w:t>e acompañó al Ministerio de Minas y Energía en el proceso de actualización de las Contribuciones Nacionalmente Determinadas -NDC, mediante el análisis de información proveniente de las empresas mineras, de hidrocarburos y de energía eléctrica.</w:t>
      </w:r>
    </w:p>
    <w:p w:rsidR="00B202A2" w:rsidRDefault="00B202A2">
      <w:pPr>
        <w:pBdr>
          <w:top w:val="nil"/>
          <w:left w:val="nil"/>
          <w:bottom w:val="nil"/>
          <w:right w:val="nil"/>
          <w:between w:val="nil"/>
        </w:pBdr>
        <w:jc w:val="both"/>
        <w:rPr>
          <w:rFonts w:ascii="Arial" w:eastAsia="Arial" w:hAnsi="Arial" w:cs="Arial"/>
          <w:color w:val="263238"/>
          <w:sz w:val="22"/>
          <w:szCs w:val="22"/>
        </w:rPr>
      </w:pPr>
    </w:p>
    <w:p w:rsidR="00B202A2" w:rsidRDefault="00B202A2">
      <w:pPr>
        <w:pBdr>
          <w:top w:val="nil"/>
          <w:left w:val="nil"/>
          <w:bottom w:val="nil"/>
          <w:right w:val="nil"/>
          <w:between w:val="nil"/>
        </w:pBdr>
        <w:jc w:val="both"/>
        <w:rPr>
          <w:rFonts w:ascii="Arial" w:eastAsia="Arial" w:hAnsi="Arial" w:cs="Arial"/>
          <w:color w:val="263238"/>
          <w:sz w:val="22"/>
          <w:szCs w:val="22"/>
        </w:rPr>
      </w:pPr>
    </w:p>
    <w:p w:rsidR="00B202A2" w:rsidRDefault="00B202A2">
      <w:pPr>
        <w:pBdr>
          <w:top w:val="nil"/>
          <w:left w:val="nil"/>
          <w:bottom w:val="nil"/>
          <w:right w:val="nil"/>
          <w:between w:val="nil"/>
        </w:pBdr>
        <w:rPr>
          <w:rFonts w:ascii="Arial" w:eastAsia="Arial" w:hAnsi="Arial" w:cs="Arial"/>
          <w:b/>
          <w:color w:val="335B8A"/>
          <w:sz w:val="22"/>
          <w:szCs w:val="22"/>
        </w:rPr>
      </w:pPr>
    </w:p>
    <w:p w:rsidR="00B202A2" w:rsidRDefault="00B202A2">
      <w:pPr>
        <w:pBdr>
          <w:top w:val="nil"/>
          <w:left w:val="nil"/>
          <w:bottom w:val="nil"/>
          <w:right w:val="nil"/>
          <w:between w:val="nil"/>
        </w:pBdr>
        <w:rPr>
          <w:rFonts w:ascii="Arial" w:eastAsia="Arial" w:hAnsi="Arial" w:cs="Arial"/>
          <w:b/>
          <w:color w:val="335B8A"/>
          <w:sz w:val="22"/>
          <w:szCs w:val="22"/>
        </w:rPr>
      </w:pPr>
    </w:p>
    <w:p w:rsidR="00B202A2" w:rsidRDefault="00295E06">
      <w:pPr>
        <w:pStyle w:val="Ttulo2"/>
        <w:spacing w:before="0"/>
        <w:rPr>
          <w:rFonts w:ascii="Arial" w:eastAsia="Arial" w:hAnsi="Arial" w:cs="Arial"/>
          <w:color w:val="335B8A"/>
          <w:sz w:val="22"/>
          <w:szCs w:val="22"/>
        </w:rPr>
      </w:pPr>
      <w:bookmarkStart w:id="39" w:name="_Toc55494296"/>
      <w:r>
        <w:rPr>
          <w:rFonts w:ascii="Arial" w:eastAsia="Arial" w:hAnsi="Arial" w:cs="Arial"/>
          <w:color w:val="335B8A"/>
          <w:sz w:val="22"/>
          <w:szCs w:val="22"/>
        </w:rPr>
        <w:t>2.7. Ges</w:t>
      </w:r>
      <w:r>
        <w:rPr>
          <w:rFonts w:ascii="Arial" w:eastAsia="Arial" w:hAnsi="Arial" w:cs="Arial"/>
          <w:color w:val="335B8A"/>
          <w:sz w:val="22"/>
          <w:szCs w:val="22"/>
        </w:rPr>
        <w:t>tión contractual, administrativa y financiera</w:t>
      </w:r>
      <w:bookmarkEnd w:id="39"/>
    </w:p>
    <w:p w:rsidR="00B202A2" w:rsidRDefault="00B202A2">
      <w:pPr>
        <w:pBdr>
          <w:top w:val="nil"/>
          <w:left w:val="nil"/>
          <w:bottom w:val="nil"/>
          <w:right w:val="nil"/>
          <w:between w:val="nil"/>
        </w:pBdr>
        <w:ind w:left="720"/>
        <w:rPr>
          <w:rFonts w:ascii="Arial" w:eastAsia="Arial" w:hAnsi="Arial" w:cs="Arial"/>
          <w:b/>
          <w:color w:val="335B8A"/>
          <w:sz w:val="22"/>
          <w:szCs w:val="22"/>
        </w:rPr>
      </w:pPr>
    </w:p>
    <w:p w:rsidR="00B202A2" w:rsidRDefault="00295E06">
      <w:pPr>
        <w:pStyle w:val="Ttulo3"/>
        <w:rPr>
          <w:rFonts w:ascii="Arial" w:eastAsia="Arial" w:hAnsi="Arial" w:cs="Arial"/>
          <w:sz w:val="22"/>
          <w:szCs w:val="22"/>
        </w:rPr>
      </w:pPr>
      <w:bookmarkStart w:id="40" w:name="_Toc55494297"/>
      <w:r>
        <w:rPr>
          <w:rFonts w:ascii="Arial" w:eastAsia="Arial" w:hAnsi="Arial" w:cs="Arial"/>
          <w:sz w:val="22"/>
          <w:szCs w:val="22"/>
        </w:rPr>
        <w:lastRenderedPageBreak/>
        <w:t>2.7.1. Gestión Contractual 2019 - 2020</w:t>
      </w:r>
      <w:bookmarkEnd w:id="40"/>
    </w:p>
    <w:p w:rsidR="00B202A2" w:rsidRDefault="00295E06">
      <w:pPr>
        <w:spacing w:before="240" w:after="240"/>
        <w:jc w:val="both"/>
        <w:rPr>
          <w:rFonts w:ascii="Arial" w:eastAsia="Arial" w:hAnsi="Arial" w:cs="Arial"/>
          <w:b/>
          <w:color w:val="335B8A"/>
          <w:sz w:val="22"/>
          <w:szCs w:val="22"/>
          <w:u w:val="single"/>
        </w:rPr>
      </w:pPr>
      <w:r>
        <w:rPr>
          <w:rFonts w:ascii="Arial" w:eastAsia="Arial" w:hAnsi="Arial" w:cs="Arial"/>
          <w:sz w:val="22"/>
          <w:szCs w:val="22"/>
        </w:rPr>
        <w:t xml:space="preserve">En el desarrollo de la gestión contractual, se llevaron a cabo las actividades contenidas en el manual de contratación, cubriendo las necesidades de la entidad y cumpliendo la normativa vigente y aplicable. Los procesos precontractuales del presupuesto de </w:t>
      </w:r>
      <w:r>
        <w:rPr>
          <w:rFonts w:ascii="Arial" w:eastAsia="Arial" w:hAnsi="Arial" w:cs="Arial"/>
          <w:sz w:val="22"/>
          <w:szCs w:val="22"/>
        </w:rPr>
        <w:t>inversión y funcionamiento se vienen ejecutando bajo los principios de la función administrativa y gestión fiscal con apego a los lineamientos señalados en el manual de contratación versión anterior (Resolución UPME No. 372 del 16 de julio de 2018) y nuevo</w:t>
      </w:r>
      <w:r>
        <w:rPr>
          <w:rFonts w:ascii="Arial" w:eastAsia="Arial" w:hAnsi="Arial" w:cs="Arial"/>
          <w:sz w:val="22"/>
          <w:szCs w:val="22"/>
        </w:rPr>
        <w:t xml:space="preserve"> manual (Resolución UPME No. 184 del 24 de agosto de 2020) y uso frecuente bajo los Acuerdos Marco de Precios vigentes y diseñados por la Agencia Nacional de Contratación Pública Colombia.</w:t>
      </w:r>
    </w:p>
    <w:p w:rsidR="00B202A2" w:rsidRDefault="00295E06">
      <w:pPr>
        <w:shd w:val="clear" w:color="auto" w:fill="FFFFFF"/>
        <w:spacing w:before="240" w:after="240"/>
        <w:jc w:val="center"/>
        <w:rPr>
          <w:rFonts w:ascii="Arial" w:eastAsia="Arial" w:hAnsi="Arial" w:cs="Arial"/>
          <w:b/>
          <w:sz w:val="22"/>
          <w:szCs w:val="22"/>
          <w:u w:val="single"/>
        </w:rPr>
      </w:pPr>
      <w:r>
        <w:rPr>
          <w:rFonts w:ascii="Arial" w:eastAsia="Arial" w:hAnsi="Arial" w:cs="Arial"/>
          <w:b/>
          <w:sz w:val="22"/>
          <w:szCs w:val="22"/>
          <w:u w:val="single"/>
        </w:rPr>
        <w:t>Tabla 3. Contratación vigencia del 1 de diciembre al 31 de diciembr</w:t>
      </w:r>
      <w:r>
        <w:rPr>
          <w:rFonts w:ascii="Arial" w:eastAsia="Arial" w:hAnsi="Arial" w:cs="Arial"/>
          <w:b/>
          <w:sz w:val="22"/>
          <w:szCs w:val="22"/>
          <w:u w:val="single"/>
        </w:rPr>
        <w:t xml:space="preserve">e de 2019 </w:t>
      </w:r>
    </w:p>
    <w:tbl>
      <w:tblPr>
        <w:tblStyle w:val="aff0"/>
        <w:tblW w:w="84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430"/>
        <w:gridCol w:w="1845"/>
        <w:gridCol w:w="2115"/>
        <w:gridCol w:w="2025"/>
      </w:tblGrid>
      <w:tr w:rsidR="00B202A2">
        <w:trPr>
          <w:trHeight w:val="623"/>
        </w:trPr>
        <w:tc>
          <w:tcPr>
            <w:tcW w:w="243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80" w:type="dxa"/>
              <w:bottom w:w="100" w:type="dxa"/>
              <w:right w:w="80" w:type="dxa"/>
            </w:tcMar>
          </w:tcPr>
          <w:p w:rsidR="00B202A2" w:rsidRDefault="00295E06">
            <w:pPr>
              <w:spacing w:before="240" w:after="240"/>
              <w:jc w:val="center"/>
              <w:rPr>
                <w:rFonts w:ascii="Arial" w:eastAsia="Arial" w:hAnsi="Arial" w:cs="Arial"/>
                <w:b/>
                <w:sz w:val="22"/>
                <w:szCs w:val="22"/>
              </w:rPr>
            </w:pPr>
            <w:r>
              <w:rPr>
                <w:rFonts w:ascii="Arial" w:eastAsia="Arial" w:hAnsi="Arial" w:cs="Arial"/>
                <w:b/>
                <w:sz w:val="22"/>
                <w:szCs w:val="22"/>
              </w:rPr>
              <w:t>Modalidades de contratación</w:t>
            </w:r>
          </w:p>
        </w:tc>
        <w:tc>
          <w:tcPr>
            <w:tcW w:w="1845" w:type="dxa"/>
            <w:tcBorders>
              <w:top w:val="single" w:sz="8" w:space="0" w:color="000000"/>
              <w:left w:val="nil"/>
              <w:bottom w:val="single" w:sz="8" w:space="0" w:color="000000"/>
              <w:right w:val="single" w:sz="8" w:space="0" w:color="000000"/>
            </w:tcBorders>
            <w:shd w:val="clear" w:color="auto" w:fill="CFE2F3"/>
            <w:tcMar>
              <w:top w:w="100" w:type="dxa"/>
              <w:left w:w="80" w:type="dxa"/>
              <w:bottom w:w="100" w:type="dxa"/>
              <w:right w:w="80" w:type="dxa"/>
            </w:tcMar>
          </w:tcPr>
          <w:p w:rsidR="00B202A2" w:rsidRDefault="00295E06">
            <w:pPr>
              <w:spacing w:before="240" w:after="240"/>
              <w:jc w:val="center"/>
              <w:rPr>
                <w:rFonts w:ascii="Arial" w:eastAsia="Arial" w:hAnsi="Arial" w:cs="Arial"/>
                <w:b/>
                <w:sz w:val="22"/>
                <w:szCs w:val="22"/>
              </w:rPr>
            </w:pPr>
            <w:r>
              <w:rPr>
                <w:rFonts w:ascii="Arial" w:eastAsia="Arial" w:hAnsi="Arial" w:cs="Arial"/>
                <w:b/>
                <w:sz w:val="22"/>
                <w:szCs w:val="22"/>
              </w:rPr>
              <w:t>Número de procesos</w:t>
            </w:r>
          </w:p>
        </w:tc>
        <w:tc>
          <w:tcPr>
            <w:tcW w:w="2115" w:type="dxa"/>
            <w:tcBorders>
              <w:top w:val="single" w:sz="8" w:space="0" w:color="000000"/>
              <w:left w:val="nil"/>
              <w:bottom w:val="single" w:sz="8" w:space="0" w:color="000000"/>
              <w:right w:val="single" w:sz="8" w:space="0" w:color="000000"/>
            </w:tcBorders>
            <w:shd w:val="clear" w:color="auto" w:fill="CFE2F3"/>
            <w:tcMar>
              <w:top w:w="100" w:type="dxa"/>
              <w:left w:w="80" w:type="dxa"/>
              <w:bottom w:w="100" w:type="dxa"/>
              <w:right w:w="80" w:type="dxa"/>
            </w:tcMar>
          </w:tcPr>
          <w:p w:rsidR="00B202A2" w:rsidRDefault="00295E06">
            <w:pPr>
              <w:spacing w:before="240" w:after="240"/>
              <w:jc w:val="center"/>
              <w:rPr>
                <w:rFonts w:ascii="Arial" w:eastAsia="Arial" w:hAnsi="Arial" w:cs="Arial"/>
                <w:b/>
                <w:sz w:val="22"/>
                <w:szCs w:val="22"/>
              </w:rPr>
            </w:pPr>
            <w:r>
              <w:rPr>
                <w:rFonts w:ascii="Arial" w:eastAsia="Arial" w:hAnsi="Arial" w:cs="Arial"/>
                <w:b/>
                <w:sz w:val="22"/>
                <w:szCs w:val="22"/>
              </w:rPr>
              <w:t>Número de contratos en curso</w:t>
            </w:r>
          </w:p>
        </w:tc>
        <w:tc>
          <w:tcPr>
            <w:tcW w:w="2025" w:type="dxa"/>
            <w:tcBorders>
              <w:top w:val="single" w:sz="8" w:space="0" w:color="000000"/>
              <w:left w:val="nil"/>
              <w:bottom w:val="single" w:sz="8" w:space="0" w:color="000000"/>
              <w:right w:val="single" w:sz="8" w:space="0" w:color="000000"/>
            </w:tcBorders>
            <w:shd w:val="clear" w:color="auto" w:fill="CFE2F3"/>
            <w:tcMar>
              <w:top w:w="100" w:type="dxa"/>
              <w:left w:w="80" w:type="dxa"/>
              <w:bottom w:w="100" w:type="dxa"/>
              <w:right w:w="80" w:type="dxa"/>
            </w:tcMar>
          </w:tcPr>
          <w:p w:rsidR="00B202A2" w:rsidRDefault="00295E06">
            <w:pPr>
              <w:spacing w:before="240" w:after="240"/>
              <w:jc w:val="center"/>
              <w:rPr>
                <w:rFonts w:ascii="Arial" w:eastAsia="Arial" w:hAnsi="Arial" w:cs="Arial"/>
                <w:b/>
                <w:sz w:val="22"/>
                <w:szCs w:val="22"/>
              </w:rPr>
            </w:pPr>
            <w:r>
              <w:rPr>
                <w:rFonts w:ascii="Arial" w:eastAsia="Arial" w:hAnsi="Arial" w:cs="Arial"/>
                <w:b/>
                <w:sz w:val="22"/>
                <w:szCs w:val="22"/>
              </w:rPr>
              <w:t>Número de contratos ejecutados</w:t>
            </w:r>
          </w:p>
        </w:tc>
      </w:tr>
      <w:tr w:rsidR="00B202A2">
        <w:trPr>
          <w:trHeight w:val="132"/>
        </w:trPr>
        <w:tc>
          <w:tcPr>
            <w:tcW w:w="243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B202A2" w:rsidRDefault="00295E06">
            <w:pPr>
              <w:spacing w:before="240" w:after="240"/>
              <w:rPr>
                <w:rFonts w:ascii="Arial" w:eastAsia="Arial" w:hAnsi="Arial" w:cs="Arial"/>
                <w:b/>
                <w:sz w:val="22"/>
                <w:szCs w:val="22"/>
              </w:rPr>
            </w:pPr>
            <w:r>
              <w:rPr>
                <w:rFonts w:ascii="Arial" w:eastAsia="Arial" w:hAnsi="Arial" w:cs="Arial"/>
                <w:b/>
                <w:sz w:val="22"/>
                <w:szCs w:val="22"/>
              </w:rPr>
              <w:t>Única Oferta</w:t>
            </w:r>
          </w:p>
        </w:tc>
        <w:tc>
          <w:tcPr>
            <w:tcW w:w="1845"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spacing w:before="240" w:after="240"/>
              <w:ind w:left="580"/>
              <w:rPr>
                <w:rFonts w:ascii="Arial" w:eastAsia="Arial" w:hAnsi="Arial" w:cs="Arial"/>
                <w:b/>
                <w:sz w:val="22"/>
                <w:szCs w:val="22"/>
              </w:rPr>
            </w:pPr>
            <w:r>
              <w:rPr>
                <w:rFonts w:ascii="Arial" w:eastAsia="Arial" w:hAnsi="Arial" w:cs="Arial"/>
                <w:b/>
                <w:sz w:val="22"/>
                <w:szCs w:val="22"/>
              </w:rPr>
              <w:t>14</w:t>
            </w:r>
          </w:p>
        </w:tc>
        <w:tc>
          <w:tcPr>
            <w:tcW w:w="2115"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spacing w:before="240" w:after="240"/>
              <w:ind w:left="580"/>
              <w:rPr>
                <w:rFonts w:ascii="Arial" w:eastAsia="Arial" w:hAnsi="Arial" w:cs="Arial"/>
                <w:b/>
                <w:sz w:val="22"/>
                <w:szCs w:val="22"/>
              </w:rPr>
            </w:pPr>
            <w:r>
              <w:rPr>
                <w:rFonts w:ascii="Arial" w:eastAsia="Arial" w:hAnsi="Arial" w:cs="Arial"/>
                <w:b/>
                <w:sz w:val="22"/>
                <w:szCs w:val="22"/>
              </w:rPr>
              <w:t>5</w:t>
            </w:r>
          </w:p>
        </w:tc>
        <w:tc>
          <w:tcPr>
            <w:tcW w:w="2025"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spacing w:before="240" w:after="240"/>
              <w:ind w:left="580"/>
              <w:rPr>
                <w:rFonts w:ascii="Arial" w:eastAsia="Arial" w:hAnsi="Arial" w:cs="Arial"/>
                <w:b/>
                <w:sz w:val="22"/>
                <w:szCs w:val="22"/>
              </w:rPr>
            </w:pPr>
            <w:r>
              <w:rPr>
                <w:rFonts w:ascii="Arial" w:eastAsia="Arial" w:hAnsi="Arial" w:cs="Arial"/>
                <w:b/>
                <w:sz w:val="22"/>
                <w:szCs w:val="22"/>
              </w:rPr>
              <w:t>9</w:t>
            </w:r>
          </w:p>
        </w:tc>
      </w:tr>
      <w:tr w:rsidR="00B202A2">
        <w:tc>
          <w:tcPr>
            <w:tcW w:w="243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B202A2" w:rsidRDefault="00295E06">
            <w:pPr>
              <w:spacing w:before="240" w:after="240"/>
              <w:rPr>
                <w:rFonts w:ascii="Arial" w:eastAsia="Arial" w:hAnsi="Arial" w:cs="Arial"/>
                <w:b/>
                <w:sz w:val="22"/>
                <w:szCs w:val="22"/>
              </w:rPr>
            </w:pPr>
            <w:r>
              <w:rPr>
                <w:rFonts w:ascii="Arial" w:eastAsia="Arial" w:hAnsi="Arial" w:cs="Arial"/>
                <w:b/>
                <w:sz w:val="22"/>
                <w:szCs w:val="22"/>
              </w:rPr>
              <w:t>Pública de Ofertas</w:t>
            </w:r>
          </w:p>
        </w:tc>
        <w:tc>
          <w:tcPr>
            <w:tcW w:w="1845"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spacing w:before="240" w:after="240"/>
              <w:ind w:left="580"/>
              <w:rPr>
                <w:rFonts w:ascii="Arial" w:eastAsia="Arial" w:hAnsi="Arial" w:cs="Arial"/>
                <w:b/>
                <w:sz w:val="22"/>
                <w:szCs w:val="22"/>
              </w:rPr>
            </w:pPr>
            <w:r>
              <w:rPr>
                <w:rFonts w:ascii="Arial" w:eastAsia="Arial" w:hAnsi="Arial" w:cs="Arial"/>
                <w:b/>
                <w:sz w:val="22"/>
                <w:szCs w:val="22"/>
              </w:rPr>
              <w:t>0</w:t>
            </w:r>
          </w:p>
        </w:tc>
        <w:tc>
          <w:tcPr>
            <w:tcW w:w="2115"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spacing w:before="240" w:after="240"/>
              <w:ind w:left="580"/>
              <w:rPr>
                <w:rFonts w:ascii="Arial" w:eastAsia="Arial" w:hAnsi="Arial" w:cs="Arial"/>
                <w:b/>
                <w:sz w:val="22"/>
                <w:szCs w:val="22"/>
              </w:rPr>
            </w:pPr>
            <w:r>
              <w:rPr>
                <w:rFonts w:ascii="Arial" w:eastAsia="Arial" w:hAnsi="Arial" w:cs="Arial"/>
                <w:b/>
                <w:sz w:val="22"/>
                <w:szCs w:val="22"/>
              </w:rPr>
              <w:t>0</w:t>
            </w:r>
          </w:p>
        </w:tc>
        <w:tc>
          <w:tcPr>
            <w:tcW w:w="2025"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spacing w:before="240" w:after="240"/>
              <w:ind w:left="580"/>
              <w:rPr>
                <w:rFonts w:ascii="Arial" w:eastAsia="Arial" w:hAnsi="Arial" w:cs="Arial"/>
                <w:b/>
                <w:sz w:val="22"/>
                <w:szCs w:val="22"/>
              </w:rPr>
            </w:pPr>
            <w:r>
              <w:rPr>
                <w:rFonts w:ascii="Arial" w:eastAsia="Arial" w:hAnsi="Arial" w:cs="Arial"/>
                <w:b/>
                <w:sz w:val="22"/>
                <w:szCs w:val="22"/>
              </w:rPr>
              <w:t>0</w:t>
            </w:r>
          </w:p>
        </w:tc>
      </w:tr>
      <w:tr w:rsidR="00B202A2">
        <w:tc>
          <w:tcPr>
            <w:tcW w:w="243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B202A2" w:rsidRDefault="00295E06">
            <w:pPr>
              <w:spacing w:before="240" w:after="240"/>
              <w:rPr>
                <w:rFonts w:ascii="Arial" w:eastAsia="Arial" w:hAnsi="Arial" w:cs="Arial"/>
                <w:b/>
                <w:sz w:val="22"/>
                <w:szCs w:val="22"/>
              </w:rPr>
            </w:pPr>
            <w:r>
              <w:rPr>
                <w:rFonts w:ascii="Arial" w:eastAsia="Arial" w:hAnsi="Arial" w:cs="Arial"/>
                <w:b/>
                <w:sz w:val="22"/>
                <w:szCs w:val="22"/>
              </w:rPr>
              <w:t>Simplificada de Ofertas</w:t>
            </w:r>
          </w:p>
        </w:tc>
        <w:tc>
          <w:tcPr>
            <w:tcW w:w="1845"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spacing w:before="240" w:after="240"/>
              <w:ind w:left="580"/>
              <w:rPr>
                <w:rFonts w:ascii="Arial" w:eastAsia="Arial" w:hAnsi="Arial" w:cs="Arial"/>
                <w:b/>
                <w:sz w:val="22"/>
                <w:szCs w:val="22"/>
              </w:rPr>
            </w:pPr>
            <w:r>
              <w:rPr>
                <w:rFonts w:ascii="Arial" w:eastAsia="Arial" w:hAnsi="Arial" w:cs="Arial"/>
                <w:b/>
                <w:sz w:val="22"/>
                <w:szCs w:val="22"/>
              </w:rPr>
              <w:t>0</w:t>
            </w:r>
          </w:p>
        </w:tc>
        <w:tc>
          <w:tcPr>
            <w:tcW w:w="2115"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spacing w:before="240" w:after="240"/>
              <w:ind w:left="580"/>
              <w:rPr>
                <w:rFonts w:ascii="Arial" w:eastAsia="Arial" w:hAnsi="Arial" w:cs="Arial"/>
                <w:b/>
                <w:sz w:val="22"/>
                <w:szCs w:val="22"/>
              </w:rPr>
            </w:pPr>
            <w:r>
              <w:rPr>
                <w:rFonts w:ascii="Arial" w:eastAsia="Arial" w:hAnsi="Arial" w:cs="Arial"/>
                <w:b/>
                <w:sz w:val="22"/>
                <w:szCs w:val="22"/>
              </w:rPr>
              <w:t>0</w:t>
            </w:r>
          </w:p>
        </w:tc>
        <w:tc>
          <w:tcPr>
            <w:tcW w:w="2025"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spacing w:before="240" w:after="240"/>
              <w:ind w:left="580"/>
              <w:rPr>
                <w:rFonts w:ascii="Arial" w:eastAsia="Arial" w:hAnsi="Arial" w:cs="Arial"/>
                <w:b/>
                <w:sz w:val="22"/>
                <w:szCs w:val="22"/>
              </w:rPr>
            </w:pPr>
            <w:r>
              <w:rPr>
                <w:rFonts w:ascii="Arial" w:eastAsia="Arial" w:hAnsi="Arial" w:cs="Arial"/>
                <w:b/>
                <w:sz w:val="22"/>
                <w:szCs w:val="22"/>
              </w:rPr>
              <w:t>0</w:t>
            </w:r>
          </w:p>
        </w:tc>
      </w:tr>
      <w:tr w:rsidR="00B202A2">
        <w:trPr>
          <w:trHeight w:val="520"/>
        </w:trPr>
        <w:tc>
          <w:tcPr>
            <w:tcW w:w="243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B202A2" w:rsidRDefault="00295E06">
            <w:pPr>
              <w:spacing w:before="240" w:after="240"/>
              <w:rPr>
                <w:rFonts w:ascii="Arial" w:eastAsia="Arial" w:hAnsi="Arial" w:cs="Arial"/>
                <w:b/>
                <w:sz w:val="22"/>
                <w:szCs w:val="22"/>
              </w:rPr>
            </w:pPr>
            <w:r>
              <w:rPr>
                <w:rFonts w:ascii="Arial" w:eastAsia="Arial" w:hAnsi="Arial" w:cs="Arial"/>
                <w:b/>
                <w:sz w:val="22"/>
                <w:szCs w:val="22"/>
              </w:rPr>
              <w:t>Acuerdos Marco de Precios</w:t>
            </w:r>
          </w:p>
        </w:tc>
        <w:tc>
          <w:tcPr>
            <w:tcW w:w="1845"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spacing w:before="240" w:after="240"/>
              <w:ind w:left="580"/>
              <w:rPr>
                <w:rFonts w:ascii="Arial" w:eastAsia="Arial" w:hAnsi="Arial" w:cs="Arial"/>
                <w:b/>
                <w:sz w:val="22"/>
                <w:szCs w:val="22"/>
              </w:rPr>
            </w:pPr>
            <w:r>
              <w:rPr>
                <w:rFonts w:ascii="Arial" w:eastAsia="Arial" w:hAnsi="Arial" w:cs="Arial"/>
                <w:b/>
                <w:sz w:val="22"/>
                <w:szCs w:val="22"/>
              </w:rPr>
              <w:t>1</w:t>
            </w:r>
          </w:p>
        </w:tc>
        <w:tc>
          <w:tcPr>
            <w:tcW w:w="2115"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spacing w:before="240" w:after="240"/>
              <w:ind w:left="580"/>
              <w:rPr>
                <w:rFonts w:ascii="Arial" w:eastAsia="Arial" w:hAnsi="Arial" w:cs="Arial"/>
                <w:b/>
                <w:sz w:val="22"/>
                <w:szCs w:val="22"/>
              </w:rPr>
            </w:pPr>
            <w:r>
              <w:rPr>
                <w:rFonts w:ascii="Arial" w:eastAsia="Arial" w:hAnsi="Arial" w:cs="Arial"/>
                <w:b/>
                <w:sz w:val="22"/>
                <w:szCs w:val="22"/>
              </w:rPr>
              <w:t>1</w:t>
            </w:r>
          </w:p>
        </w:tc>
        <w:tc>
          <w:tcPr>
            <w:tcW w:w="2025"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spacing w:before="240" w:after="240"/>
              <w:ind w:left="580"/>
              <w:rPr>
                <w:rFonts w:ascii="Arial" w:eastAsia="Arial" w:hAnsi="Arial" w:cs="Arial"/>
                <w:b/>
                <w:sz w:val="22"/>
                <w:szCs w:val="22"/>
              </w:rPr>
            </w:pPr>
            <w:r>
              <w:rPr>
                <w:rFonts w:ascii="Arial" w:eastAsia="Arial" w:hAnsi="Arial" w:cs="Arial"/>
                <w:b/>
                <w:sz w:val="22"/>
                <w:szCs w:val="22"/>
              </w:rPr>
              <w:t>0</w:t>
            </w:r>
          </w:p>
        </w:tc>
      </w:tr>
      <w:tr w:rsidR="00B202A2">
        <w:trPr>
          <w:trHeight w:val="851"/>
        </w:trPr>
        <w:tc>
          <w:tcPr>
            <w:tcW w:w="2430" w:type="dxa"/>
            <w:tcBorders>
              <w:top w:val="nil"/>
              <w:left w:val="single" w:sz="8" w:space="0" w:color="000000"/>
              <w:bottom w:val="nil"/>
              <w:right w:val="single" w:sz="8" w:space="0" w:color="000000"/>
            </w:tcBorders>
            <w:tcMar>
              <w:top w:w="100" w:type="dxa"/>
              <w:left w:w="80" w:type="dxa"/>
              <w:bottom w:w="100" w:type="dxa"/>
              <w:right w:w="80" w:type="dxa"/>
            </w:tcMar>
          </w:tcPr>
          <w:p w:rsidR="00B202A2" w:rsidRDefault="00295E06">
            <w:pPr>
              <w:spacing w:before="240" w:after="240"/>
              <w:rPr>
                <w:rFonts w:ascii="Arial" w:eastAsia="Arial" w:hAnsi="Arial" w:cs="Arial"/>
                <w:b/>
                <w:sz w:val="22"/>
                <w:szCs w:val="22"/>
              </w:rPr>
            </w:pPr>
            <w:r>
              <w:rPr>
                <w:rFonts w:ascii="Arial" w:eastAsia="Arial" w:hAnsi="Arial" w:cs="Arial"/>
                <w:b/>
                <w:sz w:val="22"/>
                <w:szCs w:val="22"/>
              </w:rPr>
              <w:t>Grandes Superficies</w:t>
            </w:r>
          </w:p>
        </w:tc>
        <w:tc>
          <w:tcPr>
            <w:tcW w:w="1845" w:type="dxa"/>
            <w:tcBorders>
              <w:top w:val="nil"/>
              <w:left w:val="nil"/>
              <w:bottom w:val="nil"/>
              <w:right w:val="single" w:sz="8" w:space="0" w:color="000000"/>
            </w:tcBorders>
            <w:tcMar>
              <w:top w:w="100" w:type="dxa"/>
              <w:left w:w="80" w:type="dxa"/>
              <w:bottom w:w="100" w:type="dxa"/>
              <w:right w:w="80" w:type="dxa"/>
            </w:tcMar>
          </w:tcPr>
          <w:p w:rsidR="00B202A2" w:rsidRDefault="00295E06">
            <w:pPr>
              <w:spacing w:before="240" w:after="240"/>
              <w:ind w:left="580"/>
              <w:rPr>
                <w:rFonts w:ascii="Arial" w:eastAsia="Arial" w:hAnsi="Arial" w:cs="Arial"/>
                <w:b/>
                <w:sz w:val="22"/>
                <w:szCs w:val="22"/>
              </w:rPr>
            </w:pPr>
            <w:r>
              <w:rPr>
                <w:rFonts w:ascii="Arial" w:eastAsia="Arial" w:hAnsi="Arial" w:cs="Arial"/>
                <w:b/>
                <w:sz w:val="22"/>
                <w:szCs w:val="22"/>
              </w:rPr>
              <w:t>1</w:t>
            </w:r>
          </w:p>
        </w:tc>
        <w:tc>
          <w:tcPr>
            <w:tcW w:w="2115"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spacing w:before="240" w:after="240"/>
              <w:ind w:left="580"/>
              <w:rPr>
                <w:rFonts w:ascii="Arial" w:eastAsia="Arial" w:hAnsi="Arial" w:cs="Arial"/>
                <w:b/>
                <w:sz w:val="22"/>
                <w:szCs w:val="22"/>
              </w:rPr>
            </w:pPr>
            <w:r>
              <w:rPr>
                <w:rFonts w:ascii="Arial" w:eastAsia="Arial" w:hAnsi="Arial" w:cs="Arial"/>
                <w:b/>
                <w:sz w:val="22"/>
                <w:szCs w:val="22"/>
              </w:rPr>
              <w:t>0</w:t>
            </w:r>
          </w:p>
        </w:tc>
        <w:tc>
          <w:tcPr>
            <w:tcW w:w="2025"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spacing w:before="240" w:after="240"/>
              <w:ind w:left="580"/>
              <w:rPr>
                <w:rFonts w:ascii="Arial" w:eastAsia="Arial" w:hAnsi="Arial" w:cs="Arial"/>
                <w:b/>
                <w:sz w:val="22"/>
                <w:szCs w:val="22"/>
              </w:rPr>
            </w:pPr>
            <w:r>
              <w:rPr>
                <w:rFonts w:ascii="Arial" w:eastAsia="Arial" w:hAnsi="Arial" w:cs="Arial"/>
                <w:b/>
                <w:sz w:val="22"/>
                <w:szCs w:val="22"/>
              </w:rPr>
              <w:t>1</w:t>
            </w:r>
          </w:p>
        </w:tc>
      </w:tr>
      <w:tr w:rsidR="00B202A2">
        <w:trPr>
          <w:trHeight w:val="515"/>
        </w:trPr>
        <w:tc>
          <w:tcPr>
            <w:tcW w:w="243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80" w:type="dxa"/>
              <w:bottom w:w="100" w:type="dxa"/>
              <w:right w:w="80" w:type="dxa"/>
            </w:tcMar>
          </w:tcPr>
          <w:p w:rsidR="00B202A2" w:rsidRDefault="00295E06">
            <w:pPr>
              <w:spacing w:before="240" w:after="240"/>
              <w:rPr>
                <w:rFonts w:ascii="Arial" w:eastAsia="Arial" w:hAnsi="Arial" w:cs="Arial"/>
                <w:b/>
                <w:sz w:val="22"/>
                <w:szCs w:val="22"/>
              </w:rPr>
            </w:pPr>
            <w:r>
              <w:rPr>
                <w:rFonts w:ascii="Arial" w:eastAsia="Arial" w:hAnsi="Arial" w:cs="Arial"/>
                <w:b/>
                <w:sz w:val="22"/>
                <w:szCs w:val="22"/>
              </w:rPr>
              <w:t>Total</w:t>
            </w:r>
          </w:p>
        </w:tc>
        <w:tc>
          <w:tcPr>
            <w:tcW w:w="1845" w:type="dxa"/>
            <w:tcBorders>
              <w:top w:val="single" w:sz="8" w:space="0" w:color="000000"/>
              <w:left w:val="nil"/>
              <w:bottom w:val="single" w:sz="8" w:space="0" w:color="000000"/>
              <w:right w:val="single" w:sz="8" w:space="0" w:color="000000"/>
            </w:tcBorders>
            <w:shd w:val="clear" w:color="auto" w:fill="CFE2F3"/>
            <w:tcMar>
              <w:top w:w="100" w:type="dxa"/>
              <w:left w:w="80" w:type="dxa"/>
              <w:bottom w:w="100" w:type="dxa"/>
              <w:right w:w="80" w:type="dxa"/>
            </w:tcMar>
          </w:tcPr>
          <w:p w:rsidR="00B202A2" w:rsidRDefault="00295E06">
            <w:pPr>
              <w:spacing w:before="240" w:after="240"/>
              <w:ind w:left="580"/>
              <w:rPr>
                <w:rFonts w:ascii="Arial" w:eastAsia="Arial" w:hAnsi="Arial" w:cs="Arial"/>
                <w:b/>
                <w:sz w:val="22"/>
                <w:szCs w:val="22"/>
              </w:rPr>
            </w:pPr>
            <w:r>
              <w:rPr>
                <w:rFonts w:ascii="Arial" w:eastAsia="Arial" w:hAnsi="Arial" w:cs="Arial"/>
                <w:b/>
                <w:sz w:val="22"/>
                <w:szCs w:val="22"/>
              </w:rPr>
              <w:t>16</w:t>
            </w:r>
          </w:p>
        </w:tc>
        <w:tc>
          <w:tcPr>
            <w:tcW w:w="2115" w:type="dxa"/>
            <w:tcBorders>
              <w:top w:val="nil"/>
              <w:left w:val="nil"/>
              <w:bottom w:val="nil"/>
              <w:right w:val="nil"/>
            </w:tcBorders>
            <w:tcMar>
              <w:top w:w="100" w:type="dxa"/>
              <w:left w:w="80" w:type="dxa"/>
              <w:bottom w:w="100" w:type="dxa"/>
              <w:right w:w="80" w:type="dxa"/>
            </w:tcMar>
            <w:vAlign w:val="bottom"/>
          </w:tcPr>
          <w:p w:rsidR="00B202A2" w:rsidRDefault="00B202A2">
            <w:pPr>
              <w:spacing w:after="160"/>
              <w:ind w:left="580"/>
              <w:jc w:val="center"/>
              <w:rPr>
                <w:rFonts w:ascii="Arial" w:eastAsia="Arial" w:hAnsi="Arial" w:cs="Arial"/>
                <w:b/>
                <w:color w:val="335B8A"/>
                <w:sz w:val="22"/>
                <w:szCs w:val="22"/>
              </w:rPr>
            </w:pPr>
          </w:p>
        </w:tc>
        <w:tc>
          <w:tcPr>
            <w:tcW w:w="2025" w:type="dxa"/>
            <w:tcBorders>
              <w:top w:val="nil"/>
              <w:left w:val="nil"/>
              <w:bottom w:val="nil"/>
              <w:right w:val="nil"/>
            </w:tcBorders>
            <w:tcMar>
              <w:top w:w="100" w:type="dxa"/>
              <w:left w:w="80" w:type="dxa"/>
              <w:bottom w:w="100" w:type="dxa"/>
              <w:right w:w="80" w:type="dxa"/>
            </w:tcMar>
            <w:vAlign w:val="bottom"/>
          </w:tcPr>
          <w:p w:rsidR="00B202A2" w:rsidRDefault="00B202A2">
            <w:pPr>
              <w:spacing w:after="160"/>
              <w:ind w:left="580"/>
              <w:jc w:val="center"/>
              <w:rPr>
                <w:rFonts w:ascii="Arial" w:eastAsia="Arial" w:hAnsi="Arial" w:cs="Arial"/>
                <w:b/>
                <w:color w:val="335B8A"/>
                <w:sz w:val="22"/>
                <w:szCs w:val="22"/>
              </w:rPr>
            </w:pPr>
          </w:p>
        </w:tc>
      </w:tr>
    </w:tbl>
    <w:p w:rsidR="00B202A2" w:rsidRDefault="00B202A2">
      <w:pPr>
        <w:spacing w:before="240" w:after="240"/>
        <w:jc w:val="both"/>
        <w:rPr>
          <w:rFonts w:ascii="Arial" w:eastAsia="Arial" w:hAnsi="Arial" w:cs="Arial"/>
          <w:b/>
          <w:color w:val="335B8A"/>
          <w:sz w:val="22"/>
          <w:szCs w:val="22"/>
        </w:rPr>
      </w:pP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Como resultado de los anteriores procesos de selección se suscribieron los siguientes contratos, órdenes y convenios:</w:t>
      </w:r>
    </w:p>
    <w:p w:rsidR="00B202A2" w:rsidRDefault="00B202A2">
      <w:pPr>
        <w:spacing w:before="240" w:after="240"/>
        <w:jc w:val="center"/>
        <w:rPr>
          <w:rFonts w:ascii="Arial" w:eastAsia="Arial" w:hAnsi="Arial" w:cs="Arial"/>
          <w:b/>
          <w:color w:val="335B8A"/>
          <w:sz w:val="22"/>
          <w:szCs w:val="22"/>
        </w:rPr>
      </w:pPr>
    </w:p>
    <w:tbl>
      <w:tblPr>
        <w:tblStyle w:val="aff1"/>
        <w:tblW w:w="849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460"/>
        <w:gridCol w:w="1269"/>
        <w:gridCol w:w="3770"/>
      </w:tblGrid>
      <w:tr w:rsidR="00B202A2">
        <w:trPr>
          <w:trHeight w:val="538"/>
        </w:trPr>
        <w:tc>
          <w:tcPr>
            <w:tcW w:w="3459"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tcPr>
          <w:p w:rsidR="00B202A2" w:rsidRDefault="00295E06">
            <w:pPr>
              <w:spacing w:before="240" w:after="240"/>
              <w:ind w:left="100" w:right="100"/>
              <w:jc w:val="center"/>
              <w:rPr>
                <w:rFonts w:ascii="Arial" w:eastAsia="Arial" w:hAnsi="Arial" w:cs="Arial"/>
                <w:b/>
                <w:sz w:val="22"/>
                <w:szCs w:val="22"/>
              </w:rPr>
            </w:pPr>
            <w:r>
              <w:rPr>
                <w:rFonts w:ascii="Arial" w:eastAsia="Arial" w:hAnsi="Arial" w:cs="Arial"/>
                <w:b/>
                <w:sz w:val="22"/>
                <w:szCs w:val="22"/>
              </w:rPr>
              <w:lastRenderedPageBreak/>
              <w:t>Ordenes</w:t>
            </w:r>
          </w:p>
        </w:tc>
        <w:tc>
          <w:tcPr>
            <w:tcW w:w="1269"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rsidR="00B202A2" w:rsidRDefault="00295E06">
            <w:pPr>
              <w:spacing w:before="240" w:after="240"/>
              <w:ind w:left="100" w:right="100"/>
              <w:jc w:val="center"/>
              <w:rPr>
                <w:rFonts w:ascii="Arial" w:eastAsia="Arial" w:hAnsi="Arial" w:cs="Arial"/>
                <w:b/>
                <w:sz w:val="22"/>
                <w:szCs w:val="22"/>
              </w:rPr>
            </w:pPr>
            <w:r>
              <w:rPr>
                <w:rFonts w:ascii="Arial" w:eastAsia="Arial" w:hAnsi="Arial" w:cs="Arial"/>
                <w:b/>
                <w:sz w:val="22"/>
                <w:szCs w:val="22"/>
              </w:rPr>
              <w:t>12</w:t>
            </w:r>
          </w:p>
        </w:tc>
        <w:tc>
          <w:tcPr>
            <w:tcW w:w="3770"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rsidR="00B202A2" w:rsidRDefault="00295E06">
            <w:pPr>
              <w:spacing w:before="240" w:after="240"/>
              <w:ind w:left="100" w:right="100"/>
              <w:jc w:val="center"/>
              <w:rPr>
                <w:rFonts w:ascii="Arial" w:eastAsia="Arial" w:hAnsi="Arial" w:cs="Arial"/>
                <w:b/>
                <w:sz w:val="22"/>
                <w:szCs w:val="22"/>
              </w:rPr>
            </w:pPr>
            <w:r>
              <w:rPr>
                <w:rFonts w:ascii="Arial" w:eastAsia="Arial" w:hAnsi="Arial" w:cs="Arial"/>
                <w:b/>
                <w:sz w:val="22"/>
                <w:szCs w:val="22"/>
              </w:rPr>
              <w:t>$1.048.898.533</w:t>
            </w:r>
          </w:p>
        </w:tc>
      </w:tr>
      <w:tr w:rsidR="00B202A2">
        <w:trPr>
          <w:trHeight w:val="515"/>
        </w:trPr>
        <w:tc>
          <w:tcPr>
            <w:tcW w:w="3459"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B202A2" w:rsidRDefault="00295E06">
            <w:pPr>
              <w:spacing w:before="240" w:after="240"/>
              <w:ind w:left="100" w:right="100"/>
              <w:jc w:val="center"/>
              <w:rPr>
                <w:rFonts w:ascii="Arial" w:eastAsia="Arial" w:hAnsi="Arial" w:cs="Arial"/>
                <w:b/>
                <w:sz w:val="22"/>
                <w:szCs w:val="22"/>
              </w:rPr>
            </w:pPr>
            <w:r>
              <w:rPr>
                <w:rFonts w:ascii="Arial" w:eastAsia="Arial" w:hAnsi="Arial" w:cs="Arial"/>
                <w:b/>
                <w:sz w:val="22"/>
                <w:szCs w:val="22"/>
              </w:rPr>
              <w:t>Contratos</w:t>
            </w:r>
          </w:p>
        </w:tc>
        <w:tc>
          <w:tcPr>
            <w:tcW w:w="1269"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spacing w:before="240" w:after="240"/>
              <w:ind w:left="100" w:right="100"/>
              <w:jc w:val="center"/>
              <w:rPr>
                <w:rFonts w:ascii="Arial" w:eastAsia="Arial" w:hAnsi="Arial" w:cs="Arial"/>
                <w:b/>
                <w:sz w:val="22"/>
                <w:szCs w:val="22"/>
              </w:rPr>
            </w:pPr>
            <w:r>
              <w:rPr>
                <w:rFonts w:ascii="Arial" w:eastAsia="Arial" w:hAnsi="Arial" w:cs="Arial"/>
                <w:b/>
                <w:sz w:val="22"/>
                <w:szCs w:val="22"/>
              </w:rPr>
              <w:t>4</w:t>
            </w:r>
          </w:p>
        </w:tc>
        <w:tc>
          <w:tcPr>
            <w:tcW w:w="3770"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spacing w:before="240" w:after="240"/>
              <w:ind w:left="100" w:right="100"/>
              <w:jc w:val="center"/>
              <w:rPr>
                <w:rFonts w:ascii="Arial" w:eastAsia="Arial" w:hAnsi="Arial" w:cs="Arial"/>
                <w:b/>
                <w:sz w:val="22"/>
                <w:szCs w:val="22"/>
              </w:rPr>
            </w:pPr>
            <w:r>
              <w:rPr>
                <w:rFonts w:ascii="Arial" w:eastAsia="Arial" w:hAnsi="Arial" w:cs="Arial"/>
                <w:b/>
                <w:sz w:val="22"/>
                <w:szCs w:val="22"/>
              </w:rPr>
              <w:t>$111.325.464</w:t>
            </w:r>
          </w:p>
        </w:tc>
      </w:tr>
      <w:tr w:rsidR="00B202A2">
        <w:trPr>
          <w:trHeight w:val="515"/>
        </w:trPr>
        <w:tc>
          <w:tcPr>
            <w:tcW w:w="3459"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B202A2" w:rsidRDefault="00295E06">
            <w:pPr>
              <w:spacing w:before="240" w:after="240"/>
              <w:ind w:left="100" w:right="100"/>
              <w:jc w:val="center"/>
              <w:rPr>
                <w:rFonts w:ascii="Arial" w:eastAsia="Arial" w:hAnsi="Arial" w:cs="Arial"/>
                <w:b/>
                <w:sz w:val="22"/>
                <w:szCs w:val="22"/>
              </w:rPr>
            </w:pPr>
            <w:r>
              <w:rPr>
                <w:rFonts w:ascii="Arial" w:eastAsia="Arial" w:hAnsi="Arial" w:cs="Arial"/>
                <w:b/>
                <w:sz w:val="22"/>
                <w:szCs w:val="22"/>
              </w:rPr>
              <w:t>Convenios</w:t>
            </w:r>
          </w:p>
        </w:tc>
        <w:tc>
          <w:tcPr>
            <w:tcW w:w="1269"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spacing w:before="240" w:after="240"/>
              <w:ind w:left="100" w:right="100"/>
              <w:jc w:val="center"/>
              <w:rPr>
                <w:rFonts w:ascii="Arial" w:eastAsia="Arial" w:hAnsi="Arial" w:cs="Arial"/>
                <w:b/>
                <w:sz w:val="22"/>
                <w:szCs w:val="22"/>
              </w:rPr>
            </w:pPr>
            <w:r>
              <w:rPr>
                <w:rFonts w:ascii="Arial" w:eastAsia="Arial" w:hAnsi="Arial" w:cs="Arial"/>
                <w:b/>
                <w:sz w:val="22"/>
                <w:szCs w:val="22"/>
              </w:rPr>
              <w:t>0</w:t>
            </w:r>
          </w:p>
        </w:tc>
        <w:tc>
          <w:tcPr>
            <w:tcW w:w="3770"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spacing w:before="240" w:after="240"/>
              <w:ind w:left="100" w:right="100"/>
              <w:jc w:val="center"/>
              <w:rPr>
                <w:rFonts w:ascii="Arial" w:eastAsia="Arial" w:hAnsi="Arial" w:cs="Arial"/>
                <w:b/>
                <w:sz w:val="22"/>
                <w:szCs w:val="22"/>
              </w:rPr>
            </w:pPr>
            <w:r>
              <w:rPr>
                <w:rFonts w:ascii="Arial" w:eastAsia="Arial" w:hAnsi="Arial" w:cs="Arial"/>
                <w:b/>
                <w:sz w:val="22"/>
                <w:szCs w:val="22"/>
              </w:rPr>
              <w:t>$0</w:t>
            </w:r>
          </w:p>
        </w:tc>
      </w:tr>
      <w:tr w:rsidR="00B202A2">
        <w:trPr>
          <w:trHeight w:val="515"/>
        </w:trPr>
        <w:tc>
          <w:tcPr>
            <w:tcW w:w="4728" w:type="dxa"/>
            <w:gridSpan w:val="2"/>
            <w:tcBorders>
              <w:top w:val="nil"/>
              <w:left w:val="single" w:sz="8" w:space="0" w:color="000000"/>
              <w:bottom w:val="single" w:sz="8" w:space="0" w:color="000000"/>
              <w:right w:val="single" w:sz="8" w:space="0" w:color="000000"/>
            </w:tcBorders>
            <w:shd w:val="clear" w:color="auto" w:fill="CFE2F3"/>
            <w:tcMar>
              <w:top w:w="100" w:type="dxa"/>
              <w:left w:w="80" w:type="dxa"/>
              <w:bottom w:w="100" w:type="dxa"/>
              <w:right w:w="80" w:type="dxa"/>
            </w:tcMar>
          </w:tcPr>
          <w:p w:rsidR="00B202A2" w:rsidRDefault="00295E06">
            <w:pPr>
              <w:spacing w:before="240" w:after="240"/>
              <w:ind w:left="100" w:right="681" w:firstLine="892"/>
              <w:jc w:val="center"/>
              <w:rPr>
                <w:rFonts w:ascii="Arial" w:eastAsia="Arial" w:hAnsi="Arial" w:cs="Arial"/>
                <w:b/>
                <w:sz w:val="22"/>
                <w:szCs w:val="22"/>
              </w:rPr>
            </w:pPr>
            <w:r>
              <w:rPr>
                <w:rFonts w:ascii="Arial" w:eastAsia="Arial" w:hAnsi="Arial" w:cs="Arial"/>
                <w:b/>
                <w:sz w:val="22"/>
                <w:szCs w:val="22"/>
              </w:rPr>
              <w:t>Total</w:t>
            </w:r>
          </w:p>
        </w:tc>
        <w:tc>
          <w:tcPr>
            <w:tcW w:w="3770" w:type="dxa"/>
            <w:tcBorders>
              <w:top w:val="nil"/>
              <w:left w:val="nil"/>
              <w:bottom w:val="single" w:sz="8" w:space="0" w:color="000000"/>
              <w:right w:val="single" w:sz="8" w:space="0" w:color="000000"/>
            </w:tcBorders>
            <w:shd w:val="clear" w:color="auto" w:fill="CFE2F3"/>
            <w:tcMar>
              <w:top w:w="100" w:type="dxa"/>
              <w:left w:w="80" w:type="dxa"/>
              <w:bottom w:w="100" w:type="dxa"/>
              <w:right w:w="80" w:type="dxa"/>
            </w:tcMar>
          </w:tcPr>
          <w:p w:rsidR="00B202A2" w:rsidRDefault="00295E06">
            <w:pPr>
              <w:spacing w:before="240" w:after="240"/>
              <w:ind w:left="100" w:right="100"/>
              <w:jc w:val="center"/>
              <w:rPr>
                <w:rFonts w:ascii="Arial" w:eastAsia="Arial" w:hAnsi="Arial" w:cs="Arial"/>
                <w:b/>
                <w:sz w:val="22"/>
                <w:szCs w:val="22"/>
              </w:rPr>
            </w:pPr>
            <w:r>
              <w:rPr>
                <w:rFonts w:ascii="Arial" w:eastAsia="Arial" w:hAnsi="Arial" w:cs="Arial"/>
                <w:b/>
                <w:sz w:val="22"/>
                <w:szCs w:val="22"/>
              </w:rPr>
              <w:t>$1.160.223.997</w:t>
            </w:r>
          </w:p>
        </w:tc>
      </w:tr>
    </w:tbl>
    <w:p w:rsidR="00B202A2" w:rsidRDefault="00B202A2">
      <w:pPr>
        <w:spacing w:before="240" w:after="240"/>
        <w:rPr>
          <w:rFonts w:ascii="Arial" w:eastAsia="Arial" w:hAnsi="Arial" w:cs="Arial"/>
          <w:b/>
          <w:color w:val="335B8A"/>
          <w:sz w:val="22"/>
          <w:szCs w:val="22"/>
        </w:rPr>
      </w:pPr>
    </w:p>
    <w:p w:rsidR="00B202A2" w:rsidRDefault="00295E06">
      <w:pPr>
        <w:spacing w:before="240" w:after="240"/>
        <w:jc w:val="center"/>
        <w:rPr>
          <w:rFonts w:ascii="Arial" w:eastAsia="Arial" w:hAnsi="Arial" w:cs="Arial"/>
          <w:b/>
          <w:sz w:val="22"/>
          <w:szCs w:val="22"/>
          <w:u w:val="single"/>
        </w:rPr>
      </w:pPr>
      <w:r>
        <w:rPr>
          <w:rFonts w:ascii="Arial" w:eastAsia="Arial" w:hAnsi="Arial" w:cs="Arial"/>
          <w:b/>
          <w:sz w:val="22"/>
          <w:szCs w:val="22"/>
          <w:u w:val="single"/>
        </w:rPr>
        <w:t xml:space="preserve">Tabla 4. Contratación vigencia del 1 enero al 31 de octubre de 2020 </w:t>
      </w:r>
    </w:p>
    <w:tbl>
      <w:tblPr>
        <w:tblStyle w:val="aff2"/>
        <w:tblW w:w="84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80"/>
        <w:gridCol w:w="1935"/>
        <w:gridCol w:w="2280"/>
        <w:gridCol w:w="1980"/>
      </w:tblGrid>
      <w:tr w:rsidR="00B202A2">
        <w:trPr>
          <w:trHeight w:val="725"/>
        </w:trPr>
        <w:tc>
          <w:tcPr>
            <w:tcW w:w="228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80" w:type="dxa"/>
              <w:bottom w:w="100" w:type="dxa"/>
              <w:right w:w="80" w:type="dxa"/>
            </w:tcMar>
          </w:tcPr>
          <w:p w:rsidR="00B202A2" w:rsidRDefault="00295E06">
            <w:pPr>
              <w:spacing w:before="240" w:line="276" w:lineRule="auto"/>
              <w:jc w:val="center"/>
              <w:rPr>
                <w:rFonts w:ascii="Arial" w:eastAsia="Arial" w:hAnsi="Arial" w:cs="Arial"/>
                <w:b/>
                <w:sz w:val="22"/>
                <w:szCs w:val="22"/>
              </w:rPr>
            </w:pPr>
            <w:r>
              <w:rPr>
                <w:rFonts w:ascii="Arial" w:eastAsia="Arial" w:hAnsi="Arial" w:cs="Arial"/>
                <w:b/>
                <w:sz w:val="22"/>
                <w:szCs w:val="22"/>
              </w:rPr>
              <w:t>Modalidades de contratación</w:t>
            </w:r>
          </w:p>
        </w:tc>
        <w:tc>
          <w:tcPr>
            <w:tcW w:w="1935" w:type="dxa"/>
            <w:tcBorders>
              <w:top w:val="single" w:sz="8" w:space="0" w:color="000000"/>
              <w:left w:val="nil"/>
              <w:bottom w:val="single" w:sz="8" w:space="0" w:color="000000"/>
              <w:right w:val="single" w:sz="8" w:space="0" w:color="000000"/>
            </w:tcBorders>
            <w:shd w:val="clear" w:color="auto" w:fill="CFE2F3"/>
            <w:tcMar>
              <w:top w:w="100" w:type="dxa"/>
              <w:left w:w="80" w:type="dxa"/>
              <w:bottom w:w="100" w:type="dxa"/>
              <w:right w:w="80" w:type="dxa"/>
            </w:tcMar>
          </w:tcPr>
          <w:p w:rsidR="00B202A2" w:rsidRDefault="00295E06">
            <w:pPr>
              <w:spacing w:before="240" w:line="276" w:lineRule="auto"/>
              <w:jc w:val="center"/>
              <w:rPr>
                <w:rFonts w:ascii="Arial" w:eastAsia="Arial" w:hAnsi="Arial" w:cs="Arial"/>
                <w:b/>
                <w:sz w:val="22"/>
                <w:szCs w:val="22"/>
              </w:rPr>
            </w:pPr>
            <w:r>
              <w:rPr>
                <w:rFonts w:ascii="Arial" w:eastAsia="Arial" w:hAnsi="Arial" w:cs="Arial"/>
                <w:b/>
                <w:sz w:val="22"/>
                <w:szCs w:val="22"/>
              </w:rPr>
              <w:t>Número de procesos</w:t>
            </w:r>
          </w:p>
        </w:tc>
        <w:tc>
          <w:tcPr>
            <w:tcW w:w="2280" w:type="dxa"/>
            <w:tcBorders>
              <w:top w:val="single" w:sz="8" w:space="0" w:color="000000"/>
              <w:left w:val="nil"/>
              <w:bottom w:val="single" w:sz="8" w:space="0" w:color="000000"/>
              <w:right w:val="single" w:sz="8" w:space="0" w:color="000000"/>
            </w:tcBorders>
            <w:shd w:val="clear" w:color="auto" w:fill="CFE2F3"/>
            <w:tcMar>
              <w:top w:w="100" w:type="dxa"/>
              <w:left w:w="80" w:type="dxa"/>
              <w:bottom w:w="100" w:type="dxa"/>
              <w:right w:w="80" w:type="dxa"/>
            </w:tcMar>
          </w:tcPr>
          <w:p w:rsidR="00B202A2" w:rsidRDefault="00295E06">
            <w:pPr>
              <w:spacing w:before="240" w:line="276" w:lineRule="auto"/>
              <w:jc w:val="center"/>
              <w:rPr>
                <w:rFonts w:ascii="Arial" w:eastAsia="Arial" w:hAnsi="Arial" w:cs="Arial"/>
                <w:b/>
                <w:sz w:val="22"/>
                <w:szCs w:val="22"/>
              </w:rPr>
            </w:pPr>
            <w:r>
              <w:rPr>
                <w:rFonts w:ascii="Arial" w:eastAsia="Arial" w:hAnsi="Arial" w:cs="Arial"/>
                <w:b/>
                <w:sz w:val="22"/>
                <w:szCs w:val="22"/>
              </w:rPr>
              <w:t>Número de contratos en curso</w:t>
            </w:r>
          </w:p>
        </w:tc>
        <w:tc>
          <w:tcPr>
            <w:tcW w:w="1980" w:type="dxa"/>
            <w:tcBorders>
              <w:top w:val="single" w:sz="8" w:space="0" w:color="000000"/>
              <w:left w:val="nil"/>
              <w:bottom w:val="single" w:sz="8" w:space="0" w:color="000000"/>
              <w:right w:val="single" w:sz="8" w:space="0" w:color="000000"/>
            </w:tcBorders>
            <w:shd w:val="clear" w:color="auto" w:fill="CFE2F3"/>
            <w:tcMar>
              <w:top w:w="100" w:type="dxa"/>
              <w:left w:w="80" w:type="dxa"/>
              <w:bottom w:w="100" w:type="dxa"/>
              <w:right w:w="80" w:type="dxa"/>
            </w:tcMar>
          </w:tcPr>
          <w:p w:rsidR="00B202A2" w:rsidRDefault="00295E06">
            <w:pPr>
              <w:spacing w:before="240" w:line="276" w:lineRule="auto"/>
              <w:jc w:val="center"/>
              <w:rPr>
                <w:rFonts w:ascii="Arial" w:eastAsia="Arial" w:hAnsi="Arial" w:cs="Arial"/>
                <w:b/>
                <w:sz w:val="22"/>
                <w:szCs w:val="22"/>
              </w:rPr>
            </w:pPr>
            <w:r>
              <w:rPr>
                <w:rFonts w:ascii="Arial" w:eastAsia="Arial" w:hAnsi="Arial" w:cs="Arial"/>
                <w:b/>
                <w:sz w:val="22"/>
                <w:szCs w:val="22"/>
              </w:rPr>
              <w:t>Número de contratos ejecutados</w:t>
            </w:r>
          </w:p>
        </w:tc>
      </w:tr>
      <w:tr w:rsidR="00B202A2">
        <w:trPr>
          <w:trHeight w:val="515"/>
        </w:trPr>
        <w:tc>
          <w:tcPr>
            <w:tcW w:w="228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B202A2" w:rsidRDefault="00295E06">
            <w:pPr>
              <w:spacing w:before="240" w:line="276" w:lineRule="auto"/>
              <w:rPr>
                <w:rFonts w:ascii="Arial" w:eastAsia="Arial" w:hAnsi="Arial" w:cs="Arial"/>
                <w:b/>
                <w:sz w:val="22"/>
                <w:szCs w:val="22"/>
              </w:rPr>
            </w:pPr>
            <w:r>
              <w:rPr>
                <w:rFonts w:ascii="Arial" w:eastAsia="Arial" w:hAnsi="Arial" w:cs="Arial"/>
                <w:b/>
                <w:sz w:val="22"/>
                <w:szCs w:val="22"/>
              </w:rPr>
              <w:t>Única Oferta</w:t>
            </w:r>
          </w:p>
        </w:tc>
        <w:tc>
          <w:tcPr>
            <w:tcW w:w="1935"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spacing w:before="240" w:line="276" w:lineRule="auto"/>
              <w:jc w:val="center"/>
              <w:rPr>
                <w:rFonts w:ascii="Arial" w:eastAsia="Arial" w:hAnsi="Arial" w:cs="Arial"/>
                <w:b/>
                <w:sz w:val="22"/>
                <w:szCs w:val="22"/>
              </w:rPr>
            </w:pPr>
            <w:r>
              <w:rPr>
                <w:rFonts w:ascii="Arial" w:eastAsia="Arial" w:hAnsi="Arial" w:cs="Arial"/>
                <w:b/>
                <w:sz w:val="22"/>
                <w:szCs w:val="22"/>
              </w:rPr>
              <w:t>93</w:t>
            </w:r>
          </w:p>
        </w:tc>
        <w:tc>
          <w:tcPr>
            <w:tcW w:w="2280"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spacing w:before="240" w:line="276" w:lineRule="auto"/>
              <w:jc w:val="center"/>
              <w:rPr>
                <w:rFonts w:ascii="Arial" w:eastAsia="Arial" w:hAnsi="Arial" w:cs="Arial"/>
                <w:b/>
                <w:sz w:val="22"/>
                <w:szCs w:val="22"/>
              </w:rPr>
            </w:pPr>
            <w:r>
              <w:rPr>
                <w:rFonts w:ascii="Arial" w:eastAsia="Arial" w:hAnsi="Arial" w:cs="Arial"/>
                <w:b/>
                <w:sz w:val="22"/>
                <w:szCs w:val="22"/>
              </w:rPr>
              <w:t>85</w:t>
            </w:r>
          </w:p>
        </w:tc>
        <w:tc>
          <w:tcPr>
            <w:tcW w:w="1980"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spacing w:before="240" w:line="276" w:lineRule="auto"/>
              <w:jc w:val="center"/>
              <w:rPr>
                <w:rFonts w:ascii="Arial" w:eastAsia="Arial" w:hAnsi="Arial" w:cs="Arial"/>
                <w:b/>
                <w:sz w:val="22"/>
                <w:szCs w:val="22"/>
              </w:rPr>
            </w:pPr>
            <w:r>
              <w:rPr>
                <w:rFonts w:ascii="Arial" w:eastAsia="Arial" w:hAnsi="Arial" w:cs="Arial"/>
                <w:b/>
                <w:sz w:val="22"/>
                <w:szCs w:val="22"/>
              </w:rPr>
              <w:t>7</w:t>
            </w:r>
          </w:p>
        </w:tc>
      </w:tr>
      <w:tr w:rsidR="00B202A2">
        <w:trPr>
          <w:trHeight w:val="515"/>
        </w:trPr>
        <w:tc>
          <w:tcPr>
            <w:tcW w:w="228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B202A2" w:rsidRDefault="00295E06">
            <w:pPr>
              <w:spacing w:before="240" w:line="276" w:lineRule="auto"/>
              <w:rPr>
                <w:rFonts w:ascii="Arial" w:eastAsia="Arial" w:hAnsi="Arial" w:cs="Arial"/>
                <w:b/>
                <w:sz w:val="22"/>
                <w:szCs w:val="22"/>
              </w:rPr>
            </w:pPr>
            <w:r>
              <w:rPr>
                <w:rFonts w:ascii="Arial" w:eastAsia="Arial" w:hAnsi="Arial" w:cs="Arial"/>
                <w:b/>
                <w:sz w:val="22"/>
                <w:szCs w:val="22"/>
              </w:rPr>
              <w:t>Modalidad Pública</w:t>
            </w:r>
          </w:p>
        </w:tc>
        <w:tc>
          <w:tcPr>
            <w:tcW w:w="1935"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spacing w:before="240" w:line="276" w:lineRule="auto"/>
              <w:jc w:val="center"/>
              <w:rPr>
                <w:rFonts w:ascii="Arial" w:eastAsia="Arial" w:hAnsi="Arial" w:cs="Arial"/>
                <w:b/>
                <w:sz w:val="22"/>
                <w:szCs w:val="22"/>
              </w:rPr>
            </w:pPr>
            <w:r>
              <w:rPr>
                <w:rFonts w:ascii="Arial" w:eastAsia="Arial" w:hAnsi="Arial" w:cs="Arial"/>
                <w:b/>
                <w:sz w:val="22"/>
                <w:szCs w:val="22"/>
              </w:rPr>
              <w:t>10</w:t>
            </w:r>
          </w:p>
        </w:tc>
        <w:tc>
          <w:tcPr>
            <w:tcW w:w="2280"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spacing w:before="240" w:line="276" w:lineRule="auto"/>
              <w:jc w:val="center"/>
              <w:rPr>
                <w:rFonts w:ascii="Arial" w:eastAsia="Arial" w:hAnsi="Arial" w:cs="Arial"/>
                <w:b/>
                <w:sz w:val="22"/>
                <w:szCs w:val="22"/>
              </w:rPr>
            </w:pPr>
            <w:r>
              <w:rPr>
                <w:rFonts w:ascii="Arial" w:eastAsia="Arial" w:hAnsi="Arial" w:cs="Arial"/>
                <w:b/>
                <w:sz w:val="22"/>
                <w:szCs w:val="22"/>
              </w:rPr>
              <w:t>10</w:t>
            </w:r>
          </w:p>
        </w:tc>
        <w:tc>
          <w:tcPr>
            <w:tcW w:w="1980"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spacing w:before="240" w:line="276" w:lineRule="auto"/>
              <w:jc w:val="center"/>
              <w:rPr>
                <w:rFonts w:ascii="Arial" w:eastAsia="Arial" w:hAnsi="Arial" w:cs="Arial"/>
                <w:b/>
                <w:sz w:val="22"/>
                <w:szCs w:val="22"/>
              </w:rPr>
            </w:pPr>
            <w:r>
              <w:rPr>
                <w:rFonts w:ascii="Arial" w:eastAsia="Arial" w:hAnsi="Arial" w:cs="Arial"/>
                <w:b/>
                <w:sz w:val="22"/>
                <w:szCs w:val="22"/>
              </w:rPr>
              <w:t>0</w:t>
            </w:r>
          </w:p>
        </w:tc>
      </w:tr>
      <w:tr w:rsidR="00B202A2">
        <w:trPr>
          <w:trHeight w:val="515"/>
        </w:trPr>
        <w:tc>
          <w:tcPr>
            <w:tcW w:w="228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B202A2" w:rsidRDefault="00295E06">
            <w:pPr>
              <w:spacing w:before="240" w:line="276" w:lineRule="auto"/>
              <w:rPr>
                <w:rFonts w:ascii="Arial" w:eastAsia="Arial" w:hAnsi="Arial" w:cs="Arial"/>
                <w:b/>
                <w:sz w:val="22"/>
                <w:szCs w:val="22"/>
              </w:rPr>
            </w:pPr>
            <w:r>
              <w:rPr>
                <w:rFonts w:ascii="Arial" w:eastAsia="Arial" w:hAnsi="Arial" w:cs="Arial"/>
                <w:b/>
                <w:sz w:val="22"/>
                <w:szCs w:val="22"/>
              </w:rPr>
              <w:t>Modalidad Simplificada</w:t>
            </w:r>
          </w:p>
        </w:tc>
        <w:tc>
          <w:tcPr>
            <w:tcW w:w="1935"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spacing w:before="240" w:line="276" w:lineRule="auto"/>
              <w:jc w:val="center"/>
              <w:rPr>
                <w:rFonts w:ascii="Arial" w:eastAsia="Arial" w:hAnsi="Arial" w:cs="Arial"/>
                <w:b/>
                <w:sz w:val="22"/>
                <w:szCs w:val="22"/>
              </w:rPr>
            </w:pPr>
            <w:r>
              <w:rPr>
                <w:rFonts w:ascii="Arial" w:eastAsia="Arial" w:hAnsi="Arial" w:cs="Arial"/>
                <w:b/>
                <w:sz w:val="22"/>
                <w:szCs w:val="22"/>
              </w:rPr>
              <w:t>1</w:t>
            </w:r>
          </w:p>
        </w:tc>
        <w:tc>
          <w:tcPr>
            <w:tcW w:w="2280"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spacing w:before="240" w:line="276" w:lineRule="auto"/>
              <w:jc w:val="center"/>
              <w:rPr>
                <w:rFonts w:ascii="Arial" w:eastAsia="Arial" w:hAnsi="Arial" w:cs="Arial"/>
                <w:b/>
                <w:sz w:val="22"/>
                <w:szCs w:val="22"/>
              </w:rPr>
            </w:pPr>
            <w:r>
              <w:rPr>
                <w:rFonts w:ascii="Arial" w:eastAsia="Arial" w:hAnsi="Arial" w:cs="Arial"/>
                <w:b/>
                <w:sz w:val="22"/>
                <w:szCs w:val="22"/>
              </w:rPr>
              <w:t>1</w:t>
            </w:r>
          </w:p>
        </w:tc>
        <w:tc>
          <w:tcPr>
            <w:tcW w:w="1980"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spacing w:before="240" w:line="276" w:lineRule="auto"/>
              <w:jc w:val="center"/>
              <w:rPr>
                <w:rFonts w:ascii="Arial" w:eastAsia="Arial" w:hAnsi="Arial" w:cs="Arial"/>
                <w:b/>
                <w:sz w:val="22"/>
                <w:szCs w:val="22"/>
              </w:rPr>
            </w:pPr>
            <w:r>
              <w:rPr>
                <w:rFonts w:ascii="Arial" w:eastAsia="Arial" w:hAnsi="Arial" w:cs="Arial"/>
                <w:b/>
                <w:sz w:val="22"/>
                <w:szCs w:val="22"/>
              </w:rPr>
              <w:t>0</w:t>
            </w:r>
          </w:p>
        </w:tc>
      </w:tr>
      <w:tr w:rsidR="00B202A2">
        <w:trPr>
          <w:trHeight w:val="515"/>
        </w:trPr>
        <w:tc>
          <w:tcPr>
            <w:tcW w:w="228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B202A2" w:rsidRDefault="00295E06">
            <w:pPr>
              <w:spacing w:before="240" w:line="276" w:lineRule="auto"/>
              <w:rPr>
                <w:rFonts w:ascii="Arial" w:eastAsia="Arial" w:hAnsi="Arial" w:cs="Arial"/>
                <w:b/>
                <w:sz w:val="22"/>
                <w:szCs w:val="22"/>
              </w:rPr>
            </w:pPr>
            <w:r>
              <w:rPr>
                <w:rFonts w:ascii="Arial" w:eastAsia="Arial" w:hAnsi="Arial" w:cs="Arial"/>
                <w:b/>
                <w:sz w:val="22"/>
                <w:szCs w:val="22"/>
              </w:rPr>
              <w:t>Modalidad Invitación</w:t>
            </w:r>
          </w:p>
        </w:tc>
        <w:tc>
          <w:tcPr>
            <w:tcW w:w="1935"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spacing w:before="240" w:line="276" w:lineRule="auto"/>
              <w:jc w:val="center"/>
              <w:rPr>
                <w:rFonts w:ascii="Arial" w:eastAsia="Arial" w:hAnsi="Arial" w:cs="Arial"/>
                <w:b/>
                <w:sz w:val="22"/>
                <w:szCs w:val="22"/>
              </w:rPr>
            </w:pPr>
            <w:r>
              <w:rPr>
                <w:rFonts w:ascii="Arial" w:eastAsia="Arial" w:hAnsi="Arial" w:cs="Arial"/>
                <w:b/>
                <w:sz w:val="22"/>
                <w:szCs w:val="22"/>
              </w:rPr>
              <w:t>1</w:t>
            </w:r>
          </w:p>
        </w:tc>
        <w:tc>
          <w:tcPr>
            <w:tcW w:w="2280"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spacing w:before="240" w:line="276" w:lineRule="auto"/>
              <w:jc w:val="center"/>
              <w:rPr>
                <w:rFonts w:ascii="Arial" w:eastAsia="Arial" w:hAnsi="Arial" w:cs="Arial"/>
                <w:b/>
                <w:sz w:val="22"/>
                <w:szCs w:val="22"/>
              </w:rPr>
            </w:pPr>
            <w:r>
              <w:rPr>
                <w:rFonts w:ascii="Arial" w:eastAsia="Arial" w:hAnsi="Arial" w:cs="Arial"/>
                <w:b/>
                <w:sz w:val="22"/>
                <w:szCs w:val="22"/>
              </w:rPr>
              <w:t>1</w:t>
            </w:r>
          </w:p>
        </w:tc>
        <w:tc>
          <w:tcPr>
            <w:tcW w:w="1980"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spacing w:before="240" w:line="276" w:lineRule="auto"/>
              <w:jc w:val="center"/>
              <w:rPr>
                <w:rFonts w:ascii="Arial" w:eastAsia="Arial" w:hAnsi="Arial" w:cs="Arial"/>
                <w:b/>
                <w:sz w:val="22"/>
                <w:szCs w:val="22"/>
              </w:rPr>
            </w:pPr>
            <w:r>
              <w:rPr>
                <w:rFonts w:ascii="Arial" w:eastAsia="Arial" w:hAnsi="Arial" w:cs="Arial"/>
                <w:b/>
                <w:sz w:val="22"/>
                <w:szCs w:val="22"/>
              </w:rPr>
              <w:t>0</w:t>
            </w:r>
          </w:p>
        </w:tc>
      </w:tr>
      <w:tr w:rsidR="00B202A2">
        <w:trPr>
          <w:trHeight w:val="515"/>
        </w:trPr>
        <w:tc>
          <w:tcPr>
            <w:tcW w:w="228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B202A2" w:rsidRDefault="00295E06">
            <w:pPr>
              <w:spacing w:before="240" w:line="276" w:lineRule="auto"/>
              <w:rPr>
                <w:rFonts w:ascii="Arial" w:eastAsia="Arial" w:hAnsi="Arial" w:cs="Arial"/>
                <w:b/>
                <w:sz w:val="22"/>
                <w:szCs w:val="22"/>
              </w:rPr>
            </w:pPr>
            <w:r>
              <w:rPr>
                <w:rFonts w:ascii="Arial" w:eastAsia="Arial" w:hAnsi="Arial" w:cs="Arial"/>
                <w:b/>
                <w:sz w:val="22"/>
                <w:szCs w:val="22"/>
              </w:rPr>
              <w:t>Tienda Virtual</w:t>
            </w:r>
          </w:p>
        </w:tc>
        <w:tc>
          <w:tcPr>
            <w:tcW w:w="1935"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spacing w:before="240" w:line="276" w:lineRule="auto"/>
              <w:jc w:val="center"/>
              <w:rPr>
                <w:rFonts w:ascii="Arial" w:eastAsia="Arial" w:hAnsi="Arial" w:cs="Arial"/>
                <w:b/>
                <w:sz w:val="22"/>
                <w:szCs w:val="22"/>
              </w:rPr>
            </w:pPr>
            <w:r>
              <w:rPr>
                <w:rFonts w:ascii="Arial" w:eastAsia="Arial" w:hAnsi="Arial" w:cs="Arial"/>
                <w:b/>
                <w:sz w:val="22"/>
                <w:szCs w:val="22"/>
              </w:rPr>
              <w:t>20</w:t>
            </w:r>
          </w:p>
        </w:tc>
        <w:tc>
          <w:tcPr>
            <w:tcW w:w="2280"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spacing w:before="240" w:line="276" w:lineRule="auto"/>
              <w:jc w:val="center"/>
              <w:rPr>
                <w:rFonts w:ascii="Arial" w:eastAsia="Arial" w:hAnsi="Arial" w:cs="Arial"/>
                <w:b/>
                <w:sz w:val="22"/>
                <w:szCs w:val="22"/>
              </w:rPr>
            </w:pPr>
            <w:r>
              <w:rPr>
                <w:rFonts w:ascii="Arial" w:eastAsia="Arial" w:hAnsi="Arial" w:cs="Arial"/>
                <w:b/>
                <w:sz w:val="22"/>
                <w:szCs w:val="22"/>
              </w:rPr>
              <w:t>14</w:t>
            </w:r>
          </w:p>
        </w:tc>
        <w:tc>
          <w:tcPr>
            <w:tcW w:w="1980"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spacing w:before="240" w:line="276" w:lineRule="auto"/>
              <w:jc w:val="center"/>
              <w:rPr>
                <w:rFonts w:ascii="Arial" w:eastAsia="Arial" w:hAnsi="Arial" w:cs="Arial"/>
                <w:b/>
                <w:sz w:val="22"/>
                <w:szCs w:val="22"/>
              </w:rPr>
            </w:pPr>
            <w:r>
              <w:rPr>
                <w:rFonts w:ascii="Arial" w:eastAsia="Arial" w:hAnsi="Arial" w:cs="Arial"/>
                <w:b/>
                <w:sz w:val="22"/>
                <w:szCs w:val="22"/>
              </w:rPr>
              <w:t>6</w:t>
            </w:r>
          </w:p>
        </w:tc>
      </w:tr>
      <w:tr w:rsidR="00B202A2">
        <w:trPr>
          <w:trHeight w:val="515"/>
        </w:trPr>
        <w:tc>
          <w:tcPr>
            <w:tcW w:w="2280" w:type="dxa"/>
            <w:tcBorders>
              <w:top w:val="nil"/>
              <w:left w:val="single" w:sz="8" w:space="0" w:color="000000"/>
              <w:bottom w:val="single" w:sz="8" w:space="0" w:color="000000"/>
              <w:right w:val="single" w:sz="8" w:space="0" w:color="000000"/>
            </w:tcBorders>
            <w:shd w:val="clear" w:color="auto" w:fill="C9DAF8"/>
            <w:tcMar>
              <w:top w:w="100" w:type="dxa"/>
              <w:left w:w="80" w:type="dxa"/>
              <w:bottom w:w="100" w:type="dxa"/>
              <w:right w:w="80" w:type="dxa"/>
            </w:tcMar>
          </w:tcPr>
          <w:p w:rsidR="00B202A2" w:rsidRDefault="00295E06">
            <w:pPr>
              <w:spacing w:before="240" w:line="276" w:lineRule="auto"/>
              <w:rPr>
                <w:rFonts w:ascii="Arial" w:eastAsia="Arial" w:hAnsi="Arial" w:cs="Arial"/>
                <w:b/>
                <w:sz w:val="22"/>
                <w:szCs w:val="22"/>
              </w:rPr>
            </w:pPr>
            <w:r>
              <w:rPr>
                <w:rFonts w:ascii="Arial" w:eastAsia="Arial" w:hAnsi="Arial" w:cs="Arial"/>
                <w:b/>
                <w:sz w:val="22"/>
                <w:szCs w:val="22"/>
              </w:rPr>
              <w:t>TOTAL</w:t>
            </w:r>
          </w:p>
        </w:tc>
        <w:tc>
          <w:tcPr>
            <w:tcW w:w="1935" w:type="dxa"/>
            <w:tcBorders>
              <w:top w:val="nil"/>
              <w:left w:val="nil"/>
              <w:bottom w:val="single" w:sz="8" w:space="0" w:color="000000"/>
              <w:right w:val="single" w:sz="8" w:space="0" w:color="000000"/>
            </w:tcBorders>
            <w:shd w:val="clear" w:color="auto" w:fill="C9DAF8"/>
            <w:tcMar>
              <w:top w:w="100" w:type="dxa"/>
              <w:left w:w="80" w:type="dxa"/>
              <w:bottom w:w="100" w:type="dxa"/>
              <w:right w:w="80" w:type="dxa"/>
            </w:tcMar>
          </w:tcPr>
          <w:p w:rsidR="00B202A2" w:rsidRDefault="00295E06">
            <w:pPr>
              <w:spacing w:before="240" w:line="276" w:lineRule="auto"/>
              <w:jc w:val="center"/>
              <w:rPr>
                <w:rFonts w:ascii="Arial" w:eastAsia="Arial" w:hAnsi="Arial" w:cs="Arial"/>
                <w:b/>
                <w:sz w:val="22"/>
                <w:szCs w:val="22"/>
              </w:rPr>
            </w:pPr>
            <w:r>
              <w:rPr>
                <w:rFonts w:ascii="Arial" w:eastAsia="Arial" w:hAnsi="Arial" w:cs="Arial"/>
                <w:b/>
                <w:sz w:val="22"/>
                <w:szCs w:val="22"/>
              </w:rPr>
              <w:t>125</w:t>
            </w:r>
          </w:p>
        </w:tc>
        <w:tc>
          <w:tcPr>
            <w:tcW w:w="2280" w:type="dxa"/>
            <w:tcBorders>
              <w:top w:val="nil"/>
              <w:left w:val="nil"/>
              <w:bottom w:val="nil"/>
              <w:right w:val="nil"/>
            </w:tcBorders>
            <w:tcMar>
              <w:top w:w="100" w:type="dxa"/>
              <w:left w:w="80" w:type="dxa"/>
              <w:bottom w:w="100" w:type="dxa"/>
              <w:right w:w="80" w:type="dxa"/>
            </w:tcMar>
            <w:vAlign w:val="bottom"/>
          </w:tcPr>
          <w:p w:rsidR="00B202A2" w:rsidRDefault="00B202A2">
            <w:pPr>
              <w:spacing w:before="240" w:after="240"/>
              <w:jc w:val="center"/>
              <w:rPr>
                <w:rFonts w:ascii="Arial" w:eastAsia="Arial" w:hAnsi="Arial" w:cs="Arial"/>
                <w:b/>
                <w:color w:val="335B8A"/>
                <w:sz w:val="22"/>
                <w:szCs w:val="22"/>
              </w:rPr>
            </w:pPr>
          </w:p>
        </w:tc>
        <w:tc>
          <w:tcPr>
            <w:tcW w:w="1980" w:type="dxa"/>
            <w:tcBorders>
              <w:top w:val="nil"/>
              <w:left w:val="nil"/>
              <w:bottom w:val="nil"/>
              <w:right w:val="nil"/>
            </w:tcBorders>
            <w:tcMar>
              <w:top w:w="100" w:type="dxa"/>
              <w:left w:w="80" w:type="dxa"/>
              <w:bottom w:w="100" w:type="dxa"/>
              <w:right w:w="80" w:type="dxa"/>
            </w:tcMar>
            <w:vAlign w:val="bottom"/>
          </w:tcPr>
          <w:p w:rsidR="00B202A2" w:rsidRDefault="00B202A2">
            <w:pPr>
              <w:spacing w:before="240" w:after="240"/>
              <w:jc w:val="center"/>
              <w:rPr>
                <w:rFonts w:ascii="Arial" w:eastAsia="Arial" w:hAnsi="Arial" w:cs="Arial"/>
                <w:b/>
                <w:color w:val="335B8A"/>
                <w:sz w:val="22"/>
                <w:szCs w:val="22"/>
              </w:rPr>
            </w:pPr>
          </w:p>
        </w:tc>
      </w:tr>
    </w:tbl>
    <w:p w:rsidR="00B202A2" w:rsidRDefault="00295E06">
      <w:pPr>
        <w:spacing w:before="240" w:after="240"/>
        <w:jc w:val="both"/>
        <w:rPr>
          <w:rFonts w:ascii="Arial" w:eastAsia="Arial" w:hAnsi="Arial" w:cs="Arial"/>
          <w:b/>
          <w:color w:val="335B8A"/>
          <w:sz w:val="22"/>
          <w:szCs w:val="22"/>
        </w:rPr>
      </w:pPr>
      <w:r>
        <w:rPr>
          <w:rFonts w:ascii="Arial" w:eastAsia="Arial" w:hAnsi="Arial" w:cs="Arial"/>
          <w:sz w:val="22"/>
          <w:szCs w:val="22"/>
        </w:rPr>
        <w:t>Como resultado de los anteriores procesos de selección se suscribieron los siguientes contratos, órdenes y convenios</w:t>
      </w:r>
      <w:r>
        <w:rPr>
          <w:rFonts w:ascii="Arial" w:eastAsia="Arial" w:hAnsi="Arial" w:cs="Arial"/>
          <w:b/>
          <w:color w:val="335B8A"/>
          <w:sz w:val="22"/>
          <w:szCs w:val="22"/>
        </w:rPr>
        <w:t xml:space="preserve"> </w:t>
      </w:r>
    </w:p>
    <w:tbl>
      <w:tblPr>
        <w:tblStyle w:val="aff3"/>
        <w:tblW w:w="85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900"/>
        <w:gridCol w:w="1620"/>
        <w:gridCol w:w="3015"/>
      </w:tblGrid>
      <w:tr w:rsidR="00B202A2">
        <w:trPr>
          <w:trHeight w:val="515"/>
        </w:trPr>
        <w:tc>
          <w:tcPr>
            <w:tcW w:w="390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tcPr>
          <w:p w:rsidR="00B202A2" w:rsidRDefault="00295E06">
            <w:pPr>
              <w:spacing w:before="240" w:line="276" w:lineRule="auto"/>
              <w:jc w:val="center"/>
              <w:rPr>
                <w:rFonts w:ascii="Arial" w:eastAsia="Arial" w:hAnsi="Arial" w:cs="Arial"/>
                <w:b/>
                <w:sz w:val="22"/>
                <w:szCs w:val="22"/>
              </w:rPr>
            </w:pPr>
            <w:r>
              <w:rPr>
                <w:rFonts w:ascii="Arial" w:eastAsia="Arial" w:hAnsi="Arial" w:cs="Arial"/>
                <w:b/>
                <w:sz w:val="22"/>
                <w:szCs w:val="22"/>
              </w:rPr>
              <w:lastRenderedPageBreak/>
              <w:t>Ordenes</w:t>
            </w:r>
          </w:p>
        </w:tc>
        <w:tc>
          <w:tcPr>
            <w:tcW w:w="1620"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rsidR="00B202A2" w:rsidRDefault="00295E06">
            <w:pPr>
              <w:spacing w:before="240" w:line="276" w:lineRule="auto"/>
              <w:jc w:val="center"/>
              <w:rPr>
                <w:rFonts w:ascii="Arial" w:eastAsia="Arial" w:hAnsi="Arial" w:cs="Arial"/>
                <w:b/>
                <w:sz w:val="22"/>
                <w:szCs w:val="22"/>
              </w:rPr>
            </w:pPr>
            <w:r>
              <w:rPr>
                <w:rFonts w:ascii="Arial" w:eastAsia="Arial" w:hAnsi="Arial" w:cs="Arial"/>
                <w:b/>
                <w:sz w:val="22"/>
                <w:szCs w:val="22"/>
              </w:rPr>
              <w:t>53</w:t>
            </w:r>
          </w:p>
        </w:tc>
        <w:tc>
          <w:tcPr>
            <w:tcW w:w="3015"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rsidR="00B202A2" w:rsidRDefault="00295E06">
            <w:pPr>
              <w:spacing w:before="240" w:line="276" w:lineRule="auto"/>
              <w:jc w:val="center"/>
              <w:rPr>
                <w:rFonts w:ascii="Arial" w:eastAsia="Arial" w:hAnsi="Arial" w:cs="Arial"/>
                <w:b/>
                <w:sz w:val="22"/>
                <w:szCs w:val="22"/>
              </w:rPr>
            </w:pPr>
            <w:r>
              <w:rPr>
                <w:rFonts w:ascii="Arial" w:eastAsia="Arial" w:hAnsi="Arial" w:cs="Arial"/>
                <w:b/>
                <w:sz w:val="22"/>
                <w:szCs w:val="22"/>
              </w:rPr>
              <w:t>$2.846.325.991</w:t>
            </w:r>
          </w:p>
        </w:tc>
      </w:tr>
      <w:tr w:rsidR="00B202A2">
        <w:trPr>
          <w:trHeight w:val="515"/>
        </w:trPr>
        <w:tc>
          <w:tcPr>
            <w:tcW w:w="390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B202A2" w:rsidRDefault="00295E06">
            <w:pPr>
              <w:spacing w:before="240" w:line="276" w:lineRule="auto"/>
              <w:jc w:val="center"/>
              <w:rPr>
                <w:rFonts w:ascii="Arial" w:eastAsia="Arial" w:hAnsi="Arial" w:cs="Arial"/>
                <w:b/>
                <w:sz w:val="22"/>
                <w:szCs w:val="22"/>
              </w:rPr>
            </w:pPr>
            <w:r>
              <w:rPr>
                <w:rFonts w:ascii="Arial" w:eastAsia="Arial" w:hAnsi="Arial" w:cs="Arial"/>
                <w:b/>
                <w:sz w:val="22"/>
                <w:szCs w:val="22"/>
              </w:rPr>
              <w:t>Contratos</w:t>
            </w:r>
          </w:p>
        </w:tc>
        <w:tc>
          <w:tcPr>
            <w:tcW w:w="1620"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spacing w:before="240" w:line="276" w:lineRule="auto"/>
              <w:jc w:val="center"/>
              <w:rPr>
                <w:rFonts w:ascii="Arial" w:eastAsia="Arial" w:hAnsi="Arial" w:cs="Arial"/>
                <w:b/>
                <w:sz w:val="22"/>
                <w:szCs w:val="22"/>
              </w:rPr>
            </w:pPr>
            <w:r>
              <w:rPr>
                <w:rFonts w:ascii="Arial" w:eastAsia="Arial" w:hAnsi="Arial" w:cs="Arial"/>
                <w:b/>
                <w:sz w:val="22"/>
                <w:szCs w:val="22"/>
              </w:rPr>
              <w:t>64</w:t>
            </w:r>
          </w:p>
        </w:tc>
        <w:tc>
          <w:tcPr>
            <w:tcW w:w="3015"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spacing w:before="240" w:line="276" w:lineRule="auto"/>
              <w:jc w:val="center"/>
              <w:rPr>
                <w:rFonts w:ascii="Arial" w:eastAsia="Arial" w:hAnsi="Arial" w:cs="Arial"/>
                <w:b/>
                <w:sz w:val="22"/>
                <w:szCs w:val="22"/>
              </w:rPr>
            </w:pPr>
            <w:r>
              <w:rPr>
                <w:rFonts w:ascii="Arial" w:eastAsia="Arial" w:hAnsi="Arial" w:cs="Arial"/>
                <w:b/>
                <w:sz w:val="22"/>
                <w:szCs w:val="22"/>
              </w:rPr>
              <w:t>$7.550.522.735</w:t>
            </w:r>
          </w:p>
        </w:tc>
      </w:tr>
      <w:tr w:rsidR="00B202A2">
        <w:trPr>
          <w:trHeight w:val="515"/>
        </w:trPr>
        <w:tc>
          <w:tcPr>
            <w:tcW w:w="390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B202A2" w:rsidRDefault="00295E06">
            <w:pPr>
              <w:spacing w:before="240" w:line="276" w:lineRule="auto"/>
              <w:jc w:val="center"/>
              <w:rPr>
                <w:rFonts w:ascii="Arial" w:eastAsia="Arial" w:hAnsi="Arial" w:cs="Arial"/>
                <w:b/>
                <w:sz w:val="22"/>
                <w:szCs w:val="22"/>
              </w:rPr>
            </w:pPr>
            <w:r>
              <w:rPr>
                <w:rFonts w:ascii="Arial" w:eastAsia="Arial" w:hAnsi="Arial" w:cs="Arial"/>
                <w:b/>
                <w:sz w:val="22"/>
                <w:szCs w:val="22"/>
              </w:rPr>
              <w:t>Convenios</w:t>
            </w:r>
          </w:p>
        </w:tc>
        <w:tc>
          <w:tcPr>
            <w:tcW w:w="1620"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spacing w:before="240" w:line="276" w:lineRule="auto"/>
              <w:jc w:val="center"/>
              <w:rPr>
                <w:rFonts w:ascii="Arial" w:eastAsia="Arial" w:hAnsi="Arial" w:cs="Arial"/>
                <w:b/>
                <w:sz w:val="22"/>
                <w:szCs w:val="22"/>
              </w:rPr>
            </w:pPr>
            <w:r>
              <w:rPr>
                <w:rFonts w:ascii="Arial" w:eastAsia="Arial" w:hAnsi="Arial" w:cs="Arial"/>
                <w:b/>
                <w:sz w:val="22"/>
                <w:szCs w:val="22"/>
              </w:rPr>
              <w:t>8</w:t>
            </w:r>
          </w:p>
        </w:tc>
        <w:tc>
          <w:tcPr>
            <w:tcW w:w="3015"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spacing w:before="240" w:line="276" w:lineRule="auto"/>
              <w:jc w:val="center"/>
              <w:rPr>
                <w:rFonts w:ascii="Arial" w:eastAsia="Arial" w:hAnsi="Arial" w:cs="Arial"/>
                <w:b/>
                <w:sz w:val="22"/>
                <w:szCs w:val="22"/>
              </w:rPr>
            </w:pPr>
            <w:r>
              <w:rPr>
                <w:rFonts w:ascii="Arial" w:eastAsia="Arial" w:hAnsi="Arial" w:cs="Arial"/>
                <w:b/>
                <w:sz w:val="22"/>
                <w:szCs w:val="22"/>
              </w:rPr>
              <w:t>$2.288.765.235</w:t>
            </w:r>
          </w:p>
        </w:tc>
      </w:tr>
      <w:tr w:rsidR="00B202A2">
        <w:trPr>
          <w:trHeight w:val="515"/>
        </w:trPr>
        <w:tc>
          <w:tcPr>
            <w:tcW w:w="5520" w:type="dxa"/>
            <w:gridSpan w:val="2"/>
            <w:tcBorders>
              <w:top w:val="nil"/>
              <w:left w:val="single" w:sz="8" w:space="0" w:color="000000"/>
              <w:bottom w:val="single" w:sz="8" w:space="0" w:color="000000"/>
              <w:right w:val="single" w:sz="8" w:space="0" w:color="000000"/>
            </w:tcBorders>
            <w:shd w:val="clear" w:color="auto" w:fill="C9DAF8"/>
            <w:tcMar>
              <w:top w:w="100" w:type="dxa"/>
              <w:left w:w="80" w:type="dxa"/>
              <w:bottom w:w="100" w:type="dxa"/>
              <w:right w:w="80" w:type="dxa"/>
            </w:tcMar>
          </w:tcPr>
          <w:p w:rsidR="00B202A2" w:rsidRDefault="00295E06">
            <w:pPr>
              <w:spacing w:before="240" w:line="276" w:lineRule="auto"/>
              <w:jc w:val="center"/>
              <w:rPr>
                <w:rFonts w:ascii="Arial" w:eastAsia="Arial" w:hAnsi="Arial" w:cs="Arial"/>
                <w:b/>
                <w:sz w:val="22"/>
                <w:szCs w:val="22"/>
              </w:rPr>
            </w:pPr>
            <w:r>
              <w:rPr>
                <w:rFonts w:ascii="Arial" w:eastAsia="Arial" w:hAnsi="Arial" w:cs="Arial"/>
                <w:b/>
                <w:sz w:val="22"/>
                <w:szCs w:val="22"/>
              </w:rPr>
              <w:t>Total</w:t>
            </w:r>
          </w:p>
        </w:tc>
        <w:tc>
          <w:tcPr>
            <w:tcW w:w="3015" w:type="dxa"/>
            <w:tcBorders>
              <w:top w:val="nil"/>
              <w:left w:val="nil"/>
              <w:bottom w:val="single" w:sz="8" w:space="0" w:color="000000"/>
              <w:right w:val="single" w:sz="8" w:space="0" w:color="000000"/>
            </w:tcBorders>
            <w:shd w:val="clear" w:color="auto" w:fill="C9DAF8"/>
            <w:tcMar>
              <w:top w:w="100" w:type="dxa"/>
              <w:left w:w="80" w:type="dxa"/>
              <w:bottom w:w="100" w:type="dxa"/>
              <w:right w:w="80" w:type="dxa"/>
            </w:tcMar>
          </w:tcPr>
          <w:p w:rsidR="00B202A2" w:rsidRDefault="00295E06">
            <w:pPr>
              <w:spacing w:before="240" w:line="276" w:lineRule="auto"/>
              <w:jc w:val="center"/>
              <w:rPr>
                <w:rFonts w:ascii="Arial" w:eastAsia="Arial" w:hAnsi="Arial" w:cs="Arial"/>
                <w:b/>
                <w:sz w:val="22"/>
                <w:szCs w:val="22"/>
              </w:rPr>
            </w:pPr>
            <w:r>
              <w:rPr>
                <w:rFonts w:ascii="Arial" w:eastAsia="Arial" w:hAnsi="Arial" w:cs="Arial"/>
                <w:b/>
                <w:sz w:val="22"/>
                <w:szCs w:val="22"/>
              </w:rPr>
              <w:t>$12.685.613.961</w:t>
            </w:r>
          </w:p>
        </w:tc>
      </w:tr>
    </w:tbl>
    <w:p w:rsidR="00B202A2" w:rsidRDefault="00B202A2">
      <w:pPr>
        <w:spacing w:before="240" w:after="240"/>
        <w:rPr>
          <w:rFonts w:ascii="Arial" w:eastAsia="Arial" w:hAnsi="Arial" w:cs="Arial"/>
          <w:b/>
          <w:color w:val="335B8A"/>
          <w:sz w:val="22"/>
          <w:szCs w:val="22"/>
        </w:rPr>
      </w:pPr>
    </w:p>
    <w:p w:rsidR="00B202A2" w:rsidRDefault="00295E06">
      <w:pPr>
        <w:pStyle w:val="Ttulo3"/>
        <w:rPr>
          <w:rFonts w:ascii="Arial" w:eastAsia="Arial" w:hAnsi="Arial" w:cs="Arial"/>
          <w:sz w:val="22"/>
          <w:szCs w:val="22"/>
        </w:rPr>
      </w:pPr>
      <w:bookmarkStart w:id="41" w:name="_Toc55494298"/>
      <w:r>
        <w:rPr>
          <w:rFonts w:ascii="Arial" w:eastAsia="Arial" w:hAnsi="Arial" w:cs="Arial"/>
          <w:sz w:val="22"/>
          <w:szCs w:val="22"/>
        </w:rPr>
        <w:t>2.7.2. Gestión administrativa</w:t>
      </w:r>
      <w:bookmarkEnd w:id="41"/>
      <w:r>
        <w:rPr>
          <w:rFonts w:ascii="Arial" w:eastAsia="Arial" w:hAnsi="Arial" w:cs="Arial"/>
          <w:sz w:val="22"/>
          <w:szCs w:val="22"/>
        </w:rPr>
        <w:t xml:space="preserve"> </w:t>
      </w:r>
    </w:p>
    <w:p w:rsidR="00B202A2" w:rsidRDefault="00295E06">
      <w:pPr>
        <w:spacing w:line="256" w:lineRule="auto"/>
        <w:ind w:left="720"/>
        <w:rPr>
          <w:rFonts w:ascii="Arial" w:eastAsia="Arial" w:hAnsi="Arial" w:cs="Arial"/>
          <w:sz w:val="22"/>
          <w:szCs w:val="22"/>
        </w:rPr>
      </w:pPr>
      <w:r>
        <w:rPr>
          <w:rFonts w:ascii="Arial" w:eastAsia="Arial" w:hAnsi="Arial" w:cs="Arial"/>
          <w:sz w:val="22"/>
          <w:szCs w:val="22"/>
        </w:rPr>
        <w:t xml:space="preserve"> </w:t>
      </w:r>
    </w:p>
    <w:p w:rsidR="00B202A2" w:rsidRDefault="00295E06">
      <w:pPr>
        <w:ind w:right="863"/>
        <w:jc w:val="both"/>
        <w:rPr>
          <w:rFonts w:ascii="Arial" w:eastAsia="Arial" w:hAnsi="Arial" w:cs="Arial"/>
          <w:sz w:val="22"/>
          <w:szCs w:val="22"/>
        </w:rPr>
      </w:pPr>
      <w:r>
        <w:rPr>
          <w:rFonts w:ascii="Arial" w:eastAsia="Arial" w:hAnsi="Arial" w:cs="Arial"/>
          <w:sz w:val="22"/>
          <w:szCs w:val="22"/>
        </w:rPr>
        <w:t>Con la labor de la gestión administrativa; la UPME sustenta las bases para la ejecución y potenciación de las tareas, tomando como eje fundamental el trabajo en equipo para un eficiente cumplimiento de todas sus funciones como entidad estatal orientada a r</w:t>
      </w:r>
      <w:r>
        <w:rPr>
          <w:rFonts w:ascii="Arial" w:eastAsia="Arial" w:hAnsi="Arial" w:cs="Arial"/>
          <w:sz w:val="22"/>
          <w:szCs w:val="22"/>
        </w:rPr>
        <w:t>esultados que mejorarán la calidad de vida de los colombianos.</w:t>
      </w:r>
      <w:r>
        <w:rPr>
          <w:rFonts w:ascii="Arial" w:eastAsia="Arial" w:hAnsi="Arial" w:cs="Arial"/>
          <w:b/>
          <w:sz w:val="22"/>
          <w:szCs w:val="22"/>
        </w:rPr>
        <w:t xml:space="preserve"> </w:t>
      </w:r>
    </w:p>
    <w:p w:rsidR="00B202A2" w:rsidRDefault="00295E06">
      <w:pPr>
        <w:spacing w:line="256" w:lineRule="auto"/>
        <w:jc w:val="both"/>
        <w:rPr>
          <w:rFonts w:ascii="Arial" w:eastAsia="Arial" w:hAnsi="Arial" w:cs="Arial"/>
          <w:sz w:val="22"/>
          <w:szCs w:val="22"/>
        </w:rPr>
      </w:pPr>
      <w:r>
        <w:rPr>
          <w:rFonts w:ascii="Arial" w:eastAsia="Arial" w:hAnsi="Arial" w:cs="Arial"/>
          <w:b/>
          <w:sz w:val="22"/>
          <w:szCs w:val="22"/>
        </w:rPr>
        <w:t xml:space="preserve"> </w:t>
      </w:r>
    </w:p>
    <w:p w:rsidR="00B202A2" w:rsidRDefault="00295E06">
      <w:pPr>
        <w:spacing w:line="249" w:lineRule="auto"/>
        <w:rPr>
          <w:rFonts w:ascii="Arial" w:eastAsia="Arial" w:hAnsi="Arial" w:cs="Arial"/>
          <w:sz w:val="22"/>
          <w:szCs w:val="22"/>
        </w:rPr>
      </w:pPr>
      <w:r>
        <w:rPr>
          <w:rFonts w:ascii="Arial" w:eastAsia="Arial" w:hAnsi="Arial" w:cs="Arial"/>
          <w:sz w:val="22"/>
          <w:szCs w:val="22"/>
          <w:u w:val="single"/>
        </w:rPr>
        <w:t>Servicios administrativos</w:t>
      </w:r>
      <w:r>
        <w:rPr>
          <w:rFonts w:ascii="Arial" w:eastAsia="Arial" w:hAnsi="Arial" w:cs="Arial"/>
          <w:b/>
          <w:sz w:val="22"/>
          <w:szCs w:val="22"/>
        </w:rPr>
        <w:t xml:space="preserve"> </w:t>
      </w:r>
    </w:p>
    <w:p w:rsidR="00B202A2" w:rsidRDefault="00295E06">
      <w:pPr>
        <w:spacing w:line="256" w:lineRule="auto"/>
        <w:rPr>
          <w:rFonts w:ascii="Arial" w:eastAsia="Arial" w:hAnsi="Arial" w:cs="Arial"/>
          <w:sz w:val="22"/>
          <w:szCs w:val="22"/>
        </w:rPr>
      </w:pPr>
      <w:r>
        <w:rPr>
          <w:rFonts w:ascii="Arial" w:eastAsia="Arial" w:hAnsi="Arial" w:cs="Arial"/>
          <w:b/>
          <w:sz w:val="22"/>
          <w:szCs w:val="22"/>
        </w:rPr>
        <w:t xml:space="preserve"> </w:t>
      </w:r>
    </w:p>
    <w:p w:rsidR="00B202A2" w:rsidRDefault="00295E06">
      <w:pPr>
        <w:ind w:right="863"/>
        <w:jc w:val="both"/>
        <w:rPr>
          <w:rFonts w:ascii="Arial" w:eastAsia="Arial" w:hAnsi="Arial" w:cs="Arial"/>
          <w:sz w:val="22"/>
          <w:szCs w:val="22"/>
        </w:rPr>
      </w:pPr>
      <w:r>
        <w:rPr>
          <w:rFonts w:ascii="Arial" w:eastAsia="Arial" w:hAnsi="Arial" w:cs="Arial"/>
          <w:sz w:val="22"/>
          <w:szCs w:val="22"/>
        </w:rPr>
        <w:t>Con la ejecución del Plan Anual de Adquisiciones –PAA, se han provisto en forma oportuna y eficaz los bienes y servicios requeridos para asegurar el óptimo funcionamiento de la Unidad, llevando a cabo actividades propias para facilitar y brindar soporte al</w:t>
      </w:r>
      <w:r>
        <w:rPr>
          <w:rFonts w:ascii="Arial" w:eastAsia="Arial" w:hAnsi="Arial" w:cs="Arial"/>
          <w:sz w:val="22"/>
          <w:szCs w:val="22"/>
        </w:rPr>
        <w:t xml:space="preserve"> cumplimiento de las competencias y funciones de la entidad. Dicha actividad se ha desarrollado con cargo al presupuesto de funcionamiento en el rubro de adquisición de bienes y servicios y cuenta con una asignación de COP$1.796.949.000, de los cuales, con</w:t>
      </w:r>
      <w:r>
        <w:rPr>
          <w:rFonts w:ascii="Arial" w:eastAsia="Arial" w:hAnsi="Arial" w:cs="Arial"/>
          <w:sz w:val="22"/>
          <w:szCs w:val="22"/>
        </w:rPr>
        <w:t xml:space="preserve"> corte al 20 septiembre de 2020, se ha ejecutado el 92,2% equivalente a COP$1.670.192.445.</w:t>
      </w:r>
      <w:r>
        <w:rPr>
          <w:rFonts w:ascii="Arial" w:eastAsia="Arial" w:hAnsi="Arial" w:cs="Arial"/>
          <w:b/>
          <w:sz w:val="22"/>
          <w:szCs w:val="22"/>
        </w:rPr>
        <w:t xml:space="preserve"> </w:t>
      </w:r>
    </w:p>
    <w:p w:rsidR="00B202A2" w:rsidRDefault="00295E06">
      <w:pPr>
        <w:spacing w:line="256" w:lineRule="auto"/>
        <w:ind w:left="720"/>
        <w:rPr>
          <w:rFonts w:ascii="Arial" w:eastAsia="Arial" w:hAnsi="Arial" w:cs="Arial"/>
          <w:sz w:val="22"/>
          <w:szCs w:val="22"/>
        </w:rPr>
      </w:pPr>
      <w:r>
        <w:rPr>
          <w:rFonts w:ascii="Arial" w:eastAsia="Arial" w:hAnsi="Arial" w:cs="Arial"/>
          <w:b/>
          <w:sz w:val="22"/>
          <w:szCs w:val="22"/>
        </w:rPr>
        <w:t xml:space="preserve"> </w:t>
      </w:r>
    </w:p>
    <w:p w:rsidR="00B202A2" w:rsidRDefault="00295E06">
      <w:pPr>
        <w:tabs>
          <w:tab w:val="left" w:pos="567"/>
          <w:tab w:val="left" w:pos="851"/>
        </w:tabs>
        <w:ind w:right="863"/>
        <w:jc w:val="both"/>
        <w:rPr>
          <w:rFonts w:ascii="Arial" w:eastAsia="Arial" w:hAnsi="Arial" w:cs="Arial"/>
          <w:sz w:val="22"/>
          <w:szCs w:val="22"/>
        </w:rPr>
      </w:pPr>
      <w:r>
        <w:rPr>
          <w:rFonts w:ascii="Arial" w:eastAsia="Arial" w:hAnsi="Arial" w:cs="Arial"/>
          <w:sz w:val="22"/>
          <w:szCs w:val="22"/>
        </w:rPr>
        <w:t>De las actividades asociadas a dichos recursos durante este año, se destaca la continua mejora en los espacios de la sede administrativa, desarrollando labores para ofrecer un ambiente que permita que los servidores públicos y los grupos de interés, se sie</w:t>
      </w:r>
      <w:r>
        <w:rPr>
          <w:rFonts w:ascii="Arial" w:eastAsia="Arial" w:hAnsi="Arial" w:cs="Arial"/>
          <w:sz w:val="22"/>
          <w:szCs w:val="22"/>
        </w:rPr>
        <w:t xml:space="preserve">ntan seguros y puedan contar con los bienes que faciliten sus actividades, en el marco del Sistema de Gestión en Seguridad y Salud en el Trabajo –SG-SST, e igualmente en condiciones de eficiencia y eficacia.  Así, se han cumplido las medidas de austeridad </w:t>
      </w:r>
      <w:r>
        <w:rPr>
          <w:rFonts w:ascii="Arial" w:eastAsia="Arial" w:hAnsi="Arial" w:cs="Arial"/>
          <w:sz w:val="22"/>
          <w:szCs w:val="22"/>
        </w:rPr>
        <w:t>impartidas a través de las directivas presidenciales No.  09 -2018,  el Decreto No. 1009 de 20, respectivamente y la Ley Anual de Presupuesto, garantizando los ahorros correspondientes en los servicios que están inmersos en el presupuesto de funcionamiento</w:t>
      </w:r>
      <w:r>
        <w:rPr>
          <w:rFonts w:ascii="Arial" w:eastAsia="Arial" w:hAnsi="Arial" w:cs="Arial"/>
          <w:sz w:val="22"/>
          <w:szCs w:val="22"/>
        </w:rPr>
        <w:t xml:space="preserve"> evidenciándose lo siguiente: </w:t>
      </w:r>
    </w:p>
    <w:p w:rsidR="00B202A2" w:rsidRDefault="00B202A2">
      <w:pPr>
        <w:tabs>
          <w:tab w:val="left" w:pos="567"/>
          <w:tab w:val="left" w:pos="851"/>
        </w:tabs>
        <w:ind w:right="863"/>
        <w:rPr>
          <w:rFonts w:ascii="Arial" w:eastAsia="Arial" w:hAnsi="Arial" w:cs="Arial"/>
          <w:sz w:val="22"/>
          <w:szCs w:val="22"/>
        </w:rPr>
      </w:pPr>
    </w:p>
    <w:p w:rsidR="00B202A2" w:rsidRDefault="00295E06">
      <w:pPr>
        <w:shd w:val="clear" w:color="auto" w:fill="FFFFFF"/>
        <w:spacing w:before="240" w:after="240"/>
        <w:jc w:val="center"/>
        <w:rPr>
          <w:rFonts w:ascii="Arial" w:eastAsia="Arial" w:hAnsi="Arial" w:cs="Arial"/>
          <w:b/>
          <w:sz w:val="22"/>
          <w:szCs w:val="22"/>
          <w:u w:val="single"/>
        </w:rPr>
      </w:pPr>
      <w:r>
        <w:rPr>
          <w:rFonts w:ascii="Arial" w:eastAsia="Arial" w:hAnsi="Arial" w:cs="Arial"/>
          <w:b/>
          <w:sz w:val="22"/>
          <w:szCs w:val="22"/>
          <w:u w:val="single"/>
        </w:rPr>
        <w:t>Tabla 5. Gastos en servicios públicos</w:t>
      </w:r>
    </w:p>
    <w:p w:rsidR="00B202A2" w:rsidRDefault="00B202A2">
      <w:pPr>
        <w:tabs>
          <w:tab w:val="left" w:pos="567"/>
          <w:tab w:val="left" w:pos="851"/>
        </w:tabs>
        <w:ind w:right="863"/>
        <w:rPr>
          <w:rFonts w:ascii="Arial" w:eastAsia="Arial" w:hAnsi="Arial" w:cs="Arial"/>
          <w:sz w:val="22"/>
          <w:szCs w:val="22"/>
        </w:rPr>
      </w:pPr>
    </w:p>
    <w:tbl>
      <w:tblPr>
        <w:tblStyle w:val="aff4"/>
        <w:tblW w:w="7680" w:type="dxa"/>
        <w:tblInd w:w="43" w:type="dxa"/>
        <w:tblLayout w:type="fixed"/>
        <w:tblLook w:val="0400" w:firstRow="0" w:lastRow="0" w:firstColumn="0" w:lastColumn="0" w:noHBand="0" w:noVBand="1"/>
      </w:tblPr>
      <w:tblGrid>
        <w:gridCol w:w="2070"/>
        <w:gridCol w:w="1695"/>
        <w:gridCol w:w="2130"/>
        <w:gridCol w:w="1785"/>
      </w:tblGrid>
      <w:tr w:rsidR="00B202A2">
        <w:trPr>
          <w:trHeight w:val="384"/>
        </w:trPr>
        <w:tc>
          <w:tcPr>
            <w:tcW w:w="2070" w:type="dxa"/>
            <w:tcBorders>
              <w:top w:val="single" w:sz="8" w:space="0" w:color="000000"/>
              <w:left w:val="single" w:sz="8" w:space="0" w:color="000000"/>
              <w:bottom w:val="nil"/>
              <w:right w:val="nil"/>
            </w:tcBorders>
            <w:shd w:val="clear" w:color="auto" w:fill="C9DAF8"/>
            <w:vAlign w:val="bottom"/>
          </w:tcPr>
          <w:p w:rsidR="00B202A2" w:rsidRDefault="00295E06">
            <w:pPr>
              <w:jc w:val="center"/>
              <w:rPr>
                <w:rFonts w:ascii="Arial" w:eastAsia="Arial" w:hAnsi="Arial" w:cs="Arial"/>
                <w:sz w:val="22"/>
                <w:szCs w:val="22"/>
              </w:rPr>
            </w:pPr>
            <w:r>
              <w:rPr>
                <w:rFonts w:ascii="Arial" w:eastAsia="Arial" w:hAnsi="Arial" w:cs="Arial"/>
                <w:b/>
                <w:sz w:val="22"/>
                <w:szCs w:val="22"/>
              </w:rPr>
              <w:lastRenderedPageBreak/>
              <w:t>Servicio público</w:t>
            </w:r>
          </w:p>
        </w:tc>
        <w:tc>
          <w:tcPr>
            <w:tcW w:w="1695" w:type="dxa"/>
            <w:tcBorders>
              <w:top w:val="single" w:sz="8" w:space="0" w:color="000000"/>
              <w:left w:val="single" w:sz="4" w:space="0" w:color="000000"/>
              <w:bottom w:val="nil"/>
              <w:right w:val="single" w:sz="4" w:space="0" w:color="000000"/>
            </w:tcBorders>
            <w:shd w:val="clear" w:color="auto" w:fill="C9DAF8"/>
            <w:vAlign w:val="bottom"/>
          </w:tcPr>
          <w:p w:rsidR="00B202A2" w:rsidRDefault="00295E06">
            <w:pPr>
              <w:jc w:val="center"/>
              <w:rPr>
                <w:rFonts w:ascii="Arial" w:eastAsia="Arial" w:hAnsi="Arial" w:cs="Arial"/>
                <w:sz w:val="22"/>
                <w:szCs w:val="22"/>
              </w:rPr>
            </w:pPr>
            <w:r>
              <w:rPr>
                <w:rFonts w:ascii="Arial" w:eastAsia="Arial" w:hAnsi="Arial" w:cs="Arial"/>
                <w:b/>
                <w:color w:val="000000"/>
                <w:sz w:val="22"/>
                <w:szCs w:val="22"/>
              </w:rPr>
              <w:t>A</w:t>
            </w:r>
            <w:r>
              <w:rPr>
                <w:rFonts w:ascii="Arial" w:eastAsia="Arial" w:hAnsi="Arial" w:cs="Arial"/>
                <w:b/>
                <w:sz w:val="22"/>
                <w:szCs w:val="22"/>
              </w:rPr>
              <w:t>ño</w:t>
            </w:r>
            <w:r>
              <w:rPr>
                <w:rFonts w:ascii="Arial" w:eastAsia="Arial" w:hAnsi="Arial" w:cs="Arial"/>
                <w:b/>
                <w:color w:val="000000"/>
                <w:sz w:val="22"/>
                <w:szCs w:val="22"/>
              </w:rPr>
              <w:t xml:space="preserve"> 2019</w:t>
            </w:r>
          </w:p>
        </w:tc>
        <w:tc>
          <w:tcPr>
            <w:tcW w:w="2130" w:type="dxa"/>
            <w:tcBorders>
              <w:top w:val="single" w:sz="8" w:space="0" w:color="000000"/>
              <w:left w:val="nil"/>
              <w:bottom w:val="nil"/>
              <w:right w:val="nil"/>
            </w:tcBorders>
            <w:shd w:val="clear" w:color="auto" w:fill="C9DAF8"/>
            <w:vAlign w:val="bottom"/>
          </w:tcPr>
          <w:p w:rsidR="00B202A2" w:rsidRDefault="00295E06">
            <w:pPr>
              <w:jc w:val="center"/>
              <w:rPr>
                <w:rFonts w:ascii="Arial" w:eastAsia="Arial" w:hAnsi="Arial" w:cs="Arial"/>
                <w:b/>
                <w:color w:val="000000"/>
                <w:sz w:val="22"/>
                <w:szCs w:val="22"/>
              </w:rPr>
            </w:pPr>
            <w:r>
              <w:rPr>
                <w:rFonts w:ascii="Arial" w:eastAsia="Arial" w:hAnsi="Arial" w:cs="Arial"/>
                <w:b/>
                <w:color w:val="000000"/>
                <w:sz w:val="22"/>
                <w:szCs w:val="22"/>
              </w:rPr>
              <w:t>E</w:t>
            </w:r>
            <w:r>
              <w:rPr>
                <w:rFonts w:ascii="Arial" w:eastAsia="Arial" w:hAnsi="Arial" w:cs="Arial"/>
                <w:b/>
                <w:sz w:val="22"/>
                <w:szCs w:val="22"/>
              </w:rPr>
              <w:t>nero</w:t>
            </w:r>
            <w:r>
              <w:rPr>
                <w:rFonts w:ascii="Arial" w:eastAsia="Arial" w:hAnsi="Arial" w:cs="Arial"/>
                <w:b/>
                <w:color w:val="000000"/>
                <w:sz w:val="22"/>
                <w:szCs w:val="22"/>
              </w:rPr>
              <w:t xml:space="preserve"> - O</w:t>
            </w:r>
            <w:r>
              <w:rPr>
                <w:rFonts w:ascii="Arial" w:eastAsia="Arial" w:hAnsi="Arial" w:cs="Arial"/>
                <w:b/>
                <w:sz w:val="22"/>
                <w:szCs w:val="22"/>
              </w:rPr>
              <w:t>ctubre</w:t>
            </w:r>
          </w:p>
          <w:p w:rsidR="00B202A2" w:rsidRDefault="00295E06">
            <w:pPr>
              <w:jc w:val="center"/>
              <w:rPr>
                <w:rFonts w:ascii="Arial" w:eastAsia="Arial" w:hAnsi="Arial" w:cs="Arial"/>
                <w:b/>
                <w:color w:val="000000"/>
                <w:sz w:val="22"/>
                <w:szCs w:val="22"/>
              </w:rPr>
            </w:pPr>
            <w:r>
              <w:rPr>
                <w:rFonts w:ascii="Arial" w:eastAsia="Arial" w:hAnsi="Arial" w:cs="Arial"/>
                <w:b/>
                <w:sz w:val="22"/>
                <w:szCs w:val="22"/>
              </w:rPr>
              <w:t>año</w:t>
            </w:r>
            <w:r>
              <w:rPr>
                <w:rFonts w:ascii="Arial" w:eastAsia="Arial" w:hAnsi="Arial" w:cs="Arial"/>
                <w:b/>
                <w:color w:val="000000"/>
                <w:sz w:val="22"/>
                <w:szCs w:val="22"/>
              </w:rPr>
              <w:t xml:space="preserve"> 2020</w:t>
            </w:r>
          </w:p>
        </w:tc>
        <w:tc>
          <w:tcPr>
            <w:tcW w:w="1785" w:type="dxa"/>
            <w:tcBorders>
              <w:top w:val="single" w:sz="8" w:space="0" w:color="000000"/>
              <w:left w:val="single" w:sz="4" w:space="0" w:color="000000"/>
              <w:bottom w:val="nil"/>
              <w:right w:val="single" w:sz="8" w:space="0" w:color="000000"/>
            </w:tcBorders>
            <w:shd w:val="clear" w:color="auto" w:fill="C9DAF8"/>
            <w:vAlign w:val="bottom"/>
          </w:tcPr>
          <w:p w:rsidR="00B202A2" w:rsidRDefault="00B202A2">
            <w:pPr>
              <w:jc w:val="center"/>
              <w:rPr>
                <w:rFonts w:ascii="Arial" w:eastAsia="Arial" w:hAnsi="Arial" w:cs="Arial"/>
                <w:b/>
                <w:color w:val="000000"/>
                <w:sz w:val="22"/>
                <w:szCs w:val="22"/>
              </w:rPr>
            </w:pPr>
          </w:p>
          <w:p w:rsidR="00B202A2" w:rsidRDefault="00295E06">
            <w:pPr>
              <w:jc w:val="center"/>
              <w:rPr>
                <w:rFonts w:ascii="Arial" w:eastAsia="Arial" w:hAnsi="Arial" w:cs="Arial"/>
                <w:b/>
                <w:color w:val="000000"/>
                <w:sz w:val="22"/>
                <w:szCs w:val="22"/>
              </w:rPr>
            </w:pPr>
            <w:r>
              <w:rPr>
                <w:rFonts w:ascii="Arial" w:eastAsia="Arial" w:hAnsi="Arial" w:cs="Arial"/>
                <w:b/>
                <w:color w:val="000000"/>
                <w:sz w:val="22"/>
                <w:szCs w:val="22"/>
              </w:rPr>
              <w:t xml:space="preserve">% </w:t>
            </w:r>
            <w:r>
              <w:rPr>
                <w:rFonts w:ascii="Arial" w:eastAsia="Arial" w:hAnsi="Arial" w:cs="Arial"/>
                <w:b/>
                <w:sz w:val="22"/>
                <w:szCs w:val="22"/>
              </w:rPr>
              <w:t>variación</w:t>
            </w:r>
          </w:p>
        </w:tc>
      </w:tr>
      <w:tr w:rsidR="00B202A2">
        <w:trPr>
          <w:trHeight w:val="80"/>
        </w:trPr>
        <w:tc>
          <w:tcPr>
            <w:tcW w:w="2070" w:type="dxa"/>
            <w:tcBorders>
              <w:top w:val="nil"/>
              <w:left w:val="single" w:sz="8" w:space="0" w:color="000000"/>
              <w:bottom w:val="single" w:sz="8" w:space="0" w:color="000000"/>
              <w:right w:val="nil"/>
            </w:tcBorders>
            <w:shd w:val="clear" w:color="auto" w:fill="C9DAF8"/>
            <w:vAlign w:val="bottom"/>
          </w:tcPr>
          <w:p w:rsidR="00B202A2" w:rsidRDefault="00B202A2">
            <w:pPr>
              <w:rPr>
                <w:rFonts w:ascii="Arial" w:eastAsia="Arial" w:hAnsi="Arial" w:cs="Arial"/>
                <w:b/>
                <w:color w:val="000000"/>
                <w:sz w:val="22"/>
                <w:szCs w:val="22"/>
              </w:rPr>
            </w:pPr>
          </w:p>
        </w:tc>
        <w:tc>
          <w:tcPr>
            <w:tcW w:w="1695" w:type="dxa"/>
            <w:tcBorders>
              <w:top w:val="nil"/>
              <w:left w:val="single" w:sz="4" w:space="0" w:color="000000"/>
              <w:bottom w:val="single" w:sz="8" w:space="0" w:color="000000"/>
              <w:right w:val="single" w:sz="4" w:space="0" w:color="000000"/>
            </w:tcBorders>
            <w:shd w:val="clear" w:color="auto" w:fill="C9DAF8"/>
            <w:vAlign w:val="bottom"/>
          </w:tcPr>
          <w:p w:rsidR="00B202A2" w:rsidRDefault="00B202A2">
            <w:pPr>
              <w:rPr>
                <w:rFonts w:ascii="Arial" w:eastAsia="Arial" w:hAnsi="Arial" w:cs="Arial"/>
                <w:b/>
                <w:color w:val="000000"/>
                <w:sz w:val="22"/>
                <w:szCs w:val="22"/>
              </w:rPr>
            </w:pPr>
          </w:p>
        </w:tc>
        <w:tc>
          <w:tcPr>
            <w:tcW w:w="2130" w:type="dxa"/>
            <w:tcBorders>
              <w:top w:val="nil"/>
              <w:left w:val="nil"/>
              <w:bottom w:val="single" w:sz="8" w:space="0" w:color="000000"/>
              <w:right w:val="nil"/>
            </w:tcBorders>
            <w:shd w:val="clear" w:color="auto" w:fill="C9DAF8"/>
            <w:vAlign w:val="bottom"/>
          </w:tcPr>
          <w:p w:rsidR="00B202A2" w:rsidRDefault="00B202A2">
            <w:pPr>
              <w:rPr>
                <w:rFonts w:ascii="Arial" w:eastAsia="Arial" w:hAnsi="Arial" w:cs="Arial"/>
                <w:b/>
                <w:color w:val="000000"/>
                <w:sz w:val="22"/>
                <w:szCs w:val="22"/>
              </w:rPr>
            </w:pPr>
          </w:p>
        </w:tc>
        <w:tc>
          <w:tcPr>
            <w:tcW w:w="1785" w:type="dxa"/>
            <w:tcBorders>
              <w:top w:val="nil"/>
              <w:left w:val="single" w:sz="4" w:space="0" w:color="000000"/>
              <w:bottom w:val="single" w:sz="8" w:space="0" w:color="000000"/>
              <w:right w:val="single" w:sz="8" w:space="0" w:color="000000"/>
            </w:tcBorders>
            <w:shd w:val="clear" w:color="auto" w:fill="C9DAF8"/>
            <w:vAlign w:val="bottom"/>
          </w:tcPr>
          <w:p w:rsidR="00B202A2" w:rsidRDefault="00B202A2">
            <w:pPr>
              <w:rPr>
                <w:rFonts w:ascii="Arial" w:eastAsia="Arial" w:hAnsi="Arial" w:cs="Arial"/>
                <w:b/>
                <w:color w:val="000000"/>
                <w:sz w:val="22"/>
                <w:szCs w:val="22"/>
              </w:rPr>
            </w:pPr>
          </w:p>
        </w:tc>
      </w:tr>
      <w:tr w:rsidR="00B202A2">
        <w:trPr>
          <w:trHeight w:val="330"/>
        </w:trPr>
        <w:tc>
          <w:tcPr>
            <w:tcW w:w="2070" w:type="dxa"/>
            <w:tcBorders>
              <w:top w:val="nil"/>
              <w:left w:val="single" w:sz="8" w:space="0" w:color="000000"/>
              <w:bottom w:val="single" w:sz="4" w:space="0" w:color="000000"/>
              <w:right w:val="nil"/>
            </w:tcBorders>
            <w:vAlign w:val="bottom"/>
          </w:tcPr>
          <w:p w:rsidR="00B202A2" w:rsidRDefault="00295E06">
            <w:pPr>
              <w:rPr>
                <w:rFonts w:ascii="Arial" w:eastAsia="Arial" w:hAnsi="Arial" w:cs="Arial"/>
                <w:color w:val="000000"/>
                <w:sz w:val="22"/>
                <w:szCs w:val="22"/>
              </w:rPr>
            </w:pPr>
            <w:r>
              <w:rPr>
                <w:rFonts w:ascii="Arial" w:eastAsia="Arial" w:hAnsi="Arial" w:cs="Arial"/>
                <w:color w:val="000000"/>
                <w:sz w:val="22"/>
                <w:szCs w:val="22"/>
              </w:rPr>
              <w:t>Acueducto y alcantarillado</w:t>
            </w:r>
          </w:p>
        </w:tc>
        <w:tc>
          <w:tcPr>
            <w:tcW w:w="1695" w:type="dxa"/>
            <w:tcBorders>
              <w:top w:val="nil"/>
              <w:left w:val="single" w:sz="4" w:space="0" w:color="000000"/>
              <w:bottom w:val="single" w:sz="4" w:space="0" w:color="000000"/>
              <w:right w:val="single" w:sz="4" w:space="0" w:color="000000"/>
            </w:tcBorders>
            <w:vAlign w:val="bottom"/>
          </w:tcPr>
          <w:p w:rsidR="00B202A2" w:rsidRDefault="00295E06">
            <w:pPr>
              <w:rPr>
                <w:rFonts w:ascii="Arial" w:eastAsia="Arial" w:hAnsi="Arial" w:cs="Arial"/>
                <w:color w:val="000000"/>
                <w:sz w:val="22"/>
                <w:szCs w:val="22"/>
              </w:rPr>
            </w:pPr>
            <w:r>
              <w:rPr>
                <w:rFonts w:ascii="Arial" w:eastAsia="Arial" w:hAnsi="Arial" w:cs="Arial"/>
                <w:color w:val="000000"/>
                <w:sz w:val="22"/>
                <w:szCs w:val="22"/>
              </w:rPr>
              <w:t xml:space="preserve"> $5.487.723 </w:t>
            </w:r>
          </w:p>
        </w:tc>
        <w:tc>
          <w:tcPr>
            <w:tcW w:w="2130" w:type="dxa"/>
            <w:tcBorders>
              <w:top w:val="nil"/>
              <w:left w:val="nil"/>
              <w:bottom w:val="single" w:sz="4" w:space="0" w:color="000000"/>
              <w:right w:val="nil"/>
            </w:tcBorders>
            <w:vAlign w:val="bottom"/>
          </w:tcPr>
          <w:p w:rsidR="00B202A2" w:rsidRDefault="00295E06">
            <w:pPr>
              <w:rPr>
                <w:rFonts w:ascii="Arial" w:eastAsia="Arial" w:hAnsi="Arial" w:cs="Arial"/>
                <w:color w:val="000000"/>
                <w:sz w:val="22"/>
                <w:szCs w:val="22"/>
              </w:rPr>
            </w:pPr>
            <w:r>
              <w:rPr>
                <w:rFonts w:ascii="Arial" w:eastAsia="Arial" w:hAnsi="Arial" w:cs="Arial"/>
                <w:color w:val="000000"/>
                <w:sz w:val="22"/>
                <w:szCs w:val="22"/>
              </w:rPr>
              <w:t xml:space="preserve"> $3.116.050 </w:t>
            </w:r>
          </w:p>
        </w:tc>
        <w:tc>
          <w:tcPr>
            <w:tcW w:w="1785" w:type="dxa"/>
            <w:tcBorders>
              <w:top w:val="nil"/>
              <w:left w:val="single" w:sz="4" w:space="0" w:color="000000"/>
              <w:bottom w:val="single" w:sz="4" w:space="0" w:color="000000"/>
              <w:right w:val="single" w:sz="8" w:space="0" w:color="000000"/>
            </w:tcBorders>
            <w:vAlign w:val="bottom"/>
          </w:tcPr>
          <w:p w:rsidR="00B202A2" w:rsidRDefault="00295E06">
            <w:pPr>
              <w:rPr>
                <w:rFonts w:ascii="Arial" w:eastAsia="Arial" w:hAnsi="Arial" w:cs="Arial"/>
                <w:color w:val="000000"/>
                <w:sz w:val="22"/>
                <w:szCs w:val="22"/>
              </w:rPr>
            </w:pPr>
            <w:r>
              <w:rPr>
                <w:rFonts w:ascii="Arial" w:eastAsia="Arial" w:hAnsi="Arial" w:cs="Arial"/>
                <w:color w:val="000000"/>
                <w:sz w:val="22"/>
                <w:szCs w:val="22"/>
              </w:rPr>
              <w:t>-56,8</w:t>
            </w:r>
          </w:p>
        </w:tc>
      </w:tr>
      <w:tr w:rsidR="00B202A2">
        <w:trPr>
          <w:trHeight w:val="330"/>
        </w:trPr>
        <w:tc>
          <w:tcPr>
            <w:tcW w:w="2070" w:type="dxa"/>
            <w:tcBorders>
              <w:top w:val="nil"/>
              <w:left w:val="single" w:sz="8" w:space="0" w:color="000000"/>
              <w:bottom w:val="single" w:sz="4" w:space="0" w:color="000000"/>
              <w:right w:val="nil"/>
            </w:tcBorders>
            <w:vAlign w:val="bottom"/>
          </w:tcPr>
          <w:p w:rsidR="00B202A2" w:rsidRDefault="00295E06">
            <w:pPr>
              <w:rPr>
                <w:rFonts w:ascii="Arial" w:eastAsia="Arial" w:hAnsi="Arial" w:cs="Arial"/>
                <w:color w:val="000000"/>
                <w:sz w:val="22"/>
                <w:szCs w:val="22"/>
              </w:rPr>
            </w:pPr>
            <w:r>
              <w:rPr>
                <w:rFonts w:ascii="Arial" w:eastAsia="Arial" w:hAnsi="Arial" w:cs="Arial"/>
                <w:color w:val="000000"/>
                <w:sz w:val="22"/>
                <w:szCs w:val="22"/>
              </w:rPr>
              <w:t>Aseo</w:t>
            </w:r>
          </w:p>
        </w:tc>
        <w:tc>
          <w:tcPr>
            <w:tcW w:w="1695" w:type="dxa"/>
            <w:tcBorders>
              <w:top w:val="nil"/>
              <w:left w:val="single" w:sz="4" w:space="0" w:color="000000"/>
              <w:bottom w:val="single" w:sz="4" w:space="0" w:color="000000"/>
              <w:right w:val="single" w:sz="4" w:space="0" w:color="000000"/>
            </w:tcBorders>
            <w:shd w:val="clear" w:color="auto" w:fill="CFE2F3"/>
            <w:vAlign w:val="bottom"/>
          </w:tcPr>
          <w:p w:rsidR="00B202A2" w:rsidRDefault="00295E06">
            <w:pPr>
              <w:rPr>
                <w:rFonts w:ascii="Arial" w:eastAsia="Arial" w:hAnsi="Arial" w:cs="Arial"/>
                <w:color w:val="000000"/>
                <w:sz w:val="22"/>
                <w:szCs w:val="22"/>
              </w:rPr>
            </w:pPr>
            <w:r>
              <w:rPr>
                <w:rFonts w:ascii="Arial" w:eastAsia="Arial" w:hAnsi="Arial" w:cs="Arial"/>
                <w:color w:val="000000"/>
                <w:sz w:val="22"/>
                <w:szCs w:val="22"/>
              </w:rPr>
              <w:t xml:space="preserve"> $679.690 </w:t>
            </w:r>
          </w:p>
        </w:tc>
        <w:tc>
          <w:tcPr>
            <w:tcW w:w="2130" w:type="dxa"/>
            <w:tcBorders>
              <w:top w:val="nil"/>
              <w:left w:val="nil"/>
              <w:bottom w:val="single" w:sz="4" w:space="0" w:color="000000"/>
              <w:right w:val="nil"/>
            </w:tcBorders>
            <w:shd w:val="clear" w:color="auto" w:fill="CFE2F3"/>
            <w:vAlign w:val="bottom"/>
          </w:tcPr>
          <w:p w:rsidR="00B202A2" w:rsidRDefault="00295E06">
            <w:pPr>
              <w:rPr>
                <w:rFonts w:ascii="Arial" w:eastAsia="Arial" w:hAnsi="Arial" w:cs="Arial"/>
                <w:color w:val="000000"/>
                <w:sz w:val="22"/>
                <w:szCs w:val="22"/>
              </w:rPr>
            </w:pPr>
            <w:r>
              <w:rPr>
                <w:rFonts w:ascii="Arial" w:eastAsia="Arial" w:hAnsi="Arial" w:cs="Arial"/>
                <w:color w:val="000000"/>
                <w:sz w:val="22"/>
                <w:szCs w:val="22"/>
              </w:rPr>
              <w:t xml:space="preserve"> $ 898.000 </w:t>
            </w:r>
          </w:p>
        </w:tc>
        <w:tc>
          <w:tcPr>
            <w:tcW w:w="1785" w:type="dxa"/>
            <w:tcBorders>
              <w:top w:val="nil"/>
              <w:left w:val="single" w:sz="4" w:space="0" w:color="000000"/>
              <w:bottom w:val="single" w:sz="4" w:space="0" w:color="000000"/>
              <w:right w:val="single" w:sz="8" w:space="0" w:color="000000"/>
            </w:tcBorders>
            <w:shd w:val="clear" w:color="auto" w:fill="CFE2F3"/>
            <w:vAlign w:val="bottom"/>
          </w:tcPr>
          <w:p w:rsidR="00B202A2" w:rsidRDefault="00295E06">
            <w:pPr>
              <w:rPr>
                <w:rFonts w:ascii="Arial" w:eastAsia="Arial" w:hAnsi="Arial" w:cs="Arial"/>
                <w:color w:val="000000"/>
                <w:sz w:val="22"/>
                <w:szCs w:val="22"/>
              </w:rPr>
            </w:pPr>
            <w:r>
              <w:rPr>
                <w:rFonts w:ascii="Arial" w:eastAsia="Arial" w:hAnsi="Arial" w:cs="Arial"/>
                <w:color w:val="000000"/>
                <w:sz w:val="22"/>
                <w:szCs w:val="22"/>
              </w:rPr>
              <w:t>32,1</w:t>
            </w:r>
          </w:p>
        </w:tc>
      </w:tr>
      <w:tr w:rsidR="00B202A2">
        <w:trPr>
          <w:trHeight w:val="330"/>
        </w:trPr>
        <w:tc>
          <w:tcPr>
            <w:tcW w:w="2070" w:type="dxa"/>
            <w:tcBorders>
              <w:top w:val="nil"/>
              <w:left w:val="single" w:sz="8" w:space="0" w:color="000000"/>
              <w:bottom w:val="single" w:sz="4" w:space="0" w:color="000000"/>
              <w:right w:val="nil"/>
            </w:tcBorders>
            <w:vAlign w:val="bottom"/>
          </w:tcPr>
          <w:p w:rsidR="00B202A2" w:rsidRDefault="00295E06">
            <w:pPr>
              <w:rPr>
                <w:rFonts w:ascii="Arial" w:eastAsia="Arial" w:hAnsi="Arial" w:cs="Arial"/>
                <w:color w:val="000000"/>
                <w:sz w:val="22"/>
                <w:szCs w:val="22"/>
              </w:rPr>
            </w:pPr>
            <w:r>
              <w:rPr>
                <w:rFonts w:ascii="Arial" w:eastAsia="Arial" w:hAnsi="Arial" w:cs="Arial"/>
                <w:color w:val="000000"/>
                <w:sz w:val="22"/>
                <w:szCs w:val="22"/>
              </w:rPr>
              <w:t>Telefonía móvil</w:t>
            </w:r>
          </w:p>
        </w:tc>
        <w:tc>
          <w:tcPr>
            <w:tcW w:w="1695" w:type="dxa"/>
            <w:tcBorders>
              <w:top w:val="nil"/>
              <w:left w:val="single" w:sz="4" w:space="0" w:color="000000"/>
              <w:bottom w:val="single" w:sz="4" w:space="0" w:color="000000"/>
              <w:right w:val="single" w:sz="4" w:space="0" w:color="000000"/>
            </w:tcBorders>
            <w:vAlign w:val="bottom"/>
          </w:tcPr>
          <w:p w:rsidR="00B202A2" w:rsidRDefault="00295E06">
            <w:pPr>
              <w:rPr>
                <w:rFonts w:ascii="Arial" w:eastAsia="Arial" w:hAnsi="Arial" w:cs="Arial"/>
                <w:color w:val="000000"/>
                <w:sz w:val="22"/>
                <w:szCs w:val="22"/>
              </w:rPr>
            </w:pPr>
            <w:r>
              <w:rPr>
                <w:rFonts w:ascii="Arial" w:eastAsia="Arial" w:hAnsi="Arial" w:cs="Arial"/>
                <w:color w:val="000000"/>
                <w:sz w:val="22"/>
                <w:szCs w:val="22"/>
              </w:rPr>
              <w:t xml:space="preserve"> $552.292 </w:t>
            </w:r>
          </w:p>
        </w:tc>
        <w:tc>
          <w:tcPr>
            <w:tcW w:w="2130" w:type="dxa"/>
            <w:tcBorders>
              <w:top w:val="nil"/>
              <w:left w:val="nil"/>
              <w:bottom w:val="single" w:sz="4" w:space="0" w:color="000000"/>
              <w:right w:val="nil"/>
            </w:tcBorders>
            <w:shd w:val="clear" w:color="auto" w:fill="C6D9F1"/>
            <w:vAlign w:val="bottom"/>
          </w:tcPr>
          <w:p w:rsidR="00B202A2" w:rsidRDefault="00295E06">
            <w:pPr>
              <w:rPr>
                <w:rFonts w:ascii="Arial" w:eastAsia="Arial" w:hAnsi="Arial" w:cs="Arial"/>
                <w:color w:val="000000"/>
                <w:sz w:val="22"/>
                <w:szCs w:val="22"/>
              </w:rPr>
            </w:pPr>
            <w:r>
              <w:rPr>
                <w:rFonts w:ascii="Arial" w:eastAsia="Arial" w:hAnsi="Arial" w:cs="Arial"/>
                <w:color w:val="000000"/>
                <w:sz w:val="22"/>
                <w:szCs w:val="22"/>
              </w:rPr>
              <w:t xml:space="preserve"> $9.218.221 </w:t>
            </w:r>
          </w:p>
        </w:tc>
        <w:tc>
          <w:tcPr>
            <w:tcW w:w="1785" w:type="dxa"/>
            <w:tcBorders>
              <w:top w:val="nil"/>
              <w:left w:val="single" w:sz="4" w:space="0" w:color="000000"/>
              <w:bottom w:val="single" w:sz="4" w:space="0" w:color="000000"/>
              <w:right w:val="single" w:sz="8" w:space="0" w:color="000000"/>
            </w:tcBorders>
            <w:vAlign w:val="bottom"/>
          </w:tcPr>
          <w:p w:rsidR="00B202A2" w:rsidRDefault="00295E06">
            <w:pPr>
              <w:rPr>
                <w:rFonts w:ascii="Arial" w:eastAsia="Arial" w:hAnsi="Arial" w:cs="Arial"/>
                <w:color w:val="000000"/>
                <w:sz w:val="22"/>
                <w:szCs w:val="22"/>
              </w:rPr>
            </w:pPr>
            <w:r>
              <w:rPr>
                <w:rFonts w:ascii="Arial" w:eastAsia="Arial" w:hAnsi="Arial" w:cs="Arial"/>
                <w:color w:val="000000"/>
                <w:sz w:val="22"/>
                <w:szCs w:val="22"/>
              </w:rPr>
              <w:t>40,7</w:t>
            </w:r>
          </w:p>
        </w:tc>
      </w:tr>
      <w:tr w:rsidR="00B202A2">
        <w:trPr>
          <w:trHeight w:val="345"/>
        </w:trPr>
        <w:tc>
          <w:tcPr>
            <w:tcW w:w="2070" w:type="dxa"/>
            <w:tcBorders>
              <w:top w:val="nil"/>
              <w:left w:val="single" w:sz="8" w:space="0" w:color="000000"/>
              <w:bottom w:val="single" w:sz="8" w:space="0" w:color="000000"/>
              <w:right w:val="nil"/>
            </w:tcBorders>
            <w:vAlign w:val="bottom"/>
          </w:tcPr>
          <w:p w:rsidR="00B202A2" w:rsidRDefault="00295E06">
            <w:pPr>
              <w:rPr>
                <w:rFonts w:ascii="Arial" w:eastAsia="Arial" w:hAnsi="Arial" w:cs="Arial"/>
                <w:color w:val="000000"/>
                <w:sz w:val="22"/>
                <w:szCs w:val="22"/>
              </w:rPr>
            </w:pPr>
            <w:r>
              <w:rPr>
                <w:rFonts w:ascii="Arial" w:eastAsia="Arial" w:hAnsi="Arial" w:cs="Arial"/>
                <w:color w:val="000000"/>
                <w:sz w:val="22"/>
                <w:szCs w:val="22"/>
              </w:rPr>
              <w:t>Energía</w:t>
            </w:r>
          </w:p>
        </w:tc>
        <w:tc>
          <w:tcPr>
            <w:tcW w:w="1695" w:type="dxa"/>
            <w:tcBorders>
              <w:top w:val="nil"/>
              <w:left w:val="single" w:sz="4" w:space="0" w:color="000000"/>
              <w:bottom w:val="single" w:sz="8" w:space="0" w:color="000000"/>
              <w:right w:val="single" w:sz="4" w:space="0" w:color="000000"/>
            </w:tcBorders>
            <w:shd w:val="clear" w:color="auto" w:fill="C9DAF8"/>
            <w:vAlign w:val="bottom"/>
          </w:tcPr>
          <w:p w:rsidR="00B202A2" w:rsidRDefault="00295E06">
            <w:pPr>
              <w:rPr>
                <w:rFonts w:ascii="Arial" w:eastAsia="Arial" w:hAnsi="Arial" w:cs="Arial"/>
                <w:color w:val="000000"/>
                <w:sz w:val="22"/>
                <w:szCs w:val="22"/>
              </w:rPr>
            </w:pPr>
            <w:r>
              <w:rPr>
                <w:rFonts w:ascii="Arial" w:eastAsia="Arial" w:hAnsi="Arial" w:cs="Arial"/>
                <w:color w:val="000000"/>
                <w:sz w:val="22"/>
                <w:szCs w:val="22"/>
              </w:rPr>
              <w:t xml:space="preserve"> $59.588.460 </w:t>
            </w:r>
          </w:p>
        </w:tc>
        <w:tc>
          <w:tcPr>
            <w:tcW w:w="2130" w:type="dxa"/>
            <w:tcBorders>
              <w:top w:val="nil"/>
              <w:left w:val="nil"/>
              <w:bottom w:val="single" w:sz="8" w:space="0" w:color="000000"/>
              <w:right w:val="nil"/>
            </w:tcBorders>
            <w:shd w:val="clear" w:color="auto" w:fill="C9DAF8"/>
            <w:vAlign w:val="bottom"/>
          </w:tcPr>
          <w:p w:rsidR="00B202A2" w:rsidRDefault="00295E06">
            <w:pPr>
              <w:rPr>
                <w:rFonts w:ascii="Arial" w:eastAsia="Arial" w:hAnsi="Arial" w:cs="Arial"/>
                <w:color w:val="000000"/>
                <w:sz w:val="22"/>
                <w:szCs w:val="22"/>
              </w:rPr>
            </w:pPr>
            <w:r>
              <w:rPr>
                <w:rFonts w:ascii="Arial" w:eastAsia="Arial" w:hAnsi="Arial" w:cs="Arial"/>
                <w:color w:val="000000"/>
                <w:sz w:val="22"/>
                <w:szCs w:val="22"/>
              </w:rPr>
              <w:t xml:space="preserve"> $70.311.340 </w:t>
            </w:r>
          </w:p>
        </w:tc>
        <w:tc>
          <w:tcPr>
            <w:tcW w:w="1785" w:type="dxa"/>
            <w:tcBorders>
              <w:top w:val="nil"/>
              <w:left w:val="single" w:sz="4" w:space="0" w:color="000000"/>
              <w:bottom w:val="single" w:sz="8" w:space="0" w:color="000000"/>
              <w:right w:val="single" w:sz="8" w:space="0" w:color="000000"/>
            </w:tcBorders>
            <w:shd w:val="clear" w:color="auto" w:fill="C9DAF8"/>
            <w:vAlign w:val="bottom"/>
          </w:tcPr>
          <w:p w:rsidR="00B202A2" w:rsidRDefault="00295E06">
            <w:pPr>
              <w:rPr>
                <w:rFonts w:ascii="Arial" w:eastAsia="Arial" w:hAnsi="Arial" w:cs="Arial"/>
                <w:color w:val="000000"/>
                <w:sz w:val="22"/>
                <w:szCs w:val="22"/>
              </w:rPr>
            </w:pPr>
            <w:r>
              <w:rPr>
                <w:rFonts w:ascii="Arial" w:eastAsia="Arial" w:hAnsi="Arial" w:cs="Arial"/>
                <w:color w:val="000000"/>
                <w:sz w:val="22"/>
                <w:szCs w:val="22"/>
              </w:rPr>
              <w:t>18,8</w:t>
            </w:r>
          </w:p>
        </w:tc>
      </w:tr>
    </w:tbl>
    <w:p w:rsidR="00B202A2" w:rsidRDefault="00295E06">
      <w:pPr>
        <w:tabs>
          <w:tab w:val="left" w:pos="567"/>
          <w:tab w:val="left" w:pos="851"/>
        </w:tabs>
        <w:ind w:right="863"/>
        <w:rPr>
          <w:rFonts w:ascii="Arial" w:eastAsia="Arial" w:hAnsi="Arial" w:cs="Arial"/>
          <w:sz w:val="22"/>
          <w:szCs w:val="22"/>
        </w:rPr>
      </w:pPr>
      <w:r>
        <w:rPr>
          <w:rFonts w:ascii="Arial" w:eastAsia="Arial" w:hAnsi="Arial" w:cs="Arial"/>
          <w:sz w:val="22"/>
          <w:szCs w:val="22"/>
        </w:rPr>
        <w:t xml:space="preserve">                  Fuente UPME_ Con corte a 20 de octubre del 2020</w:t>
      </w:r>
    </w:p>
    <w:p w:rsidR="00B202A2" w:rsidRDefault="00B202A2">
      <w:pPr>
        <w:tabs>
          <w:tab w:val="left" w:pos="567"/>
          <w:tab w:val="left" w:pos="851"/>
        </w:tabs>
        <w:ind w:right="863"/>
        <w:jc w:val="both"/>
        <w:rPr>
          <w:rFonts w:ascii="Arial" w:eastAsia="Arial" w:hAnsi="Arial" w:cs="Arial"/>
          <w:sz w:val="22"/>
          <w:szCs w:val="22"/>
        </w:rPr>
      </w:pPr>
    </w:p>
    <w:p w:rsidR="00B202A2" w:rsidRDefault="00295E06">
      <w:pPr>
        <w:tabs>
          <w:tab w:val="left" w:pos="567"/>
          <w:tab w:val="left" w:pos="851"/>
        </w:tabs>
        <w:ind w:right="863"/>
        <w:jc w:val="both"/>
        <w:rPr>
          <w:rFonts w:ascii="Arial" w:eastAsia="Arial" w:hAnsi="Arial" w:cs="Arial"/>
          <w:sz w:val="22"/>
          <w:szCs w:val="22"/>
        </w:rPr>
      </w:pPr>
      <w:r>
        <w:rPr>
          <w:rFonts w:ascii="Arial" w:eastAsia="Arial" w:hAnsi="Arial" w:cs="Arial"/>
          <w:sz w:val="22"/>
          <w:szCs w:val="22"/>
        </w:rPr>
        <w:t xml:space="preserve">De los datos de la tabla anterior, es importante precisar que para la vigencia 2020, se evidencia una variación en el consumo de energía, toda vez que por el trabajo en casa se deben tener conectados los equipos 24/7 y para el servicio de aseo, se refleja </w:t>
      </w:r>
      <w:r>
        <w:rPr>
          <w:rFonts w:ascii="Arial" w:eastAsia="Arial" w:hAnsi="Arial" w:cs="Arial"/>
          <w:sz w:val="22"/>
          <w:szCs w:val="22"/>
        </w:rPr>
        <w:t>un incremento que obedece a las operaciones externas y ajenas a la unidad. De igual forma, dada la variación en el costo del servicio de telefonía móvil surge la necesidad de adquisición de aparatos que soporten el servicio de un trabajo netamente en el es</w:t>
      </w:r>
      <w:r>
        <w:rPr>
          <w:rFonts w:ascii="Arial" w:eastAsia="Arial" w:hAnsi="Arial" w:cs="Arial"/>
          <w:sz w:val="22"/>
          <w:szCs w:val="22"/>
        </w:rPr>
        <w:t xml:space="preserve">cenario de la virtualidad, los sistemas de comunicación son herramientas fundamentales para asegurar el servicio. Sin embargo, se seguirán con estos compromisos de ahorro, estableciéndose estrategias que nos permitan lograr aún más la eficiencia en el uso </w:t>
      </w:r>
      <w:r>
        <w:rPr>
          <w:rFonts w:ascii="Arial" w:eastAsia="Arial" w:hAnsi="Arial" w:cs="Arial"/>
          <w:sz w:val="22"/>
          <w:szCs w:val="22"/>
        </w:rPr>
        <w:t>de los servicios.</w:t>
      </w:r>
    </w:p>
    <w:p w:rsidR="00B202A2" w:rsidRDefault="00B202A2">
      <w:pPr>
        <w:ind w:right="863"/>
        <w:jc w:val="both"/>
        <w:rPr>
          <w:rFonts w:ascii="Arial" w:eastAsia="Arial" w:hAnsi="Arial" w:cs="Arial"/>
          <w:sz w:val="22"/>
          <w:szCs w:val="22"/>
        </w:rPr>
      </w:pPr>
    </w:p>
    <w:p w:rsidR="00B202A2" w:rsidRDefault="00295E06">
      <w:pPr>
        <w:ind w:right="863"/>
        <w:jc w:val="both"/>
        <w:rPr>
          <w:rFonts w:ascii="Arial" w:eastAsia="Arial" w:hAnsi="Arial" w:cs="Arial"/>
          <w:sz w:val="22"/>
          <w:szCs w:val="22"/>
        </w:rPr>
      </w:pPr>
      <w:r>
        <w:rPr>
          <w:rFonts w:ascii="Arial" w:eastAsia="Arial" w:hAnsi="Arial" w:cs="Arial"/>
          <w:sz w:val="22"/>
          <w:szCs w:val="22"/>
        </w:rPr>
        <w:t>Por otro lado, se destaca que la UPME como entidad técnica responsable del planeamiento integrado de los sectores de minas y energía se comprometió a realizar una gestión ambiental integral con criterios de sostenibilidad ambiental, econ</w:t>
      </w:r>
      <w:r>
        <w:rPr>
          <w:rFonts w:ascii="Arial" w:eastAsia="Arial" w:hAnsi="Arial" w:cs="Arial"/>
          <w:sz w:val="22"/>
          <w:szCs w:val="22"/>
        </w:rPr>
        <w:t xml:space="preserve">ómica y social, considerando la visión misional y operativa en su Plan Institucional de Gestión Ambiental. Por lo anterior, se realiza un levantamiento riguroso de información para lograr identificar los puntos focales de gestión. </w:t>
      </w:r>
    </w:p>
    <w:p w:rsidR="00B202A2" w:rsidRDefault="00295E06">
      <w:pPr>
        <w:spacing w:before="240" w:after="240"/>
        <w:jc w:val="center"/>
        <w:rPr>
          <w:rFonts w:ascii="Arial" w:eastAsia="Arial" w:hAnsi="Arial" w:cs="Arial"/>
          <w:b/>
          <w:sz w:val="22"/>
          <w:szCs w:val="22"/>
        </w:rPr>
      </w:pPr>
      <w:bookmarkStart w:id="42" w:name="_heading=h.3o7alnk" w:colFirst="0" w:colLast="0"/>
      <w:bookmarkEnd w:id="42"/>
      <w:r>
        <w:rPr>
          <w:rFonts w:ascii="Arial" w:eastAsia="Arial" w:hAnsi="Arial" w:cs="Arial"/>
          <w:b/>
          <w:sz w:val="22"/>
          <w:szCs w:val="22"/>
        </w:rPr>
        <w:t>Gráfica 3. Consumo de En</w:t>
      </w:r>
      <w:r>
        <w:rPr>
          <w:rFonts w:ascii="Arial" w:eastAsia="Arial" w:hAnsi="Arial" w:cs="Arial"/>
          <w:b/>
          <w:sz w:val="22"/>
          <w:szCs w:val="22"/>
        </w:rPr>
        <w:t>ergía Eléctrica 2015-2019</w:t>
      </w:r>
    </w:p>
    <w:p w:rsidR="00B202A2" w:rsidRDefault="00295E06">
      <w:pPr>
        <w:jc w:val="center"/>
        <w:rPr>
          <w:rFonts w:ascii="Arial" w:eastAsia="Arial" w:hAnsi="Arial" w:cs="Arial"/>
          <w:sz w:val="22"/>
          <w:szCs w:val="22"/>
          <w:highlight w:val="yellow"/>
        </w:rPr>
      </w:pPr>
      <w:r>
        <w:rPr>
          <w:rFonts w:ascii="Arial" w:eastAsia="Arial" w:hAnsi="Arial" w:cs="Arial"/>
          <w:noProof/>
          <w:sz w:val="22"/>
          <w:szCs w:val="22"/>
          <w:lang w:val="en-US"/>
        </w:rPr>
        <w:drawing>
          <wp:inline distT="0" distB="0" distL="0" distR="0" wp14:anchorId="59548F4A" wp14:editId="1C09EA8B">
            <wp:extent cx="4657725" cy="2695575"/>
            <wp:effectExtent l="0" t="0" r="0" b="0"/>
            <wp:docPr id="82" name="Gráfico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202A2" w:rsidRDefault="00295E06">
      <w:pPr>
        <w:shd w:val="clear" w:color="auto" w:fill="FFFFFF"/>
        <w:rPr>
          <w:rFonts w:ascii="Arial" w:eastAsia="Arial" w:hAnsi="Arial" w:cs="Arial"/>
          <w:sz w:val="22"/>
          <w:szCs w:val="22"/>
        </w:rPr>
      </w:pPr>
      <w:r>
        <w:rPr>
          <w:rFonts w:ascii="Arial" w:eastAsia="Arial" w:hAnsi="Arial" w:cs="Arial"/>
          <w:sz w:val="22"/>
          <w:szCs w:val="22"/>
        </w:rPr>
        <w:t>Fuente: Información Gestión Administrativa – UPME</w:t>
      </w:r>
    </w:p>
    <w:p w:rsidR="00B202A2" w:rsidRDefault="00B202A2">
      <w:pPr>
        <w:shd w:val="clear" w:color="auto" w:fill="FFFFFF"/>
        <w:jc w:val="center"/>
        <w:rPr>
          <w:rFonts w:ascii="Arial" w:eastAsia="Arial" w:hAnsi="Arial" w:cs="Arial"/>
          <w:sz w:val="22"/>
          <w:szCs w:val="22"/>
        </w:rPr>
      </w:pPr>
    </w:p>
    <w:p w:rsidR="00B202A2" w:rsidRDefault="00295E06">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lastRenderedPageBreak/>
        <w:t xml:space="preserve">La fluctuación en el consumo de energía se debe en parte a la variabilidad del personal que permanece en la </w:t>
      </w:r>
      <w:r>
        <w:rPr>
          <w:rFonts w:ascii="Arial" w:eastAsia="Arial" w:hAnsi="Arial" w:cs="Arial"/>
          <w:sz w:val="22"/>
          <w:szCs w:val="22"/>
        </w:rPr>
        <w:t>e</w:t>
      </w:r>
      <w:r>
        <w:rPr>
          <w:rFonts w:ascii="Arial" w:eastAsia="Arial" w:hAnsi="Arial" w:cs="Arial"/>
          <w:color w:val="000000"/>
          <w:sz w:val="22"/>
          <w:szCs w:val="22"/>
        </w:rPr>
        <w:t>ntidad, como contratistas y visitantes; lo que conlleva al aumento o disminución en el uso de equipos y aparatos eléctricos. También es importante destacar que para la vigencia 2019 el consumo de energía aparentemente aumenta, sin embargo, este comportamie</w:t>
      </w:r>
      <w:r>
        <w:rPr>
          <w:rFonts w:ascii="Arial" w:eastAsia="Arial" w:hAnsi="Arial" w:cs="Arial"/>
          <w:color w:val="000000"/>
          <w:sz w:val="22"/>
          <w:szCs w:val="22"/>
        </w:rPr>
        <w:t>nto se da a partir de la inclusión del consumo de energía de la oficina 808 (oficina en arriendo) el cual corresponde a 2.395 kW, si se contabilizara el consumo tal cual es histórico sin dicha oficina el consumo para la vigencia 2019 es de 159.480 kW.</w:t>
      </w:r>
    </w:p>
    <w:p w:rsidR="00B202A2" w:rsidRDefault="00B202A2">
      <w:pPr>
        <w:pBdr>
          <w:top w:val="nil"/>
          <w:left w:val="nil"/>
          <w:bottom w:val="nil"/>
          <w:right w:val="nil"/>
          <w:between w:val="nil"/>
        </w:pBdr>
        <w:jc w:val="both"/>
        <w:rPr>
          <w:rFonts w:ascii="Arial" w:eastAsia="Arial" w:hAnsi="Arial" w:cs="Arial"/>
          <w:color w:val="000000"/>
          <w:sz w:val="22"/>
          <w:szCs w:val="22"/>
        </w:rPr>
      </w:pPr>
    </w:p>
    <w:p w:rsidR="00B202A2" w:rsidRDefault="00295E06">
      <w:pPr>
        <w:spacing w:before="240" w:after="240"/>
        <w:jc w:val="center"/>
        <w:rPr>
          <w:rFonts w:ascii="Arial" w:eastAsia="Arial" w:hAnsi="Arial" w:cs="Arial"/>
          <w:b/>
          <w:sz w:val="22"/>
          <w:szCs w:val="22"/>
        </w:rPr>
      </w:pPr>
      <w:bookmarkStart w:id="43" w:name="_heading=h.23ckvvd" w:colFirst="0" w:colLast="0"/>
      <w:bookmarkEnd w:id="43"/>
      <w:r>
        <w:rPr>
          <w:rFonts w:ascii="Arial" w:eastAsia="Arial" w:hAnsi="Arial" w:cs="Arial"/>
          <w:b/>
          <w:sz w:val="22"/>
          <w:szCs w:val="22"/>
        </w:rPr>
        <w:t>Grá</w:t>
      </w:r>
      <w:r>
        <w:rPr>
          <w:rFonts w:ascii="Arial" w:eastAsia="Arial" w:hAnsi="Arial" w:cs="Arial"/>
          <w:b/>
          <w:sz w:val="22"/>
          <w:szCs w:val="22"/>
        </w:rPr>
        <w:t>fica 4. Consumo de Agua 2015- 2019</w:t>
      </w:r>
    </w:p>
    <w:p w:rsidR="00B202A2" w:rsidRDefault="00295E06">
      <w:pPr>
        <w:jc w:val="center"/>
        <w:rPr>
          <w:rFonts w:ascii="Arial" w:eastAsia="Arial" w:hAnsi="Arial" w:cs="Arial"/>
          <w:sz w:val="22"/>
          <w:szCs w:val="22"/>
        </w:rPr>
      </w:pPr>
      <w:r>
        <w:rPr>
          <w:rFonts w:ascii="Arial" w:eastAsia="Arial" w:hAnsi="Arial" w:cs="Arial"/>
          <w:noProof/>
          <w:sz w:val="22"/>
          <w:szCs w:val="22"/>
          <w:lang w:val="en-US"/>
        </w:rPr>
        <w:drawing>
          <wp:inline distT="0" distB="0" distL="0" distR="0" wp14:anchorId="4377961C" wp14:editId="5DC6922D">
            <wp:extent cx="4876800" cy="2809875"/>
            <wp:effectExtent l="0" t="0" r="0" b="0"/>
            <wp:docPr id="84" name="Gráfico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202A2" w:rsidRDefault="00295E06">
      <w:pPr>
        <w:pBdr>
          <w:top w:val="nil"/>
          <w:left w:val="nil"/>
          <w:bottom w:val="nil"/>
          <w:right w:val="nil"/>
          <w:between w:val="nil"/>
        </w:pBdr>
        <w:tabs>
          <w:tab w:val="left" w:pos="708"/>
        </w:tabs>
        <w:rPr>
          <w:rFonts w:ascii="Arial" w:eastAsia="Arial" w:hAnsi="Arial" w:cs="Arial"/>
          <w:color w:val="000000"/>
          <w:sz w:val="22"/>
          <w:szCs w:val="22"/>
        </w:rPr>
      </w:pPr>
      <w:r>
        <w:rPr>
          <w:rFonts w:ascii="Arial" w:eastAsia="Arial" w:hAnsi="Arial" w:cs="Arial"/>
          <w:color w:val="000000"/>
          <w:sz w:val="22"/>
          <w:szCs w:val="22"/>
        </w:rPr>
        <w:t>Fuente: Información Gestión Administrativa – UPME</w:t>
      </w:r>
    </w:p>
    <w:p w:rsidR="00B202A2" w:rsidRDefault="00B202A2">
      <w:pPr>
        <w:pBdr>
          <w:top w:val="nil"/>
          <w:left w:val="nil"/>
          <w:bottom w:val="nil"/>
          <w:right w:val="nil"/>
          <w:between w:val="nil"/>
        </w:pBdr>
        <w:tabs>
          <w:tab w:val="left" w:pos="708"/>
        </w:tabs>
        <w:rPr>
          <w:rFonts w:ascii="Arial" w:eastAsia="Arial" w:hAnsi="Arial" w:cs="Arial"/>
          <w:color w:val="000000"/>
          <w:sz w:val="22"/>
          <w:szCs w:val="22"/>
        </w:rPr>
      </w:pPr>
    </w:p>
    <w:p w:rsidR="00B202A2" w:rsidRDefault="00295E06">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De la gráfica anterior, se observa que durante los años 2018 y 2019, se ha presentado un notable aumento en el consumo de agua con respecto a los años 2015, 2016 y 2017</w:t>
      </w:r>
      <w:r>
        <w:rPr>
          <w:rFonts w:ascii="Arial" w:eastAsia="Arial" w:hAnsi="Arial" w:cs="Arial"/>
          <w:color w:val="000000"/>
          <w:sz w:val="22"/>
          <w:szCs w:val="22"/>
        </w:rPr>
        <w:t xml:space="preserve">, los cuales se mantuvieron relativamente constantes, </w:t>
      </w:r>
      <w:r>
        <w:rPr>
          <w:rFonts w:ascii="Arial" w:eastAsia="Arial" w:hAnsi="Arial" w:cs="Arial"/>
          <w:sz w:val="22"/>
          <w:szCs w:val="22"/>
        </w:rPr>
        <w:t>e</w:t>
      </w:r>
      <w:r>
        <w:rPr>
          <w:rFonts w:ascii="Arial" w:eastAsia="Arial" w:hAnsi="Arial" w:cs="Arial"/>
          <w:color w:val="000000"/>
          <w:sz w:val="22"/>
          <w:szCs w:val="22"/>
        </w:rPr>
        <w:t xml:space="preserve">sta fluctuación en el consumo de los últimos años se relaciona con la frecuencia de visitantes, así como el aumento en el número de contratistas, lo anterior, atendiendo a la misión de la Entidad, que </w:t>
      </w:r>
      <w:r>
        <w:rPr>
          <w:rFonts w:ascii="Arial" w:eastAsia="Arial" w:hAnsi="Arial" w:cs="Arial"/>
          <w:color w:val="000000"/>
          <w:sz w:val="22"/>
          <w:szCs w:val="22"/>
        </w:rPr>
        <w:t>conlleva a la realización de reuniones, socialización de proyectos, convocatorias entre otras actividades, y por ende se ve reflejado en el uso de unidades sanitarias, en la preparación de bebidas y en los tiempos y usos del recurso en actividades de aseo.</w:t>
      </w:r>
      <w:r>
        <w:rPr>
          <w:rFonts w:ascii="Arial" w:eastAsia="Arial" w:hAnsi="Arial" w:cs="Arial"/>
          <w:color w:val="000000"/>
          <w:sz w:val="22"/>
          <w:szCs w:val="22"/>
        </w:rPr>
        <w:t xml:space="preserve"> </w:t>
      </w:r>
    </w:p>
    <w:p w:rsidR="00B202A2" w:rsidRDefault="00B202A2">
      <w:pPr>
        <w:pBdr>
          <w:top w:val="nil"/>
          <w:left w:val="nil"/>
          <w:bottom w:val="nil"/>
          <w:right w:val="nil"/>
          <w:between w:val="nil"/>
        </w:pBdr>
        <w:jc w:val="both"/>
        <w:rPr>
          <w:rFonts w:ascii="Arial" w:eastAsia="Arial" w:hAnsi="Arial" w:cs="Arial"/>
          <w:sz w:val="22"/>
          <w:szCs w:val="22"/>
        </w:rPr>
      </w:pPr>
    </w:p>
    <w:p w:rsidR="00B202A2" w:rsidRDefault="00295E06">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También se debe destacar una disminución del consumo de agua en el año 2019 de 112 m3 con respecto al 2018. En la </w:t>
      </w:r>
      <w:r>
        <w:rPr>
          <w:rFonts w:ascii="Arial" w:eastAsia="Arial" w:hAnsi="Arial" w:cs="Arial"/>
          <w:sz w:val="22"/>
          <w:szCs w:val="22"/>
        </w:rPr>
        <w:t>gráfica 5</w:t>
      </w:r>
      <w:r>
        <w:rPr>
          <w:rFonts w:ascii="Arial" w:eastAsia="Arial" w:hAnsi="Arial" w:cs="Arial"/>
          <w:color w:val="000000"/>
          <w:sz w:val="22"/>
          <w:szCs w:val="22"/>
        </w:rPr>
        <w:t xml:space="preserve"> se puede observar la generación de residuos ordinarios y reciclables en la UPME, durante el periodo agosto 2018 a diciembre 2019</w:t>
      </w:r>
      <w:r>
        <w:rPr>
          <w:rFonts w:ascii="Arial" w:eastAsia="Arial" w:hAnsi="Arial" w:cs="Arial"/>
          <w:sz w:val="22"/>
          <w:szCs w:val="22"/>
        </w:rPr>
        <w:t>,</w:t>
      </w:r>
      <w:r>
        <w:rPr>
          <w:rFonts w:ascii="Arial" w:eastAsia="Arial" w:hAnsi="Arial" w:cs="Arial"/>
          <w:sz w:val="22"/>
          <w:szCs w:val="22"/>
        </w:rPr>
        <w:t xml:space="preserve"> en la cual s</w:t>
      </w:r>
      <w:r>
        <w:rPr>
          <w:rFonts w:ascii="Arial" w:eastAsia="Arial" w:hAnsi="Arial" w:cs="Arial"/>
          <w:color w:val="000000"/>
          <w:sz w:val="22"/>
          <w:szCs w:val="22"/>
        </w:rPr>
        <w:t xml:space="preserve">e puede evidenciar una significativa disminución de los residuos ordinarios y un paulatino aumento de los residuos aprovechables lo que permite concluir que la gestión se está realizando de mejor manera, sin embargo, se debe continuar con las </w:t>
      </w:r>
      <w:r>
        <w:rPr>
          <w:rFonts w:ascii="Arial" w:eastAsia="Arial" w:hAnsi="Arial" w:cs="Arial"/>
          <w:color w:val="000000"/>
          <w:sz w:val="22"/>
          <w:szCs w:val="22"/>
        </w:rPr>
        <w:t xml:space="preserve">actividades de mejoramiento, seguimiento y control. </w:t>
      </w:r>
    </w:p>
    <w:p w:rsidR="00B202A2" w:rsidRDefault="00B202A2">
      <w:pPr>
        <w:jc w:val="both"/>
        <w:rPr>
          <w:rFonts w:ascii="Arial" w:eastAsia="Arial" w:hAnsi="Arial" w:cs="Arial"/>
          <w:sz w:val="22"/>
          <w:szCs w:val="22"/>
        </w:rPr>
      </w:pPr>
    </w:p>
    <w:p w:rsidR="00B202A2" w:rsidRDefault="00295E06">
      <w:pPr>
        <w:spacing w:before="240" w:after="240"/>
        <w:jc w:val="center"/>
        <w:rPr>
          <w:rFonts w:ascii="Arial" w:eastAsia="Arial" w:hAnsi="Arial" w:cs="Arial"/>
          <w:b/>
          <w:sz w:val="22"/>
          <w:szCs w:val="22"/>
        </w:rPr>
      </w:pPr>
      <w:bookmarkStart w:id="44" w:name="_heading=h.ihv636" w:colFirst="0" w:colLast="0"/>
      <w:bookmarkEnd w:id="44"/>
      <w:r>
        <w:rPr>
          <w:rFonts w:ascii="Arial" w:eastAsia="Arial" w:hAnsi="Arial" w:cs="Arial"/>
          <w:b/>
          <w:sz w:val="22"/>
          <w:szCs w:val="22"/>
        </w:rPr>
        <w:t xml:space="preserve">Gráfica 5. Generación de residuos ordinarios y reciclables en la UPME periodo agosto 2018-diciembre 2019 </w:t>
      </w:r>
    </w:p>
    <w:p w:rsidR="00B202A2" w:rsidRDefault="00295E06">
      <w:pPr>
        <w:jc w:val="center"/>
        <w:rPr>
          <w:rFonts w:ascii="Arial" w:eastAsia="Arial" w:hAnsi="Arial" w:cs="Arial"/>
          <w:sz w:val="22"/>
          <w:szCs w:val="22"/>
        </w:rPr>
      </w:pPr>
      <w:r>
        <w:rPr>
          <w:rFonts w:ascii="Arial" w:eastAsia="Arial" w:hAnsi="Arial" w:cs="Arial"/>
          <w:noProof/>
          <w:sz w:val="22"/>
          <w:szCs w:val="22"/>
          <w:lang w:val="en-US"/>
        </w:rPr>
        <w:lastRenderedPageBreak/>
        <w:drawing>
          <wp:inline distT="0" distB="0" distL="0" distR="0" wp14:anchorId="25E2B8AB" wp14:editId="05D33651">
            <wp:extent cx="5962650" cy="3048000"/>
            <wp:effectExtent l="0" t="0" r="0" b="0"/>
            <wp:docPr id="83" name="Gráfico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202A2" w:rsidRDefault="00295E06">
      <w:pPr>
        <w:rPr>
          <w:rFonts w:ascii="Arial" w:eastAsia="Arial" w:hAnsi="Arial" w:cs="Arial"/>
          <w:sz w:val="22"/>
          <w:szCs w:val="22"/>
        </w:rPr>
      </w:pPr>
      <w:bookmarkStart w:id="45" w:name="bookmark=id.32hioqz" w:colFirst="0" w:colLast="0"/>
      <w:bookmarkEnd w:id="45"/>
      <w:r>
        <w:rPr>
          <w:rFonts w:ascii="Arial" w:eastAsia="Arial" w:hAnsi="Arial" w:cs="Arial"/>
          <w:sz w:val="22"/>
          <w:szCs w:val="22"/>
        </w:rPr>
        <w:t>. Fuente: Información Gestión Administrativa – UPME</w:t>
      </w:r>
    </w:p>
    <w:p w:rsidR="00B202A2" w:rsidRDefault="00B202A2">
      <w:pPr>
        <w:jc w:val="center"/>
        <w:rPr>
          <w:rFonts w:ascii="Arial" w:eastAsia="Arial" w:hAnsi="Arial" w:cs="Arial"/>
          <w:sz w:val="22"/>
          <w:szCs w:val="22"/>
        </w:rPr>
      </w:pPr>
    </w:p>
    <w:p w:rsidR="00B202A2" w:rsidRDefault="00B202A2">
      <w:pPr>
        <w:spacing w:before="240" w:after="240"/>
        <w:jc w:val="both"/>
        <w:rPr>
          <w:rFonts w:ascii="Arial" w:eastAsia="Arial" w:hAnsi="Arial" w:cs="Arial"/>
          <w:sz w:val="22"/>
          <w:szCs w:val="22"/>
        </w:rPr>
      </w:pPr>
      <w:bookmarkStart w:id="46" w:name="_heading=h.1hmsyys" w:colFirst="0" w:colLast="0"/>
      <w:bookmarkEnd w:id="46"/>
    </w:p>
    <w:p w:rsidR="00B202A2" w:rsidRDefault="00B202A2">
      <w:pPr>
        <w:spacing w:before="240" w:after="240"/>
        <w:jc w:val="both"/>
        <w:rPr>
          <w:rFonts w:ascii="Arial" w:eastAsia="Arial" w:hAnsi="Arial" w:cs="Arial"/>
          <w:sz w:val="22"/>
          <w:szCs w:val="22"/>
        </w:rPr>
      </w:pPr>
      <w:bookmarkStart w:id="47" w:name="_heading=h.igqfd5owyxg2" w:colFirst="0" w:colLast="0"/>
      <w:bookmarkEnd w:id="47"/>
    </w:p>
    <w:p w:rsidR="00B202A2" w:rsidRDefault="00B202A2">
      <w:pPr>
        <w:spacing w:before="240" w:after="240"/>
        <w:jc w:val="both"/>
        <w:rPr>
          <w:rFonts w:ascii="Arial" w:eastAsia="Arial" w:hAnsi="Arial" w:cs="Arial"/>
          <w:sz w:val="22"/>
          <w:szCs w:val="22"/>
        </w:rPr>
      </w:pPr>
      <w:bookmarkStart w:id="48" w:name="_heading=h.76hdnz49sc8" w:colFirst="0" w:colLast="0"/>
      <w:bookmarkEnd w:id="48"/>
    </w:p>
    <w:p w:rsidR="00B202A2" w:rsidRDefault="00295E06">
      <w:pPr>
        <w:spacing w:before="240" w:after="240"/>
        <w:jc w:val="center"/>
        <w:rPr>
          <w:rFonts w:ascii="Arial" w:eastAsia="Arial" w:hAnsi="Arial" w:cs="Arial"/>
          <w:b/>
          <w:sz w:val="22"/>
          <w:szCs w:val="22"/>
        </w:rPr>
      </w:pPr>
      <w:bookmarkStart w:id="49" w:name="_heading=h.no0ct7qe5reo" w:colFirst="0" w:colLast="0"/>
      <w:bookmarkEnd w:id="49"/>
      <w:r>
        <w:rPr>
          <w:rFonts w:ascii="Arial" w:eastAsia="Arial" w:hAnsi="Arial" w:cs="Arial"/>
          <w:b/>
          <w:sz w:val="22"/>
          <w:szCs w:val="22"/>
        </w:rPr>
        <w:t>Gráfica 6. Generación de residuos ordinarios y reciclables en la UPME vigencia 2019</w:t>
      </w:r>
    </w:p>
    <w:p w:rsidR="00B202A2" w:rsidRDefault="00B202A2">
      <w:pPr>
        <w:rPr>
          <w:rFonts w:ascii="Arial" w:eastAsia="Arial" w:hAnsi="Arial" w:cs="Arial"/>
          <w:sz w:val="22"/>
          <w:szCs w:val="22"/>
        </w:rPr>
      </w:pPr>
    </w:p>
    <w:p w:rsidR="00B202A2" w:rsidRDefault="00B202A2">
      <w:pPr>
        <w:jc w:val="center"/>
        <w:rPr>
          <w:rFonts w:ascii="Arial" w:eastAsia="Arial" w:hAnsi="Arial" w:cs="Arial"/>
          <w:sz w:val="22"/>
          <w:szCs w:val="22"/>
        </w:rPr>
      </w:pPr>
    </w:p>
    <w:p w:rsidR="00B202A2" w:rsidRDefault="00295E06">
      <w:pPr>
        <w:jc w:val="center"/>
        <w:rPr>
          <w:rFonts w:ascii="Arial" w:eastAsia="Arial" w:hAnsi="Arial" w:cs="Arial"/>
          <w:sz w:val="22"/>
          <w:szCs w:val="22"/>
        </w:rPr>
      </w:pPr>
      <w:r>
        <w:rPr>
          <w:rFonts w:ascii="Arial" w:eastAsia="Arial" w:hAnsi="Arial" w:cs="Arial"/>
          <w:noProof/>
          <w:sz w:val="22"/>
          <w:szCs w:val="22"/>
          <w:lang w:val="en-US"/>
        </w:rPr>
        <w:drawing>
          <wp:inline distT="0" distB="0" distL="0" distR="0" wp14:anchorId="12D76BC3" wp14:editId="6D4DE35D">
            <wp:extent cx="4972050" cy="2362200"/>
            <wp:effectExtent l="0" t="0" r="0" b="0"/>
            <wp:docPr id="86" name="Gráfico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202A2" w:rsidRDefault="00295E06">
      <w:pPr>
        <w:jc w:val="center"/>
        <w:rPr>
          <w:rFonts w:ascii="Arial" w:eastAsia="Arial" w:hAnsi="Arial" w:cs="Arial"/>
          <w:sz w:val="22"/>
          <w:szCs w:val="22"/>
        </w:rPr>
      </w:pPr>
      <w:r>
        <w:rPr>
          <w:rFonts w:ascii="Arial" w:eastAsia="Arial" w:hAnsi="Arial" w:cs="Arial"/>
          <w:sz w:val="22"/>
          <w:szCs w:val="22"/>
        </w:rPr>
        <w:t>Fuente: Información Gestión Administrativa – UPME</w:t>
      </w:r>
    </w:p>
    <w:p w:rsidR="00B202A2" w:rsidRDefault="00B202A2">
      <w:pPr>
        <w:jc w:val="center"/>
        <w:rPr>
          <w:rFonts w:ascii="Arial" w:eastAsia="Arial" w:hAnsi="Arial" w:cs="Arial"/>
          <w:sz w:val="22"/>
          <w:szCs w:val="22"/>
        </w:rPr>
      </w:pPr>
    </w:p>
    <w:p w:rsidR="00B202A2" w:rsidRDefault="00295E06">
      <w:pPr>
        <w:jc w:val="both"/>
        <w:rPr>
          <w:rFonts w:ascii="Arial" w:eastAsia="Arial" w:hAnsi="Arial" w:cs="Arial"/>
          <w:sz w:val="22"/>
          <w:szCs w:val="22"/>
        </w:rPr>
      </w:pPr>
      <w:r>
        <w:rPr>
          <w:rFonts w:ascii="Arial" w:eastAsia="Arial" w:hAnsi="Arial" w:cs="Arial"/>
          <w:sz w:val="22"/>
          <w:szCs w:val="22"/>
        </w:rPr>
        <w:t>Una vez realizada la caracterización de consumo y gestión de residuos anteriormente presentada se procedió a construi</w:t>
      </w:r>
      <w:r>
        <w:rPr>
          <w:rFonts w:ascii="Arial" w:eastAsia="Arial" w:hAnsi="Arial" w:cs="Arial"/>
          <w:sz w:val="22"/>
          <w:szCs w:val="22"/>
        </w:rPr>
        <w:t>r los programas de gestión ambiental.</w:t>
      </w:r>
    </w:p>
    <w:p w:rsidR="00B202A2" w:rsidRDefault="00B202A2">
      <w:pPr>
        <w:jc w:val="both"/>
        <w:rPr>
          <w:rFonts w:ascii="Arial" w:eastAsia="Arial" w:hAnsi="Arial" w:cs="Arial"/>
          <w:sz w:val="22"/>
          <w:szCs w:val="22"/>
        </w:rPr>
      </w:pPr>
    </w:p>
    <w:p w:rsidR="00B202A2" w:rsidRDefault="00295E06">
      <w:pPr>
        <w:jc w:val="center"/>
        <w:rPr>
          <w:rFonts w:ascii="Arial" w:eastAsia="Arial" w:hAnsi="Arial" w:cs="Arial"/>
          <w:b/>
          <w:sz w:val="22"/>
          <w:szCs w:val="22"/>
        </w:rPr>
      </w:pPr>
      <w:r>
        <w:rPr>
          <w:rFonts w:ascii="Arial" w:eastAsia="Arial" w:hAnsi="Arial" w:cs="Arial"/>
          <w:b/>
          <w:sz w:val="22"/>
          <w:szCs w:val="22"/>
          <w:highlight w:val="white"/>
          <w:u w:val="single"/>
        </w:rPr>
        <w:t>Tabla 6.</w:t>
      </w:r>
      <w:r>
        <w:rPr>
          <w:rFonts w:ascii="Arial" w:eastAsia="Arial" w:hAnsi="Arial" w:cs="Arial"/>
          <w:b/>
          <w:sz w:val="22"/>
          <w:szCs w:val="22"/>
          <w:u w:val="single"/>
        </w:rPr>
        <w:t xml:space="preserve"> Programas de Gestión Ambiental </w:t>
      </w:r>
    </w:p>
    <w:p w:rsidR="00B202A2" w:rsidRDefault="00B202A2">
      <w:pPr>
        <w:rPr>
          <w:rFonts w:ascii="Arial" w:eastAsia="Arial" w:hAnsi="Arial" w:cs="Arial"/>
          <w:sz w:val="22"/>
          <w:szCs w:val="22"/>
        </w:rPr>
      </w:pPr>
    </w:p>
    <w:tbl>
      <w:tblPr>
        <w:tblStyle w:val="aff5"/>
        <w:tblW w:w="8743" w:type="dxa"/>
        <w:tblInd w:w="0" w:type="dxa"/>
        <w:tblLayout w:type="fixed"/>
        <w:tblLook w:val="0400" w:firstRow="0" w:lastRow="0" w:firstColumn="0" w:lastColumn="0" w:noHBand="0" w:noVBand="1"/>
      </w:tblPr>
      <w:tblGrid>
        <w:gridCol w:w="1535"/>
        <w:gridCol w:w="2548"/>
        <w:gridCol w:w="1785"/>
        <w:gridCol w:w="2715"/>
        <w:gridCol w:w="160"/>
      </w:tblGrid>
      <w:tr w:rsidR="00B202A2">
        <w:trPr>
          <w:gridAfter w:val="1"/>
          <w:wAfter w:w="146" w:type="dxa"/>
          <w:trHeight w:val="73"/>
        </w:trPr>
        <w:tc>
          <w:tcPr>
            <w:tcW w:w="1537" w:type="dxa"/>
            <w:tcBorders>
              <w:top w:val="single" w:sz="4" w:space="0" w:color="000000"/>
              <w:left w:val="single" w:sz="4" w:space="0" w:color="000000"/>
              <w:bottom w:val="single" w:sz="4" w:space="0" w:color="000000"/>
              <w:right w:val="single" w:sz="4" w:space="0" w:color="000000"/>
            </w:tcBorders>
            <w:shd w:val="clear" w:color="auto" w:fill="CFE2F3"/>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Programa</w:t>
            </w:r>
          </w:p>
        </w:tc>
        <w:tc>
          <w:tcPr>
            <w:tcW w:w="2552" w:type="dxa"/>
            <w:tcBorders>
              <w:top w:val="single" w:sz="4" w:space="0" w:color="000000"/>
              <w:left w:val="nil"/>
              <w:bottom w:val="single" w:sz="4" w:space="0" w:color="000000"/>
              <w:right w:val="single" w:sz="4" w:space="0" w:color="000000"/>
            </w:tcBorders>
            <w:shd w:val="clear" w:color="auto" w:fill="CFE2F3"/>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Objetivo</w:t>
            </w:r>
          </w:p>
        </w:tc>
        <w:tc>
          <w:tcPr>
            <w:tcW w:w="1788" w:type="dxa"/>
            <w:tcBorders>
              <w:top w:val="single" w:sz="4" w:space="0" w:color="000000"/>
              <w:left w:val="nil"/>
              <w:bottom w:val="single" w:sz="4" w:space="0" w:color="000000"/>
              <w:right w:val="single" w:sz="4" w:space="0" w:color="000000"/>
            </w:tcBorders>
            <w:shd w:val="clear" w:color="auto" w:fill="CFE2F3"/>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 xml:space="preserve">Meta </w:t>
            </w:r>
          </w:p>
        </w:tc>
        <w:tc>
          <w:tcPr>
            <w:tcW w:w="2720" w:type="dxa"/>
            <w:tcBorders>
              <w:top w:val="single" w:sz="4" w:space="0" w:color="000000"/>
              <w:left w:val="nil"/>
              <w:bottom w:val="single" w:sz="4" w:space="0" w:color="000000"/>
              <w:right w:val="single" w:sz="4" w:space="0" w:color="000000"/>
            </w:tcBorders>
            <w:shd w:val="clear" w:color="auto" w:fill="CFE2F3"/>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Indicador</w:t>
            </w:r>
          </w:p>
        </w:tc>
      </w:tr>
      <w:tr w:rsidR="00B202A2">
        <w:trPr>
          <w:gridAfter w:val="1"/>
          <w:wAfter w:w="146" w:type="dxa"/>
          <w:trHeight w:val="276"/>
        </w:trPr>
        <w:tc>
          <w:tcPr>
            <w:tcW w:w="1537" w:type="dxa"/>
            <w:vMerge w:val="restart"/>
            <w:tcBorders>
              <w:top w:val="nil"/>
              <w:left w:val="single" w:sz="4" w:space="0" w:color="000000"/>
              <w:bottom w:val="single" w:sz="4" w:space="0" w:color="000000"/>
              <w:right w:val="single" w:sz="4" w:space="0" w:color="000000"/>
            </w:tcBorders>
            <w:shd w:val="clear" w:color="auto" w:fill="FFFFFF"/>
            <w:vAlign w:val="center"/>
          </w:tcPr>
          <w:p w:rsidR="00B202A2" w:rsidRDefault="00295E06">
            <w:pPr>
              <w:jc w:val="center"/>
              <w:rPr>
                <w:rFonts w:ascii="Arial" w:eastAsia="Arial" w:hAnsi="Arial" w:cs="Arial"/>
                <w:sz w:val="22"/>
                <w:szCs w:val="22"/>
              </w:rPr>
            </w:pPr>
            <w:r>
              <w:rPr>
                <w:rFonts w:ascii="Arial" w:eastAsia="Arial" w:hAnsi="Arial" w:cs="Arial"/>
                <w:sz w:val="22"/>
                <w:szCs w:val="22"/>
              </w:rPr>
              <w:t>Uso Eficiente y Ahorro del Agua</w:t>
            </w:r>
          </w:p>
        </w:tc>
        <w:tc>
          <w:tcPr>
            <w:tcW w:w="2552" w:type="dxa"/>
            <w:vMerge w:val="restart"/>
            <w:tcBorders>
              <w:top w:val="nil"/>
              <w:left w:val="single" w:sz="4" w:space="0" w:color="000000"/>
              <w:bottom w:val="single" w:sz="4" w:space="0" w:color="000000"/>
              <w:right w:val="single" w:sz="4" w:space="0" w:color="000000"/>
            </w:tcBorders>
            <w:shd w:val="clear" w:color="auto" w:fill="FFFFFF"/>
            <w:vAlign w:val="center"/>
          </w:tcPr>
          <w:p w:rsidR="00B202A2" w:rsidRDefault="00295E06">
            <w:pPr>
              <w:jc w:val="both"/>
              <w:rPr>
                <w:rFonts w:ascii="Arial" w:eastAsia="Arial" w:hAnsi="Arial" w:cs="Arial"/>
                <w:sz w:val="22"/>
                <w:szCs w:val="22"/>
              </w:rPr>
            </w:pPr>
            <w:r>
              <w:rPr>
                <w:rFonts w:ascii="Arial" w:eastAsia="Arial" w:hAnsi="Arial" w:cs="Arial"/>
                <w:sz w:val="22"/>
                <w:szCs w:val="22"/>
              </w:rPr>
              <w:t>Optimizar el consumo de agua en la UPME, a través del monitoreo, control y mantenimiento a la infraestructura del recurso agua en cumplimiento de la normatividad ambiental vigente.</w:t>
            </w:r>
          </w:p>
        </w:tc>
        <w:tc>
          <w:tcPr>
            <w:tcW w:w="1788" w:type="dxa"/>
            <w:vMerge w:val="restart"/>
            <w:tcBorders>
              <w:top w:val="nil"/>
              <w:left w:val="single" w:sz="4" w:space="0" w:color="000000"/>
              <w:bottom w:val="single" w:sz="4" w:space="0" w:color="000000"/>
              <w:right w:val="single" w:sz="4" w:space="0" w:color="000000"/>
            </w:tcBorders>
            <w:shd w:val="clear" w:color="auto" w:fill="FFFFFF"/>
            <w:vAlign w:val="center"/>
          </w:tcPr>
          <w:p w:rsidR="00B202A2" w:rsidRDefault="00295E06">
            <w:pPr>
              <w:jc w:val="both"/>
              <w:rPr>
                <w:rFonts w:ascii="Arial" w:eastAsia="Arial" w:hAnsi="Arial" w:cs="Arial"/>
                <w:sz w:val="22"/>
                <w:szCs w:val="22"/>
              </w:rPr>
            </w:pPr>
            <w:r>
              <w:rPr>
                <w:rFonts w:ascii="Arial" w:eastAsia="Arial" w:hAnsi="Arial" w:cs="Arial"/>
                <w:sz w:val="22"/>
                <w:szCs w:val="22"/>
              </w:rPr>
              <w:t>Mantener el consumo de agua de la sede principal de la UPME en un 20 Lt por</w:t>
            </w:r>
            <w:r>
              <w:rPr>
                <w:rFonts w:ascii="Arial" w:eastAsia="Arial" w:hAnsi="Arial" w:cs="Arial"/>
                <w:sz w:val="22"/>
                <w:szCs w:val="22"/>
              </w:rPr>
              <w:t xml:space="preserve"> persona por día</w:t>
            </w:r>
          </w:p>
        </w:tc>
        <w:tc>
          <w:tcPr>
            <w:tcW w:w="2720" w:type="dxa"/>
            <w:vMerge w:val="restart"/>
            <w:tcBorders>
              <w:top w:val="nil"/>
              <w:left w:val="single" w:sz="4" w:space="0" w:color="000000"/>
              <w:bottom w:val="single" w:sz="4" w:space="0" w:color="000000"/>
              <w:right w:val="single" w:sz="4" w:space="0" w:color="000000"/>
            </w:tcBorders>
            <w:shd w:val="clear" w:color="auto" w:fill="FFFFFF"/>
            <w:vAlign w:val="center"/>
          </w:tcPr>
          <w:p w:rsidR="00B202A2" w:rsidRDefault="00295E06">
            <w:pPr>
              <w:jc w:val="center"/>
              <w:rPr>
                <w:rFonts w:ascii="Arial" w:eastAsia="Arial" w:hAnsi="Arial" w:cs="Arial"/>
                <w:sz w:val="22"/>
                <w:szCs w:val="22"/>
              </w:rPr>
            </w:pPr>
            <w:r>
              <w:rPr>
                <w:rFonts w:ascii="Arial" w:eastAsia="Arial" w:hAnsi="Arial" w:cs="Arial"/>
                <w:sz w:val="22"/>
                <w:szCs w:val="22"/>
              </w:rPr>
              <w:t>(M3 de consumo bimestral facturado/persona/día*1000)</w:t>
            </w:r>
          </w:p>
        </w:tc>
      </w:tr>
      <w:tr w:rsidR="00B202A2">
        <w:trPr>
          <w:trHeight w:val="276"/>
        </w:trPr>
        <w:tc>
          <w:tcPr>
            <w:tcW w:w="1537"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2552"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1788"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2720"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146" w:type="dxa"/>
            <w:vAlign w:val="center"/>
          </w:tcPr>
          <w:p w:rsidR="00B202A2" w:rsidRDefault="00B202A2">
            <w:pPr>
              <w:rPr>
                <w:rFonts w:ascii="Arial" w:eastAsia="Arial" w:hAnsi="Arial" w:cs="Arial"/>
                <w:sz w:val="22"/>
                <w:szCs w:val="22"/>
              </w:rPr>
            </w:pPr>
          </w:p>
        </w:tc>
      </w:tr>
      <w:tr w:rsidR="00B202A2">
        <w:trPr>
          <w:trHeight w:val="276"/>
        </w:trPr>
        <w:tc>
          <w:tcPr>
            <w:tcW w:w="1537"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2552"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1788"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2720"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146" w:type="dxa"/>
            <w:vAlign w:val="center"/>
          </w:tcPr>
          <w:p w:rsidR="00B202A2" w:rsidRDefault="00B202A2">
            <w:pPr>
              <w:rPr>
                <w:rFonts w:ascii="Arial" w:eastAsia="Arial" w:hAnsi="Arial" w:cs="Arial"/>
                <w:sz w:val="22"/>
                <w:szCs w:val="22"/>
              </w:rPr>
            </w:pPr>
          </w:p>
        </w:tc>
      </w:tr>
      <w:tr w:rsidR="00B202A2">
        <w:trPr>
          <w:trHeight w:val="276"/>
        </w:trPr>
        <w:tc>
          <w:tcPr>
            <w:tcW w:w="1537"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2552"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1788"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2720"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146" w:type="dxa"/>
            <w:vAlign w:val="center"/>
          </w:tcPr>
          <w:p w:rsidR="00B202A2" w:rsidRDefault="00B202A2">
            <w:pPr>
              <w:rPr>
                <w:rFonts w:ascii="Arial" w:eastAsia="Arial" w:hAnsi="Arial" w:cs="Arial"/>
                <w:sz w:val="22"/>
                <w:szCs w:val="22"/>
              </w:rPr>
            </w:pPr>
          </w:p>
        </w:tc>
      </w:tr>
      <w:tr w:rsidR="00B202A2">
        <w:trPr>
          <w:trHeight w:val="276"/>
        </w:trPr>
        <w:tc>
          <w:tcPr>
            <w:tcW w:w="1537"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2552"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1788"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2720"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146" w:type="dxa"/>
            <w:vAlign w:val="center"/>
          </w:tcPr>
          <w:p w:rsidR="00B202A2" w:rsidRDefault="00B202A2">
            <w:pPr>
              <w:rPr>
                <w:rFonts w:ascii="Arial" w:eastAsia="Arial" w:hAnsi="Arial" w:cs="Arial"/>
                <w:sz w:val="22"/>
                <w:szCs w:val="22"/>
              </w:rPr>
            </w:pPr>
          </w:p>
        </w:tc>
      </w:tr>
      <w:tr w:rsidR="00B202A2">
        <w:trPr>
          <w:trHeight w:val="276"/>
        </w:trPr>
        <w:tc>
          <w:tcPr>
            <w:tcW w:w="1537" w:type="dxa"/>
            <w:vMerge w:val="restart"/>
            <w:tcBorders>
              <w:top w:val="nil"/>
              <w:left w:val="single" w:sz="4" w:space="0" w:color="000000"/>
              <w:bottom w:val="single" w:sz="4" w:space="0" w:color="000000"/>
              <w:right w:val="single" w:sz="4" w:space="0" w:color="000000"/>
            </w:tcBorders>
            <w:shd w:val="clear" w:color="auto" w:fill="FFFFFF"/>
            <w:vAlign w:val="center"/>
          </w:tcPr>
          <w:p w:rsidR="00B202A2" w:rsidRDefault="00295E06">
            <w:pPr>
              <w:jc w:val="center"/>
              <w:rPr>
                <w:rFonts w:ascii="Arial" w:eastAsia="Arial" w:hAnsi="Arial" w:cs="Arial"/>
                <w:sz w:val="22"/>
                <w:szCs w:val="22"/>
              </w:rPr>
            </w:pPr>
            <w:r>
              <w:rPr>
                <w:rFonts w:ascii="Arial" w:eastAsia="Arial" w:hAnsi="Arial" w:cs="Arial"/>
                <w:sz w:val="22"/>
                <w:szCs w:val="22"/>
              </w:rPr>
              <w:t>Uso eficiente y ahorro de la energía</w:t>
            </w:r>
          </w:p>
        </w:tc>
        <w:tc>
          <w:tcPr>
            <w:tcW w:w="2552" w:type="dxa"/>
            <w:vMerge w:val="restart"/>
            <w:tcBorders>
              <w:top w:val="nil"/>
              <w:left w:val="single" w:sz="4" w:space="0" w:color="000000"/>
              <w:bottom w:val="single" w:sz="4" w:space="0" w:color="000000"/>
              <w:right w:val="single" w:sz="4" w:space="0" w:color="000000"/>
            </w:tcBorders>
            <w:shd w:val="clear" w:color="auto" w:fill="FFFFFF"/>
            <w:vAlign w:val="center"/>
          </w:tcPr>
          <w:p w:rsidR="00B202A2" w:rsidRDefault="00295E06">
            <w:pPr>
              <w:jc w:val="both"/>
              <w:rPr>
                <w:rFonts w:ascii="Arial" w:eastAsia="Arial" w:hAnsi="Arial" w:cs="Arial"/>
                <w:sz w:val="22"/>
                <w:szCs w:val="22"/>
              </w:rPr>
            </w:pPr>
            <w:r>
              <w:rPr>
                <w:rFonts w:ascii="Arial" w:eastAsia="Arial" w:hAnsi="Arial" w:cs="Arial"/>
                <w:sz w:val="22"/>
                <w:szCs w:val="22"/>
              </w:rPr>
              <w:t>Optimizar el uso eficiente de Energía Eléctrica dentro de las instalaciones de la UPME, a través del monitoreo, control y mantenimiento a la infraestructura del recurso energético en cumplimiento de la normatividad ambiental vigente.</w:t>
            </w:r>
          </w:p>
        </w:tc>
        <w:tc>
          <w:tcPr>
            <w:tcW w:w="1788" w:type="dxa"/>
            <w:vMerge w:val="restart"/>
            <w:tcBorders>
              <w:top w:val="nil"/>
              <w:left w:val="single" w:sz="4" w:space="0" w:color="000000"/>
              <w:bottom w:val="single" w:sz="4" w:space="0" w:color="000000"/>
              <w:right w:val="single" w:sz="4" w:space="0" w:color="000000"/>
            </w:tcBorders>
            <w:shd w:val="clear" w:color="auto" w:fill="FFFFFF"/>
            <w:vAlign w:val="center"/>
          </w:tcPr>
          <w:p w:rsidR="00B202A2" w:rsidRDefault="00295E06">
            <w:pPr>
              <w:jc w:val="both"/>
              <w:rPr>
                <w:rFonts w:ascii="Arial" w:eastAsia="Arial" w:hAnsi="Arial" w:cs="Arial"/>
                <w:sz w:val="22"/>
                <w:szCs w:val="22"/>
              </w:rPr>
            </w:pPr>
            <w:r>
              <w:rPr>
                <w:rFonts w:ascii="Arial" w:eastAsia="Arial" w:hAnsi="Arial" w:cs="Arial"/>
                <w:sz w:val="22"/>
                <w:szCs w:val="22"/>
              </w:rPr>
              <w:t>Mantener el consumo de</w:t>
            </w:r>
            <w:r>
              <w:rPr>
                <w:rFonts w:ascii="Arial" w:eastAsia="Arial" w:hAnsi="Arial" w:cs="Arial"/>
                <w:sz w:val="22"/>
                <w:szCs w:val="22"/>
              </w:rPr>
              <w:t xml:space="preserve"> energía de la sede principal de la UPME en un 3,2</w:t>
            </w:r>
            <w:r>
              <w:rPr>
                <w:rFonts w:ascii="Arial" w:eastAsia="Arial" w:hAnsi="Arial" w:cs="Arial"/>
                <w:color w:val="FF0000"/>
                <w:sz w:val="22"/>
                <w:szCs w:val="22"/>
              </w:rPr>
              <w:t xml:space="preserve"> </w:t>
            </w:r>
            <w:r>
              <w:rPr>
                <w:rFonts w:ascii="Arial" w:eastAsia="Arial" w:hAnsi="Arial" w:cs="Arial"/>
                <w:sz w:val="22"/>
                <w:szCs w:val="22"/>
              </w:rPr>
              <w:t xml:space="preserve">kW por persona al día. </w:t>
            </w:r>
          </w:p>
        </w:tc>
        <w:tc>
          <w:tcPr>
            <w:tcW w:w="2720" w:type="dxa"/>
            <w:vMerge w:val="restart"/>
            <w:tcBorders>
              <w:top w:val="nil"/>
              <w:left w:val="single" w:sz="4" w:space="0" w:color="000000"/>
              <w:bottom w:val="single" w:sz="4" w:space="0" w:color="000000"/>
              <w:right w:val="single" w:sz="4" w:space="0" w:color="000000"/>
            </w:tcBorders>
            <w:shd w:val="clear" w:color="auto" w:fill="FFFFFF"/>
            <w:vAlign w:val="center"/>
          </w:tcPr>
          <w:p w:rsidR="00B202A2" w:rsidRDefault="00295E06">
            <w:pPr>
              <w:jc w:val="center"/>
              <w:rPr>
                <w:rFonts w:ascii="Arial" w:eastAsia="Arial" w:hAnsi="Arial" w:cs="Arial"/>
                <w:sz w:val="22"/>
                <w:szCs w:val="22"/>
              </w:rPr>
            </w:pPr>
            <w:r>
              <w:rPr>
                <w:rFonts w:ascii="Arial" w:eastAsia="Arial" w:hAnsi="Arial" w:cs="Arial"/>
                <w:sz w:val="22"/>
                <w:szCs w:val="22"/>
              </w:rPr>
              <w:t>(KW de consumo mensual facturado/persona/día)</w:t>
            </w:r>
          </w:p>
        </w:tc>
        <w:tc>
          <w:tcPr>
            <w:tcW w:w="146" w:type="dxa"/>
            <w:vAlign w:val="center"/>
          </w:tcPr>
          <w:p w:rsidR="00B202A2" w:rsidRDefault="00B202A2">
            <w:pPr>
              <w:rPr>
                <w:rFonts w:ascii="Arial" w:eastAsia="Arial" w:hAnsi="Arial" w:cs="Arial"/>
                <w:sz w:val="22"/>
                <w:szCs w:val="22"/>
              </w:rPr>
            </w:pPr>
          </w:p>
        </w:tc>
      </w:tr>
      <w:tr w:rsidR="00B202A2">
        <w:trPr>
          <w:trHeight w:val="276"/>
        </w:trPr>
        <w:tc>
          <w:tcPr>
            <w:tcW w:w="1537"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2552"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1788"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2720"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146" w:type="dxa"/>
            <w:vAlign w:val="center"/>
          </w:tcPr>
          <w:p w:rsidR="00B202A2" w:rsidRDefault="00B202A2">
            <w:pPr>
              <w:rPr>
                <w:rFonts w:ascii="Arial" w:eastAsia="Arial" w:hAnsi="Arial" w:cs="Arial"/>
                <w:sz w:val="22"/>
                <w:szCs w:val="22"/>
              </w:rPr>
            </w:pPr>
          </w:p>
        </w:tc>
      </w:tr>
      <w:tr w:rsidR="00B202A2">
        <w:trPr>
          <w:trHeight w:val="276"/>
        </w:trPr>
        <w:tc>
          <w:tcPr>
            <w:tcW w:w="1537"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2552"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1788"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2720"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146" w:type="dxa"/>
            <w:vAlign w:val="center"/>
          </w:tcPr>
          <w:p w:rsidR="00B202A2" w:rsidRDefault="00B202A2">
            <w:pPr>
              <w:rPr>
                <w:rFonts w:ascii="Arial" w:eastAsia="Arial" w:hAnsi="Arial" w:cs="Arial"/>
                <w:sz w:val="22"/>
                <w:szCs w:val="22"/>
              </w:rPr>
            </w:pPr>
          </w:p>
        </w:tc>
      </w:tr>
      <w:tr w:rsidR="00B202A2">
        <w:trPr>
          <w:trHeight w:val="276"/>
        </w:trPr>
        <w:tc>
          <w:tcPr>
            <w:tcW w:w="1537"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2552"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1788"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2720"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146" w:type="dxa"/>
            <w:vAlign w:val="center"/>
          </w:tcPr>
          <w:p w:rsidR="00B202A2" w:rsidRDefault="00B202A2">
            <w:pPr>
              <w:rPr>
                <w:rFonts w:ascii="Arial" w:eastAsia="Arial" w:hAnsi="Arial" w:cs="Arial"/>
                <w:sz w:val="22"/>
                <w:szCs w:val="22"/>
              </w:rPr>
            </w:pPr>
          </w:p>
        </w:tc>
      </w:tr>
      <w:tr w:rsidR="00B202A2">
        <w:trPr>
          <w:trHeight w:val="276"/>
        </w:trPr>
        <w:tc>
          <w:tcPr>
            <w:tcW w:w="1537"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2552"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1788"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2720"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146" w:type="dxa"/>
            <w:vAlign w:val="center"/>
          </w:tcPr>
          <w:p w:rsidR="00B202A2" w:rsidRDefault="00B202A2">
            <w:pPr>
              <w:rPr>
                <w:rFonts w:ascii="Arial" w:eastAsia="Arial" w:hAnsi="Arial" w:cs="Arial"/>
                <w:sz w:val="22"/>
                <w:szCs w:val="22"/>
              </w:rPr>
            </w:pPr>
          </w:p>
        </w:tc>
      </w:tr>
      <w:tr w:rsidR="00B202A2">
        <w:trPr>
          <w:trHeight w:val="276"/>
        </w:trPr>
        <w:tc>
          <w:tcPr>
            <w:tcW w:w="1537" w:type="dxa"/>
            <w:vMerge w:val="restart"/>
            <w:tcBorders>
              <w:top w:val="nil"/>
              <w:left w:val="single" w:sz="4" w:space="0" w:color="000000"/>
              <w:bottom w:val="single" w:sz="4" w:space="0" w:color="000000"/>
              <w:right w:val="single" w:sz="4" w:space="0" w:color="000000"/>
            </w:tcBorders>
            <w:shd w:val="clear" w:color="auto" w:fill="FFFFFF"/>
            <w:vAlign w:val="center"/>
          </w:tcPr>
          <w:p w:rsidR="00B202A2" w:rsidRDefault="00295E06">
            <w:pPr>
              <w:jc w:val="center"/>
              <w:rPr>
                <w:rFonts w:ascii="Arial" w:eastAsia="Arial" w:hAnsi="Arial" w:cs="Arial"/>
                <w:sz w:val="22"/>
                <w:szCs w:val="22"/>
              </w:rPr>
            </w:pPr>
            <w:r>
              <w:rPr>
                <w:rFonts w:ascii="Arial" w:eastAsia="Arial" w:hAnsi="Arial" w:cs="Arial"/>
                <w:sz w:val="22"/>
                <w:szCs w:val="22"/>
              </w:rPr>
              <w:t>Gestión Integral de Residuos</w:t>
            </w:r>
          </w:p>
        </w:tc>
        <w:tc>
          <w:tcPr>
            <w:tcW w:w="2552" w:type="dxa"/>
            <w:vMerge w:val="restart"/>
            <w:tcBorders>
              <w:top w:val="nil"/>
              <w:left w:val="single" w:sz="4" w:space="0" w:color="000000"/>
              <w:bottom w:val="single" w:sz="4" w:space="0" w:color="000000"/>
              <w:right w:val="single" w:sz="4" w:space="0" w:color="000000"/>
            </w:tcBorders>
            <w:shd w:val="clear" w:color="auto" w:fill="FFFFFF"/>
            <w:vAlign w:val="center"/>
          </w:tcPr>
          <w:p w:rsidR="00B202A2" w:rsidRDefault="00295E06">
            <w:pPr>
              <w:jc w:val="both"/>
              <w:rPr>
                <w:rFonts w:ascii="Arial" w:eastAsia="Arial" w:hAnsi="Arial" w:cs="Arial"/>
                <w:sz w:val="22"/>
                <w:szCs w:val="22"/>
              </w:rPr>
            </w:pPr>
            <w:r>
              <w:rPr>
                <w:rFonts w:ascii="Arial" w:eastAsia="Arial" w:hAnsi="Arial" w:cs="Arial"/>
                <w:sz w:val="22"/>
                <w:szCs w:val="22"/>
              </w:rPr>
              <w:t>Gestionar integralmente los residuos generados en la UPME, con el fin de controlar y mitigar los impactos negativos causados.</w:t>
            </w:r>
          </w:p>
        </w:tc>
        <w:tc>
          <w:tcPr>
            <w:tcW w:w="1788" w:type="dxa"/>
            <w:vMerge w:val="restart"/>
            <w:tcBorders>
              <w:top w:val="nil"/>
              <w:left w:val="single" w:sz="4" w:space="0" w:color="000000"/>
              <w:bottom w:val="single" w:sz="4" w:space="0" w:color="000000"/>
              <w:right w:val="single" w:sz="4" w:space="0" w:color="000000"/>
            </w:tcBorders>
            <w:shd w:val="clear" w:color="auto" w:fill="FFFFFF"/>
            <w:vAlign w:val="center"/>
          </w:tcPr>
          <w:p w:rsidR="00B202A2" w:rsidRDefault="00295E06">
            <w:pPr>
              <w:jc w:val="both"/>
              <w:rPr>
                <w:rFonts w:ascii="Arial" w:eastAsia="Arial" w:hAnsi="Arial" w:cs="Arial"/>
                <w:sz w:val="22"/>
                <w:szCs w:val="22"/>
              </w:rPr>
            </w:pPr>
            <w:r>
              <w:rPr>
                <w:rFonts w:ascii="Arial" w:eastAsia="Arial" w:hAnsi="Arial" w:cs="Arial"/>
                <w:sz w:val="22"/>
                <w:szCs w:val="22"/>
              </w:rPr>
              <w:t>Gestionar integralmente el 100% de los residuos generados en la UPME</w:t>
            </w:r>
          </w:p>
        </w:tc>
        <w:tc>
          <w:tcPr>
            <w:tcW w:w="2720" w:type="dxa"/>
            <w:vMerge w:val="restart"/>
            <w:tcBorders>
              <w:top w:val="nil"/>
              <w:left w:val="single" w:sz="4" w:space="0" w:color="000000"/>
              <w:bottom w:val="single" w:sz="4" w:space="0" w:color="000000"/>
              <w:right w:val="single" w:sz="4" w:space="0" w:color="000000"/>
            </w:tcBorders>
            <w:shd w:val="clear" w:color="auto" w:fill="FFFFFF"/>
            <w:vAlign w:val="center"/>
          </w:tcPr>
          <w:p w:rsidR="00B202A2" w:rsidRDefault="00295E06">
            <w:pPr>
              <w:jc w:val="center"/>
              <w:rPr>
                <w:rFonts w:ascii="Arial" w:eastAsia="Arial" w:hAnsi="Arial" w:cs="Arial"/>
                <w:sz w:val="22"/>
                <w:szCs w:val="22"/>
              </w:rPr>
            </w:pPr>
            <w:r>
              <w:rPr>
                <w:rFonts w:ascii="Arial" w:eastAsia="Arial" w:hAnsi="Arial" w:cs="Arial"/>
                <w:sz w:val="22"/>
                <w:szCs w:val="22"/>
              </w:rPr>
              <w:t>(Kg de residuos gestionados/kg de residuos generados) *100</w:t>
            </w:r>
          </w:p>
        </w:tc>
        <w:tc>
          <w:tcPr>
            <w:tcW w:w="146" w:type="dxa"/>
            <w:vAlign w:val="center"/>
          </w:tcPr>
          <w:p w:rsidR="00B202A2" w:rsidRDefault="00B202A2">
            <w:pPr>
              <w:rPr>
                <w:rFonts w:ascii="Arial" w:eastAsia="Arial" w:hAnsi="Arial" w:cs="Arial"/>
                <w:sz w:val="22"/>
                <w:szCs w:val="22"/>
              </w:rPr>
            </w:pPr>
          </w:p>
        </w:tc>
      </w:tr>
      <w:tr w:rsidR="00B202A2">
        <w:trPr>
          <w:trHeight w:val="276"/>
        </w:trPr>
        <w:tc>
          <w:tcPr>
            <w:tcW w:w="1537"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2552"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1788"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2720"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146" w:type="dxa"/>
            <w:vAlign w:val="center"/>
          </w:tcPr>
          <w:p w:rsidR="00B202A2" w:rsidRDefault="00B202A2">
            <w:pPr>
              <w:rPr>
                <w:rFonts w:ascii="Arial" w:eastAsia="Arial" w:hAnsi="Arial" w:cs="Arial"/>
                <w:sz w:val="22"/>
                <w:szCs w:val="22"/>
              </w:rPr>
            </w:pPr>
          </w:p>
        </w:tc>
      </w:tr>
      <w:tr w:rsidR="00B202A2">
        <w:trPr>
          <w:trHeight w:val="276"/>
        </w:trPr>
        <w:tc>
          <w:tcPr>
            <w:tcW w:w="1537"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2552"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1788"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2720"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146" w:type="dxa"/>
            <w:vAlign w:val="center"/>
          </w:tcPr>
          <w:p w:rsidR="00B202A2" w:rsidRDefault="00B202A2">
            <w:pPr>
              <w:rPr>
                <w:rFonts w:ascii="Arial" w:eastAsia="Arial" w:hAnsi="Arial" w:cs="Arial"/>
                <w:sz w:val="22"/>
                <w:szCs w:val="22"/>
              </w:rPr>
            </w:pPr>
          </w:p>
        </w:tc>
      </w:tr>
      <w:tr w:rsidR="00B202A2">
        <w:trPr>
          <w:trHeight w:val="276"/>
        </w:trPr>
        <w:tc>
          <w:tcPr>
            <w:tcW w:w="1537"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2552"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1788"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2720"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146" w:type="dxa"/>
            <w:vAlign w:val="center"/>
          </w:tcPr>
          <w:p w:rsidR="00B202A2" w:rsidRDefault="00B202A2">
            <w:pPr>
              <w:rPr>
                <w:rFonts w:ascii="Arial" w:eastAsia="Arial" w:hAnsi="Arial" w:cs="Arial"/>
                <w:sz w:val="22"/>
                <w:szCs w:val="22"/>
              </w:rPr>
            </w:pPr>
          </w:p>
        </w:tc>
      </w:tr>
      <w:tr w:rsidR="00B202A2">
        <w:trPr>
          <w:trHeight w:val="276"/>
        </w:trPr>
        <w:tc>
          <w:tcPr>
            <w:tcW w:w="1537"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2552"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1788"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2720"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146" w:type="dxa"/>
            <w:vAlign w:val="center"/>
          </w:tcPr>
          <w:p w:rsidR="00B202A2" w:rsidRDefault="00B202A2">
            <w:pPr>
              <w:rPr>
                <w:rFonts w:ascii="Arial" w:eastAsia="Arial" w:hAnsi="Arial" w:cs="Arial"/>
                <w:sz w:val="22"/>
                <w:szCs w:val="22"/>
              </w:rPr>
            </w:pPr>
          </w:p>
        </w:tc>
      </w:tr>
      <w:tr w:rsidR="00B202A2">
        <w:trPr>
          <w:trHeight w:val="276"/>
        </w:trPr>
        <w:tc>
          <w:tcPr>
            <w:tcW w:w="1537"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2552"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1788"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2720"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146" w:type="dxa"/>
            <w:vAlign w:val="center"/>
          </w:tcPr>
          <w:p w:rsidR="00B202A2" w:rsidRDefault="00B202A2">
            <w:pPr>
              <w:rPr>
                <w:rFonts w:ascii="Arial" w:eastAsia="Arial" w:hAnsi="Arial" w:cs="Arial"/>
                <w:sz w:val="22"/>
                <w:szCs w:val="22"/>
              </w:rPr>
            </w:pPr>
          </w:p>
        </w:tc>
      </w:tr>
      <w:tr w:rsidR="00B202A2">
        <w:trPr>
          <w:trHeight w:val="276"/>
        </w:trPr>
        <w:tc>
          <w:tcPr>
            <w:tcW w:w="1537" w:type="dxa"/>
            <w:vMerge w:val="restart"/>
            <w:tcBorders>
              <w:top w:val="nil"/>
              <w:left w:val="single" w:sz="4" w:space="0" w:color="000000"/>
              <w:bottom w:val="single" w:sz="4" w:space="0" w:color="000000"/>
              <w:right w:val="single" w:sz="4" w:space="0" w:color="000000"/>
            </w:tcBorders>
            <w:shd w:val="clear" w:color="auto" w:fill="FFFFFF"/>
            <w:vAlign w:val="center"/>
          </w:tcPr>
          <w:p w:rsidR="00B202A2" w:rsidRDefault="00295E06">
            <w:pPr>
              <w:jc w:val="center"/>
              <w:rPr>
                <w:rFonts w:ascii="Arial" w:eastAsia="Arial" w:hAnsi="Arial" w:cs="Arial"/>
                <w:sz w:val="22"/>
                <w:szCs w:val="22"/>
              </w:rPr>
            </w:pPr>
            <w:r>
              <w:rPr>
                <w:rFonts w:ascii="Arial" w:eastAsia="Arial" w:hAnsi="Arial" w:cs="Arial"/>
                <w:sz w:val="22"/>
                <w:szCs w:val="22"/>
              </w:rPr>
              <w:t>Consumo sostenible</w:t>
            </w:r>
          </w:p>
        </w:tc>
        <w:tc>
          <w:tcPr>
            <w:tcW w:w="2552" w:type="dxa"/>
            <w:vMerge w:val="restart"/>
            <w:tcBorders>
              <w:top w:val="nil"/>
              <w:left w:val="single" w:sz="4" w:space="0" w:color="000000"/>
              <w:bottom w:val="single" w:sz="4" w:space="0" w:color="000000"/>
              <w:right w:val="single" w:sz="4" w:space="0" w:color="000000"/>
            </w:tcBorders>
            <w:shd w:val="clear" w:color="auto" w:fill="FFFFFF"/>
            <w:vAlign w:val="center"/>
          </w:tcPr>
          <w:p w:rsidR="00B202A2" w:rsidRDefault="00295E06">
            <w:pPr>
              <w:jc w:val="both"/>
              <w:rPr>
                <w:rFonts w:ascii="Arial" w:eastAsia="Arial" w:hAnsi="Arial" w:cs="Arial"/>
                <w:sz w:val="22"/>
                <w:szCs w:val="22"/>
              </w:rPr>
            </w:pPr>
            <w:r>
              <w:rPr>
                <w:rFonts w:ascii="Arial" w:eastAsia="Arial" w:hAnsi="Arial" w:cs="Arial"/>
                <w:sz w:val="22"/>
                <w:szCs w:val="22"/>
              </w:rPr>
              <w:t>Establecer lineamientos para prevenir o mitigar el impacto ambiental a través de la inclusión de criterios ambientales en la contratación de la UPME</w:t>
            </w:r>
          </w:p>
        </w:tc>
        <w:tc>
          <w:tcPr>
            <w:tcW w:w="1788" w:type="dxa"/>
            <w:vMerge w:val="restart"/>
            <w:tcBorders>
              <w:top w:val="nil"/>
              <w:left w:val="single" w:sz="4" w:space="0" w:color="000000"/>
              <w:bottom w:val="single" w:sz="4" w:space="0" w:color="000000"/>
              <w:right w:val="single" w:sz="4" w:space="0" w:color="000000"/>
            </w:tcBorders>
            <w:shd w:val="clear" w:color="auto" w:fill="FFFFFF"/>
            <w:vAlign w:val="center"/>
          </w:tcPr>
          <w:p w:rsidR="00B202A2" w:rsidRDefault="00295E06">
            <w:pPr>
              <w:jc w:val="both"/>
              <w:rPr>
                <w:rFonts w:ascii="Arial" w:eastAsia="Arial" w:hAnsi="Arial" w:cs="Arial"/>
                <w:sz w:val="22"/>
                <w:szCs w:val="22"/>
              </w:rPr>
            </w:pPr>
            <w:r>
              <w:rPr>
                <w:rFonts w:ascii="Arial" w:eastAsia="Arial" w:hAnsi="Arial" w:cs="Arial"/>
                <w:sz w:val="22"/>
                <w:szCs w:val="22"/>
              </w:rPr>
              <w:t>Incorporar en el 60% de los contratos criterios ambientales de carácter legal</w:t>
            </w:r>
          </w:p>
        </w:tc>
        <w:tc>
          <w:tcPr>
            <w:tcW w:w="2720" w:type="dxa"/>
            <w:vMerge w:val="restart"/>
            <w:tcBorders>
              <w:top w:val="nil"/>
              <w:left w:val="single" w:sz="4" w:space="0" w:color="000000"/>
              <w:bottom w:val="single" w:sz="4" w:space="0" w:color="000000"/>
              <w:right w:val="single" w:sz="4" w:space="0" w:color="000000"/>
            </w:tcBorders>
            <w:shd w:val="clear" w:color="auto" w:fill="FFFFFF"/>
            <w:vAlign w:val="center"/>
          </w:tcPr>
          <w:p w:rsidR="00B202A2" w:rsidRDefault="00295E06">
            <w:pPr>
              <w:jc w:val="center"/>
              <w:rPr>
                <w:rFonts w:ascii="Arial" w:eastAsia="Arial" w:hAnsi="Arial" w:cs="Arial"/>
                <w:sz w:val="22"/>
                <w:szCs w:val="22"/>
              </w:rPr>
            </w:pPr>
            <w:r>
              <w:rPr>
                <w:rFonts w:ascii="Arial" w:eastAsia="Arial" w:hAnsi="Arial" w:cs="Arial"/>
                <w:sz w:val="22"/>
                <w:szCs w:val="22"/>
              </w:rPr>
              <w:t xml:space="preserve">(No. De contratos que incorporaron cláusulas ambientales/No. De contratos que requieren incorporar cláusulas ambientales) *100 </w:t>
            </w:r>
          </w:p>
        </w:tc>
        <w:tc>
          <w:tcPr>
            <w:tcW w:w="146" w:type="dxa"/>
            <w:vAlign w:val="center"/>
          </w:tcPr>
          <w:p w:rsidR="00B202A2" w:rsidRDefault="00B202A2">
            <w:pPr>
              <w:rPr>
                <w:rFonts w:ascii="Arial" w:eastAsia="Arial" w:hAnsi="Arial" w:cs="Arial"/>
                <w:sz w:val="22"/>
                <w:szCs w:val="22"/>
              </w:rPr>
            </w:pPr>
          </w:p>
        </w:tc>
      </w:tr>
      <w:tr w:rsidR="00B202A2">
        <w:trPr>
          <w:trHeight w:val="276"/>
        </w:trPr>
        <w:tc>
          <w:tcPr>
            <w:tcW w:w="1537"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2552"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1788"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2720"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146" w:type="dxa"/>
            <w:vAlign w:val="center"/>
          </w:tcPr>
          <w:p w:rsidR="00B202A2" w:rsidRDefault="00B202A2">
            <w:pPr>
              <w:rPr>
                <w:rFonts w:ascii="Arial" w:eastAsia="Arial" w:hAnsi="Arial" w:cs="Arial"/>
                <w:sz w:val="22"/>
                <w:szCs w:val="22"/>
              </w:rPr>
            </w:pPr>
          </w:p>
        </w:tc>
      </w:tr>
      <w:tr w:rsidR="00B202A2">
        <w:trPr>
          <w:trHeight w:val="276"/>
        </w:trPr>
        <w:tc>
          <w:tcPr>
            <w:tcW w:w="1537"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2552"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1788"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2720"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146" w:type="dxa"/>
            <w:vAlign w:val="center"/>
          </w:tcPr>
          <w:p w:rsidR="00B202A2" w:rsidRDefault="00B202A2">
            <w:pPr>
              <w:rPr>
                <w:rFonts w:ascii="Arial" w:eastAsia="Arial" w:hAnsi="Arial" w:cs="Arial"/>
                <w:sz w:val="22"/>
                <w:szCs w:val="22"/>
              </w:rPr>
            </w:pPr>
          </w:p>
        </w:tc>
      </w:tr>
      <w:tr w:rsidR="00B202A2">
        <w:trPr>
          <w:trHeight w:val="276"/>
        </w:trPr>
        <w:tc>
          <w:tcPr>
            <w:tcW w:w="1537"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2552"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1788"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2720"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146" w:type="dxa"/>
            <w:vAlign w:val="center"/>
          </w:tcPr>
          <w:p w:rsidR="00B202A2" w:rsidRDefault="00B202A2">
            <w:pPr>
              <w:rPr>
                <w:rFonts w:ascii="Arial" w:eastAsia="Arial" w:hAnsi="Arial" w:cs="Arial"/>
                <w:sz w:val="22"/>
                <w:szCs w:val="22"/>
              </w:rPr>
            </w:pPr>
          </w:p>
        </w:tc>
      </w:tr>
      <w:tr w:rsidR="00B202A2">
        <w:trPr>
          <w:trHeight w:val="276"/>
        </w:trPr>
        <w:tc>
          <w:tcPr>
            <w:tcW w:w="1537" w:type="dxa"/>
            <w:vMerge w:val="restart"/>
            <w:tcBorders>
              <w:top w:val="nil"/>
              <w:left w:val="single" w:sz="4" w:space="0" w:color="000000"/>
              <w:bottom w:val="single" w:sz="4" w:space="0" w:color="000000"/>
              <w:right w:val="single" w:sz="4" w:space="0" w:color="000000"/>
            </w:tcBorders>
            <w:shd w:val="clear" w:color="auto" w:fill="FFFFFF"/>
            <w:vAlign w:val="center"/>
          </w:tcPr>
          <w:p w:rsidR="00B202A2" w:rsidRDefault="00295E06">
            <w:pPr>
              <w:jc w:val="center"/>
              <w:rPr>
                <w:rFonts w:ascii="Arial" w:eastAsia="Arial" w:hAnsi="Arial" w:cs="Arial"/>
                <w:sz w:val="22"/>
                <w:szCs w:val="22"/>
              </w:rPr>
            </w:pPr>
            <w:r>
              <w:rPr>
                <w:rFonts w:ascii="Arial" w:eastAsia="Arial" w:hAnsi="Arial" w:cs="Arial"/>
                <w:sz w:val="22"/>
                <w:szCs w:val="22"/>
              </w:rPr>
              <w:t>Implementación de prácticas sostenibles.</w:t>
            </w:r>
          </w:p>
        </w:tc>
        <w:tc>
          <w:tcPr>
            <w:tcW w:w="2552" w:type="dxa"/>
            <w:vMerge w:val="restart"/>
            <w:tcBorders>
              <w:top w:val="nil"/>
              <w:left w:val="single" w:sz="4" w:space="0" w:color="000000"/>
              <w:bottom w:val="single" w:sz="4" w:space="0" w:color="000000"/>
              <w:right w:val="single" w:sz="4" w:space="0" w:color="000000"/>
            </w:tcBorders>
            <w:shd w:val="clear" w:color="auto" w:fill="FFFFFF"/>
            <w:vAlign w:val="center"/>
          </w:tcPr>
          <w:p w:rsidR="00B202A2" w:rsidRDefault="00295E06">
            <w:pPr>
              <w:jc w:val="both"/>
              <w:rPr>
                <w:rFonts w:ascii="Arial" w:eastAsia="Arial" w:hAnsi="Arial" w:cs="Arial"/>
                <w:sz w:val="22"/>
                <w:szCs w:val="22"/>
              </w:rPr>
            </w:pPr>
            <w:r>
              <w:rPr>
                <w:rFonts w:ascii="Arial" w:eastAsia="Arial" w:hAnsi="Arial" w:cs="Arial"/>
                <w:sz w:val="22"/>
                <w:szCs w:val="22"/>
              </w:rPr>
              <w:t>Generar conciencia ambiental en los Servidores Públicos de la UPME, para la implementación de buenas prácticas ambientales, contribuyendo con el uso, manejo y gestión adecuada de los recursos.</w:t>
            </w:r>
          </w:p>
        </w:tc>
        <w:tc>
          <w:tcPr>
            <w:tcW w:w="1788" w:type="dxa"/>
            <w:vMerge w:val="restart"/>
            <w:tcBorders>
              <w:top w:val="nil"/>
              <w:left w:val="single" w:sz="4" w:space="0" w:color="000000"/>
              <w:bottom w:val="single" w:sz="4" w:space="0" w:color="000000"/>
              <w:right w:val="single" w:sz="4" w:space="0" w:color="000000"/>
            </w:tcBorders>
            <w:shd w:val="clear" w:color="auto" w:fill="FFFFFF"/>
            <w:vAlign w:val="center"/>
          </w:tcPr>
          <w:p w:rsidR="00B202A2" w:rsidRDefault="00295E06">
            <w:pPr>
              <w:jc w:val="both"/>
              <w:rPr>
                <w:rFonts w:ascii="Arial" w:eastAsia="Arial" w:hAnsi="Arial" w:cs="Arial"/>
                <w:sz w:val="22"/>
                <w:szCs w:val="22"/>
              </w:rPr>
            </w:pPr>
            <w:r>
              <w:rPr>
                <w:rFonts w:ascii="Arial" w:eastAsia="Arial" w:hAnsi="Arial" w:cs="Arial"/>
                <w:sz w:val="22"/>
                <w:szCs w:val="22"/>
              </w:rPr>
              <w:t>Difundir buenos hábitos ambientales en el 100% de la comunidad de la UPME (servidores públicos, personal de aseo y vigilancia)</w:t>
            </w:r>
          </w:p>
        </w:tc>
        <w:tc>
          <w:tcPr>
            <w:tcW w:w="2720" w:type="dxa"/>
            <w:vMerge w:val="restart"/>
            <w:tcBorders>
              <w:top w:val="nil"/>
              <w:left w:val="single" w:sz="4" w:space="0" w:color="000000"/>
              <w:bottom w:val="single" w:sz="4" w:space="0" w:color="000000"/>
              <w:right w:val="single" w:sz="4" w:space="0" w:color="000000"/>
            </w:tcBorders>
            <w:shd w:val="clear" w:color="auto" w:fill="FFFFFF"/>
            <w:vAlign w:val="center"/>
          </w:tcPr>
          <w:p w:rsidR="00B202A2" w:rsidRDefault="00295E06">
            <w:pPr>
              <w:jc w:val="center"/>
              <w:rPr>
                <w:rFonts w:ascii="Arial" w:eastAsia="Arial" w:hAnsi="Arial" w:cs="Arial"/>
                <w:sz w:val="22"/>
                <w:szCs w:val="22"/>
              </w:rPr>
            </w:pPr>
            <w:r>
              <w:rPr>
                <w:rFonts w:ascii="Arial" w:eastAsia="Arial" w:hAnsi="Arial" w:cs="Arial"/>
                <w:sz w:val="22"/>
                <w:szCs w:val="22"/>
              </w:rPr>
              <w:t>Actividades de socialización ejecutadas/ Actividades de socialización programadas*100</w:t>
            </w:r>
          </w:p>
        </w:tc>
        <w:tc>
          <w:tcPr>
            <w:tcW w:w="146" w:type="dxa"/>
            <w:vAlign w:val="center"/>
          </w:tcPr>
          <w:p w:rsidR="00B202A2" w:rsidRDefault="00B202A2">
            <w:pPr>
              <w:rPr>
                <w:rFonts w:ascii="Arial" w:eastAsia="Arial" w:hAnsi="Arial" w:cs="Arial"/>
                <w:sz w:val="22"/>
                <w:szCs w:val="22"/>
              </w:rPr>
            </w:pPr>
          </w:p>
        </w:tc>
      </w:tr>
      <w:tr w:rsidR="00B202A2">
        <w:trPr>
          <w:trHeight w:val="276"/>
        </w:trPr>
        <w:tc>
          <w:tcPr>
            <w:tcW w:w="1537"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2552"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1788"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2720"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146" w:type="dxa"/>
            <w:vAlign w:val="center"/>
          </w:tcPr>
          <w:p w:rsidR="00B202A2" w:rsidRDefault="00B202A2">
            <w:pPr>
              <w:rPr>
                <w:rFonts w:ascii="Arial" w:eastAsia="Arial" w:hAnsi="Arial" w:cs="Arial"/>
                <w:sz w:val="22"/>
                <w:szCs w:val="22"/>
              </w:rPr>
            </w:pPr>
          </w:p>
        </w:tc>
      </w:tr>
      <w:tr w:rsidR="00B202A2">
        <w:trPr>
          <w:trHeight w:val="276"/>
        </w:trPr>
        <w:tc>
          <w:tcPr>
            <w:tcW w:w="1537"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2552"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1788"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2720"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146" w:type="dxa"/>
            <w:vAlign w:val="center"/>
          </w:tcPr>
          <w:p w:rsidR="00B202A2" w:rsidRDefault="00B202A2">
            <w:pPr>
              <w:rPr>
                <w:rFonts w:ascii="Arial" w:eastAsia="Arial" w:hAnsi="Arial" w:cs="Arial"/>
                <w:sz w:val="22"/>
                <w:szCs w:val="22"/>
              </w:rPr>
            </w:pPr>
          </w:p>
        </w:tc>
      </w:tr>
      <w:tr w:rsidR="00B202A2">
        <w:trPr>
          <w:trHeight w:val="276"/>
        </w:trPr>
        <w:tc>
          <w:tcPr>
            <w:tcW w:w="1537"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2552"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1788"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2720" w:type="dxa"/>
            <w:vMerge/>
            <w:tcBorders>
              <w:top w:val="nil"/>
              <w:left w:val="single" w:sz="4" w:space="0" w:color="000000"/>
              <w:bottom w:val="single" w:sz="4" w:space="0" w:color="000000"/>
              <w:right w:val="single" w:sz="4" w:space="0" w:color="000000"/>
            </w:tcBorders>
            <w:shd w:val="clear" w:color="auto" w:fill="FFFFFF"/>
            <w:vAlign w:val="center"/>
          </w:tcPr>
          <w:p w:rsidR="00B202A2" w:rsidRDefault="00B202A2">
            <w:pPr>
              <w:widowControl w:val="0"/>
              <w:pBdr>
                <w:top w:val="nil"/>
                <w:left w:val="nil"/>
                <w:bottom w:val="nil"/>
                <w:right w:val="nil"/>
                <w:between w:val="nil"/>
              </w:pBdr>
              <w:spacing w:line="276" w:lineRule="auto"/>
              <w:rPr>
                <w:rFonts w:ascii="Arial" w:eastAsia="Arial" w:hAnsi="Arial" w:cs="Arial"/>
                <w:sz w:val="22"/>
                <w:szCs w:val="22"/>
              </w:rPr>
            </w:pPr>
          </w:p>
        </w:tc>
        <w:tc>
          <w:tcPr>
            <w:tcW w:w="146" w:type="dxa"/>
            <w:vAlign w:val="center"/>
          </w:tcPr>
          <w:p w:rsidR="00B202A2" w:rsidRDefault="00B202A2">
            <w:pPr>
              <w:rPr>
                <w:rFonts w:ascii="Arial" w:eastAsia="Arial" w:hAnsi="Arial" w:cs="Arial"/>
                <w:sz w:val="22"/>
                <w:szCs w:val="22"/>
              </w:rPr>
            </w:pPr>
          </w:p>
        </w:tc>
      </w:tr>
    </w:tbl>
    <w:p w:rsidR="00B202A2" w:rsidRDefault="00B202A2">
      <w:pPr>
        <w:rPr>
          <w:rFonts w:ascii="Arial" w:eastAsia="Arial" w:hAnsi="Arial" w:cs="Arial"/>
          <w:sz w:val="22"/>
          <w:szCs w:val="22"/>
        </w:rPr>
      </w:pPr>
    </w:p>
    <w:p w:rsidR="00B202A2" w:rsidRDefault="00295E06">
      <w:pPr>
        <w:jc w:val="both"/>
        <w:rPr>
          <w:rFonts w:ascii="Arial" w:eastAsia="Arial" w:hAnsi="Arial" w:cs="Arial"/>
          <w:color w:val="000000"/>
          <w:sz w:val="22"/>
          <w:szCs w:val="22"/>
        </w:rPr>
      </w:pPr>
      <w:r>
        <w:rPr>
          <w:rFonts w:ascii="Arial" w:eastAsia="Arial" w:hAnsi="Arial" w:cs="Arial"/>
          <w:sz w:val="22"/>
          <w:szCs w:val="22"/>
        </w:rPr>
        <w:lastRenderedPageBreak/>
        <w:t>Una vez implementados los programas durante la vigencia 2020 y considerando la contingencia del COVID 19 que requirió que un gran porcentaje de los servidores públicos ejercieran sus funciones en modalidad de teletrabajo, se puede evidenciar que</w:t>
      </w:r>
      <w:r>
        <w:rPr>
          <w:rFonts w:ascii="Arial" w:eastAsia="Arial" w:hAnsi="Arial" w:cs="Arial"/>
          <w:sz w:val="22"/>
          <w:szCs w:val="22"/>
          <w:vertAlign w:val="superscript"/>
        </w:rPr>
        <w:footnoteReference w:id="1"/>
      </w:r>
      <w:r>
        <w:rPr>
          <w:rFonts w:ascii="Arial" w:eastAsia="Arial" w:hAnsi="Arial" w:cs="Arial"/>
          <w:sz w:val="22"/>
          <w:szCs w:val="22"/>
        </w:rPr>
        <w:t xml:space="preserve"> c</w:t>
      </w:r>
      <w:r>
        <w:rPr>
          <w:rFonts w:ascii="Arial" w:eastAsia="Arial" w:hAnsi="Arial" w:cs="Arial"/>
          <w:color w:val="000000"/>
          <w:sz w:val="22"/>
          <w:szCs w:val="22"/>
        </w:rPr>
        <w:t>on respe</w:t>
      </w:r>
      <w:r>
        <w:rPr>
          <w:rFonts w:ascii="Arial" w:eastAsia="Arial" w:hAnsi="Arial" w:cs="Arial"/>
          <w:color w:val="000000"/>
          <w:sz w:val="22"/>
          <w:szCs w:val="22"/>
        </w:rPr>
        <w:t>cto a la generación de residuos sólidos, hubo una disminución de la generación de residuos orgánicos de 1479,49 Kg frente a la vigencia anterior (enero a octubre 2019)</w:t>
      </w:r>
    </w:p>
    <w:p w:rsidR="00B202A2" w:rsidRDefault="00B202A2">
      <w:pPr>
        <w:spacing w:after="200"/>
        <w:ind w:left="360"/>
        <w:jc w:val="both"/>
        <w:rPr>
          <w:rFonts w:ascii="Arial" w:eastAsia="Arial" w:hAnsi="Arial" w:cs="Arial"/>
          <w:sz w:val="22"/>
          <w:szCs w:val="22"/>
        </w:rPr>
      </w:pPr>
    </w:p>
    <w:p w:rsidR="00B202A2" w:rsidRDefault="00B202A2">
      <w:pPr>
        <w:spacing w:after="200"/>
        <w:ind w:left="360"/>
        <w:jc w:val="both"/>
        <w:rPr>
          <w:rFonts w:ascii="Arial" w:eastAsia="Arial" w:hAnsi="Arial" w:cs="Arial"/>
          <w:sz w:val="22"/>
          <w:szCs w:val="22"/>
        </w:rPr>
      </w:pPr>
    </w:p>
    <w:p w:rsidR="00B202A2" w:rsidRDefault="00B202A2">
      <w:pPr>
        <w:spacing w:after="200"/>
        <w:ind w:left="360"/>
        <w:jc w:val="both"/>
        <w:rPr>
          <w:rFonts w:ascii="Arial" w:eastAsia="Arial" w:hAnsi="Arial" w:cs="Arial"/>
          <w:sz w:val="22"/>
          <w:szCs w:val="22"/>
        </w:rPr>
      </w:pPr>
    </w:p>
    <w:p w:rsidR="00B202A2" w:rsidRDefault="00B202A2">
      <w:pPr>
        <w:spacing w:after="200"/>
        <w:ind w:left="360"/>
        <w:jc w:val="both"/>
        <w:rPr>
          <w:rFonts w:ascii="Arial" w:eastAsia="Arial" w:hAnsi="Arial" w:cs="Arial"/>
          <w:sz w:val="22"/>
          <w:szCs w:val="22"/>
        </w:rPr>
      </w:pPr>
    </w:p>
    <w:p w:rsidR="00B202A2" w:rsidRDefault="00B202A2">
      <w:pPr>
        <w:spacing w:after="200"/>
        <w:ind w:left="360"/>
        <w:jc w:val="both"/>
        <w:rPr>
          <w:rFonts w:ascii="Arial" w:eastAsia="Arial" w:hAnsi="Arial" w:cs="Arial"/>
          <w:sz w:val="22"/>
          <w:szCs w:val="22"/>
        </w:rPr>
      </w:pPr>
    </w:p>
    <w:p w:rsidR="00B202A2" w:rsidRDefault="00B202A2">
      <w:pPr>
        <w:spacing w:after="200"/>
        <w:ind w:left="360"/>
        <w:jc w:val="both"/>
        <w:rPr>
          <w:rFonts w:ascii="Arial" w:eastAsia="Arial" w:hAnsi="Arial" w:cs="Arial"/>
          <w:sz w:val="22"/>
          <w:szCs w:val="22"/>
        </w:rPr>
      </w:pPr>
    </w:p>
    <w:p w:rsidR="00B202A2" w:rsidRDefault="00B202A2">
      <w:pPr>
        <w:spacing w:after="200"/>
        <w:ind w:left="360"/>
        <w:jc w:val="both"/>
        <w:rPr>
          <w:rFonts w:ascii="Arial" w:eastAsia="Arial" w:hAnsi="Arial" w:cs="Arial"/>
          <w:sz w:val="22"/>
          <w:szCs w:val="22"/>
        </w:rPr>
      </w:pPr>
    </w:p>
    <w:p w:rsidR="00B202A2" w:rsidRDefault="00B202A2">
      <w:pPr>
        <w:spacing w:after="200"/>
        <w:ind w:left="360"/>
        <w:jc w:val="both"/>
        <w:rPr>
          <w:rFonts w:ascii="Arial" w:eastAsia="Arial" w:hAnsi="Arial" w:cs="Arial"/>
          <w:sz w:val="22"/>
          <w:szCs w:val="22"/>
        </w:rPr>
      </w:pPr>
    </w:p>
    <w:p w:rsidR="00B202A2" w:rsidRDefault="00B202A2">
      <w:pPr>
        <w:spacing w:after="200"/>
        <w:ind w:left="360"/>
        <w:jc w:val="both"/>
        <w:rPr>
          <w:rFonts w:ascii="Arial" w:eastAsia="Arial" w:hAnsi="Arial" w:cs="Arial"/>
          <w:sz w:val="22"/>
          <w:szCs w:val="22"/>
        </w:rPr>
      </w:pPr>
    </w:p>
    <w:p w:rsidR="00B202A2" w:rsidRDefault="00295E06">
      <w:pPr>
        <w:spacing w:before="240" w:after="240"/>
        <w:jc w:val="center"/>
        <w:rPr>
          <w:rFonts w:ascii="Arial" w:eastAsia="Arial" w:hAnsi="Arial" w:cs="Arial"/>
          <w:sz w:val="22"/>
          <w:szCs w:val="22"/>
        </w:rPr>
      </w:pPr>
      <w:bookmarkStart w:id="50" w:name="_heading=h.41mghml" w:colFirst="0" w:colLast="0"/>
      <w:bookmarkEnd w:id="50"/>
      <w:r>
        <w:rPr>
          <w:rFonts w:ascii="Arial" w:eastAsia="Arial" w:hAnsi="Arial" w:cs="Arial"/>
          <w:b/>
          <w:sz w:val="22"/>
          <w:szCs w:val="22"/>
        </w:rPr>
        <w:t>Gráfica 7. Generación de residuos ordinarios y reciclables en la UPME con fecha de corte 20 de octubre de 2020</w:t>
      </w:r>
    </w:p>
    <w:p w:rsidR="00B202A2" w:rsidRDefault="00295E06">
      <w:pPr>
        <w:jc w:val="center"/>
        <w:rPr>
          <w:rFonts w:ascii="Arial" w:eastAsia="Arial" w:hAnsi="Arial" w:cs="Arial"/>
          <w:sz w:val="22"/>
          <w:szCs w:val="22"/>
        </w:rPr>
      </w:pPr>
      <w:r>
        <w:rPr>
          <w:rFonts w:ascii="Arial" w:eastAsia="Arial" w:hAnsi="Arial" w:cs="Arial"/>
          <w:noProof/>
          <w:sz w:val="22"/>
          <w:szCs w:val="22"/>
          <w:lang w:val="en-US"/>
        </w:rPr>
        <w:drawing>
          <wp:inline distT="0" distB="0" distL="0" distR="0" wp14:anchorId="60186A95" wp14:editId="23BDC374">
            <wp:extent cx="4448175" cy="3105150"/>
            <wp:effectExtent l="0" t="0" r="0" b="0"/>
            <wp:docPr id="85" name="Gráfico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202A2" w:rsidRDefault="00B202A2">
      <w:pPr>
        <w:jc w:val="center"/>
        <w:rPr>
          <w:rFonts w:ascii="Arial" w:eastAsia="Arial" w:hAnsi="Arial" w:cs="Arial"/>
          <w:sz w:val="22"/>
          <w:szCs w:val="22"/>
        </w:rPr>
      </w:pPr>
    </w:p>
    <w:p w:rsidR="00B202A2" w:rsidRDefault="00295E06">
      <w:pPr>
        <w:rPr>
          <w:rFonts w:ascii="Arial" w:eastAsia="Arial" w:hAnsi="Arial" w:cs="Arial"/>
          <w:sz w:val="22"/>
          <w:szCs w:val="22"/>
        </w:rPr>
      </w:pPr>
      <w:bookmarkStart w:id="51" w:name="bookmark=id.2grqrue" w:colFirst="0" w:colLast="0"/>
      <w:bookmarkEnd w:id="51"/>
      <w:r>
        <w:rPr>
          <w:rFonts w:ascii="Arial" w:eastAsia="Arial" w:hAnsi="Arial" w:cs="Arial"/>
          <w:sz w:val="22"/>
          <w:szCs w:val="22"/>
        </w:rPr>
        <w:t>Fuente: Información Gestión Administrativa – UPME</w:t>
      </w:r>
    </w:p>
    <w:p w:rsidR="00B202A2" w:rsidRDefault="00B202A2">
      <w:pPr>
        <w:jc w:val="center"/>
        <w:rPr>
          <w:rFonts w:ascii="Arial" w:eastAsia="Arial" w:hAnsi="Arial" w:cs="Arial"/>
          <w:sz w:val="22"/>
          <w:szCs w:val="22"/>
        </w:rPr>
      </w:pPr>
    </w:p>
    <w:p w:rsidR="00B202A2" w:rsidRDefault="00B202A2">
      <w:pPr>
        <w:jc w:val="center"/>
        <w:rPr>
          <w:rFonts w:ascii="Arial" w:eastAsia="Arial" w:hAnsi="Arial" w:cs="Arial"/>
          <w:sz w:val="22"/>
          <w:szCs w:val="22"/>
        </w:rPr>
      </w:pPr>
    </w:p>
    <w:p w:rsidR="00B202A2" w:rsidRDefault="00295E06">
      <w:pPr>
        <w:jc w:val="center"/>
        <w:rPr>
          <w:rFonts w:ascii="Arial" w:eastAsia="Arial" w:hAnsi="Arial" w:cs="Arial"/>
          <w:b/>
          <w:sz w:val="22"/>
          <w:szCs w:val="22"/>
          <w:u w:val="single"/>
        </w:rPr>
      </w:pPr>
      <w:r>
        <w:rPr>
          <w:rFonts w:ascii="Arial" w:eastAsia="Arial" w:hAnsi="Arial" w:cs="Arial"/>
          <w:b/>
          <w:sz w:val="22"/>
          <w:szCs w:val="22"/>
          <w:highlight w:val="white"/>
          <w:u w:val="single"/>
        </w:rPr>
        <w:lastRenderedPageBreak/>
        <w:t>Tabla 7.</w:t>
      </w:r>
      <w:r>
        <w:rPr>
          <w:rFonts w:ascii="Arial" w:eastAsia="Arial" w:hAnsi="Arial" w:cs="Arial"/>
          <w:b/>
          <w:sz w:val="22"/>
          <w:szCs w:val="22"/>
          <w:u w:val="single"/>
        </w:rPr>
        <w:t xml:space="preserve"> Generación de residuos orgánicos y aprovechables con respecto a la vigencia anterior </w:t>
      </w:r>
    </w:p>
    <w:p w:rsidR="00B202A2" w:rsidRDefault="00B202A2">
      <w:pPr>
        <w:jc w:val="center"/>
        <w:rPr>
          <w:rFonts w:ascii="Arial" w:eastAsia="Arial" w:hAnsi="Arial" w:cs="Arial"/>
          <w:sz w:val="22"/>
          <w:szCs w:val="22"/>
        </w:rPr>
      </w:pPr>
    </w:p>
    <w:tbl>
      <w:tblPr>
        <w:tblStyle w:val="aff6"/>
        <w:tblW w:w="5524" w:type="dxa"/>
        <w:jc w:val="center"/>
        <w:tblInd w:w="0" w:type="dxa"/>
        <w:tblLayout w:type="fixed"/>
        <w:tblLook w:val="0400" w:firstRow="0" w:lastRow="0" w:firstColumn="0" w:lastColumn="0" w:noHBand="0" w:noVBand="1"/>
      </w:tblPr>
      <w:tblGrid>
        <w:gridCol w:w="1936"/>
        <w:gridCol w:w="1178"/>
        <w:gridCol w:w="992"/>
        <w:gridCol w:w="1418"/>
      </w:tblGrid>
      <w:tr w:rsidR="00B202A2">
        <w:trPr>
          <w:trHeight w:val="701"/>
          <w:jc w:val="center"/>
        </w:trPr>
        <w:tc>
          <w:tcPr>
            <w:tcW w:w="1936" w:type="dxa"/>
            <w:tcBorders>
              <w:top w:val="single" w:sz="4" w:space="0" w:color="000000"/>
              <w:left w:val="single" w:sz="4" w:space="0" w:color="000000"/>
              <w:bottom w:val="single" w:sz="4" w:space="0" w:color="000000"/>
              <w:right w:val="single" w:sz="4" w:space="0" w:color="000000"/>
            </w:tcBorders>
            <w:shd w:val="clear" w:color="auto" w:fill="C9DAF8"/>
            <w:vAlign w:val="center"/>
          </w:tcPr>
          <w:p w:rsidR="00B202A2" w:rsidRDefault="00295E06">
            <w:pPr>
              <w:jc w:val="center"/>
              <w:rPr>
                <w:rFonts w:ascii="Arial" w:eastAsia="Arial" w:hAnsi="Arial" w:cs="Arial"/>
                <w:b/>
                <w:color w:val="000000"/>
                <w:sz w:val="22"/>
                <w:szCs w:val="22"/>
              </w:rPr>
            </w:pPr>
            <w:r>
              <w:rPr>
                <w:rFonts w:ascii="Arial" w:eastAsia="Arial" w:hAnsi="Arial" w:cs="Arial"/>
                <w:b/>
                <w:color w:val="000000"/>
                <w:sz w:val="22"/>
                <w:szCs w:val="22"/>
              </w:rPr>
              <w:t>Tipo de residuo</w:t>
            </w:r>
          </w:p>
        </w:tc>
        <w:tc>
          <w:tcPr>
            <w:tcW w:w="1178" w:type="dxa"/>
            <w:tcBorders>
              <w:top w:val="single" w:sz="4" w:space="0" w:color="000000"/>
              <w:left w:val="nil"/>
              <w:bottom w:val="single" w:sz="4" w:space="0" w:color="000000"/>
              <w:right w:val="single" w:sz="4" w:space="0" w:color="000000"/>
            </w:tcBorders>
            <w:shd w:val="clear" w:color="auto" w:fill="C9DAF8"/>
            <w:vAlign w:val="center"/>
          </w:tcPr>
          <w:p w:rsidR="00B202A2" w:rsidRDefault="00295E06">
            <w:pPr>
              <w:jc w:val="center"/>
              <w:rPr>
                <w:rFonts w:ascii="Arial" w:eastAsia="Arial" w:hAnsi="Arial" w:cs="Arial"/>
                <w:b/>
                <w:color w:val="000000"/>
                <w:sz w:val="22"/>
                <w:szCs w:val="22"/>
              </w:rPr>
            </w:pPr>
            <w:r>
              <w:rPr>
                <w:rFonts w:ascii="Arial" w:eastAsia="Arial" w:hAnsi="Arial" w:cs="Arial"/>
                <w:b/>
                <w:color w:val="000000"/>
                <w:sz w:val="22"/>
                <w:szCs w:val="22"/>
              </w:rPr>
              <w:t>2019</w:t>
            </w:r>
          </w:p>
        </w:tc>
        <w:tc>
          <w:tcPr>
            <w:tcW w:w="992" w:type="dxa"/>
            <w:tcBorders>
              <w:top w:val="single" w:sz="4" w:space="0" w:color="000000"/>
              <w:left w:val="nil"/>
              <w:bottom w:val="single" w:sz="4" w:space="0" w:color="000000"/>
              <w:right w:val="single" w:sz="4" w:space="0" w:color="000000"/>
            </w:tcBorders>
            <w:shd w:val="clear" w:color="auto" w:fill="C9DAF8"/>
            <w:vAlign w:val="center"/>
          </w:tcPr>
          <w:p w:rsidR="00B202A2" w:rsidRDefault="00295E06">
            <w:pPr>
              <w:jc w:val="center"/>
              <w:rPr>
                <w:rFonts w:ascii="Arial" w:eastAsia="Arial" w:hAnsi="Arial" w:cs="Arial"/>
                <w:b/>
                <w:color w:val="000000"/>
                <w:sz w:val="22"/>
                <w:szCs w:val="22"/>
              </w:rPr>
            </w:pPr>
            <w:r>
              <w:rPr>
                <w:rFonts w:ascii="Arial" w:eastAsia="Arial" w:hAnsi="Arial" w:cs="Arial"/>
                <w:b/>
                <w:color w:val="000000"/>
                <w:sz w:val="22"/>
                <w:szCs w:val="22"/>
              </w:rPr>
              <w:t>2020</w:t>
            </w:r>
          </w:p>
        </w:tc>
        <w:tc>
          <w:tcPr>
            <w:tcW w:w="1418" w:type="dxa"/>
            <w:tcBorders>
              <w:top w:val="single" w:sz="4" w:space="0" w:color="000000"/>
              <w:left w:val="nil"/>
              <w:bottom w:val="single" w:sz="4" w:space="0" w:color="000000"/>
              <w:right w:val="single" w:sz="4" w:space="0" w:color="000000"/>
            </w:tcBorders>
            <w:shd w:val="clear" w:color="auto" w:fill="C9DAF8"/>
            <w:vAlign w:val="center"/>
          </w:tcPr>
          <w:p w:rsidR="00B202A2" w:rsidRDefault="00295E06">
            <w:pPr>
              <w:jc w:val="center"/>
              <w:rPr>
                <w:rFonts w:ascii="Arial" w:eastAsia="Arial" w:hAnsi="Arial" w:cs="Arial"/>
                <w:b/>
                <w:color w:val="000000"/>
                <w:sz w:val="22"/>
                <w:szCs w:val="22"/>
              </w:rPr>
            </w:pPr>
            <w:r>
              <w:rPr>
                <w:rFonts w:ascii="Arial" w:eastAsia="Arial" w:hAnsi="Arial" w:cs="Arial"/>
                <w:b/>
                <w:color w:val="000000"/>
                <w:sz w:val="22"/>
                <w:szCs w:val="22"/>
              </w:rPr>
              <w:t xml:space="preserve">Diferencia </w:t>
            </w:r>
          </w:p>
        </w:tc>
      </w:tr>
      <w:tr w:rsidR="00B202A2">
        <w:trPr>
          <w:trHeight w:val="580"/>
          <w:jc w:val="center"/>
        </w:trPr>
        <w:tc>
          <w:tcPr>
            <w:tcW w:w="1936" w:type="dxa"/>
            <w:tcBorders>
              <w:top w:val="nil"/>
              <w:left w:val="single" w:sz="4" w:space="0" w:color="000000"/>
              <w:bottom w:val="single" w:sz="4" w:space="0" w:color="000000"/>
              <w:right w:val="single" w:sz="4" w:space="0" w:color="000000"/>
            </w:tcBorders>
            <w:vAlign w:val="center"/>
          </w:tcPr>
          <w:p w:rsidR="00B202A2" w:rsidRDefault="00295E06">
            <w:pPr>
              <w:jc w:val="center"/>
              <w:rPr>
                <w:rFonts w:ascii="Arial" w:eastAsia="Arial" w:hAnsi="Arial" w:cs="Arial"/>
                <w:color w:val="000000"/>
                <w:sz w:val="22"/>
                <w:szCs w:val="22"/>
              </w:rPr>
            </w:pPr>
            <w:r>
              <w:rPr>
                <w:rFonts w:ascii="Arial" w:eastAsia="Arial" w:hAnsi="Arial" w:cs="Arial"/>
                <w:color w:val="000000"/>
                <w:sz w:val="22"/>
                <w:szCs w:val="22"/>
              </w:rPr>
              <w:t xml:space="preserve">Ordinarios </w:t>
            </w:r>
          </w:p>
        </w:tc>
        <w:tc>
          <w:tcPr>
            <w:tcW w:w="1178" w:type="dxa"/>
            <w:tcBorders>
              <w:top w:val="nil"/>
              <w:left w:val="nil"/>
              <w:bottom w:val="single" w:sz="4" w:space="0" w:color="000000"/>
              <w:right w:val="single" w:sz="4" w:space="0" w:color="000000"/>
            </w:tcBorders>
          </w:tcPr>
          <w:p w:rsidR="00B202A2" w:rsidRDefault="00295E06">
            <w:pPr>
              <w:jc w:val="center"/>
              <w:rPr>
                <w:rFonts w:ascii="Arial" w:eastAsia="Arial" w:hAnsi="Arial" w:cs="Arial"/>
                <w:color w:val="000000"/>
                <w:sz w:val="22"/>
                <w:szCs w:val="22"/>
              </w:rPr>
            </w:pPr>
            <w:r>
              <w:rPr>
                <w:rFonts w:ascii="Arial" w:eastAsia="Arial" w:hAnsi="Arial" w:cs="Arial"/>
                <w:color w:val="000000"/>
                <w:sz w:val="22"/>
                <w:szCs w:val="22"/>
              </w:rPr>
              <w:t>2232,49</w:t>
            </w:r>
          </w:p>
        </w:tc>
        <w:tc>
          <w:tcPr>
            <w:tcW w:w="992" w:type="dxa"/>
            <w:tcBorders>
              <w:top w:val="nil"/>
              <w:left w:val="nil"/>
              <w:bottom w:val="single" w:sz="4" w:space="0" w:color="000000"/>
              <w:right w:val="single" w:sz="4" w:space="0" w:color="000000"/>
            </w:tcBorders>
          </w:tcPr>
          <w:p w:rsidR="00B202A2" w:rsidRDefault="00295E06">
            <w:pPr>
              <w:jc w:val="center"/>
              <w:rPr>
                <w:rFonts w:ascii="Arial" w:eastAsia="Arial" w:hAnsi="Arial" w:cs="Arial"/>
                <w:color w:val="000000"/>
                <w:sz w:val="22"/>
                <w:szCs w:val="22"/>
              </w:rPr>
            </w:pPr>
            <w:r>
              <w:rPr>
                <w:rFonts w:ascii="Arial" w:eastAsia="Arial" w:hAnsi="Arial" w:cs="Arial"/>
                <w:color w:val="000000"/>
                <w:sz w:val="22"/>
                <w:szCs w:val="22"/>
              </w:rPr>
              <w:t>753</w:t>
            </w:r>
          </w:p>
        </w:tc>
        <w:tc>
          <w:tcPr>
            <w:tcW w:w="1418" w:type="dxa"/>
            <w:tcBorders>
              <w:top w:val="nil"/>
              <w:left w:val="nil"/>
              <w:bottom w:val="single" w:sz="4" w:space="0" w:color="000000"/>
              <w:right w:val="single" w:sz="4" w:space="0" w:color="000000"/>
            </w:tcBorders>
          </w:tcPr>
          <w:p w:rsidR="00B202A2" w:rsidRDefault="00295E06">
            <w:pPr>
              <w:jc w:val="center"/>
              <w:rPr>
                <w:rFonts w:ascii="Arial" w:eastAsia="Arial" w:hAnsi="Arial" w:cs="Arial"/>
                <w:color w:val="000000"/>
                <w:sz w:val="22"/>
                <w:szCs w:val="22"/>
              </w:rPr>
            </w:pPr>
            <w:r>
              <w:rPr>
                <w:rFonts w:ascii="Arial" w:eastAsia="Arial" w:hAnsi="Arial" w:cs="Arial"/>
                <w:color w:val="000000"/>
                <w:sz w:val="22"/>
                <w:szCs w:val="22"/>
              </w:rPr>
              <w:t>1479,49</w:t>
            </w:r>
          </w:p>
        </w:tc>
      </w:tr>
      <w:tr w:rsidR="00B202A2">
        <w:trPr>
          <w:trHeight w:val="600"/>
          <w:jc w:val="center"/>
        </w:trPr>
        <w:tc>
          <w:tcPr>
            <w:tcW w:w="1936" w:type="dxa"/>
            <w:tcBorders>
              <w:top w:val="nil"/>
              <w:left w:val="single" w:sz="4" w:space="0" w:color="000000"/>
              <w:bottom w:val="single" w:sz="4" w:space="0" w:color="000000"/>
              <w:right w:val="single" w:sz="4" w:space="0" w:color="000000"/>
            </w:tcBorders>
            <w:vAlign w:val="center"/>
          </w:tcPr>
          <w:p w:rsidR="00B202A2" w:rsidRDefault="00295E06">
            <w:pPr>
              <w:jc w:val="center"/>
              <w:rPr>
                <w:rFonts w:ascii="Arial" w:eastAsia="Arial" w:hAnsi="Arial" w:cs="Arial"/>
                <w:color w:val="000000"/>
                <w:sz w:val="22"/>
                <w:szCs w:val="22"/>
              </w:rPr>
            </w:pPr>
            <w:r>
              <w:rPr>
                <w:rFonts w:ascii="Arial" w:eastAsia="Arial" w:hAnsi="Arial" w:cs="Arial"/>
                <w:color w:val="000000"/>
                <w:sz w:val="22"/>
                <w:szCs w:val="22"/>
              </w:rPr>
              <w:t xml:space="preserve">Aprovechables </w:t>
            </w:r>
          </w:p>
        </w:tc>
        <w:tc>
          <w:tcPr>
            <w:tcW w:w="1178" w:type="dxa"/>
            <w:tcBorders>
              <w:top w:val="nil"/>
              <w:left w:val="nil"/>
              <w:bottom w:val="single" w:sz="4" w:space="0" w:color="000000"/>
              <w:right w:val="single" w:sz="4" w:space="0" w:color="000000"/>
            </w:tcBorders>
          </w:tcPr>
          <w:p w:rsidR="00B202A2" w:rsidRDefault="00295E06">
            <w:pPr>
              <w:jc w:val="center"/>
              <w:rPr>
                <w:rFonts w:ascii="Arial" w:eastAsia="Arial" w:hAnsi="Arial" w:cs="Arial"/>
                <w:color w:val="000000"/>
                <w:sz w:val="22"/>
                <w:szCs w:val="22"/>
              </w:rPr>
            </w:pPr>
            <w:r>
              <w:rPr>
                <w:rFonts w:ascii="Arial" w:eastAsia="Arial" w:hAnsi="Arial" w:cs="Arial"/>
                <w:color w:val="000000"/>
                <w:sz w:val="22"/>
                <w:szCs w:val="22"/>
              </w:rPr>
              <w:t>1136,15</w:t>
            </w:r>
          </w:p>
        </w:tc>
        <w:tc>
          <w:tcPr>
            <w:tcW w:w="992" w:type="dxa"/>
            <w:tcBorders>
              <w:top w:val="nil"/>
              <w:left w:val="nil"/>
              <w:bottom w:val="single" w:sz="4" w:space="0" w:color="000000"/>
              <w:right w:val="single" w:sz="4" w:space="0" w:color="000000"/>
            </w:tcBorders>
          </w:tcPr>
          <w:p w:rsidR="00B202A2" w:rsidRDefault="00295E06">
            <w:pPr>
              <w:jc w:val="center"/>
              <w:rPr>
                <w:rFonts w:ascii="Arial" w:eastAsia="Arial" w:hAnsi="Arial" w:cs="Arial"/>
                <w:color w:val="000000"/>
                <w:sz w:val="22"/>
                <w:szCs w:val="22"/>
              </w:rPr>
            </w:pPr>
            <w:r>
              <w:rPr>
                <w:rFonts w:ascii="Arial" w:eastAsia="Arial" w:hAnsi="Arial" w:cs="Arial"/>
                <w:color w:val="000000"/>
                <w:sz w:val="22"/>
                <w:szCs w:val="22"/>
              </w:rPr>
              <w:t>756,42</w:t>
            </w:r>
          </w:p>
        </w:tc>
        <w:tc>
          <w:tcPr>
            <w:tcW w:w="1418" w:type="dxa"/>
            <w:tcBorders>
              <w:top w:val="nil"/>
              <w:left w:val="nil"/>
              <w:bottom w:val="single" w:sz="4" w:space="0" w:color="000000"/>
              <w:right w:val="single" w:sz="4" w:space="0" w:color="000000"/>
            </w:tcBorders>
          </w:tcPr>
          <w:p w:rsidR="00B202A2" w:rsidRDefault="00295E06">
            <w:pPr>
              <w:jc w:val="center"/>
              <w:rPr>
                <w:rFonts w:ascii="Arial" w:eastAsia="Arial" w:hAnsi="Arial" w:cs="Arial"/>
                <w:color w:val="000000"/>
                <w:sz w:val="22"/>
                <w:szCs w:val="22"/>
              </w:rPr>
            </w:pPr>
            <w:r>
              <w:rPr>
                <w:rFonts w:ascii="Arial" w:eastAsia="Arial" w:hAnsi="Arial" w:cs="Arial"/>
                <w:color w:val="000000"/>
                <w:sz w:val="22"/>
                <w:szCs w:val="22"/>
              </w:rPr>
              <w:t>379,73</w:t>
            </w:r>
          </w:p>
        </w:tc>
      </w:tr>
    </w:tbl>
    <w:p w:rsidR="00B202A2" w:rsidRDefault="00B202A2">
      <w:pPr>
        <w:jc w:val="center"/>
        <w:rPr>
          <w:rFonts w:ascii="Arial" w:eastAsia="Arial" w:hAnsi="Arial" w:cs="Arial"/>
          <w:sz w:val="22"/>
          <w:szCs w:val="22"/>
        </w:rPr>
      </w:pPr>
    </w:p>
    <w:p w:rsidR="00B202A2" w:rsidRDefault="00295E06">
      <w:pPr>
        <w:jc w:val="both"/>
        <w:rPr>
          <w:rFonts w:ascii="Arial" w:eastAsia="Arial" w:hAnsi="Arial" w:cs="Arial"/>
          <w:sz w:val="22"/>
          <w:szCs w:val="22"/>
        </w:rPr>
      </w:pPr>
      <w:r>
        <w:rPr>
          <w:rFonts w:ascii="Arial" w:eastAsia="Arial" w:hAnsi="Arial" w:cs="Arial"/>
          <w:sz w:val="22"/>
          <w:szCs w:val="22"/>
        </w:rPr>
        <w:t>De la generación de residuos aprovechables se destaca el papel con una participación del 76%, seguido del plástico con un 15% y el cartón con 8%.</w:t>
      </w:r>
    </w:p>
    <w:p w:rsidR="00B202A2" w:rsidRDefault="00B202A2">
      <w:pPr>
        <w:jc w:val="both"/>
        <w:rPr>
          <w:rFonts w:ascii="Arial" w:eastAsia="Arial" w:hAnsi="Arial" w:cs="Arial"/>
          <w:sz w:val="22"/>
          <w:szCs w:val="22"/>
        </w:rPr>
      </w:pPr>
    </w:p>
    <w:p w:rsidR="00B202A2" w:rsidRDefault="00B202A2">
      <w:pPr>
        <w:rPr>
          <w:rFonts w:ascii="Arial" w:eastAsia="Arial" w:hAnsi="Arial" w:cs="Arial"/>
          <w:sz w:val="22"/>
          <w:szCs w:val="22"/>
        </w:rPr>
      </w:pPr>
    </w:p>
    <w:p w:rsidR="00B202A2" w:rsidRDefault="00295E06">
      <w:pPr>
        <w:jc w:val="center"/>
        <w:rPr>
          <w:rFonts w:ascii="Arial" w:eastAsia="Arial" w:hAnsi="Arial" w:cs="Arial"/>
          <w:sz w:val="22"/>
          <w:szCs w:val="22"/>
        </w:rPr>
      </w:pPr>
      <w:bookmarkStart w:id="52" w:name="_heading=h.vx1227" w:colFirst="0" w:colLast="0"/>
      <w:bookmarkEnd w:id="52"/>
      <w:r>
        <w:rPr>
          <w:rFonts w:ascii="Arial" w:eastAsia="Arial" w:hAnsi="Arial" w:cs="Arial"/>
          <w:b/>
          <w:sz w:val="22"/>
          <w:szCs w:val="22"/>
        </w:rPr>
        <w:t>Gráfica 8. Tipos de residuos reciclables generados en la UPME con fecha de corte 20 de octubre de 2020.</w:t>
      </w:r>
      <w:r>
        <w:rPr>
          <w:rFonts w:ascii="Arial" w:eastAsia="Arial" w:hAnsi="Arial" w:cs="Arial"/>
          <w:noProof/>
          <w:sz w:val="22"/>
          <w:szCs w:val="22"/>
          <w:lang w:val="en-US"/>
        </w:rPr>
        <w:drawing>
          <wp:inline distT="0" distB="0" distL="0" distR="0" wp14:anchorId="41FFED24" wp14:editId="12395A2B">
            <wp:extent cx="4581525" cy="2752725"/>
            <wp:effectExtent l="0" t="0" r="0" b="0"/>
            <wp:docPr id="89" name="Gráfico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202A2" w:rsidRDefault="00295E06">
      <w:pPr>
        <w:rPr>
          <w:rFonts w:ascii="Arial" w:eastAsia="Arial" w:hAnsi="Arial" w:cs="Arial"/>
          <w:sz w:val="22"/>
          <w:szCs w:val="22"/>
        </w:rPr>
      </w:pPr>
      <w:r>
        <w:rPr>
          <w:rFonts w:ascii="Arial" w:eastAsia="Arial" w:hAnsi="Arial" w:cs="Arial"/>
          <w:sz w:val="22"/>
          <w:szCs w:val="22"/>
        </w:rPr>
        <w:t>Fue</w:t>
      </w:r>
      <w:r>
        <w:rPr>
          <w:rFonts w:ascii="Arial" w:eastAsia="Arial" w:hAnsi="Arial" w:cs="Arial"/>
          <w:sz w:val="22"/>
          <w:szCs w:val="22"/>
        </w:rPr>
        <w:t>nte: Información Gestión Administrativa – UPME</w:t>
      </w:r>
    </w:p>
    <w:p w:rsidR="00B202A2" w:rsidRDefault="00B202A2">
      <w:pPr>
        <w:jc w:val="center"/>
        <w:rPr>
          <w:rFonts w:ascii="Arial" w:eastAsia="Arial" w:hAnsi="Arial" w:cs="Arial"/>
          <w:sz w:val="22"/>
          <w:szCs w:val="22"/>
        </w:rPr>
      </w:pPr>
    </w:p>
    <w:p w:rsidR="00B202A2" w:rsidRDefault="00295E06">
      <w:pPr>
        <w:pBdr>
          <w:top w:val="nil"/>
          <w:left w:val="nil"/>
          <w:bottom w:val="nil"/>
          <w:right w:val="nil"/>
          <w:between w:val="nil"/>
        </w:pBdr>
        <w:spacing w:after="200"/>
        <w:jc w:val="both"/>
        <w:rPr>
          <w:rFonts w:ascii="Arial" w:eastAsia="Arial" w:hAnsi="Arial" w:cs="Arial"/>
          <w:color w:val="000000"/>
          <w:sz w:val="22"/>
          <w:szCs w:val="22"/>
        </w:rPr>
      </w:pPr>
      <w:r>
        <w:rPr>
          <w:rFonts w:ascii="Arial" w:eastAsia="Arial" w:hAnsi="Arial" w:cs="Arial"/>
          <w:color w:val="000000"/>
          <w:sz w:val="22"/>
          <w:szCs w:val="22"/>
        </w:rPr>
        <w:t xml:space="preserve">Consumo de energía:  </w:t>
      </w:r>
      <w:r>
        <w:rPr>
          <w:rFonts w:ascii="Arial" w:eastAsia="Arial" w:hAnsi="Arial" w:cs="Arial"/>
          <w:sz w:val="22"/>
          <w:szCs w:val="22"/>
        </w:rPr>
        <w:t>c</w:t>
      </w:r>
      <w:r>
        <w:rPr>
          <w:rFonts w:ascii="Arial" w:eastAsia="Arial" w:hAnsi="Arial" w:cs="Arial"/>
          <w:color w:val="000000"/>
          <w:sz w:val="22"/>
          <w:szCs w:val="22"/>
        </w:rPr>
        <w:t>on fecha de corte 13 de octubre de 2020 se han consumido un total de 138483 kW de energía, considerando que, aunque los servidores públicos estén trabajando desde sus hogares, los servid</w:t>
      </w:r>
      <w:r>
        <w:rPr>
          <w:rFonts w:ascii="Arial" w:eastAsia="Arial" w:hAnsi="Arial" w:cs="Arial"/>
          <w:color w:val="000000"/>
          <w:sz w:val="22"/>
          <w:szCs w:val="22"/>
        </w:rPr>
        <w:t xml:space="preserve">ores y otros equipos que garantizan el funcionamiento de las plataformas de la unidad continúan en funcionamiento 24 horas los 7 días a la semana. </w:t>
      </w:r>
    </w:p>
    <w:p w:rsidR="00B202A2" w:rsidRDefault="00B202A2">
      <w:pPr>
        <w:spacing w:after="200"/>
        <w:rPr>
          <w:rFonts w:ascii="Arial" w:eastAsia="Arial" w:hAnsi="Arial" w:cs="Arial"/>
          <w:b/>
          <w:sz w:val="22"/>
          <w:szCs w:val="22"/>
        </w:rPr>
      </w:pPr>
      <w:bookmarkStart w:id="53" w:name="_heading=h.k3v747e6qugb" w:colFirst="0" w:colLast="0"/>
      <w:bookmarkEnd w:id="53"/>
    </w:p>
    <w:p w:rsidR="00B202A2" w:rsidRDefault="00295E06">
      <w:pPr>
        <w:spacing w:after="200"/>
        <w:jc w:val="center"/>
        <w:rPr>
          <w:rFonts w:ascii="Arial" w:eastAsia="Arial" w:hAnsi="Arial" w:cs="Arial"/>
          <w:b/>
          <w:sz w:val="22"/>
          <w:szCs w:val="22"/>
        </w:rPr>
      </w:pPr>
      <w:bookmarkStart w:id="54" w:name="_heading=h.po9bakhx8z8e" w:colFirst="0" w:colLast="0"/>
      <w:bookmarkEnd w:id="54"/>
      <w:r>
        <w:rPr>
          <w:rFonts w:ascii="Arial" w:eastAsia="Arial" w:hAnsi="Arial" w:cs="Arial"/>
          <w:b/>
          <w:sz w:val="22"/>
          <w:szCs w:val="22"/>
        </w:rPr>
        <w:t>Gráfica 9. Consumo de energía en el piso 9 de la UPME (periodo 1 enero – 13 de octubre 2020.</w:t>
      </w:r>
    </w:p>
    <w:p w:rsidR="00B202A2" w:rsidRDefault="00295E06">
      <w:pPr>
        <w:jc w:val="center"/>
        <w:rPr>
          <w:rFonts w:ascii="Arial" w:eastAsia="Arial" w:hAnsi="Arial" w:cs="Arial"/>
          <w:sz w:val="22"/>
          <w:szCs w:val="22"/>
        </w:rPr>
      </w:pPr>
      <w:r>
        <w:rPr>
          <w:rFonts w:ascii="Arial" w:eastAsia="Arial" w:hAnsi="Arial" w:cs="Arial"/>
          <w:noProof/>
          <w:sz w:val="22"/>
          <w:szCs w:val="22"/>
          <w:lang w:val="en-US"/>
        </w:rPr>
        <w:lastRenderedPageBreak/>
        <w:drawing>
          <wp:inline distT="0" distB="0" distL="0" distR="0" wp14:anchorId="3D44E02A" wp14:editId="16587C1C">
            <wp:extent cx="5400675" cy="2981325"/>
            <wp:effectExtent l="0" t="0" r="0" b="0"/>
            <wp:docPr id="87" name="Gráfico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202A2" w:rsidRDefault="00295E06">
      <w:pPr>
        <w:shd w:val="clear" w:color="auto" w:fill="FFFFFF"/>
        <w:rPr>
          <w:rFonts w:ascii="Arial" w:eastAsia="Arial" w:hAnsi="Arial" w:cs="Arial"/>
          <w:sz w:val="22"/>
          <w:szCs w:val="22"/>
        </w:rPr>
      </w:pPr>
      <w:r>
        <w:rPr>
          <w:rFonts w:ascii="Arial" w:eastAsia="Arial" w:hAnsi="Arial" w:cs="Arial"/>
          <w:sz w:val="22"/>
          <w:szCs w:val="22"/>
        </w:rPr>
        <w:t>Fuente: Información Gestión Administrativa – UPME</w:t>
      </w:r>
    </w:p>
    <w:p w:rsidR="00B202A2" w:rsidRDefault="00B202A2">
      <w:pPr>
        <w:shd w:val="clear" w:color="auto" w:fill="FFFFFF"/>
        <w:jc w:val="center"/>
        <w:rPr>
          <w:rFonts w:ascii="Arial" w:eastAsia="Arial" w:hAnsi="Arial" w:cs="Arial"/>
          <w:sz w:val="22"/>
          <w:szCs w:val="22"/>
        </w:rPr>
      </w:pPr>
    </w:p>
    <w:p w:rsidR="00B202A2" w:rsidRDefault="00B202A2">
      <w:pPr>
        <w:shd w:val="clear" w:color="auto" w:fill="FFFFFF"/>
        <w:jc w:val="center"/>
        <w:rPr>
          <w:rFonts w:ascii="Arial" w:eastAsia="Arial" w:hAnsi="Arial" w:cs="Arial"/>
          <w:sz w:val="22"/>
          <w:szCs w:val="22"/>
        </w:rPr>
      </w:pPr>
    </w:p>
    <w:p w:rsidR="00B202A2" w:rsidRDefault="00295E06">
      <w:pPr>
        <w:spacing w:after="200"/>
        <w:jc w:val="center"/>
        <w:rPr>
          <w:rFonts w:ascii="Arial" w:eastAsia="Arial" w:hAnsi="Arial" w:cs="Arial"/>
          <w:b/>
          <w:sz w:val="22"/>
          <w:szCs w:val="22"/>
        </w:rPr>
      </w:pPr>
      <w:bookmarkStart w:id="55" w:name="_heading=h.1v1yuxt" w:colFirst="0" w:colLast="0"/>
      <w:bookmarkEnd w:id="55"/>
      <w:r>
        <w:rPr>
          <w:rFonts w:ascii="Arial" w:eastAsia="Arial" w:hAnsi="Arial" w:cs="Arial"/>
          <w:b/>
          <w:sz w:val="22"/>
          <w:szCs w:val="22"/>
        </w:rPr>
        <w:t>Gráfica 10. Consumo de energía en otras oficinas de la UPME  (periodo 1 enero – 13 octubre 2020.</w:t>
      </w:r>
    </w:p>
    <w:p w:rsidR="00B202A2" w:rsidRDefault="00B202A2">
      <w:pPr>
        <w:shd w:val="clear" w:color="auto" w:fill="FFFFFF"/>
        <w:jc w:val="center"/>
        <w:rPr>
          <w:rFonts w:ascii="Arial" w:eastAsia="Arial" w:hAnsi="Arial" w:cs="Arial"/>
          <w:sz w:val="22"/>
          <w:szCs w:val="22"/>
        </w:rPr>
      </w:pPr>
    </w:p>
    <w:p w:rsidR="00B202A2" w:rsidRDefault="00295E06">
      <w:pPr>
        <w:jc w:val="center"/>
        <w:rPr>
          <w:rFonts w:ascii="Arial" w:eastAsia="Arial" w:hAnsi="Arial" w:cs="Arial"/>
          <w:sz w:val="22"/>
          <w:szCs w:val="22"/>
        </w:rPr>
      </w:pPr>
      <w:r>
        <w:rPr>
          <w:rFonts w:ascii="Arial" w:eastAsia="Arial" w:hAnsi="Arial" w:cs="Arial"/>
          <w:noProof/>
          <w:sz w:val="22"/>
          <w:szCs w:val="22"/>
          <w:lang w:val="en-US"/>
        </w:rPr>
        <w:drawing>
          <wp:inline distT="0" distB="0" distL="0" distR="0" wp14:anchorId="5B9DF146" wp14:editId="553DDF9F">
            <wp:extent cx="5334000" cy="3990975"/>
            <wp:effectExtent l="0" t="0" r="0" b="0"/>
            <wp:docPr id="88" name="Gráfico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202A2" w:rsidRDefault="00B202A2">
      <w:pPr>
        <w:jc w:val="center"/>
        <w:rPr>
          <w:rFonts w:ascii="Arial" w:eastAsia="Arial" w:hAnsi="Arial" w:cs="Arial"/>
          <w:sz w:val="22"/>
          <w:szCs w:val="22"/>
        </w:rPr>
      </w:pPr>
    </w:p>
    <w:p w:rsidR="00B202A2" w:rsidRDefault="00295E06">
      <w:pPr>
        <w:shd w:val="clear" w:color="auto" w:fill="FFFFFF"/>
        <w:jc w:val="center"/>
        <w:rPr>
          <w:rFonts w:ascii="Arial" w:eastAsia="Arial" w:hAnsi="Arial" w:cs="Arial"/>
          <w:sz w:val="22"/>
          <w:szCs w:val="22"/>
        </w:rPr>
      </w:pPr>
      <w:r>
        <w:rPr>
          <w:rFonts w:ascii="Arial" w:eastAsia="Arial" w:hAnsi="Arial" w:cs="Arial"/>
          <w:sz w:val="22"/>
          <w:szCs w:val="22"/>
        </w:rPr>
        <w:lastRenderedPageBreak/>
        <w:t>Fuente: Información Gestión Administrativa – UPME</w:t>
      </w:r>
    </w:p>
    <w:p w:rsidR="00B202A2" w:rsidRDefault="00B202A2">
      <w:pPr>
        <w:shd w:val="clear" w:color="auto" w:fill="FFFFFF"/>
        <w:jc w:val="center"/>
        <w:rPr>
          <w:rFonts w:ascii="Arial" w:eastAsia="Arial" w:hAnsi="Arial" w:cs="Arial"/>
          <w:sz w:val="22"/>
          <w:szCs w:val="22"/>
        </w:rPr>
      </w:pPr>
    </w:p>
    <w:p w:rsidR="00B202A2" w:rsidRDefault="00295E06">
      <w:pPr>
        <w:pBdr>
          <w:top w:val="nil"/>
          <w:left w:val="nil"/>
          <w:bottom w:val="nil"/>
          <w:right w:val="nil"/>
          <w:between w:val="nil"/>
        </w:pBdr>
        <w:spacing w:after="200"/>
        <w:jc w:val="both"/>
        <w:rPr>
          <w:rFonts w:ascii="Arial" w:eastAsia="Arial" w:hAnsi="Arial" w:cs="Arial"/>
          <w:sz w:val="22"/>
          <w:szCs w:val="22"/>
        </w:rPr>
      </w:pPr>
      <w:r>
        <w:rPr>
          <w:rFonts w:ascii="Arial" w:eastAsia="Arial" w:hAnsi="Arial" w:cs="Arial"/>
          <w:color w:val="000000"/>
          <w:sz w:val="22"/>
          <w:szCs w:val="22"/>
        </w:rPr>
        <w:t xml:space="preserve">Consumo de agua: </w:t>
      </w:r>
      <w:r>
        <w:rPr>
          <w:rFonts w:ascii="Arial" w:eastAsia="Arial" w:hAnsi="Arial" w:cs="Arial"/>
          <w:sz w:val="22"/>
          <w:szCs w:val="22"/>
        </w:rPr>
        <w:t>e</w:t>
      </w:r>
      <w:r>
        <w:rPr>
          <w:rFonts w:ascii="Arial" w:eastAsia="Arial" w:hAnsi="Arial" w:cs="Arial"/>
          <w:color w:val="000000"/>
          <w:sz w:val="22"/>
          <w:szCs w:val="22"/>
        </w:rPr>
        <w:t xml:space="preserve">n total durante el periodo 1 de enero a 20 de octubre 2020 se han consumido 280 m3 de agua, mostrando una disminución significante con respecto al año 2019 que cerró la vigencia con un consumo de 1193 m3, lo que corresponde a 913 m3 menos. </w:t>
      </w:r>
    </w:p>
    <w:p w:rsidR="00B202A2" w:rsidRDefault="00295E06">
      <w:pPr>
        <w:spacing w:after="200"/>
        <w:jc w:val="center"/>
        <w:rPr>
          <w:rFonts w:ascii="Arial" w:eastAsia="Arial" w:hAnsi="Arial" w:cs="Arial"/>
          <w:b/>
          <w:sz w:val="22"/>
          <w:szCs w:val="22"/>
        </w:rPr>
      </w:pPr>
      <w:bookmarkStart w:id="56" w:name="_heading=h.4f1mdlm" w:colFirst="0" w:colLast="0"/>
      <w:bookmarkEnd w:id="56"/>
      <w:r>
        <w:rPr>
          <w:rFonts w:ascii="Arial" w:eastAsia="Arial" w:hAnsi="Arial" w:cs="Arial"/>
          <w:b/>
          <w:sz w:val="22"/>
          <w:szCs w:val="22"/>
        </w:rPr>
        <w:t>Gráfica 11. Con</w:t>
      </w:r>
      <w:r>
        <w:rPr>
          <w:rFonts w:ascii="Arial" w:eastAsia="Arial" w:hAnsi="Arial" w:cs="Arial"/>
          <w:b/>
          <w:sz w:val="22"/>
          <w:szCs w:val="22"/>
        </w:rPr>
        <w:t>sumo de agua en la UPME (periodo 1 enero – 1 de septiembre de 2020)</w:t>
      </w:r>
    </w:p>
    <w:p w:rsidR="00B202A2" w:rsidRDefault="00295E06">
      <w:pPr>
        <w:jc w:val="center"/>
        <w:rPr>
          <w:rFonts w:ascii="Arial" w:eastAsia="Arial" w:hAnsi="Arial" w:cs="Arial"/>
          <w:sz w:val="22"/>
          <w:szCs w:val="22"/>
        </w:rPr>
      </w:pPr>
      <w:r>
        <w:rPr>
          <w:rFonts w:ascii="Arial" w:eastAsia="Arial" w:hAnsi="Arial" w:cs="Arial"/>
          <w:noProof/>
          <w:sz w:val="22"/>
          <w:szCs w:val="22"/>
          <w:lang w:val="en-US"/>
        </w:rPr>
        <w:drawing>
          <wp:inline distT="0" distB="0" distL="0" distR="0" wp14:anchorId="41B8C4C2" wp14:editId="686112D4">
            <wp:extent cx="5305425" cy="3562350"/>
            <wp:effectExtent l="0" t="0" r="0" b="0"/>
            <wp:docPr id="90" name="Gráfico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202A2" w:rsidRDefault="00B202A2">
      <w:pPr>
        <w:jc w:val="center"/>
        <w:rPr>
          <w:rFonts w:ascii="Arial" w:eastAsia="Arial" w:hAnsi="Arial" w:cs="Arial"/>
          <w:sz w:val="22"/>
          <w:szCs w:val="22"/>
        </w:rPr>
      </w:pPr>
    </w:p>
    <w:p w:rsidR="00B202A2" w:rsidRDefault="00295E06">
      <w:pPr>
        <w:shd w:val="clear" w:color="auto" w:fill="FFFFFF"/>
        <w:jc w:val="center"/>
        <w:rPr>
          <w:rFonts w:ascii="Arial" w:eastAsia="Arial" w:hAnsi="Arial" w:cs="Arial"/>
          <w:sz w:val="22"/>
          <w:szCs w:val="22"/>
        </w:rPr>
      </w:pPr>
      <w:r>
        <w:rPr>
          <w:rFonts w:ascii="Arial" w:eastAsia="Arial" w:hAnsi="Arial" w:cs="Arial"/>
          <w:sz w:val="22"/>
          <w:szCs w:val="22"/>
        </w:rPr>
        <w:t>Fuente: Información Gestión Administrativa - UPME</w:t>
      </w:r>
    </w:p>
    <w:p w:rsidR="00B202A2" w:rsidRDefault="00B202A2">
      <w:pPr>
        <w:jc w:val="center"/>
        <w:rPr>
          <w:rFonts w:ascii="Arial" w:eastAsia="Arial" w:hAnsi="Arial" w:cs="Arial"/>
          <w:sz w:val="22"/>
          <w:szCs w:val="22"/>
        </w:rPr>
      </w:pPr>
    </w:p>
    <w:p w:rsidR="00B202A2" w:rsidRDefault="00B202A2">
      <w:pPr>
        <w:pBdr>
          <w:top w:val="nil"/>
          <w:left w:val="nil"/>
          <w:bottom w:val="nil"/>
          <w:right w:val="nil"/>
          <w:between w:val="nil"/>
        </w:pBdr>
        <w:spacing w:line="259" w:lineRule="auto"/>
        <w:ind w:left="720"/>
        <w:jc w:val="both"/>
        <w:rPr>
          <w:rFonts w:ascii="Arial" w:eastAsia="Arial" w:hAnsi="Arial" w:cs="Arial"/>
          <w:color w:val="000000"/>
          <w:sz w:val="22"/>
          <w:szCs w:val="22"/>
        </w:rPr>
      </w:pPr>
    </w:p>
    <w:p w:rsidR="00B202A2" w:rsidRDefault="00295E06">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Por último, se incluye la siguiente cláusula en todos los contratos:</w:t>
      </w:r>
    </w:p>
    <w:p w:rsidR="00B202A2" w:rsidRDefault="00B202A2">
      <w:pPr>
        <w:jc w:val="both"/>
        <w:rPr>
          <w:rFonts w:ascii="Arial" w:eastAsia="Arial" w:hAnsi="Arial" w:cs="Arial"/>
          <w:sz w:val="22"/>
          <w:szCs w:val="22"/>
        </w:rPr>
      </w:pPr>
    </w:p>
    <w:p w:rsidR="00B202A2" w:rsidRDefault="00295E06">
      <w:pPr>
        <w:jc w:val="both"/>
        <w:rPr>
          <w:rFonts w:ascii="Arial" w:eastAsia="Arial" w:hAnsi="Arial" w:cs="Arial"/>
          <w:i/>
          <w:sz w:val="22"/>
          <w:szCs w:val="22"/>
        </w:rPr>
      </w:pPr>
      <w:r>
        <w:rPr>
          <w:rFonts w:ascii="Arial" w:eastAsia="Arial" w:hAnsi="Arial" w:cs="Arial"/>
          <w:i/>
          <w:sz w:val="22"/>
          <w:szCs w:val="22"/>
        </w:rPr>
        <w:t>CLÁUSULA AMBIENTAL. EL CONTRATISTA en desarrollo del presente contrato dará estricto cumplimiento a las normas ambientales vigentes, siendo responsables ante LA UPME y demás autoridades de la protección ambiental y sobre el cumplimiento de éstas. Es obliga</w:t>
      </w:r>
      <w:r>
        <w:rPr>
          <w:rFonts w:ascii="Arial" w:eastAsia="Arial" w:hAnsi="Arial" w:cs="Arial"/>
          <w:i/>
          <w:sz w:val="22"/>
          <w:szCs w:val="22"/>
        </w:rPr>
        <w:t>ción especial de EL CONTRATISTA ejecutar sus actividades o servicios sin crear riesgo para la salud, la seguridad o el medio ambiente, ya que todos los costos que se generen con ocasión a la contaminación se trasladarán a los directos causantes, incluyendo</w:t>
      </w:r>
      <w:r>
        <w:rPr>
          <w:rFonts w:ascii="Arial" w:eastAsia="Arial" w:hAnsi="Arial" w:cs="Arial"/>
          <w:i/>
          <w:sz w:val="22"/>
          <w:szCs w:val="22"/>
        </w:rPr>
        <w:t xml:space="preserve"> multas y gastos que se generen con ocasión de requerimientos o actuación de las autoridades. En sí, EL CONTRATISTA tomará todas las medidas conducentes para evitar la contaminación ambiental durante sus operaciones, cumplirá con todas las normas ambiental</w:t>
      </w:r>
      <w:r>
        <w:rPr>
          <w:rFonts w:ascii="Arial" w:eastAsia="Arial" w:hAnsi="Arial" w:cs="Arial"/>
          <w:i/>
          <w:sz w:val="22"/>
          <w:szCs w:val="22"/>
        </w:rPr>
        <w:t>es aplicables, y se sujetará a las normas relativas al control de esta, no generando sustancias o materiales nocivos para la flora, fauna, salud humana, de igual manera no emitirá contaminantes a la atmósfera ni verterá ningún tipo de residuo líquido sin t</w:t>
      </w:r>
      <w:r>
        <w:rPr>
          <w:rFonts w:ascii="Arial" w:eastAsia="Arial" w:hAnsi="Arial" w:cs="Arial"/>
          <w:i/>
          <w:sz w:val="22"/>
          <w:szCs w:val="22"/>
        </w:rPr>
        <w:t>ratamiento a los cuerpos de agua.</w:t>
      </w:r>
    </w:p>
    <w:p w:rsidR="00B202A2" w:rsidRDefault="00B202A2">
      <w:pPr>
        <w:jc w:val="both"/>
        <w:rPr>
          <w:rFonts w:ascii="Arial" w:eastAsia="Arial" w:hAnsi="Arial" w:cs="Arial"/>
          <w:sz w:val="22"/>
          <w:szCs w:val="22"/>
        </w:rPr>
      </w:pPr>
    </w:p>
    <w:p w:rsidR="00B202A2" w:rsidRDefault="00295E06">
      <w:pPr>
        <w:spacing w:line="249" w:lineRule="auto"/>
        <w:ind w:left="715" w:hanging="715"/>
        <w:rPr>
          <w:rFonts w:ascii="Arial" w:eastAsia="Arial" w:hAnsi="Arial" w:cs="Arial"/>
          <w:sz w:val="22"/>
          <w:szCs w:val="22"/>
        </w:rPr>
      </w:pPr>
      <w:r>
        <w:rPr>
          <w:rFonts w:ascii="Arial" w:eastAsia="Arial" w:hAnsi="Arial" w:cs="Arial"/>
          <w:sz w:val="22"/>
          <w:szCs w:val="22"/>
          <w:u w:val="single"/>
        </w:rPr>
        <w:t>Almacén e inventarios</w:t>
      </w:r>
      <w:r>
        <w:rPr>
          <w:rFonts w:ascii="Arial" w:eastAsia="Arial" w:hAnsi="Arial" w:cs="Arial"/>
          <w:b/>
          <w:sz w:val="22"/>
          <w:szCs w:val="22"/>
        </w:rPr>
        <w:t xml:space="preserve"> </w:t>
      </w:r>
    </w:p>
    <w:p w:rsidR="00B202A2" w:rsidRDefault="00295E06">
      <w:pPr>
        <w:spacing w:line="256" w:lineRule="auto"/>
        <w:ind w:left="720"/>
        <w:rPr>
          <w:rFonts w:ascii="Arial" w:eastAsia="Arial" w:hAnsi="Arial" w:cs="Arial"/>
          <w:sz w:val="22"/>
          <w:szCs w:val="22"/>
        </w:rPr>
      </w:pPr>
      <w:r>
        <w:rPr>
          <w:rFonts w:ascii="Arial" w:eastAsia="Arial" w:hAnsi="Arial" w:cs="Arial"/>
          <w:b/>
          <w:sz w:val="22"/>
          <w:szCs w:val="22"/>
        </w:rPr>
        <w:t xml:space="preserve"> </w:t>
      </w:r>
    </w:p>
    <w:p w:rsidR="00B202A2" w:rsidRDefault="00295E06">
      <w:pPr>
        <w:jc w:val="both"/>
        <w:rPr>
          <w:rFonts w:ascii="Arial" w:eastAsia="Arial" w:hAnsi="Arial" w:cs="Arial"/>
          <w:sz w:val="22"/>
          <w:szCs w:val="22"/>
        </w:rPr>
      </w:pPr>
      <w:r>
        <w:rPr>
          <w:rFonts w:ascii="Arial" w:eastAsia="Arial" w:hAnsi="Arial" w:cs="Arial"/>
          <w:sz w:val="22"/>
          <w:szCs w:val="22"/>
        </w:rPr>
        <w:t>La UPME ha administrado de manera eficaz su inventario conforme a la ley y se actualizaron de acuerdo con los principios que orientan la función administrativa y de contabilidad pública, teniendo como antecedente la convergencia con las normas internaciona</w:t>
      </w:r>
      <w:r>
        <w:rPr>
          <w:rFonts w:ascii="Arial" w:eastAsia="Arial" w:hAnsi="Arial" w:cs="Arial"/>
          <w:sz w:val="22"/>
          <w:szCs w:val="22"/>
        </w:rPr>
        <w:t>les de contabilidad para el sector público,  encontrándose en una etapa de verificación y actualización de bienes, entre algunas actividades se destacan las bajas de bienes en Resolución 204 y entregados en enajenación a título gratuito e igualmente se dar</w:t>
      </w:r>
      <w:r>
        <w:rPr>
          <w:rFonts w:ascii="Arial" w:eastAsia="Arial" w:hAnsi="Arial" w:cs="Arial"/>
          <w:sz w:val="22"/>
          <w:szCs w:val="22"/>
        </w:rPr>
        <w:t xml:space="preserve">án de baja otros bienes. De igual forma, la UPME en su proceso de modernización adquirió en extensión y para uso perpetuo por parte del DNP el licenciamiento SEVEN ER, lo que le permite entrar en una dinámica más de la mano con la tecnología como una gran </w:t>
      </w:r>
      <w:r>
        <w:rPr>
          <w:rFonts w:ascii="Arial" w:eastAsia="Arial" w:hAnsi="Arial" w:cs="Arial"/>
          <w:sz w:val="22"/>
          <w:szCs w:val="22"/>
        </w:rPr>
        <w:t>aliada para la administración de sus activos. Para el informe que nos compete se presenta a continuación el detalle de los activos de esta anualidad con corte a 30 de septiembre-2020</w:t>
      </w:r>
    </w:p>
    <w:p w:rsidR="00B202A2" w:rsidRDefault="00B202A2">
      <w:pPr>
        <w:jc w:val="both"/>
        <w:rPr>
          <w:rFonts w:ascii="Arial" w:eastAsia="Arial" w:hAnsi="Arial" w:cs="Arial"/>
          <w:sz w:val="22"/>
          <w:szCs w:val="22"/>
        </w:rPr>
      </w:pPr>
    </w:p>
    <w:p w:rsidR="00B202A2" w:rsidRDefault="00295E06">
      <w:pPr>
        <w:jc w:val="center"/>
        <w:rPr>
          <w:rFonts w:ascii="Arial" w:eastAsia="Arial" w:hAnsi="Arial" w:cs="Arial"/>
          <w:b/>
          <w:sz w:val="22"/>
          <w:szCs w:val="22"/>
          <w:u w:val="single"/>
        </w:rPr>
      </w:pPr>
      <w:r>
        <w:rPr>
          <w:rFonts w:ascii="Arial" w:eastAsia="Arial" w:hAnsi="Arial" w:cs="Arial"/>
          <w:b/>
          <w:sz w:val="22"/>
          <w:szCs w:val="22"/>
          <w:highlight w:val="white"/>
          <w:u w:val="single"/>
        </w:rPr>
        <w:t xml:space="preserve">Tabla 8. </w:t>
      </w:r>
      <w:r>
        <w:rPr>
          <w:rFonts w:ascii="Arial" w:eastAsia="Arial" w:hAnsi="Arial" w:cs="Arial"/>
          <w:b/>
          <w:sz w:val="22"/>
          <w:szCs w:val="22"/>
          <w:u w:val="single"/>
        </w:rPr>
        <w:t>Detalle de los activos de esta anualidad con corte a 30 de sept</w:t>
      </w:r>
      <w:r>
        <w:rPr>
          <w:rFonts w:ascii="Arial" w:eastAsia="Arial" w:hAnsi="Arial" w:cs="Arial"/>
          <w:b/>
          <w:sz w:val="22"/>
          <w:szCs w:val="22"/>
          <w:u w:val="single"/>
        </w:rPr>
        <w:t xml:space="preserve">iembre-2020. </w:t>
      </w:r>
    </w:p>
    <w:p w:rsidR="00B202A2" w:rsidRDefault="00B202A2">
      <w:pPr>
        <w:jc w:val="both"/>
        <w:rPr>
          <w:rFonts w:ascii="Arial" w:eastAsia="Arial" w:hAnsi="Arial" w:cs="Arial"/>
          <w:sz w:val="22"/>
          <w:szCs w:val="22"/>
          <w:u w:val="single"/>
        </w:rPr>
      </w:pPr>
    </w:p>
    <w:tbl>
      <w:tblPr>
        <w:tblStyle w:val="aff7"/>
        <w:tblW w:w="9495" w:type="dxa"/>
        <w:tblInd w:w="-329" w:type="dxa"/>
        <w:tblLayout w:type="fixed"/>
        <w:tblLook w:val="0400" w:firstRow="0" w:lastRow="0" w:firstColumn="0" w:lastColumn="0" w:noHBand="0" w:noVBand="1"/>
      </w:tblPr>
      <w:tblGrid>
        <w:gridCol w:w="1276"/>
        <w:gridCol w:w="2835"/>
        <w:gridCol w:w="1559"/>
        <w:gridCol w:w="1700"/>
        <w:gridCol w:w="2125"/>
      </w:tblGrid>
      <w:tr w:rsidR="00B202A2">
        <w:trPr>
          <w:trHeight w:val="390"/>
        </w:trPr>
        <w:tc>
          <w:tcPr>
            <w:tcW w:w="9495" w:type="dxa"/>
            <w:gridSpan w:val="5"/>
            <w:tcBorders>
              <w:top w:val="nil"/>
              <w:left w:val="nil"/>
              <w:bottom w:val="single" w:sz="8" w:space="0" w:color="000000"/>
              <w:right w:val="nil"/>
            </w:tcBorders>
            <w:tcMar>
              <w:top w:w="15" w:type="dxa"/>
              <w:left w:w="15" w:type="dxa"/>
              <w:bottom w:w="0" w:type="dxa"/>
              <w:right w:w="15" w:type="dxa"/>
            </w:tcMar>
            <w:vAlign w:val="bottom"/>
          </w:tcPr>
          <w:p w:rsidR="00B202A2" w:rsidRDefault="00295E06">
            <w:pPr>
              <w:tabs>
                <w:tab w:val="left" w:pos="7568"/>
              </w:tabs>
              <w:ind w:left="-724" w:right="-1574" w:hanging="986"/>
              <w:jc w:val="center"/>
              <w:rPr>
                <w:rFonts w:ascii="Arial" w:eastAsia="Arial" w:hAnsi="Arial" w:cs="Arial"/>
                <w:b/>
                <w:color w:val="000000"/>
                <w:sz w:val="22"/>
                <w:szCs w:val="22"/>
              </w:rPr>
            </w:pPr>
            <w:r>
              <w:rPr>
                <w:rFonts w:ascii="Arial" w:eastAsia="Arial" w:hAnsi="Arial" w:cs="Arial"/>
                <w:b/>
                <w:color w:val="000000"/>
                <w:sz w:val="22"/>
                <w:szCs w:val="22"/>
              </w:rPr>
              <w:t>PROPIEDAD PLANTA Y EQUIPO CON CORTE AL 30 DE SEPTIEMBRE DE 2020</w:t>
            </w:r>
          </w:p>
        </w:tc>
      </w:tr>
      <w:tr w:rsidR="00B202A2">
        <w:trPr>
          <w:trHeight w:val="615"/>
        </w:trPr>
        <w:tc>
          <w:tcPr>
            <w:tcW w:w="1276" w:type="dxa"/>
            <w:tcBorders>
              <w:top w:val="nil"/>
              <w:left w:val="single" w:sz="8" w:space="0" w:color="000000"/>
              <w:bottom w:val="single" w:sz="8" w:space="0" w:color="000000"/>
              <w:right w:val="single" w:sz="4" w:space="0" w:color="000000"/>
            </w:tcBorders>
            <w:shd w:val="clear" w:color="auto" w:fill="C9DAF8"/>
            <w:tcMar>
              <w:top w:w="15" w:type="dxa"/>
              <w:left w:w="15" w:type="dxa"/>
              <w:bottom w:w="0" w:type="dxa"/>
              <w:right w:w="15" w:type="dxa"/>
            </w:tcMar>
            <w:vAlign w:val="bottom"/>
          </w:tcPr>
          <w:p w:rsidR="00B202A2" w:rsidRDefault="00295E06">
            <w:pPr>
              <w:jc w:val="center"/>
              <w:rPr>
                <w:rFonts w:ascii="Arial" w:eastAsia="Arial" w:hAnsi="Arial" w:cs="Arial"/>
                <w:b/>
                <w:color w:val="000000"/>
                <w:sz w:val="22"/>
                <w:szCs w:val="22"/>
              </w:rPr>
            </w:pPr>
            <w:r>
              <w:rPr>
                <w:rFonts w:ascii="Arial" w:eastAsia="Arial" w:hAnsi="Arial" w:cs="Arial"/>
                <w:b/>
                <w:color w:val="000000"/>
                <w:sz w:val="22"/>
                <w:szCs w:val="22"/>
              </w:rPr>
              <w:t>C</w:t>
            </w:r>
            <w:r>
              <w:rPr>
                <w:rFonts w:ascii="Arial" w:eastAsia="Arial" w:hAnsi="Arial" w:cs="Arial"/>
                <w:b/>
                <w:sz w:val="22"/>
                <w:szCs w:val="22"/>
              </w:rPr>
              <w:t>uenta contable</w:t>
            </w:r>
          </w:p>
        </w:tc>
        <w:tc>
          <w:tcPr>
            <w:tcW w:w="2835" w:type="dxa"/>
            <w:tcBorders>
              <w:top w:val="nil"/>
              <w:left w:val="nil"/>
              <w:bottom w:val="single" w:sz="8" w:space="0" w:color="000000"/>
              <w:right w:val="single" w:sz="4" w:space="0" w:color="000000"/>
            </w:tcBorders>
            <w:shd w:val="clear" w:color="auto" w:fill="C9DAF8"/>
            <w:tcMar>
              <w:top w:w="15" w:type="dxa"/>
              <w:left w:w="15" w:type="dxa"/>
              <w:bottom w:w="0" w:type="dxa"/>
              <w:right w:w="15" w:type="dxa"/>
            </w:tcMar>
            <w:vAlign w:val="bottom"/>
          </w:tcPr>
          <w:p w:rsidR="00B202A2" w:rsidRDefault="00295E06">
            <w:pPr>
              <w:jc w:val="center"/>
              <w:rPr>
                <w:rFonts w:ascii="Arial" w:eastAsia="Arial" w:hAnsi="Arial" w:cs="Arial"/>
                <w:b/>
                <w:color w:val="000000"/>
                <w:sz w:val="22"/>
                <w:szCs w:val="22"/>
              </w:rPr>
            </w:pPr>
            <w:r>
              <w:rPr>
                <w:rFonts w:ascii="Arial" w:eastAsia="Arial" w:hAnsi="Arial" w:cs="Arial"/>
                <w:b/>
                <w:color w:val="000000"/>
                <w:sz w:val="22"/>
                <w:szCs w:val="22"/>
              </w:rPr>
              <w:t>D</w:t>
            </w:r>
            <w:r>
              <w:rPr>
                <w:rFonts w:ascii="Arial" w:eastAsia="Arial" w:hAnsi="Arial" w:cs="Arial"/>
                <w:b/>
                <w:sz w:val="22"/>
                <w:szCs w:val="22"/>
              </w:rPr>
              <w:t>escripcipon cuenta</w:t>
            </w:r>
          </w:p>
        </w:tc>
        <w:tc>
          <w:tcPr>
            <w:tcW w:w="1559" w:type="dxa"/>
            <w:tcBorders>
              <w:top w:val="nil"/>
              <w:left w:val="nil"/>
              <w:bottom w:val="single" w:sz="8" w:space="0" w:color="000000"/>
              <w:right w:val="single" w:sz="4" w:space="0" w:color="000000"/>
            </w:tcBorders>
            <w:shd w:val="clear" w:color="auto" w:fill="C9DAF8"/>
            <w:tcMar>
              <w:top w:w="15" w:type="dxa"/>
              <w:left w:w="15" w:type="dxa"/>
              <w:bottom w:w="0" w:type="dxa"/>
              <w:right w:w="15" w:type="dxa"/>
            </w:tcMar>
            <w:vAlign w:val="bottom"/>
          </w:tcPr>
          <w:p w:rsidR="00B202A2" w:rsidRDefault="00295E06">
            <w:pPr>
              <w:jc w:val="center"/>
              <w:rPr>
                <w:rFonts w:ascii="Arial" w:eastAsia="Arial" w:hAnsi="Arial" w:cs="Arial"/>
                <w:b/>
                <w:color w:val="000000"/>
                <w:sz w:val="22"/>
                <w:szCs w:val="22"/>
              </w:rPr>
            </w:pPr>
            <w:r>
              <w:rPr>
                <w:rFonts w:ascii="Arial" w:eastAsia="Arial" w:hAnsi="Arial" w:cs="Arial"/>
                <w:b/>
                <w:color w:val="000000"/>
                <w:sz w:val="22"/>
                <w:szCs w:val="22"/>
              </w:rPr>
              <w:t>V</w:t>
            </w:r>
            <w:r>
              <w:rPr>
                <w:rFonts w:ascii="Arial" w:eastAsia="Arial" w:hAnsi="Arial" w:cs="Arial"/>
                <w:b/>
                <w:sz w:val="22"/>
                <w:szCs w:val="22"/>
              </w:rPr>
              <w:t>alor activo</w:t>
            </w:r>
          </w:p>
        </w:tc>
        <w:tc>
          <w:tcPr>
            <w:tcW w:w="1700" w:type="dxa"/>
            <w:tcBorders>
              <w:top w:val="nil"/>
              <w:left w:val="nil"/>
              <w:bottom w:val="single" w:sz="8" w:space="0" w:color="000000"/>
              <w:right w:val="single" w:sz="4" w:space="0" w:color="000000"/>
            </w:tcBorders>
            <w:shd w:val="clear" w:color="auto" w:fill="C9DAF8"/>
            <w:tcMar>
              <w:top w:w="15" w:type="dxa"/>
              <w:left w:w="15" w:type="dxa"/>
              <w:bottom w:w="0" w:type="dxa"/>
              <w:right w:w="15" w:type="dxa"/>
            </w:tcMar>
            <w:vAlign w:val="bottom"/>
          </w:tcPr>
          <w:p w:rsidR="00B202A2" w:rsidRDefault="00295E06">
            <w:pPr>
              <w:jc w:val="center"/>
              <w:rPr>
                <w:rFonts w:ascii="Arial" w:eastAsia="Arial" w:hAnsi="Arial" w:cs="Arial"/>
                <w:b/>
                <w:color w:val="000000"/>
                <w:sz w:val="22"/>
                <w:szCs w:val="22"/>
              </w:rPr>
            </w:pPr>
            <w:r>
              <w:rPr>
                <w:rFonts w:ascii="Arial" w:eastAsia="Arial" w:hAnsi="Arial" w:cs="Arial"/>
                <w:b/>
                <w:color w:val="000000"/>
                <w:sz w:val="22"/>
                <w:szCs w:val="22"/>
              </w:rPr>
              <w:t>D</w:t>
            </w:r>
            <w:r>
              <w:rPr>
                <w:rFonts w:ascii="Arial" w:eastAsia="Arial" w:hAnsi="Arial" w:cs="Arial"/>
                <w:b/>
                <w:sz w:val="22"/>
                <w:szCs w:val="22"/>
              </w:rPr>
              <w:t>epreciación acumulada</w:t>
            </w:r>
          </w:p>
        </w:tc>
        <w:tc>
          <w:tcPr>
            <w:tcW w:w="2125" w:type="dxa"/>
            <w:tcBorders>
              <w:top w:val="nil"/>
              <w:left w:val="nil"/>
              <w:bottom w:val="single" w:sz="8" w:space="0" w:color="000000"/>
              <w:right w:val="single" w:sz="8" w:space="0" w:color="000000"/>
            </w:tcBorders>
            <w:shd w:val="clear" w:color="auto" w:fill="C9DAF8"/>
            <w:tcMar>
              <w:top w:w="15" w:type="dxa"/>
              <w:left w:w="15" w:type="dxa"/>
              <w:bottom w:w="0" w:type="dxa"/>
              <w:right w:w="15" w:type="dxa"/>
            </w:tcMar>
            <w:vAlign w:val="bottom"/>
          </w:tcPr>
          <w:p w:rsidR="00B202A2" w:rsidRDefault="00295E06">
            <w:pPr>
              <w:jc w:val="center"/>
              <w:rPr>
                <w:rFonts w:ascii="Arial" w:eastAsia="Arial" w:hAnsi="Arial" w:cs="Arial"/>
                <w:b/>
                <w:color w:val="000000"/>
                <w:sz w:val="22"/>
                <w:szCs w:val="22"/>
              </w:rPr>
            </w:pPr>
            <w:r>
              <w:rPr>
                <w:rFonts w:ascii="Arial" w:eastAsia="Arial" w:hAnsi="Arial" w:cs="Arial"/>
                <w:b/>
                <w:sz w:val="22"/>
                <w:szCs w:val="22"/>
              </w:rPr>
              <w:t>Saldo Final Activo</w:t>
            </w:r>
          </w:p>
        </w:tc>
      </w:tr>
      <w:tr w:rsidR="00B202A2">
        <w:trPr>
          <w:trHeight w:val="300"/>
        </w:trPr>
        <w:tc>
          <w:tcPr>
            <w:tcW w:w="1276" w:type="dxa"/>
            <w:tcBorders>
              <w:top w:val="nil"/>
              <w:left w:val="single" w:sz="8" w:space="0" w:color="000000"/>
              <w:bottom w:val="single" w:sz="4" w:space="0" w:color="000000"/>
              <w:right w:val="single" w:sz="4" w:space="0" w:color="000000"/>
            </w:tcBorders>
            <w:tcMar>
              <w:top w:w="15" w:type="dxa"/>
              <w:left w:w="15" w:type="dxa"/>
              <w:bottom w:w="0" w:type="dxa"/>
              <w:right w:w="15" w:type="dxa"/>
            </w:tcMar>
            <w:vAlign w:val="bottom"/>
          </w:tcPr>
          <w:p w:rsidR="00B202A2" w:rsidRDefault="00295E06">
            <w:pPr>
              <w:rPr>
                <w:rFonts w:ascii="Arial" w:eastAsia="Arial" w:hAnsi="Arial" w:cs="Arial"/>
                <w:color w:val="000000"/>
                <w:sz w:val="22"/>
                <w:szCs w:val="22"/>
              </w:rPr>
            </w:pPr>
            <w:r>
              <w:rPr>
                <w:rFonts w:ascii="Arial" w:eastAsia="Arial" w:hAnsi="Arial" w:cs="Arial"/>
                <w:color w:val="000000"/>
                <w:sz w:val="22"/>
                <w:szCs w:val="22"/>
              </w:rPr>
              <w:t>1.6.05.02</w:t>
            </w:r>
          </w:p>
        </w:tc>
        <w:tc>
          <w:tcPr>
            <w:tcW w:w="2835" w:type="dxa"/>
            <w:tcBorders>
              <w:top w:val="nil"/>
              <w:left w:val="nil"/>
              <w:bottom w:val="single" w:sz="4" w:space="0" w:color="000000"/>
              <w:right w:val="single" w:sz="4" w:space="0" w:color="000000"/>
            </w:tcBorders>
            <w:tcMar>
              <w:top w:w="15" w:type="dxa"/>
              <w:left w:w="15" w:type="dxa"/>
              <w:bottom w:w="0" w:type="dxa"/>
              <w:right w:w="15" w:type="dxa"/>
            </w:tcMar>
            <w:vAlign w:val="bottom"/>
          </w:tcPr>
          <w:p w:rsidR="00B202A2" w:rsidRDefault="00295E06">
            <w:pPr>
              <w:rPr>
                <w:rFonts w:ascii="Arial" w:eastAsia="Arial" w:hAnsi="Arial" w:cs="Arial"/>
                <w:color w:val="000000"/>
                <w:sz w:val="22"/>
                <w:szCs w:val="22"/>
              </w:rPr>
            </w:pPr>
            <w:r>
              <w:rPr>
                <w:rFonts w:ascii="Arial" w:eastAsia="Arial" w:hAnsi="Arial" w:cs="Arial"/>
                <w:color w:val="000000"/>
                <w:sz w:val="22"/>
                <w:szCs w:val="22"/>
              </w:rPr>
              <w:t>Rurales</w:t>
            </w:r>
          </w:p>
        </w:tc>
        <w:tc>
          <w:tcPr>
            <w:tcW w:w="1559" w:type="dxa"/>
            <w:tcBorders>
              <w:top w:val="nil"/>
              <w:left w:val="nil"/>
              <w:bottom w:val="single" w:sz="4" w:space="0" w:color="000000"/>
              <w:right w:val="single" w:sz="4" w:space="0" w:color="000000"/>
            </w:tcBorders>
            <w:tcMar>
              <w:top w:w="15" w:type="dxa"/>
              <w:left w:w="15" w:type="dxa"/>
              <w:bottom w:w="0" w:type="dxa"/>
              <w:right w:w="15" w:type="dxa"/>
            </w:tcMar>
            <w:vAlign w:val="bottom"/>
          </w:tcPr>
          <w:p w:rsidR="00B202A2" w:rsidRDefault="00295E06">
            <w:pPr>
              <w:jc w:val="right"/>
              <w:rPr>
                <w:rFonts w:ascii="Arial" w:eastAsia="Arial" w:hAnsi="Arial" w:cs="Arial"/>
                <w:color w:val="000000"/>
                <w:sz w:val="22"/>
                <w:szCs w:val="22"/>
              </w:rPr>
            </w:pPr>
            <w:r>
              <w:rPr>
                <w:rFonts w:ascii="Arial" w:eastAsia="Arial" w:hAnsi="Arial" w:cs="Arial"/>
                <w:color w:val="000000"/>
                <w:sz w:val="22"/>
                <w:szCs w:val="22"/>
              </w:rPr>
              <w:t>663.689.329,63</w:t>
            </w:r>
          </w:p>
        </w:tc>
        <w:tc>
          <w:tcPr>
            <w:tcW w:w="1700" w:type="dxa"/>
            <w:tcBorders>
              <w:top w:val="nil"/>
              <w:left w:val="nil"/>
              <w:bottom w:val="single" w:sz="4" w:space="0" w:color="000000"/>
              <w:right w:val="single" w:sz="4" w:space="0" w:color="000000"/>
            </w:tcBorders>
            <w:tcMar>
              <w:top w:w="15" w:type="dxa"/>
              <w:left w:w="15" w:type="dxa"/>
              <w:bottom w:w="0" w:type="dxa"/>
              <w:right w:w="15" w:type="dxa"/>
            </w:tcMar>
            <w:vAlign w:val="bottom"/>
          </w:tcPr>
          <w:p w:rsidR="00B202A2" w:rsidRDefault="00295E06">
            <w:pPr>
              <w:jc w:val="right"/>
              <w:rPr>
                <w:rFonts w:ascii="Arial" w:eastAsia="Arial" w:hAnsi="Arial" w:cs="Arial"/>
                <w:color w:val="000000"/>
                <w:sz w:val="22"/>
                <w:szCs w:val="22"/>
              </w:rPr>
            </w:pPr>
            <w:r>
              <w:rPr>
                <w:rFonts w:ascii="Arial" w:eastAsia="Arial" w:hAnsi="Arial" w:cs="Arial"/>
                <w:color w:val="000000"/>
                <w:sz w:val="22"/>
                <w:szCs w:val="22"/>
              </w:rPr>
              <w:t>0,00</w:t>
            </w:r>
          </w:p>
        </w:tc>
        <w:tc>
          <w:tcPr>
            <w:tcW w:w="2125" w:type="dxa"/>
            <w:tcBorders>
              <w:top w:val="nil"/>
              <w:left w:val="nil"/>
              <w:bottom w:val="single" w:sz="4" w:space="0" w:color="000000"/>
              <w:right w:val="single" w:sz="8" w:space="0" w:color="000000"/>
            </w:tcBorders>
            <w:tcMar>
              <w:top w:w="15" w:type="dxa"/>
              <w:left w:w="15" w:type="dxa"/>
              <w:bottom w:w="0" w:type="dxa"/>
              <w:right w:w="15" w:type="dxa"/>
            </w:tcMar>
            <w:vAlign w:val="bottom"/>
          </w:tcPr>
          <w:p w:rsidR="00B202A2" w:rsidRDefault="00295E06">
            <w:pPr>
              <w:jc w:val="right"/>
              <w:rPr>
                <w:rFonts w:ascii="Arial" w:eastAsia="Arial" w:hAnsi="Arial" w:cs="Arial"/>
                <w:color w:val="000000"/>
                <w:sz w:val="22"/>
                <w:szCs w:val="22"/>
              </w:rPr>
            </w:pPr>
            <w:r>
              <w:rPr>
                <w:rFonts w:ascii="Arial" w:eastAsia="Arial" w:hAnsi="Arial" w:cs="Arial"/>
                <w:color w:val="000000"/>
                <w:sz w:val="22"/>
                <w:szCs w:val="22"/>
              </w:rPr>
              <w:t>663.689.329,63</w:t>
            </w:r>
          </w:p>
        </w:tc>
      </w:tr>
      <w:tr w:rsidR="00B202A2">
        <w:trPr>
          <w:trHeight w:val="300"/>
        </w:trPr>
        <w:tc>
          <w:tcPr>
            <w:tcW w:w="1276" w:type="dxa"/>
            <w:tcBorders>
              <w:top w:val="nil"/>
              <w:left w:val="single" w:sz="8" w:space="0" w:color="000000"/>
              <w:bottom w:val="single" w:sz="4" w:space="0" w:color="000000"/>
              <w:right w:val="single" w:sz="4" w:space="0" w:color="000000"/>
            </w:tcBorders>
            <w:tcMar>
              <w:top w:w="15" w:type="dxa"/>
              <w:left w:w="15" w:type="dxa"/>
              <w:bottom w:w="0" w:type="dxa"/>
              <w:right w:w="15" w:type="dxa"/>
            </w:tcMar>
            <w:vAlign w:val="bottom"/>
          </w:tcPr>
          <w:p w:rsidR="00B202A2" w:rsidRDefault="00295E06">
            <w:pPr>
              <w:rPr>
                <w:rFonts w:ascii="Arial" w:eastAsia="Arial" w:hAnsi="Arial" w:cs="Arial"/>
                <w:color w:val="000000"/>
                <w:sz w:val="22"/>
                <w:szCs w:val="22"/>
              </w:rPr>
            </w:pPr>
            <w:r>
              <w:rPr>
                <w:rFonts w:ascii="Arial" w:eastAsia="Arial" w:hAnsi="Arial" w:cs="Arial"/>
                <w:color w:val="000000"/>
                <w:sz w:val="22"/>
                <w:szCs w:val="22"/>
              </w:rPr>
              <w:t>1.6.05.06</w:t>
            </w:r>
          </w:p>
        </w:tc>
        <w:tc>
          <w:tcPr>
            <w:tcW w:w="2835" w:type="dxa"/>
            <w:tcBorders>
              <w:top w:val="nil"/>
              <w:left w:val="nil"/>
              <w:bottom w:val="single" w:sz="4" w:space="0" w:color="000000"/>
              <w:right w:val="single" w:sz="4" w:space="0" w:color="000000"/>
            </w:tcBorders>
            <w:tcMar>
              <w:top w:w="15" w:type="dxa"/>
              <w:left w:w="15" w:type="dxa"/>
              <w:bottom w:w="0" w:type="dxa"/>
              <w:right w:w="15" w:type="dxa"/>
            </w:tcMar>
            <w:vAlign w:val="bottom"/>
          </w:tcPr>
          <w:p w:rsidR="00B202A2" w:rsidRDefault="00295E06">
            <w:pPr>
              <w:rPr>
                <w:rFonts w:ascii="Arial" w:eastAsia="Arial" w:hAnsi="Arial" w:cs="Arial"/>
                <w:color w:val="000000"/>
                <w:sz w:val="22"/>
                <w:szCs w:val="22"/>
              </w:rPr>
            </w:pPr>
            <w:r>
              <w:rPr>
                <w:rFonts w:ascii="Arial" w:eastAsia="Arial" w:hAnsi="Arial" w:cs="Arial"/>
                <w:color w:val="000000"/>
                <w:sz w:val="22"/>
                <w:szCs w:val="22"/>
              </w:rPr>
              <w:t>Terrenos con uso futuro indeterminado</w:t>
            </w:r>
          </w:p>
        </w:tc>
        <w:tc>
          <w:tcPr>
            <w:tcW w:w="1559" w:type="dxa"/>
            <w:tcBorders>
              <w:top w:val="nil"/>
              <w:left w:val="nil"/>
              <w:bottom w:val="single" w:sz="4" w:space="0" w:color="000000"/>
              <w:right w:val="single" w:sz="4" w:space="0" w:color="000000"/>
            </w:tcBorders>
            <w:tcMar>
              <w:top w:w="15" w:type="dxa"/>
              <w:left w:w="15" w:type="dxa"/>
              <w:bottom w:w="0" w:type="dxa"/>
              <w:right w:w="15" w:type="dxa"/>
            </w:tcMar>
            <w:vAlign w:val="bottom"/>
          </w:tcPr>
          <w:p w:rsidR="00B202A2" w:rsidRDefault="00295E06">
            <w:pPr>
              <w:jc w:val="right"/>
              <w:rPr>
                <w:rFonts w:ascii="Arial" w:eastAsia="Arial" w:hAnsi="Arial" w:cs="Arial"/>
                <w:color w:val="000000"/>
                <w:sz w:val="22"/>
                <w:szCs w:val="22"/>
              </w:rPr>
            </w:pPr>
            <w:r>
              <w:rPr>
                <w:rFonts w:ascii="Arial" w:eastAsia="Arial" w:hAnsi="Arial" w:cs="Arial"/>
                <w:color w:val="000000"/>
                <w:sz w:val="22"/>
                <w:szCs w:val="22"/>
              </w:rPr>
              <w:t>1.451.309.889,92</w:t>
            </w:r>
          </w:p>
        </w:tc>
        <w:tc>
          <w:tcPr>
            <w:tcW w:w="1700" w:type="dxa"/>
            <w:tcBorders>
              <w:top w:val="nil"/>
              <w:left w:val="nil"/>
              <w:bottom w:val="single" w:sz="4" w:space="0" w:color="000000"/>
              <w:right w:val="single" w:sz="4" w:space="0" w:color="000000"/>
            </w:tcBorders>
            <w:tcMar>
              <w:top w:w="15" w:type="dxa"/>
              <w:left w:w="15" w:type="dxa"/>
              <w:bottom w:w="0" w:type="dxa"/>
              <w:right w:w="15" w:type="dxa"/>
            </w:tcMar>
            <w:vAlign w:val="bottom"/>
          </w:tcPr>
          <w:p w:rsidR="00B202A2" w:rsidRDefault="00295E06">
            <w:pPr>
              <w:jc w:val="right"/>
              <w:rPr>
                <w:rFonts w:ascii="Arial" w:eastAsia="Arial" w:hAnsi="Arial" w:cs="Arial"/>
                <w:color w:val="000000"/>
                <w:sz w:val="22"/>
                <w:szCs w:val="22"/>
              </w:rPr>
            </w:pPr>
            <w:r>
              <w:rPr>
                <w:rFonts w:ascii="Arial" w:eastAsia="Arial" w:hAnsi="Arial" w:cs="Arial"/>
                <w:color w:val="000000"/>
                <w:sz w:val="22"/>
                <w:szCs w:val="22"/>
              </w:rPr>
              <w:t>0,00</w:t>
            </w:r>
          </w:p>
        </w:tc>
        <w:tc>
          <w:tcPr>
            <w:tcW w:w="2125" w:type="dxa"/>
            <w:tcBorders>
              <w:top w:val="nil"/>
              <w:left w:val="nil"/>
              <w:bottom w:val="single" w:sz="4" w:space="0" w:color="000000"/>
              <w:right w:val="single" w:sz="8" w:space="0" w:color="000000"/>
            </w:tcBorders>
            <w:tcMar>
              <w:top w:w="15" w:type="dxa"/>
              <w:left w:w="15" w:type="dxa"/>
              <w:bottom w:w="0" w:type="dxa"/>
              <w:right w:w="15" w:type="dxa"/>
            </w:tcMar>
            <w:vAlign w:val="bottom"/>
          </w:tcPr>
          <w:p w:rsidR="00B202A2" w:rsidRDefault="00295E06">
            <w:pPr>
              <w:jc w:val="right"/>
              <w:rPr>
                <w:rFonts w:ascii="Arial" w:eastAsia="Arial" w:hAnsi="Arial" w:cs="Arial"/>
                <w:color w:val="000000"/>
                <w:sz w:val="22"/>
                <w:szCs w:val="22"/>
              </w:rPr>
            </w:pPr>
            <w:r>
              <w:rPr>
                <w:rFonts w:ascii="Arial" w:eastAsia="Arial" w:hAnsi="Arial" w:cs="Arial"/>
                <w:color w:val="000000"/>
                <w:sz w:val="22"/>
                <w:szCs w:val="22"/>
              </w:rPr>
              <w:t>1.451.309.889,92</w:t>
            </w:r>
          </w:p>
        </w:tc>
      </w:tr>
      <w:tr w:rsidR="00B202A2">
        <w:trPr>
          <w:trHeight w:val="300"/>
        </w:trPr>
        <w:tc>
          <w:tcPr>
            <w:tcW w:w="1276" w:type="dxa"/>
            <w:tcBorders>
              <w:top w:val="nil"/>
              <w:left w:val="single" w:sz="8" w:space="0" w:color="000000"/>
              <w:bottom w:val="single" w:sz="4" w:space="0" w:color="000000"/>
              <w:right w:val="single" w:sz="4" w:space="0" w:color="000000"/>
            </w:tcBorders>
            <w:tcMar>
              <w:top w:w="15" w:type="dxa"/>
              <w:left w:w="15" w:type="dxa"/>
              <w:bottom w:w="0" w:type="dxa"/>
              <w:right w:w="15" w:type="dxa"/>
            </w:tcMar>
            <w:vAlign w:val="bottom"/>
          </w:tcPr>
          <w:p w:rsidR="00B202A2" w:rsidRDefault="00295E06">
            <w:pPr>
              <w:rPr>
                <w:rFonts w:ascii="Arial" w:eastAsia="Arial" w:hAnsi="Arial" w:cs="Arial"/>
                <w:color w:val="000000"/>
                <w:sz w:val="22"/>
                <w:szCs w:val="22"/>
              </w:rPr>
            </w:pPr>
            <w:r>
              <w:rPr>
                <w:rFonts w:ascii="Arial" w:eastAsia="Arial" w:hAnsi="Arial" w:cs="Arial"/>
                <w:color w:val="000000"/>
                <w:sz w:val="22"/>
                <w:szCs w:val="22"/>
              </w:rPr>
              <w:t>1.6.35.04</w:t>
            </w:r>
          </w:p>
        </w:tc>
        <w:tc>
          <w:tcPr>
            <w:tcW w:w="2835" w:type="dxa"/>
            <w:tcBorders>
              <w:top w:val="nil"/>
              <w:left w:val="nil"/>
              <w:bottom w:val="single" w:sz="4" w:space="0" w:color="000000"/>
              <w:right w:val="single" w:sz="4" w:space="0" w:color="000000"/>
            </w:tcBorders>
            <w:tcMar>
              <w:top w:w="15" w:type="dxa"/>
              <w:left w:w="15" w:type="dxa"/>
              <w:bottom w:w="0" w:type="dxa"/>
              <w:right w:w="15" w:type="dxa"/>
            </w:tcMar>
            <w:vAlign w:val="bottom"/>
          </w:tcPr>
          <w:p w:rsidR="00B202A2" w:rsidRDefault="00295E06">
            <w:pPr>
              <w:rPr>
                <w:rFonts w:ascii="Arial" w:eastAsia="Arial" w:hAnsi="Arial" w:cs="Arial"/>
                <w:color w:val="000000"/>
                <w:sz w:val="22"/>
                <w:szCs w:val="22"/>
              </w:rPr>
            </w:pPr>
            <w:r>
              <w:rPr>
                <w:rFonts w:ascii="Arial" w:eastAsia="Arial" w:hAnsi="Arial" w:cs="Arial"/>
                <w:color w:val="000000"/>
                <w:sz w:val="22"/>
                <w:szCs w:val="22"/>
              </w:rPr>
              <w:t>Bienes Muebles en Bodega - Equipos de comunicación</w:t>
            </w:r>
          </w:p>
        </w:tc>
        <w:tc>
          <w:tcPr>
            <w:tcW w:w="1559" w:type="dxa"/>
            <w:tcBorders>
              <w:top w:val="nil"/>
              <w:left w:val="nil"/>
              <w:bottom w:val="single" w:sz="4" w:space="0" w:color="000000"/>
              <w:right w:val="single" w:sz="4" w:space="0" w:color="000000"/>
            </w:tcBorders>
            <w:tcMar>
              <w:top w:w="15" w:type="dxa"/>
              <w:left w:w="15" w:type="dxa"/>
              <w:bottom w:w="0" w:type="dxa"/>
              <w:right w:w="15" w:type="dxa"/>
            </w:tcMar>
            <w:vAlign w:val="bottom"/>
          </w:tcPr>
          <w:p w:rsidR="00B202A2" w:rsidRDefault="00295E06">
            <w:pPr>
              <w:jc w:val="right"/>
              <w:rPr>
                <w:rFonts w:ascii="Arial" w:eastAsia="Arial" w:hAnsi="Arial" w:cs="Arial"/>
                <w:color w:val="000000"/>
                <w:sz w:val="22"/>
                <w:szCs w:val="22"/>
              </w:rPr>
            </w:pPr>
            <w:r>
              <w:rPr>
                <w:rFonts w:ascii="Arial" w:eastAsia="Arial" w:hAnsi="Arial" w:cs="Arial"/>
                <w:color w:val="000000"/>
                <w:sz w:val="22"/>
                <w:szCs w:val="22"/>
              </w:rPr>
              <w:t>18.075.621,00</w:t>
            </w:r>
          </w:p>
        </w:tc>
        <w:tc>
          <w:tcPr>
            <w:tcW w:w="1700" w:type="dxa"/>
            <w:tcBorders>
              <w:top w:val="nil"/>
              <w:left w:val="nil"/>
              <w:bottom w:val="single" w:sz="4" w:space="0" w:color="000000"/>
              <w:right w:val="single" w:sz="4" w:space="0" w:color="000000"/>
            </w:tcBorders>
            <w:tcMar>
              <w:top w:w="15" w:type="dxa"/>
              <w:left w:w="15" w:type="dxa"/>
              <w:bottom w:w="0" w:type="dxa"/>
              <w:right w:w="15" w:type="dxa"/>
            </w:tcMar>
            <w:vAlign w:val="bottom"/>
          </w:tcPr>
          <w:p w:rsidR="00B202A2" w:rsidRDefault="00295E06">
            <w:pPr>
              <w:jc w:val="right"/>
              <w:rPr>
                <w:rFonts w:ascii="Arial" w:eastAsia="Arial" w:hAnsi="Arial" w:cs="Arial"/>
                <w:color w:val="000000"/>
                <w:sz w:val="22"/>
                <w:szCs w:val="22"/>
              </w:rPr>
            </w:pPr>
            <w:r>
              <w:rPr>
                <w:rFonts w:ascii="Arial" w:eastAsia="Arial" w:hAnsi="Arial" w:cs="Arial"/>
                <w:color w:val="000000"/>
                <w:sz w:val="22"/>
                <w:szCs w:val="22"/>
              </w:rPr>
              <w:t>1.807.562,52</w:t>
            </w:r>
          </w:p>
        </w:tc>
        <w:tc>
          <w:tcPr>
            <w:tcW w:w="2125" w:type="dxa"/>
            <w:tcBorders>
              <w:top w:val="nil"/>
              <w:left w:val="nil"/>
              <w:bottom w:val="single" w:sz="4" w:space="0" w:color="000000"/>
              <w:right w:val="single" w:sz="8" w:space="0" w:color="000000"/>
            </w:tcBorders>
            <w:tcMar>
              <w:top w:w="15" w:type="dxa"/>
              <w:left w:w="15" w:type="dxa"/>
              <w:bottom w:w="0" w:type="dxa"/>
              <w:right w:w="15" w:type="dxa"/>
            </w:tcMar>
            <w:vAlign w:val="bottom"/>
          </w:tcPr>
          <w:p w:rsidR="00B202A2" w:rsidRDefault="00295E06">
            <w:pPr>
              <w:jc w:val="right"/>
              <w:rPr>
                <w:rFonts w:ascii="Arial" w:eastAsia="Arial" w:hAnsi="Arial" w:cs="Arial"/>
                <w:color w:val="000000"/>
                <w:sz w:val="22"/>
                <w:szCs w:val="22"/>
              </w:rPr>
            </w:pPr>
            <w:r>
              <w:rPr>
                <w:rFonts w:ascii="Arial" w:eastAsia="Arial" w:hAnsi="Arial" w:cs="Arial"/>
                <w:color w:val="000000"/>
                <w:sz w:val="22"/>
                <w:szCs w:val="22"/>
              </w:rPr>
              <w:t>16.268.058,48</w:t>
            </w:r>
          </w:p>
        </w:tc>
      </w:tr>
      <w:tr w:rsidR="00B202A2">
        <w:trPr>
          <w:trHeight w:val="300"/>
        </w:trPr>
        <w:tc>
          <w:tcPr>
            <w:tcW w:w="1276" w:type="dxa"/>
            <w:tcBorders>
              <w:top w:val="nil"/>
              <w:left w:val="single" w:sz="8" w:space="0" w:color="000000"/>
              <w:bottom w:val="single" w:sz="4" w:space="0" w:color="000000"/>
              <w:right w:val="single" w:sz="4" w:space="0" w:color="000000"/>
            </w:tcBorders>
            <w:tcMar>
              <w:top w:w="15" w:type="dxa"/>
              <w:left w:w="15" w:type="dxa"/>
              <w:bottom w:w="0" w:type="dxa"/>
              <w:right w:w="15" w:type="dxa"/>
            </w:tcMar>
            <w:vAlign w:val="bottom"/>
          </w:tcPr>
          <w:p w:rsidR="00B202A2" w:rsidRDefault="00295E06">
            <w:pPr>
              <w:rPr>
                <w:rFonts w:ascii="Arial" w:eastAsia="Arial" w:hAnsi="Arial" w:cs="Arial"/>
                <w:color w:val="000000"/>
                <w:sz w:val="22"/>
                <w:szCs w:val="22"/>
              </w:rPr>
            </w:pPr>
            <w:r>
              <w:rPr>
                <w:rFonts w:ascii="Arial" w:eastAsia="Arial" w:hAnsi="Arial" w:cs="Arial"/>
                <w:color w:val="000000"/>
                <w:sz w:val="22"/>
                <w:szCs w:val="22"/>
              </w:rPr>
              <w:t>1.6.40.02</w:t>
            </w:r>
          </w:p>
        </w:tc>
        <w:tc>
          <w:tcPr>
            <w:tcW w:w="2835" w:type="dxa"/>
            <w:tcBorders>
              <w:top w:val="nil"/>
              <w:left w:val="nil"/>
              <w:bottom w:val="single" w:sz="4" w:space="0" w:color="000000"/>
              <w:right w:val="single" w:sz="4" w:space="0" w:color="000000"/>
            </w:tcBorders>
            <w:tcMar>
              <w:top w:w="15" w:type="dxa"/>
              <w:left w:w="15" w:type="dxa"/>
              <w:bottom w:w="0" w:type="dxa"/>
              <w:right w:w="15" w:type="dxa"/>
            </w:tcMar>
            <w:vAlign w:val="bottom"/>
          </w:tcPr>
          <w:p w:rsidR="00B202A2" w:rsidRDefault="00295E06">
            <w:pPr>
              <w:rPr>
                <w:rFonts w:ascii="Arial" w:eastAsia="Arial" w:hAnsi="Arial" w:cs="Arial"/>
                <w:color w:val="000000"/>
                <w:sz w:val="22"/>
                <w:szCs w:val="22"/>
              </w:rPr>
            </w:pPr>
            <w:r>
              <w:rPr>
                <w:rFonts w:ascii="Arial" w:eastAsia="Arial" w:hAnsi="Arial" w:cs="Arial"/>
                <w:color w:val="000000"/>
                <w:sz w:val="22"/>
                <w:szCs w:val="22"/>
              </w:rPr>
              <w:t>Edificaciones - Oficina</w:t>
            </w:r>
          </w:p>
        </w:tc>
        <w:tc>
          <w:tcPr>
            <w:tcW w:w="1559" w:type="dxa"/>
            <w:tcBorders>
              <w:top w:val="nil"/>
              <w:left w:val="nil"/>
              <w:bottom w:val="single" w:sz="4" w:space="0" w:color="000000"/>
              <w:right w:val="single" w:sz="4" w:space="0" w:color="000000"/>
            </w:tcBorders>
            <w:tcMar>
              <w:top w:w="15" w:type="dxa"/>
              <w:left w:w="15" w:type="dxa"/>
              <w:bottom w:w="0" w:type="dxa"/>
              <w:right w:w="15" w:type="dxa"/>
            </w:tcMar>
            <w:vAlign w:val="bottom"/>
          </w:tcPr>
          <w:p w:rsidR="00B202A2" w:rsidRDefault="00295E06">
            <w:pPr>
              <w:jc w:val="right"/>
              <w:rPr>
                <w:rFonts w:ascii="Arial" w:eastAsia="Arial" w:hAnsi="Arial" w:cs="Arial"/>
                <w:color w:val="000000"/>
                <w:sz w:val="22"/>
                <w:szCs w:val="22"/>
              </w:rPr>
            </w:pPr>
            <w:r>
              <w:rPr>
                <w:rFonts w:ascii="Arial" w:eastAsia="Arial" w:hAnsi="Arial" w:cs="Arial"/>
                <w:color w:val="000000"/>
                <w:sz w:val="22"/>
                <w:szCs w:val="22"/>
              </w:rPr>
              <w:t>12.210.624.001,00</w:t>
            </w:r>
          </w:p>
        </w:tc>
        <w:tc>
          <w:tcPr>
            <w:tcW w:w="1700" w:type="dxa"/>
            <w:tcBorders>
              <w:top w:val="nil"/>
              <w:left w:val="nil"/>
              <w:bottom w:val="single" w:sz="4" w:space="0" w:color="000000"/>
              <w:right w:val="single" w:sz="4" w:space="0" w:color="000000"/>
            </w:tcBorders>
            <w:tcMar>
              <w:top w:w="15" w:type="dxa"/>
              <w:left w:w="15" w:type="dxa"/>
              <w:bottom w:w="0" w:type="dxa"/>
              <w:right w:w="15" w:type="dxa"/>
            </w:tcMar>
            <w:vAlign w:val="bottom"/>
          </w:tcPr>
          <w:p w:rsidR="00B202A2" w:rsidRDefault="00295E06">
            <w:pPr>
              <w:jc w:val="right"/>
              <w:rPr>
                <w:rFonts w:ascii="Arial" w:eastAsia="Arial" w:hAnsi="Arial" w:cs="Arial"/>
                <w:color w:val="000000"/>
                <w:sz w:val="22"/>
                <w:szCs w:val="22"/>
              </w:rPr>
            </w:pPr>
            <w:r>
              <w:rPr>
                <w:rFonts w:ascii="Arial" w:eastAsia="Arial" w:hAnsi="Arial" w:cs="Arial"/>
                <w:color w:val="000000"/>
                <w:sz w:val="22"/>
                <w:szCs w:val="22"/>
              </w:rPr>
              <w:t>379.731.088,04</w:t>
            </w:r>
          </w:p>
        </w:tc>
        <w:tc>
          <w:tcPr>
            <w:tcW w:w="2125" w:type="dxa"/>
            <w:tcBorders>
              <w:top w:val="nil"/>
              <w:left w:val="nil"/>
              <w:bottom w:val="single" w:sz="4" w:space="0" w:color="000000"/>
              <w:right w:val="single" w:sz="8" w:space="0" w:color="000000"/>
            </w:tcBorders>
            <w:tcMar>
              <w:top w:w="15" w:type="dxa"/>
              <w:left w:w="15" w:type="dxa"/>
              <w:bottom w:w="0" w:type="dxa"/>
              <w:right w:w="15" w:type="dxa"/>
            </w:tcMar>
            <w:vAlign w:val="bottom"/>
          </w:tcPr>
          <w:p w:rsidR="00B202A2" w:rsidRDefault="00295E06">
            <w:pPr>
              <w:jc w:val="right"/>
              <w:rPr>
                <w:rFonts w:ascii="Arial" w:eastAsia="Arial" w:hAnsi="Arial" w:cs="Arial"/>
                <w:color w:val="000000"/>
                <w:sz w:val="22"/>
                <w:szCs w:val="22"/>
              </w:rPr>
            </w:pPr>
            <w:r>
              <w:rPr>
                <w:rFonts w:ascii="Arial" w:eastAsia="Arial" w:hAnsi="Arial" w:cs="Arial"/>
                <w:color w:val="000000"/>
                <w:sz w:val="22"/>
                <w:szCs w:val="22"/>
              </w:rPr>
              <w:t>11.830.892.912,96</w:t>
            </w:r>
          </w:p>
        </w:tc>
      </w:tr>
      <w:tr w:rsidR="00B202A2">
        <w:trPr>
          <w:trHeight w:val="300"/>
        </w:trPr>
        <w:tc>
          <w:tcPr>
            <w:tcW w:w="1276" w:type="dxa"/>
            <w:tcBorders>
              <w:top w:val="nil"/>
              <w:left w:val="single" w:sz="8" w:space="0" w:color="000000"/>
              <w:bottom w:val="single" w:sz="4" w:space="0" w:color="000000"/>
              <w:right w:val="single" w:sz="4" w:space="0" w:color="000000"/>
            </w:tcBorders>
            <w:tcMar>
              <w:top w:w="15" w:type="dxa"/>
              <w:left w:w="15" w:type="dxa"/>
              <w:bottom w:w="0" w:type="dxa"/>
              <w:right w:w="15" w:type="dxa"/>
            </w:tcMar>
            <w:vAlign w:val="bottom"/>
          </w:tcPr>
          <w:p w:rsidR="00B202A2" w:rsidRDefault="00295E06">
            <w:pPr>
              <w:rPr>
                <w:rFonts w:ascii="Arial" w:eastAsia="Arial" w:hAnsi="Arial" w:cs="Arial"/>
                <w:color w:val="000000"/>
                <w:sz w:val="22"/>
                <w:szCs w:val="22"/>
              </w:rPr>
            </w:pPr>
            <w:r>
              <w:rPr>
                <w:rFonts w:ascii="Arial" w:eastAsia="Arial" w:hAnsi="Arial" w:cs="Arial"/>
                <w:color w:val="000000"/>
                <w:sz w:val="22"/>
                <w:szCs w:val="22"/>
              </w:rPr>
              <w:t>1.6.40.17</w:t>
            </w:r>
          </w:p>
        </w:tc>
        <w:tc>
          <w:tcPr>
            <w:tcW w:w="2835" w:type="dxa"/>
            <w:tcBorders>
              <w:top w:val="nil"/>
              <w:left w:val="nil"/>
              <w:bottom w:val="single" w:sz="4" w:space="0" w:color="000000"/>
              <w:right w:val="single" w:sz="4" w:space="0" w:color="000000"/>
            </w:tcBorders>
            <w:tcMar>
              <w:top w:w="15" w:type="dxa"/>
              <w:left w:w="15" w:type="dxa"/>
              <w:bottom w:w="0" w:type="dxa"/>
              <w:right w:w="15" w:type="dxa"/>
            </w:tcMar>
            <w:vAlign w:val="bottom"/>
          </w:tcPr>
          <w:p w:rsidR="00B202A2" w:rsidRDefault="00295E06">
            <w:pPr>
              <w:rPr>
                <w:rFonts w:ascii="Arial" w:eastAsia="Arial" w:hAnsi="Arial" w:cs="Arial"/>
                <w:color w:val="000000"/>
                <w:sz w:val="22"/>
                <w:szCs w:val="22"/>
              </w:rPr>
            </w:pPr>
            <w:r>
              <w:rPr>
                <w:rFonts w:ascii="Arial" w:eastAsia="Arial" w:hAnsi="Arial" w:cs="Arial"/>
                <w:color w:val="000000"/>
                <w:sz w:val="22"/>
                <w:szCs w:val="22"/>
              </w:rPr>
              <w:t>Parqueaderos y garajes</w:t>
            </w:r>
          </w:p>
        </w:tc>
        <w:tc>
          <w:tcPr>
            <w:tcW w:w="1559" w:type="dxa"/>
            <w:tcBorders>
              <w:top w:val="nil"/>
              <w:left w:val="nil"/>
              <w:bottom w:val="single" w:sz="4" w:space="0" w:color="000000"/>
              <w:right w:val="single" w:sz="4" w:space="0" w:color="000000"/>
            </w:tcBorders>
            <w:tcMar>
              <w:top w:w="15" w:type="dxa"/>
              <w:left w:w="15" w:type="dxa"/>
              <w:bottom w:w="0" w:type="dxa"/>
              <w:right w:w="15" w:type="dxa"/>
            </w:tcMar>
            <w:vAlign w:val="bottom"/>
          </w:tcPr>
          <w:p w:rsidR="00B202A2" w:rsidRDefault="00295E06">
            <w:pPr>
              <w:jc w:val="right"/>
              <w:rPr>
                <w:rFonts w:ascii="Arial" w:eastAsia="Arial" w:hAnsi="Arial" w:cs="Arial"/>
                <w:color w:val="000000"/>
                <w:sz w:val="22"/>
                <w:szCs w:val="22"/>
              </w:rPr>
            </w:pPr>
            <w:r>
              <w:rPr>
                <w:rFonts w:ascii="Arial" w:eastAsia="Arial" w:hAnsi="Arial" w:cs="Arial"/>
                <w:color w:val="000000"/>
                <w:sz w:val="22"/>
                <w:szCs w:val="22"/>
              </w:rPr>
              <w:t>769.275.000,00</w:t>
            </w:r>
          </w:p>
        </w:tc>
        <w:tc>
          <w:tcPr>
            <w:tcW w:w="1700" w:type="dxa"/>
            <w:tcBorders>
              <w:top w:val="nil"/>
              <w:left w:val="nil"/>
              <w:bottom w:val="single" w:sz="4" w:space="0" w:color="000000"/>
              <w:right w:val="single" w:sz="4" w:space="0" w:color="000000"/>
            </w:tcBorders>
            <w:tcMar>
              <w:top w:w="15" w:type="dxa"/>
              <w:left w:w="15" w:type="dxa"/>
              <w:bottom w:w="0" w:type="dxa"/>
              <w:right w:w="15" w:type="dxa"/>
            </w:tcMar>
            <w:vAlign w:val="bottom"/>
          </w:tcPr>
          <w:p w:rsidR="00B202A2" w:rsidRDefault="00295E06">
            <w:pPr>
              <w:jc w:val="right"/>
              <w:rPr>
                <w:rFonts w:ascii="Arial" w:eastAsia="Arial" w:hAnsi="Arial" w:cs="Arial"/>
                <w:color w:val="000000"/>
                <w:sz w:val="22"/>
                <w:szCs w:val="22"/>
              </w:rPr>
            </w:pPr>
            <w:r>
              <w:rPr>
                <w:rFonts w:ascii="Arial" w:eastAsia="Arial" w:hAnsi="Arial" w:cs="Arial"/>
                <w:color w:val="000000"/>
                <w:sz w:val="22"/>
                <w:szCs w:val="22"/>
              </w:rPr>
              <w:t>0,00</w:t>
            </w:r>
          </w:p>
        </w:tc>
        <w:tc>
          <w:tcPr>
            <w:tcW w:w="2125" w:type="dxa"/>
            <w:tcBorders>
              <w:top w:val="nil"/>
              <w:left w:val="nil"/>
              <w:bottom w:val="single" w:sz="4" w:space="0" w:color="000000"/>
              <w:right w:val="single" w:sz="8" w:space="0" w:color="000000"/>
            </w:tcBorders>
            <w:tcMar>
              <w:top w:w="15" w:type="dxa"/>
              <w:left w:w="15" w:type="dxa"/>
              <w:bottom w:w="0" w:type="dxa"/>
              <w:right w:w="15" w:type="dxa"/>
            </w:tcMar>
            <w:vAlign w:val="bottom"/>
          </w:tcPr>
          <w:p w:rsidR="00B202A2" w:rsidRDefault="00295E06">
            <w:pPr>
              <w:jc w:val="right"/>
              <w:rPr>
                <w:rFonts w:ascii="Arial" w:eastAsia="Arial" w:hAnsi="Arial" w:cs="Arial"/>
                <w:color w:val="000000"/>
                <w:sz w:val="22"/>
                <w:szCs w:val="22"/>
              </w:rPr>
            </w:pPr>
            <w:r>
              <w:rPr>
                <w:rFonts w:ascii="Arial" w:eastAsia="Arial" w:hAnsi="Arial" w:cs="Arial"/>
                <w:color w:val="000000"/>
                <w:sz w:val="22"/>
                <w:szCs w:val="22"/>
              </w:rPr>
              <w:t>769.275.000,00</w:t>
            </w:r>
          </w:p>
        </w:tc>
      </w:tr>
      <w:tr w:rsidR="00B202A2">
        <w:trPr>
          <w:trHeight w:val="300"/>
        </w:trPr>
        <w:tc>
          <w:tcPr>
            <w:tcW w:w="1276" w:type="dxa"/>
            <w:tcBorders>
              <w:top w:val="nil"/>
              <w:left w:val="single" w:sz="8" w:space="0" w:color="000000"/>
              <w:bottom w:val="single" w:sz="4" w:space="0" w:color="000000"/>
              <w:right w:val="single" w:sz="4" w:space="0" w:color="000000"/>
            </w:tcBorders>
            <w:tcMar>
              <w:top w:w="15" w:type="dxa"/>
              <w:left w:w="15" w:type="dxa"/>
              <w:bottom w:w="0" w:type="dxa"/>
              <w:right w:w="15" w:type="dxa"/>
            </w:tcMar>
            <w:vAlign w:val="bottom"/>
          </w:tcPr>
          <w:p w:rsidR="00B202A2" w:rsidRDefault="00295E06">
            <w:pPr>
              <w:rPr>
                <w:rFonts w:ascii="Arial" w:eastAsia="Arial" w:hAnsi="Arial" w:cs="Arial"/>
                <w:color w:val="000000"/>
                <w:sz w:val="22"/>
                <w:szCs w:val="22"/>
              </w:rPr>
            </w:pPr>
            <w:r>
              <w:rPr>
                <w:rFonts w:ascii="Arial" w:eastAsia="Arial" w:hAnsi="Arial" w:cs="Arial"/>
                <w:color w:val="000000"/>
                <w:sz w:val="22"/>
                <w:szCs w:val="22"/>
              </w:rPr>
              <w:t>1.6.55.90</w:t>
            </w:r>
          </w:p>
        </w:tc>
        <w:tc>
          <w:tcPr>
            <w:tcW w:w="2835" w:type="dxa"/>
            <w:tcBorders>
              <w:top w:val="nil"/>
              <w:left w:val="nil"/>
              <w:bottom w:val="single" w:sz="4" w:space="0" w:color="000000"/>
              <w:right w:val="single" w:sz="4" w:space="0" w:color="000000"/>
            </w:tcBorders>
            <w:tcMar>
              <w:top w:w="15" w:type="dxa"/>
              <w:left w:w="15" w:type="dxa"/>
              <w:bottom w:w="0" w:type="dxa"/>
              <w:right w:w="15" w:type="dxa"/>
            </w:tcMar>
            <w:vAlign w:val="bottom"/>
          </w:tcPr>
          <w:p w:rsidR="00B202A2" w:rsidRDefault="00295E06">
            <w:pPr>
              <w:rPr>
                <w:rFonts w:ascii="Arial" w:eastAsia="Arial" w:hAnsi="Arial" w:cs="Arial"/>
                <w:color w:val="000000"/>
                <w:sz w:val="22"/>
                <w:szCs w:val="22"/>
              </w:rPr>
            </w:pPr>
            <w:r>
              <w:rPr>
                <w:rFonts w:ascii="Arial" w:eastAsia="Arial" w:hAnsi="Arial" w:cs="Arial"/>
                <w:color w:val="000000"/>
                <w:sz w:val="22"/>
                <w:szCs w:val="22"/>
              </w:rPr>
              <w:t>Otra maquinaria y equipo</w:t>
            </w:r>
          </w:p>
        </w:tc>
        <w:tc>
          <w:tcPr>
            <w:tcW w:w="1559" w:type="dxa"/>
            <w:tcBorders>
              <w:top w:val="nil"/>
              <w:left w:val="nil"/>
              <w:bottom w:val="single" w:sz="4" w:space="0" w:color="000000"/>
              <w:right w:val="single" w:sz="4" w:space="0" w:color="000000"/>
            </w:tcBorders>
            <w:tcMar>
              <w:top w:w="15" w:type="dxa"/>
              <w:left w:w="15" w:type="dxa"/>
              <w:bottom w:w="0" w:type="dxa"/>
              <w:right w:w="15" w:type="dxa"/>
            </w:tcMar>
            <w:vAlign w:val="bottom"/>
          </w:tcPr>
          <w:p w:rsidR="00B202A2" w:rsidRDefault="00295E06">
            <w:pPr>
              <w:jc w:val="right"/>
              <w:rPr>
                <w:rFonts w:ascii="Arial" w:eastAsia="Arial" w:hAnsi="Arial" w:cs="Arial"/>
                <w:color w:val="000000"/>
                <w:sz w:val="22"/>
                <w:szCs w:val="22"/>
              </w:rPr>
            </w:pPr>
            <w:r>
              <w:rPr>
                <w:rFonts w:ascii="Arial" w:eastAsia="Arial" w:hAnsi="Arial" w:cs="Arial"/>
                <w:color w:val="000000"/>
                <w:sz w:val="22"/>
                <w:szCs w:val="22"/>
              </w:rPr>
              <w:t>20.060.000,00</w:t>
            </w:r>
          </w:p>
        </w:tc>
        <w:tc>
          <w:tcPr>
            <w:tcW w:w="1700" w:type="dxa"/>
            <w:tcBorders>
              <w:top w:val="nil"/>
              <w:left w:val="nil"/>
              <w:bottom w:val="single" w:sz="4" w:space="0" w:color="000000"/>
              <w:right w:val="single" w:sz="4" w:space="0" w:color="000000"/>
            </w:tcBorders>
            <w:tcMar>
              <w:top w:w="15" w:type="dxa"/>
              <w:left w:w="15" w:type="dxa"/>
              <w:bottom w:w="0" w:type="dxa"/>
              <w:right w:w="15" w:type="dxa"/>
            </w:tcMar>
            <w:vAlign w:val="bottom"/>
          </w:tcPr>
          <w:p w:rsidR="00B202A2" w:rsidRDefault="00295E06">
            <w:pPr>
              <w:jc w:val="right"/>
              <w:rPr>
                <w:rFonts w:ascii="Arial" w:eastAsia="Arial" w:hAnsi="Arial" w:cs="Arial"/>
                <w:color w:val="000000"/>
                <w:sz w:val="22"/>
                <w:szCs w:val="22"/>
              </w:rPr>
            </w:pPr>
            <w:r>
              <w:rPr>
                <w:rFonts w:ascii="Arial" w:eastAsia="Arial" w:hAnsi="Arial" w:cs="Arial"/>
                <w:color w:val="000000"/>
                <w:sz w:val="22"/>
                <w:szCs w:val="22"/>
              </w:rPr>
              <w:t>2.005.999,98</w:t>
            </w:r>
          </w:p>
        </w:tc>
        <w:tc>
          <w:tcPr>
            <w:tcW w:w="2125" w:type="dxa"/>
            <w:tcBorders>
              <w:top w:val="nil"/>
              <w:left w:val="nil"/>
              <w:bottom w:val="single" w:sz="4" w:space="0" w:color="000000"/>
              <w:right w:val="single" w:sz="8" w:space="0" w:color="000000"/>
            </w:tcBorders>
            <w:tcMar>
              <w:top w:w="15" w:type="dxa"/>
              <w:left w:w="15" w:type="dxa"/>
              <w:bottom w:w="0" w:type="dxa"/>
              <w:right w:w="15" w:type="dxa"/>
            </w:tcMar>
            <w:vAlign w:val="bottom"/>
          </w:tcPr>
          <w:p w:rsidR="00B202A2" w:rsidRDefault="00295E06">
            <w:pPr>
              <w:jc w:val="right"/>
              <w:rPr>
                <w:rFonts w:ascii="Arial" w:eastAsia="Arial" w:hAnsi="Arial" w:cs="Arial"/>
                <w:color w:val="000000"/>
                <w:sz w:val="22"/>
                <w:szCs w:val="22"/>
              </w:rPr>
            </w:pPr>
            <w:r>
              <w:rPr>
                <w:rFonts w:ascii="Arial" w:eastAsia="Arial" w:hAnsi="Arial" w:cs="Arial"/>
                <w:color w:val="000000"/>
                <w:sz w:val="22"/>
                <w:szCs w:val="22"/>
              </w:rPr>
              <w:t>18.054.000,02</w:t>
            </w:r>
          </w:p>
        </w:tc>
      </w:tr>
      <w:tr w:rsidR="00B202A2">
        <w:trPr>
          <w:trHeight w:val="300"/>
        </w:trPr>
        <w:tc>
          <w:tcPr>
            <w:tcW w:w="1276" w:type="dxa"/>
            <w:tcBorders>
              <w:top w:val="nil"/>
              <w:left w:val="single" w:sz="8" w:space="0" w:color="000000"/>
              <w:bottom w:val="single" w:sz="4" w:space="0" w:color="000000"/>
              <w:right w:val="single" w:sz="4" w:space="0" w:color="000000"/>
            </w:tcBorders>
            <w:tcMar>
              <w:top w:w="15" w:type="dxa"/>
              <w:left w:w="15" w:type="dxa"/>
              <w:bottom w:w="0" w:type="dxa"/>
              <w:right w:w="15" w:type="dxa"/>
            </w:tcMar>
            <w:vAlign w:val="bottom"/>
          </w:tcPr>
          <w:p w:rsidR="00B202A2" w:rsidRDefault="00295E06">
            <w:pPr>
              <w:rPr>
                <w:rFonts w:ascii="Arial" w:eastAsia="Arial" w:hAnsi="Arial" w:cs="Arial"/>
                <w:color w:val="000000"/>
                <w:sz w:val="22"/>
                <w:szCs w:val="22"/>
              </w:rPr>
            </w:pPr>
            <w:r>
              <w:rPr>
                <w:rFonts w:ascii="Arial" w:eastAsia="Arial" w:hAnsi="Arial" w:cs="Arial"/>
                <w:color w:val="000000"/>
                <w:sz w:val="22"/>
                <w:szCs w:val="22"/>
              </w:rPr>
              <w:t>1.6.65.01</w:t>
            </w:r>
          </w:p>
        </w:tc>
        <w:tc>
          <w:tcPr>
            <w:tcW w:w="2835" w:type="dxa"/>
            <w:tcBorders>
              <w:top w:val="nil"/>
              <w:left w:val="nil"/>
              <w:bottom w:val="single" w:sz="4" w:space="0" w:color="000000"/>
              <w:right w:val="single" w:sz="4" w:space="0" w:color="000000"/>
            </w:tcBorders>
            <w:tcMar>
              <w:top w:w="15" w:type="dxa"/>
              <w:left w:w="15" w:type="dxa"/>
              <w:bottom w:w="0" w:type="dxa"/>
              <w:right w:w="15" w:type="dxa"/>
            </w:tcMar>
            <w:vAlign w:val="bottom"/>
          </w:tcPr>
          <w:p w:rsidR="00B202A2" w:rsidRDefault="00295E06">
            <w:pPr>
              <w:rPr>
                <w:rFonts w:ascii="Arial" w:eastAsia="Arial" w:hAnsi="Arial" w:cs="Arial"/>
                <w:color w:val="000000"/>
                <w:sz w:val="22"/>
                <w:szCs w:val="22"/>
              </w:rPr>
            </w:pPr>
            <w:r>
              <w:rPr>
                <w:rFonts w:ascii="Arial" w:eastAsia="Arial" w:hAnsi="Arial" w:cs="Arial"/>
                <w:color w:val="000000"/>
                <w:sz w:val="22"/>
                <w:szCs w:val="22"/>
              </w:rPr>
              <w:t>Muebles y enseres y Equipo de oficina</w:t>
            </w:r>
          </w:p>
        </w:tc>
        <w:tc>
          <w:tcPr>
            <w:tcW w:w="1559" w:type="dxa"/>
            <w:tcBorders>
              <w:top w:val="nil"/>
              <w:left w:val="nil"/>
              <w:bottom w:val="single" w:sz="4" w:space="0" w:color="000000"/>
              <w:right w:val="single" w:sz="4" w:space="0" w:color="000000"/>
            </w:tcBorders>
            <w:tcMar>
              <w:top w:w="15" w:type="dxa"/>
              <w:left w:w="15" w:type="dxa"/>
              <w:bottom w:w="0" w:type="dxa"/>
              <w:right w:w="15" w:type="dxa"/>
            </w:tcMar>
            <w:vAlign w:val="bottom"/>
          </w:tcPr>
          <w:p w:rsidR="00B202A2" w:rsidRDefault="00295E06">
            <w:pPr>
              <w:jc w:val="right"/>
              <w:rPr>
                <w:rFonts w:ascii="Arial" w:eastAsia="Arial" w:hAnsi="Arial" w:cs="Arial"/>
                <w:color w:val="000000"/>
                <w:sz w:val="22"/>
                <w:szCs w:val="22"/>
              </w:rPr>
            </w:pPr>
            <w:r>
              <w:rPr>
                <w:rFonts w:ascii="Arial" w:eastAsia="Arial" w:hAnsi="Arial" w:cs="Arial"/>
                <w:color w:val="000000"/>
                <w:sz w:val="22"/>
                <w:szCs w:val="22"/>
              </w:rPr>
              <w:t>741.366.973,17</w:t>
            </w:r>
          </w:p>
        </w:tc>
        <w:tc>
          <w:tcPr>
            <w:tcW w:w="1700" w:type="dxa"/>
            <w:tcBorders>
              <w:top w:val="nil"/>
              <w:left w:val="nil"/>
              <w:bottom w:val="single" w:sz="4" w:space="0" w:color="000000"/>
              <w:right w:val="single" w:sz="4" w:space="0" w:color="000000"/>
            </w:tcBorders>
            <w:tcMar>
              <w:top w:w="15" w:type="dxa"/>
              <w:left w:w="15" w:type="dxa"/>
              <w:bottom w:w="0" w:type="dxa"/>
              <w:right w:w="15" w:type="dxa"/>
            </w:tcMar>
            <w:vAlign w:val="bottom"/>
          </w:tcPr>
          <w:p w:rsidR="00B202A2" w:rsidRDefault="00295E06">
            <w:pPr>
              <w:jc w:val="right"/>
              <w:rPr>
                <w:rFonts w:ascii="Arial" w:eastAsia="Arial" w:hAnsi="Arial" w:cs="Arial"/>
                <w:color w:val="000000"/>
                <w:sz w:val="22"/>
                <w:szCs w:val="22"/>
              </w:rPr>
            </w:pPr>
            <w:r>
              <w:rPr>
                <w:rFonts w:ascii="Arial" w:eastAsia="Arial" w:hAnsi="Arial" w:cs="Arial"/>
                <w:color w:val="000000"/>
                <w:sz w:val="22"/>
                <w:szCs w:val="22"/>
              </w:rPr>
              <w:t>681.146.544,71</w:t>
            </w:r>
          </w:p>
        </w:tc>
        <w:tc>
          <w:tcPr>
            <w:tcW w:w="2125" w:type="dxa"/>
            <w:tcBorders>
              <w:top w:val="nil"/>
              <w:left w:val="nil"/>
              <w:bottom w:val="single" w:sz="4" w:space="0" w:color="000000"/>
              <w:right w:val="single" w:sz="8" w:space="0" w:color="000000"/>
            </w:tcBorders>
            <w:tcMar>
              <w:top w:w="15" w:type="dxa"/>
              <w:left w:w="15" w:type="dxa"/>
              <w:bottom w:w="0" w:type="dxa"/>
              <w:right w:w="15" w:type="dxa"/>
            </w:tcMar>
            <w:vAlign w:val="bottom"/>
          </w:tcPr>
          <w:p w:rsidR="00B202A2" w:rsidRDefault="00295E06">
            <w:pPr>
              <w:jc w:val="right"/>
              <w:rPr>
                <w:rFonts w:ascii="Arial" w:eastAsia="Arial" w:hAnsi="Arial" w:cs="Arial"/>
                <w:color w:val="000000"/>
                <w:sz w:val="22"/>
                <w:szCs w:val="22"/>
              </w:rPr>
            </w:pPr>
            <w:r>
              <w:rPr>
                <w:rFonts w:ascii="Arial" w:eastAsia="Arial" w:hAnsi="Arial" w:cs="Arial"/>
                <w:color w:val="000000"/>
                <w:sz w:val="22"/>
                <w:szCs w:val="22"/>
              </w:rPr>
              <w:t>60.220.428,46</w:t>
            </w:r>
          </w:p>
        </w:tc>
      </w:tr>
      <w:tr w:rsidR="00B202A2">
        <w:trPr>
          <w:trHeight w:val="300"/>
        </w:trPr>
        <w:tc>
          <w:tcPr>
            <w:tcW w:w="1276" w:type="dxa"/>
            <w:tcBorders>
              <w:top w:val="nil"/>
              <w:left w:val="single" w:sz="8" w:space="0" w:color="000000"/>
              <w:bottom w:val="single" w:sz="4" w:space="0" w:color="000000"/>
              <w:right w:val="single" w:sz="4" w:space="0" w:color="000000"/>
            </w:tcBorders>
            <w:tcMar>
              <w:top w:w="15" w:type="dxa"/>
              <w:left w:w="15" w:type="dxa"/>
              <w:bottom w:w="0" w:type="dxa"/>
              <w:right w:w="15" w:type="dxa"/>
            </w:tcMar>
            <w:vAlign w:val="bottom"/>
          </w:tcPr>
          <w:p w:rsidR="00B202A2" w:rsidRDefault="00295E06">
            <w:pPr>
              <w:rPr>
                <w:rFonts w:ascii="Arial" w:eastAsia="Arial" w:hAnsi="Arial" w:cs="Arial"/>
                <w:color w:val="000000"/>
                <w:sz w:val="22"/>
                <w:szCs w:val="22"/>
              </w:rPr>
            </w:pPr>
            <w:r>
              <w:rPr>
                <w:rFonts w:ascii="Arial" w:eastAsia="Arial" w:hAnsi="Arial" w:cs="Arial"/>
                <w:color w:val="000000"/>
                <w:sz w:val="22"/>
                <w:szCs w:val="22"/>
              </w:rPr>
              <w:t>1.6.70.01</w:t>
            </w:r>
          </w:p>
        </w:tc>
        <w:tc>
          <w:tcPr>
            <w:tcW w:w="2835" w:type="dxa"/>
            <w:tcBorders>
              <w:top w:val="nil"/>
              <w:left w:val="nil"/>
              <w:bottom w:val="single" w:sz="4" w:space="0" w:color="000000"/>
              <w:right w:val="single" w:sz="4" w:space="0" w:color="000000"/>
            </w:tcBorders>
            <w:tcMar>
              <w:top w:w="15" w:type="dxa"/>
              <w:left w:w="15" w:type="dxa"/>
              <w:bottom w:w="0" w:type="dxa"/>
              <w:right w:w="15" w:type="dxa"/>
            </w:tcMar>
            <w:vAlign w:val="bottom"/>
          </w:tcPr>
          <w:p w:rsidR="00B202A2" w:rsidRDefault="00295E06">
            <w:pPr>
              <w:rPr>
                <w:rFonts w:ascii="Arial" w:eastAsia="Arial" w:hAnsi="Arial" w:cs="Arial"/>
                <w:color w:val="000000"/>
                <w:sz w:val="22"/>
                <w:szCs w:val="22"/>
              </w:rPr>
            </w:pPr>
            <w:r>
              <w:rPr>
                <w:rFonts w:ascii="Arial" w:eastAsia="Arial" w:hAnsi="Arial" w:cs="Arial"/>
                <w:color w:val="000000"/>
                <w:sz w:val="22"/>
                <w:szCs w:val="22"/>
              </w:rPr>
              <w:t>Equipo de comunicación</w:t>
            </w:r>
          </w:p>
        </w:tc>
        <w:tc>
          <w:tcPr>
            <w:tcW w:w="1559" w:type="dxa"/>
            <w:tcBorders>
              <w:top w:val="nil"/>
              <w:left w:val="nil"/>
              <w:bottom w:val="single" w:sz="4" w:space="0" w:color="000000"/>
              <w:right w:val="single" w:sz="4" w:space="0" w:color="000000"/>
            </w:tcBorders>
            <w:tcMar>
              <w:top w:w="15" w:type="dxa"/>
              <w:left w:w="15" w:type="dxa"/>
              <w:bottom w:w="0" w:type="dxa"/>
              <w:right w:w="15" w:type="dxa"/>
            </w:tcMar>
            <w:vAlign w:val="bottom"/>
          </w:tcPr>
          <w:p w:rsidR="00B202A2" w:rsidRDefault="00295E06">
            <w:pPr>
              <w:jc w:val="right"/>
              <w:rPr>
                <w:rFonts w:ascii="Arial" w:eastAsia="Arial" w:hAnsi="Arial" w:cs="Arial"/>
                <w:color w:val="000000"/>
                <w:sz w:val="22"/>
                <w:szCs w:val="22"/>
              </w:rPr>
            </w:pPr>
            <w:r>
              <w:rPr>
                <w:rFonts w:ascii="Arial" w:eastAsia="Arial" w:hAnsi="Arial" w:cs="Arial"/>
                <w:color w:val="000000"/>
                <w:sz w:val="22"/>
                <w:szCs w:val="22"/>
              </w:rPr>
              <w:t>169.752.069,00</w:t>
            </w:r>
          </w:p>
        </w:tc>
        <w:tc>
          <w:tcPr>
            <w:tcW w:w="1700" w:type="dxa"/>
            <w:tcBorders>
              <w:top w:val="nil"/>
              <w:left w:val="nil"/>
              <w:bottom w:val="single" w:sz="4" w:space="0" w:color="000000"/>
              <w:right w:val="single" w:sz="4" w:space="0" w:color="000000"/>
            </w:tcBorders>
            <w:tcMar>
              <w:top w:w="15" w:type="dxa"/>
              <w:left w:w="15" w:type="dxa"/>
              <w:bottom w:w="0" w:type="dxa"/>
              <w:right w:w="15" w:type="dxa"/>
            </w:tcMar>
            <w:vAlign w:val="bottom"/>
          </w:tcPr>
          <w:p w:rsidR="00B202A2" w:rsidRDefault="00295E06">
            <w:pPr>
              <w:jc w:val="right"/>
              <w:rPr>
                <w:rFonts w:ascii="Arial" w:eastAsia="Arial" w:hAnsi="Arial" w:cs="Arial"/>
                <w:color w:val="000000"/>
                <w:sz w:val="22"/>
                <w:szCs w:val="22"/>
              </w:rPr>
            </w:pPr>
            <w:r>
              <w:rPr>
                <w:rFonts w:ascii="Arial" w:eastAsia="Arial" w:hAnsi="Arial" w:cs="Arial"/>
                <w:color w:val="000000"/>
                <w:sz w:val="22"/>
                <w:szCs w:val="22"/>
              </w:rPr>
              <w:t>148.490.926,75</w:t>
            </w:r>
          </w:p>
        </w:tc>
        <w:tc>
          <w:tcPr>
            <w:tcW w:w="2125" w:type="dxa"/>
            <w:tcBorders>
              <w:top w:val="nil"/>
              <w:left w:val="nil"/>
              <w:bottom w:val="single" w:sz="4" w:space="0" w:color="000000"/>
              <w:right w:val="single" w:sz="8" w:space="0" w:color="000000"/>
            </w:tcBorders>
            <w:tcMar>
              <w:top w:w="15" w:type="dxa"/>
              <w:left w:w="15" w:type="dxa"/>
              <w:bottom w:w="0" w:type="dxa"/>
              <w:right w:w="15" w:type="dxa"/>
            </w:tcMar>
            <w:vAlign w:val="bottom"/>
          </w:tcPr>
          <w:p w:rsidR="00B202A2" w:rsidRDefault="00295E06">
            <w:pPr>
              <w:jc w:val="right"/>
              <w:rPr>
                <w:rFonts w:ascii="Arial" w:eastAsia="Arial" w:hAnsi="Arial" w:cs="Arial"/>
                <w:color w:val="000000"/>
                <w:sz w:val="22"/>
                <w:szCs w:val="22"/>
              </w:rPr>
            </w:pPr>
            <w:r>
              <w:rPr>
                <w:rFonts w:ascii="Arial" w:eastAsia="Arial" w:hAnsi="Arial" w:cs="Arial"/>
                <w:color w:val="000000"/>
                <w:sz w:val="22"/>
                <w:szCs w:val="22"/>
              </w:rPr>
              <w:t>21.261.142,25</w:t>
            </w:r>
          </w:p>
        </w:tc>
      </w:tr>
      <w:tr w:rsidR="00B202A2">
        <w:trPr>
          <w:trHeight w:val="300"/>
        </w:trPr>
        <w:tc>
          <w:tcPr>
            <w:tcW w:w="1276" w:type="dxa"/>
            <w:tcBorders>
              <w:top w:val="nil"/>
              <w:left w:val="single" w:sz="8" w:space="0" w:color="000000"/>
              <w:bottom w:val="single" w:sz="4" w:space="0" w:color="000000"/>
              <w:right w:val="single" w:sz="4" w:space="0" w:color="000000"/>
            </w:tcBorders>
            <w:tcMar>
              <w:top w:w="15" w:type="dxa"/>
              <w:left w:w="15" w:type="dxa"/>
              <w:bottom w:w="0" w:type="dxa"/>
              <w:right w:w="15" w:type="dxa"/>
            </w:tcMar>
            <w:vAlign w:val="bottom"/>
          </w:tcPr>
          <w:p w:rsidR="00B202A2" w:rsidRDefault="00295E06">
            <w:pPr>
              <w:rPr>
                <w:rFonts w:ascii="Arial" w:eastAsia="Arial" w:hAnsi="Arial" w:cs="Arial"/>
                <w:color w:val="000000"/>
                <w:sz w:val="22"/>
                <w:szCs w:val="22"/>
              </w:rPr>
            </w:pPr>
            <w:r>
              <w:rPr>
                <w:rFonts w:ascii="Arial" w:eastAsia="Arial" w:hAnsi="Arial" w:cs="Arial"/>
                <w:color w:val="000000"/>
                <w:sz w:val="22"/>
                <w:szCs w:val="22"/>
              </w:rPr>
              <w:t>1.6.70.02</w:t>
            </w:r>
          </w:p>
        </w:tc>
        <w:tc>
          <w:tcPr>
            <w:tcW w:w="2835" w:type="dxa"/>
            <w:tcBorders>
              <w:top w:val="nil"/>
              <w:left w:val="nil"/>
              <w:bottom w:val="single" w:sz="4" w:space="0" w:color="000000"/>
              <w:right w:val="single" w:sz="4" w:space="0" w:color="000000"/>
            </w:tcBorders>
            <w:tcMar>
              <w:top w:w="15" w:type="dxa"/>
              <w:left w:w="15" w:type="dxa"/>
              <w:bottom w:w="0" w:type="dxa"/>
              <w:right w:w="15" w:type="dxa"/>
            </w:tcMar>
            <w:vAlign w:val="bottom"/>
          </w:tcPr>
          <w:p w:rsidR="00B202A2" w:rsidRDefault="00295E06">
            <w:pPr>
              <w:rPr>
                <w:rFonts w:ascii="Arial" w:eastAsia="Arial" w:hAnsi="Arial" w:cs="Arial"/>
                <w:color w:val="000000"/>
                <w:sz w:val="22"/>
                <w:szCs w:val="22"/>
              </w:rPr>
            </w:pPr>
            <w:r>
              <w:rPr>
                <w:rFonts w:ascii="Arial" w:eastAsia="Arial" w:hAnsi="Arial" w:cs="Arial"/>
                <w:color w:val="000000"/>
                <w:sz w:val="22"/>
                <w:szCs w:val="22"/>
              </w:rPr>
              <w:t>Equipo de computación</w:t>
            </w:r>
          </w:p>
        </w:tc>
        <w:tc>
          <w:tcPr>
            <w:tcW w:w="1559" w:type="dxa"/>
            <w:tcBorders>
              <w:top w:val="nil"/>
              <w:left w:val="nil"/>
              <w:bottom w:val="single" w:sz="4" w:space="0" w:color="000000"/>
              <w:right w:val="single" w:sz="4" w:space="0" w:color="000000"/>
            </w:tcBorders>
            <w:tcMar>
              <w:top w:w="15" w:type="dxa"/>
              <w:left w:w="15" w:type="dxa"/>
              <w:bottom w:w="0" w:type="dxa"/>
              <w:right w:w="15" w:type="dxa"/>
            </w:tcMar>
            <w:vAlign w:val="bottom"/>
          </w:tcPr>
          <w:p w:rsidR="00B202A2" w:rsidRDefault="00295E06">
            <w:pPr>
              <w:jc w:val="right"/>
              <w:rPr>
                <w:rFonts w:ascii="Arial" w:eastAsia="Arial" w:hAnsi="Arial" w:cs="Arial"/>
                <w:color w:val="000000"/>
                <w:sz w:val="22"/>
                <w:szCs w:val="22"/>
              </w:rPr>
            </w:pPr>
            <w:r>
              <w:rPr>
                <w:rFonts w:ascii="Arial" w:eastAsia="Arial" w:hAnsi="Arial" w:cs="Arial"/>
                <w:color w:val="000000"/>
                <w:sz w:val="22"/>
                <w:szCs w:val="22"/>
              </w:rPr>
              <w:t>2.550.808.086,18</w:t>
            </w:r>
          </w:p>
        </w:tc>
        <w:tc>
          <w:tcPr>
            <w:tcW w:w="1700" w:type="dxa"/>
            <w:tcBorders>
              <w:top w:val="nil"/>
              <w:left w:val="nil"/>
              <w:bottom w:val="single" w:sz="4" w:space="0" w:color="000000"/>
              <w:right w:val="single" w:sz="4" w:space="0" w:color="000000"/>
            </w:tcBorders>
            <w:tcMar>
              <w:top w:w="15" w:type="dxa"/>
              <w:left w:w="15" w:type="dxa"/>
              <w:bottom w:w="0" w:type="dxa"/>
              <w:right w:w="15" w:type="dxa"/>
            </w:tcMar>
            <w:vAlign w:val="bottom"/>
          </w:tcPr>
          <w:p w:rsidR="00B202A2" w:rsidRDefault="00295E06">
            <w:pPr>
              <w:jc w:val="right"/>
              <w:rPr>
                <w:rFonts w:ascii="Arial" w:eastAsia="Arial" w:hAnsi="Arial" w:cs="Arial"/>
                <w:color w:val="000000"/>
                <w:sz w:val="22"/>
                <w:szCs w:val="22"/>
              </w:rPr>
            </w:pPr>
            <w:r>
              <w:rPr>
                <w:rFonts w:ascii="Arial" w:eastAsia="Arial" w:hAnsi="Arial" w:cs="Arial"/>
                <w:color w:val="000000"/>
                <w:sz w:val="22"/>
                <w:szCs w:val="22"/>
              </w:rPr>
              <w:t>1.691.751.448,52</w:t>
            </w:r>
          </w:p>
        </w:tc>
        <w:tc>
          <w:tcPr>
            <w:tcW w:w="2125" w:type="dxa"/>
            <w:tcBorders>
              <w:top w:val="nil"/>
              <w:left w:val="nil"/>
              <w:bottom w:val="single" w:sz="4" w:space="0" w:color="000000"/>
              <w:right w:val="single" w:sz="8" w:space="0" w:color="000000"/>
            </w:tcBorders>
            <w:tcMar>
              <w:top w:w="15" w:type="dxa"/>
              <w:left w:w="15" w:type="dxa"/>
              <w:bottom w:w="0" w:type="dxa"/>
              <w:right w:w="15" w:type="dxa"/>
            </w:tcMar>
            <w:vAlign w:val="bottom"/>
          </w:tcPr>
          <w:p w:rsidR="00B202A2" w:rsidRDefault="00295E06">
            <w:pPr>
              <w:jc w:val="right"/>
              <w:rPr>
                <w:rFonts w:ascii="Arial" w:eastAsia="Arial" w:hAnsi="Arial" w:cs="Arial"/>
                <w:color w:val="000000"/>
                <w:sz w:val="22"/>
                <w:szCs w:val="22"/>
              </w:rPr>
            </w:pPr>
            <w:r>
              <w:rPr>
                <w:rFonts w:ascii="Arial" w:eastAsia="Arial" w:hAnsi="Arial" w:cs="Arial"/>
                <w:color w:val="000000"/>
                <w:sz w:val="22"/>
                <w:szCs w:val="22"/>
              </w:rPr>
              <w:t>859.056.637,66</w:t>
            </w:r>
          </w:p>
        </w:tc>
      </w:tr>
      <w:tr w:rsidR="00B202A2">
        <w:trPr>
          <w:trHeight w:val="300"/>
        </w:trPr>
        <w:tc>
          <w:tcPr>
            <w:tcW w:w="1276" w:type="dxa"/>
            <w:tcBorders>
              <w:top w:val="nil"/>
              <w:left w:val="single" w:sz="8" w:space="0" w:color="000000"/>
              <w:bottom w:val="single" w:sz="4" w:space="0" w:color="000000"/>
              <w:right w:val="single" w:sz="4" w:space="0" w:color="000000"/>
            </w:tcBorders>
            <w:tcMar>
              <w:top w:w="15" w:type="dxa"/>
              <w:left w:w="15" w:type="dxa"/>
              <w:bottom w:w="0" w:type="dxa"/>
              <w:right w:w="15" w:type="dxa"/>
            </w:tcMar>
            <w:vAlign w:val="bottom"/>
          </w:tcPr>
          <w:p w:rsidR="00B202A2" w:rsidRDefault="00295E06">
            <w:pPr>
              <w:rPr>
                <w:rFonts w:ascii="Arial" w:eastAsia="Arial" w:hAnsi="Arial" w:cs="Arial"/>
                <w:color w:val="000000"/>
                <w:sz w:val="22"/>
                <w:szCs w:val="22"/>
              </w:rPr>
            </w:pPr>
            <w:r>
              <w:rPr>
                <w:rFonts w:ascii="Arial" w:eastAsia="Arial" w:hAnsi="Arial" w:cs="Arial"/>
                <w:color w:val="000000"/>
                <w:sz w:val="22"/>
                <w:szCs w:val="22"/>
              </w:rPr>
              <w:t>1.6.75.02</w:t>
            </w:r>
          </w:p>
        </w:tc>
        <w:tc>
          <w:tcPr>
            <w:tcW w:w="2835" w:type="dxa"/>
            <w:tcBorders>
              <w:top w:val="nil"/>
              <w:left w:val="nil"/>
              <w:bottom w:val="single" w:sz="4" w:space="0" w:color="000000"/>
              <w:right w:val="single" w:sz="4" w:space="0" w:color="000000"/>
            </w:tcBorders>
            <w:tcMar>
              <w:top w:w="15" w:type="dxa"/>
              <w:left w:w="15" w:type="dxa"/>
              <w:bottom w:w="0" w:type="dxa"/>
              <w:right w:w="15" w:type="dxa"/>
            </w:tcMar>
            <w:vAlign w:val="bottom"/>
          </w:tcPr>
          <w:p w:rsidR="00B202A2" w:rsidRDefault="00295E06">
            <w:pPr>
              <w:rPr>
                <w:rFonts w:ascii="Arial" w:eastAsia="Arial" w:hAnsi="Arial" w:cs="Arial"/>
                <w:color w:val="000000"/>
                <w:sz w:val="22"/>
                <w:szCs w:val="22"/>
              </w:rPr>
            </w:pPr>
            <w:r>
              <w:rPr>
                <w:rFonts w:ascii="Arial" w:eastAsia="Arial" w:hAnsi="Arial" w:cs="Arial"/>
                <w:color w:val="000000"/>
                <w:sz w:val="22"/>
                <w:szCs w:val="22"/>
              </w:rPr>
              <w:t>Terrestre</w:t>
            </w:r>
          </w:p>
        </w:tc>
        <w:tc>
          <w:tcPr>
            <w:tcW w:w="1559" w:type="dxa"/>
            <w:tcBorders>
              <w:top w:val="nil"/>
              <w:left w:val="nil"/>
              <w:bottom w:val="single" w:sz="4" w:space="0" w:color="000000"/>
              <w:right w:val="single" w:sz="4" w:space="0" w:color="000000"/>
            </w:tcBorders>
            <w:tcMar>
              <w:top w:w="15" w:type="dxa"/>
              <w:left w:w="15" w:type="dxa"/>
              <w:bottom w:w="0" w:type="dxa"/>
              <w:right w:w="15" w:type="dxa"/>
            </w:tcMar>
            <w:vAlign w:val="bottom"/>
          </w:tcPr>
          <w:p w:rsidR="00B202A2" w:rsidRDefault="00295E06">
            <w:pPr>
              <w:jc w:val="right"/>
              <w:rPr>
                <w:rFonts w:ascii="Arial" w:eastAsia="Arial" w:hAnsi="Arial" w:cs="Arial"/>
                <w:color w:val="000000"/>
                <w:sz w:val="22"/>
                <w:szCs w:val="22"/>
              </w:rPr>
            </w:pPr>
            <w:r>
              <w:rPr>
                <w:rFonts w:ascii="Arial" w:eastAsia="Arial" w:hAnsi="Arial" w:cs="Arial"/>
                <w:color w:val="000000"/>
                <w:sz w:val="22"/>
                <w:szCs w:val="22"/>
              </w:rPr>
              <w:t>145.080.000,00</w:t>
            </w:r>
          </w:p>
        </w:tc>
        <w:tc>
          <w:tcPr>
            <w:tcW w:w="1700" w:type="dxa"/>
            <w:tcBorders>
              <w:top w:val="nil"/>
              <w:left w:val="nil"/>
              <w:bottom w:val="single" w:sz="4" w:space="0" w:color="000000"/>
              <w:right w:val="single" w:sz="4" w:space="0" w:color="000000"/>
            </w:tcBorders>
            <w:tcMar>
              <w:top w:w="15" w:type="dxa"/>
              <w:left w:w="15" w:type="dxa"/>
              <w:bottom w:w="0" w:type="dxa"/>
              <w:right w:w="15" w:type="dxa"/>
            </w:tcMar>
            <w:vAlign w:val="bottom"/>
          </w:tcPr>
          <w:p w:rsidR="00B202A2" w:rsidRDefault="00295E06">
            <w:pPr>
              <w:jc w:val="right"/>
              <w:rPr>
                <w:rFonts w:ascii="Arial" w:eastAsia="Arial" w:hAnsi="Arial" w:cs="Arial"/>
                <w:color w:val="000000"/>
                <w:sz w:val="22"/>
                <w:szCs w:val="22"/>
              </w:rPr>
            </w:pPr>
            <w:r>
              <w:rPr>
                <w:rFonts w:ascii="Arial" w:eastAsia="Arial" w:hAnsi="Arial" w:cs="Arial"/>
                <w:color w:val="000000"/>
                <w:sz w:val="22"/>
                <w:szCs w:val="22"/>
              </w:rPr>
              <w:t>145.080.000,00</w:t>
            </w:r>
          </w:p>
        </w:tc>
        <w:tc>
          <w:tcPr>
            <w:tcW w:w="2125" w:type="dxa"/>
            <w:tcBorders>
              <w:top w:val="nil"/>
              <w:left w:val="nil"/>
              <w:bottom w:val="single" w:sz="4" w:space="0" w:color="000000"/>
              <w:right w:val="single" w:sz="8" w:space="0" w:color="000000"/>
            </w:tcBorders>
            <w:tcMar>
              <w:top w:w="15" w:type="dxa"/>
              <w:left w:w="15" w:type="dxa"/>
              <w:bottom w:w="0" w:type="dxa"/>
              <w:right w:w="15" w:type="dxa"/>
            </w:tcMar>
            <w:vAlign w:val="bottom"/>
          </w:tcPr>
          <w:p w:rsidR="00B202A2" w:rsidRDefault="00295E06">
            <w:pPr>
              <w:jc w:val="right"/>
              <w:rPr>
                <w:rFonts w:ascii="Arial" w:eastAsia="Arial" w:hAnsi="Arial" w:cs="Arial"/>
                <w:color w:val="000000"/>
                <w:sz w:val="22"/>
                <w:szCs w:val="22"/>
              </w:rPr>
            </w:pPr>
            <w:r>
              <w:rPr>
                <w:rFonts w:ascii="Arial" w:eastAsia="Arial" w:hAnsi="Arial" w:cs="Arial"/>
                <w:color w:val="000000"/>
                <w:sz w:val="22"/>
                <w:szCs w:val="22"/>
              </w:rPr>
              <w:t>0,00</w:t>
            </w:r>
          </w:p>
        </w:tc>
      </w:tr>
      <w:tr w:rsidR="00B202A2">
        <w:trPr>
          <w:trHeight w:val="315"/>
        </w:trPr>
        <w:tc>
          <w:tcPr>
            <w:tcW w:w="1276" w:type="dxa"/>
            <w:tcBorders>
              <w:top w:val="nil"/>
              <w:left w:val="single" w:sz="8" w:space="0" w:color="000000"/>
              <w:bottom w:val="nil"/>
              <w:right w:val="single" w:sz="4" w:space="0" w:color="000000"/>
            </w:tcBorders>
            <w:tcMar>
              <w:top w:w="15" w:type="dxa"/>
              <w:left w:w="15" w:type="dxa"/>
              <w:bottom w:w="0" w:type="dxa"/>
              <w:right w:w="15" w:type="dxa"/>
            </w:tcMar>
            <w:vAlign w:val="bottom"/>
          </w:tcPr>
          <w:p w:rsidR="00B202A2" w:rsidRDefault="00295E06">
            <w:pPr>
              <w:rPr>
                <w:rFonts w:ascii="Arial" w:eastAsia="Arial" w:hAnsi="Arial" w:cs="Arial"/>
                <w:color w:val="000000"/>
                <w:sz w:val="22"/>
                <w:szCs w:val="22"/>
              </w:rPr>
            </w:pPr>
            <w:r>
              <w:rPr>
                <w:rFonts w:ascii="Arial" w:eastAsia="Arial" w:hAnsi="Arial" w:cs="Arial"/>
                <w:color w:val="000000"/>
                <w:sz w:val="22"/>
                <w:szCs w:val="22"/>
              </w:rPr>
              <w:t>1.6.80.90</w:t>
            </w:r>
          </w:p>
        </w:tc>
        <w:tc>
          <w:tcPr>
            <w:tcW w:w="2835" w:type="dxa"/>
            <w:tcBorders>
              <w:top w:val="nil"/>
              <w:left w:val="nil"/>
              <w:bottom w:val="nil"/>
              <w:right w:val="single" w:sz="4" w:space="0" w:color="000000"/>
            </w:tcBorders>
            <w:tcMar>
              <w:top w:w="15" w:type="dxa"/>
              <w:left w:w="15" w:type="dxa"/>
              <w:bottom w:w="0" w:type="dxa"/>
              <w:right w:w="15" w:type="dxa"/>
            </w:tcMar>
            <w:vAlign w:val="bottom"/>
          </w:tcPr>
          <w:p w:rsidR="00B202A2" w:rsidRDefault="00295E06">
            <w:pPr>
              <w:rPr>
                <w:rFonts w:ascii="Arial" w:eastAsia="Arial" w:hAnsi="Arial" w:cs="Arial"/>
                <w:color w:val="000000"/>
                <w:sz w:val="22"/>
                <w:szCs w:val="22"/>
              </w:rPr>
            </w:pPr>
            <w:r>
              <w:rPr>
                <w:rFonts w:ascii="Arial" w:eastAsia="Arial" w:hAnsi="Arial" w:cs="Arial"/>
                <w:color w:val="000000"/>
                <w:sz w:val="22"/>
                <w:szCs w:val="22"/>
              </w:rPr>
              <w:t>Otros equipos de comedor, cocina, despensa y hotelería</w:t>
            </w:r>
          </w:p>
        </w:tc>
        <w:tc>
          <w:tcPr>
            <w:tcW w:w="1559" w:type="dxa"/>
            <w:tcBorders>
              <w:top w:val="nil"/>
              <w:left w:val="nil"/>
              <w:bottom w:val="nil"/>
              <w:right w:val="single" w:sz="4" w:space="0" w:color="000000"/>
            </w:tcBorders>
            <w:tcMar>
              <w:top w:w="15" w:type="dxa"/>
              <w:left w:w="15" w:type="dxa"/>
              <w:bottom w:w="0" w:type="dxa"/>
              <w:right w:w="15" w:type="dxa"/>
            </w:tcMar>
            <w:vAlign w:val="bottom"/>
          </w:tcPr>
          <w:p w:rsidR="00B202A2" w:rsidRDefault="00295E06">
            <w:pPr>
              <w:jc w:val="right"/>
              <w:rPr>
                <w:rFonts w:ascii="Arial" w:eastAsia="Arial" w:hAnsi="Arial" w:cs="Arial"/>
                <w:color w:val="000000"/>
                <w:sz w:val="22"/>
                <w:szCs w:val="22"/>
              </w:rPr>
            </w:pPr>
            <w:r>
              <w:rPr>
                <w:rFonts w:ascii="Arial" w:eastAsia="Arial" w:hAnsi="Arial" w:cs="Arial"/>
                <w:color w:val="000000"/>
                <w:sz w:val="22"/>
                <w:szCs w:val="22"/>
              </w:rPr>
              <w:t>28.581.999,00</w:t>
            </w:r>
          </w:p>
        </w:tc>
        <w:tc>
          <w:tcPr>
            <w:tcW w:w="1700" w:type="dxa"/>
            <w:tcBorders>
              <w:top w:val="nil"/>
              <w:left w:val="nil"/>
              <w:bottom w:val="nil"/>
              <w:right w:val="single" w:sz="4" w:space="0" w:color="000000"/>
            </w:tcBorders>
            <w:tcMar>
              <w:top w:w="15" w:type="dxa"/>
              <w:left w:w="15" w:type="dxa"/>
              <w:bottom w:w="0" w:type="dxa"/>
              <w:right w:w="15" w:type="dxa"/>
            </w:tcMar>
            <w:vAlign w:val="bottom"/>
          </w:tcPr>
          <w:p w:rsidR="00B202A2" w:rsidRDefault="00295E06">
            <w:pPr>
              <w:jc w:val="right"/>
              <w:rPr>
                <w:rFonts w:ascii="Arial" w:eastAsia="Arial" w:hAnsi="Arial" w:cs="Arial"/>
                <w:color w:val="000000"/>
                <w:sz w:val="22"/>
                <w:szCs w:val="22"/>
              </w:rPr>
            </w:pPr>
            <w:r>
              <w:rPr>
                <w:rFonts w:ascii="Arial" w:eastAsia="Arial" w:hAnsi="Arial" w:cs="Arial"/>
                <w:color w:val="000000"/>
                <w:sz w:val="22"/>
                <w:szCs w:val="22"/>
              </w:rPr>
              <w:t>21.421.000,00</w:t>
            </w:r>
          </w:p>
        </w:tc>
        <w:tc>
          <w:tcPr>
            <w:tcW w:w="2125" w:type="dxa"/>
            <w:tcBorders>
              <w:top w:val="nil"/>
              <w:left w:val="nil"/>
              <w:bottom w:val="nil"/>
              <w:right w:val="single" w:sz="8" w:space="0" w:color="000000"/>
            </w:tcBorders>
            <w:tcMar>
              <w:top w:w="15" w:type="dxa"/>
              <w:left w:w="15" w:type="dxa"/>
              <w:bottom w:w="0" w:type="dxa"/>
              <w:right w:w="15" w:type="dxa"/>
            </w:tcMar>
            <w:vAlign w:val="bottom"/>
          </w:tcPr>
          <w:p w:rsidR="00B202A2" w:rsidRDefault="00295E06">
            <w:pPr>
              <w:jc w:val="right"/>
              <w:rPr>
                <w:rFonts w:ascii="Arial" w:eastAsia="Arial" w:hAnsi="Arial" w:cs="Arial"/>
                <w:color w:val="000000"/>
                <w:sz w:val="22"/>
                <w:szCs w:val="22"/>
              </w:rPr>
            </w:pPr>
            <w:r>
              <w:rPr>
                <w:rFonts w:ascii="Arial" w:eastAsia="Arial" w:hAnsi="Arial" w:cs="Arial"/>
                <w:color w:val="000000"/>
                <w:sz w:val="22"/>
                <w:szCs w:val="22"/>
              </w:rPr>
              <w:t>7.160.999,00</w:t>
            </w:r>
          </w:p>
        </w:tc>
      </w:tr>
      <w:tr w:rsidR="00B202A2">
        <w:trPr>
          <w:trHeight w:val="315"/>
        </w:trPr>
        <w:tc>
          <w:tcPr>
            <w:tcW w:w="1276" w:type="dxa"/>
            <w:tcBorders>
              <w:top w:val="single" w:sz="8" w:space="0" w:color="000000"/>
              <w:left w:val="single" w:sz="8" w:space="0" w:color="000000"/>
              <w:bottom w:val="single" w:sz="8" w:space="0" w:color="000000"/>
              <w:right w:val="single" w:sz="4" w:space="0" w:color="000000"/>
            </w:tcBorders>
            <w:tcMar>
              <w:top w:w="15" w:type="dxa"/>
              <w:left w:w="15" w:type="dxa"/>
              <w:bottom w:w="0" w:type="dxa"/>
              <w:right w:w="15" w:type="dxa"/>
            </w:tcMar>
            <w:vAlign w:val="bottom"/>
          </w:tcPr>
          <w:p w:rsidR="00B202A2" w:rsidRDefault="00295E06">
            <w:pPr>
              <w:rPr>
                <w:rFonts w:ascii="Arial" w:eastAsia="Arial" w:hAnsi="Arial" w:cs="Arial"/>
                <w:b/>
                <w:color w:val="000000"/>
                <w:sz w:val="22"/>
                <w:szCs w:val="22"/>
              </w:rPr>
            </w:pPr>
            <w:r>
              <w:rPr>
                <w:rFonts w:ascii="Arial" w:eastAsia="Arial" w:hAnsi="Arial" w:cs="Arial"/>
                <w:b/>
                <w:color w:val="000000"/>
                <w:sz w:val="22"/>
                <w:szCs w:val="22"/>
              </w:rPr>
              <w:t> </w:t>
            </w:r>
          </w:p>
        </w:tc>
        <w:tc>
          <w:tcPr>
            <w:tcW w:w="2835" w:type="dxa"/>
            <w:tcBorders>
              <w:top w:val="single" w:sz="8" w:space="0" w:color="000000"/>
              <w:left w:val="nil"/>
              <w:bottom w:val="single" w:sz="8" w:space="0" w:color="000000"/>
              <w:right w:val="single" w:sz="4" w:space="0" w:color="000000"/>
            </w:tcBorders>
            <w:tcMar>
              <w:top w:w="15" w:type="dxa"/>
              <w:left w:w="15" w:type="dxa"/>
              <w:bottom w:w="0" w:type="dxa"/>
              <w:right w:w="15" w:type="dxa"/>
            </w:tcMar>
            <w:vAlign w:val="bottom"/>
          </w:tcPr>
          <w:p w:rsidR="00B202A2" w:rsidRDefault="00295E06">
            <w:pPr>
              <w:jc w:val="center"/>
              <w:rPr>
                <w:rFonts w:ascii="Arial" w:eastAsia="Arial" w:hAnsi="Arial" w:cs="Arial"/>
                <w:b/>
                <w:color w:val="000000"/>
                <w:sz w:val="22"/>
                <w:szCs w:val="22"/>
              </w:rPr>
            </w:pPr>
            <w:r>
              <w:rPr>
                <w:rFonts w:ascii="Arial" w:eastAsia="Arial" w:hAnsi="Arial" w:cs="Arial"/>
                <w:b/>
                <w:color w:val="000000"/>
                <w:sz w:val="22"/>
                <w:szCs w:val="22"/>
              </w:rPr>
              <w:t>TOTAL PROPIEDAD, PLANTA Y EQUIPO</w:t>
            </w:r>
          </w:p>
        </w:tc>
        <w:tc>
          <w:tcPr>
            <w:tcW w:w="1559" w:type="dxa"/>
            <w:tcBorders>
              <w:top w:val="single" w:sz="8" w:space="0" w:color="000000"/>
              <w:left w:val="nil"/>
              <w:bottom w:val="single" w:sz="8" w:space="0" w:color="000000"/>
              <w:right w:val="single" w:sz="4" w:space="0" w:color="000000"/>
            </w:tcBorders>
            <w:tcMar>
              <w:top w:w="15" w:type="dxa"/>
              <w:left w:w="15" w:type="dxa"/>
              <w:bottom w:w="0" w:type="dxa"/>
              <w:right w:w="15" w:type="dxa"/>
            </w:tcMar>
            <w:vAlign w:val="bottom"/>
          </w:tcPr>
          <w:p w:rsidR="00B202A2" w:rsidRDefault="00295E06">
            <w:pPr>
              <w:rPr>
                <w:rFonts w:ascii="Arial" w:eastAsia="Arial" w:hAnsi="Arial" w:cs="Arial"/>
                <w:b/>
                <w:color w:val="000000"/>
                <w:sz w:val="22"/>
                <w:szCs w:val="22"/>
              </w:rPr>
            </w:pPr>
            <w:r>
              <w:rPr>
                <w:rFonts w:ascii="Arial" w:eastAsia="Arial" w:hAnsi="Arial" w:cs="Arial"/>
                <w:b/>
                <w:color w:val="000000"/>
                <w:sz w:val="22"/>
                <w:szCs w:val="22"/>
              </w:rPr>
              <w:t> </w:t>
            </w:r>
          </w:p>
        </w:tc>
        <w:tc>
          <w:tcPr>
            <w:tcW w:w="1700" w:type="dxa"/>
            <w:tcBorders>
              <w:top w:val="single" w:sz="8" w:space="0" w:color="000000"/>
              <w:left w:val="nil"/>
              <w:bottom w:val="single" w:sz="8" w:space="0" w:color="000000"/>
              <w:right w:val="single" w:sz="4" w:space="0" w:color="000000"/>
            </w:tcBorders>
            <w:tcMar>
              <w:top w:w="15" w:type="dxa"/>
              <w:left w:w="15" w:type="dxa"/>
              <w:bottom w:w="0" w:type="dxa"/>
              <w:right w:w="15" w:type="dxa"/>
            </w:tcMar>
            <w:vAlign w:val="bottom"/>
          </w:tcPr>
          <w:p w:rsidR="00B202A2" w:rsidRDefault="00295E06">
            <w:pPr>
              <w:rPr>
                <w:rFonts w:ascii="Arial" w:eastAsia="Arial" w:hAnsi="Arial" w:cs="Arial"/>
                <w:b/>
                <w:color w:val="000000"/>
                <w:sz w:val="22"/>
                <w:szCs w:val="22"/>
              </w:rPr>
            </w:pPr>
            <w:r>
              <w:rPr>
                <w:rFonts w:ascii="Arial" w:eastAsia="Arial" w:hAnsi="Arial" w:cs="Arial"/>
                <w:b/>
                <w:color w:val="000000"/>
                <w:sz w:val="22"/>
                <w:szCs w:val="22"/>
              </w:rPr>
              <w:t> </w:t>
            </w:r>
          </w:p>
        </w:tc>
        <w:tc>
          <w:tcPr>
            <w:tcW w:w="2125" w:type="dxa"/>
            <w:tcBorders>
              <w:top w:val="single" w:sz="8" w:space="0" w:color="000000"/>
              <w:left w:val="nil"/>
              <w:bottom w:val="single" w:sz="8" w:space="0" w:color="000000"/>
              <w:right w:val="single" w:sz="8" w:space="0" w:color="000000"/>
            </w:tcBorders>
            <w:tcMar>
              <w:top w:w="15" w:type="dxa"/>
              <w:left w:w="15" w:type="dxa"/>
              <w:bottom w:w="0" w:type="dxa"/>
              <w:right w:w="15" w:type="dxa"/>
            </w:tcMar>
            <w:vAlign w:val="bottom"/>
          </w:tcPr>
          <w:p w:rsidR="00B202A2" w:rsidRDefault="00295E06">
            <w:pPr>
              <w:jc w:val="right"/>
              <w:rPr>
                <w:rFonts w:ascii="Arial" w:eastAsia="Arial" w:hAnsi="Arial" w:cs="Arial"/>
                <w:b/>
                <w:color w:val="000000"/>
                <w:sz w:val="22"/>
                <w:szCs w:val="22"/>
              </w:rPr>
            </w:pPr>
            <w:r>
              <w:rPr>
                <w:rFonts w:ascii="Arial" w:eastAsia="Arial" w:hAnsi="Arial" w:cs="Arial"/>
                <w:b/>
                <w:color w:val="000000"/>
                <w:sz w:val="22"/>
                <w:szCs w:val="22"/>
              </w:rPr>
              <w:t>15.697.188.398,38</w:t>
            </w:r>
          </w:p>
        </w:tc>
      </w:tr>
      <w:tr w:rsidR="00B202A2">
        <w:trPr>
          <w:trHeight w:val="390"/>
        </w:trPr>
        <w:tc>
          <w:tcPr>
            <w:tcW w:w="9495" w:type="dxa"/>
            <w:gridSpan w:val="5"/>
            <w:tcBorders>
              <w:top w:val="nil"/>
              <w:left w:val="nil"/>
              <w:bottom w:val="single" w:sz="8" w:space="0" w:color="000000"/>
              <w:right w:val="nil"/>
            </w:tcBorders>
            <w:tcMar>
              <w:top w:w="15" w:type="dxa"/>
              <w:left w:w="15" w:type="dxa"/>
              <w:bottom w:w="0" w:type="dxa"/>
              <w:right w:w="15" w:type="dxa"/>
            </w:tcMar>
            <w:vAlign w:val="bottom"/>
          </w:tcPr>
          <w:p w:rsidR="00B202A2" w:rsidRDefault="00295E06">
            <w:pPr>
              <w:jc w:val="center"/>
              <w:rPr>
                <w:rFonts w:ascii="Arial" w:eastAsia="Arial" w:hAnsi="Arial" w:cs="Arial"/>
                <w:b/>
                <w:color w:val="000000"/>
                <w:sz w:val="22"/>
                <w:szCs w:val="22"/>
              </w:rPr>
            </w:pPr>
            <w:r>
              <w:rPr>
                <w:rFonts w:ascii="Arial" w:eastAsia="Arial" w:hAnsi="Arial" w:cs="Arial"/>
                <w:b/>
                <w:color w:val="000000"/>
                <w:sz w:val="22"/>
                <w:szCs w:val="22"/>
              </w:rPr>
              <w:t>ACTIVOS INTANGIBLES CON CORTE AL 30 DE SEPTIEMBRE DE 2020</w:t>
            </w:r>
          </w:p>
        </w:tc>
      </w:tr>
      <w:tr w:rsidR="00B202A2">
        <w:trPr>
          <w:trHeight w:val="615"/>
        </w:trPr>
        <w:tc>
          <w:tcPr>
            <w:tcW w:w="1276" w:type="dxa"/>
            <w:tcBorders>
              <w:top w:val="nil"/>
              <w:left w:val="single" w:sz="8" w:space="0" w:color="000000"/>
              <w:bottom w:val="single" w:sz="8" w:space="0" w:color="000000"/>
              <w:right w:val="single" w:sz="4" w:space="0" w:color="000000"/>
            </w:tcBorders>
            <w:shd w:val="clear" w:color="auto" w:fill="C9DAF8"/>
            <w:tcMar>
              <w:top w:w="15" w:type="dxa"/>
              <w:left w:w="15" w:type="dxa"/>
              <w:bottom w:w="0" w:type="dxa"/>
              <w:right w:w="15" w:type="dxa"/>
            </w:tcMar>
            <w:vAlign w:val="bottom"/>
          </w:tcPr>
          <w:p w:rsidR="00B202A2" w:rsidRDefault="00295E06">
            <w:pPr>
              <w:jc w:val="center"/>
              <w:rPr>
                <w:rFonts w:ascii="Arial" w:eastAsia="Arial" w:hAnsi="Arial" w:cs="Arial"/>
                <w:b/>
                <w:sz w:val="22"/>
                <w:szCs w:val="22"/>
              </w:rPr>
            </w:pPr>
            <w:r>
              <w:rPr>
                <w:rFonts w:ascii="Arial" w:eastAsia="Arial" w:hAnsi="Arial" w:cs="Arial"/>
                <w:b/>
                <w:sz w:val="22"/>
                <w:szCs w:val="22"/>
              </w:rPr>
              <w:t>Cuenta contable</w:t>
            </w:r>
          </w:p>
        </w:tc>
        <w:tc>
          <w:tcPr>
            <w:tcW w:w="2835" w:type="dxa"/>
            <w:tcBorders>
              <w:top w:val="nil"/>
              <w:left w:val="nil"/>
              <w:bottom w:val="single" w:sz="8" w:space="0" w:color="000000"/>
              <w:right w:val="single" w:sz="4" w:space="0" w:color="000000"/>
            </w:tcBorders>
            <w:shd w:val="clear" w:color="auto" w:fill="C9DAF8"/>
            <w:tcMar>
              <w:top w:w="15" w:type="dxa"/>
              <w:left w:w="15" w:type="dxa"/>
              <w:bottom w:w="0" w:type="dxa"/>
              <w:right w:w="15" w:type="dxa"/>
            </w:tcMar>
            <w:vAlign w:val="bottom"/>
          </w:tcPr>
          <w:p w:rsidR="00B202A2" w:rsidRDefault="00295E06">
            <w:pPr>
              <w:jc w:val="center"/>
              <w:rPr>
                <w:rFonts w:ascii="Arial" w:eastAsia="Arial" w:hAnsi="Arial" w:cs="Arial"/>
                <w:b/>
                <w:sz w:val="22"/>
                <w:szCs w:val="22"/>
              </w:rPr>
            </w:pPr>
            <w:r>
              <w:rPr>
                <w:rFonts w:ascii="Arial" w:eastAsia="Arial" w:hAnsi="Arial" w:cs="Arial"/>
                <w:b/>
                <w:sz w:val="22"/>
                <w:szCs w:val="22"/>
              </w:rPr>
              <w:t>Descripcipon cuenta</w:t>
            </w:r>
          </w:p>
        </w:tc>
        <w:tc>
          <w:tcPr>
            <w:tcW w:w="1559" w:type="dxa"/>
            <w:tcBorders>
              <w:top w:val="nil"/>
              <w:left w:val="nil"/>
              <w:bottom w:val="single" w:sz="8" w:space="0" w:color="000000"/>
              <w:right w:val="single" w:sz="4" w:space="0" w:color="000000"/>
            </w:tcBorders>
            <w:shd w:val="clear" w:color="auto" w:fill="C9DAF8"/>
            <w:tcMar>
              <w:top w:w="15" w:type="dxa"/>
              <w:left w:w="15" w:type="dxa"/>
              <w:bottom w:w="0" w:type="dxa"/>
              <w:right w:w="15" w:type="dxa"/>
            </w:tcMar>
            <w:vAlign w:val="bottom"/>
          </w:tcPr>
          <w:p w:rsidR="00B202A2" w:rsidRDefault="00295E06">
            <w:pPr>
              <w:jc w:val="center"/>
              <w:rPr>
                <w:rFonts w:ascii="Arial" w:eastAsia="Arial" w:hAnsi="Arial" w:cs="Arial"/>
                <w:b/>
                <w:sz w:val="22"/>
                <w:szCs w:val="22"/>
              </w:rPr>
            </w:pPr>
            <w:r>
              <w:rPr>
                <w:rFonts w:ascii="Arial" w:eastAsia="Arial" w:hAnsi="Arial" w:cs="Arial"/>
                <w:b/>
                <w:sz w:val="22"/>
                <w:szCs w:val="22"/>
              </w:rPr>
              <w:t>Valor activo</w:t>
            </w:r>
          </w:p>
        </w:tc>
        <w:tc>
          <w:tcPr>
            <w:tcW w:w="1700" w:type="dxa"/>
            <w:tcBorders>
              <w:top w:val="nil"/>
              <w:left w:val="nil"/>
              <w:bottom w:val="single" w:sz="8" w:space="0" w:color="000000"/>
              <w:right w:val="single" w:sz="4" w:space="0" w:color="000000"/>
            </w:tcBorders>
            <w:shd w:val="clear" w:color="auto" w:fill="C9DAF8"/>
            <w:tcMar>
              <w:top w:w="15" w:type="dxa"/>
              <w:left w:w="15" w:type="dxa"/>
              <w:bottom w:w="0" w:type="dxa"/>
              <w:right w:w="15" w:type="dxa"/>
            </w:tcMar>
            <w:vAlign w:val="bottom"/>
          </w:tcPr>
          <w:p w:rsidR="00B202A2" w:rsidRDefault="00295E06">
            <w:pPr>
              <w:jc w:val="center"/>
              <w:rPr>
                <w:rFonts w:ascii="Arial" w:eastAsia="Arial" w:hAnsi="Arial" w:cs="Arial"/>
                <w:b/>
                <w:sz w:val="22"/>
                <w:szCs w:val="22"/>
              </w:rPr>
            </w:pPr>
            <w:r>
              <w:rPr>
                <w:rFonts w:ascii="Arial" w:eastAsia="Arial" w:hAnsi="Arial" w:cs="Arial"/>
                <w:b/>
                <w:sz w:val="22"/>
                <w:szCs w:val="22"/>
              </w:rPr>
              <w:t>Amortización acumulada</w:t>
            </w:r>
          </w:p>
        </w:tc>
        <w:tc>
          <w:tcPr>
            <w:tcW w:w="2125" w:type="dxa"/>
            <w:tcBorders>
              <w:top w:val="nil"/>
              <w:left w:val="nil"/>
              <w:bottom w:val="single" w:sz="8" w:space="0" w:color="000000"/>
              <w:right w:val="single" w:sz="8" w:space="0" w:color="000000"/>
            </w:tcBorders>
            <w:shd w:val="clear" w:color="auto" w:fill="C9DAF8"/>
            <w:tcMar>
              <w:top w:w="15" w:type="dxa"/>
              <w:left w:w="15" w:type="dxa"/>
              <w:bottom w:w="0" w:type="dxa"/>
              <w:right w:w="15" w:type="dxa"/>
            </w:tcMar>
            <w:vAlign w:val="bottom"/>
          </w:tcPr>
          <w:p w:rsidR="00B202A2" w:rsidRDefault="00295E06">
            <w:pPr>
              <w:jc w:val="center"/>
              <w:rPr>
                <w:rFonts w:ascii="Arial" w:eastAsia="Arial" w:hAnsi="Arial" w:cs="Arial"/>
                <w:b/>
                <w:sz w:val="22"/>
                <w:szCs w:val="22"/>
              </w:rPr>
            </w:pPr>
            <w:r>
              <w:rPr>
                <w:rFonts w:ascii="Arial" w:eastAsia="Arial" w:hAnsi="Arial" w:cs="Arial"/>
                <w:b/>
                <w:sz w:val="22"/>
                <w:szCs w:val="22"/>
              </w:rPr>
              <w:t>Saldo Final Intangible</w:t>
            </w:r>
          </w:p>
        </w:tc>
      </w:tr>
      <w:tr w:rsidR="00B202A2">
        <w:trPr>
          <w:trHeight w:val="315"/>
        </w:trPr>
        <w:tc>
          <w:tcPr>
            <w:tcW w:w="1276" w:type="dxa"/>
            <w:tcBorders>
              <w:top w:val="single" w:sz="4" w:space="0" w:color="000000"/>
              <w:left w:val="single" w:sz="8" w:space="0" w:color="000000"/>
              <w:bottom w:val="single" w:sz="8" w:space="0" w:color="000000"/>
              <w:right w:val="single" w:sz="4" w:space="0" w:color="000000"/>
            </w:tcBorders>
            <w:tcMar>
              <w:top w:w="15" w:type="dxa"/>
              <w:left w:w="15" w:type="dxa"/>
              <w:bottom w:w="0" w:type="dxa"/>
              <w:right w:w="15" w:type="dxa"/>
            </w:tcMar>
            <w:vAlign w:val="bottom"/>
          </w:tcPr>
          <w:p w:rsidR="00B202A2" w:rsidRDefault="00295E06">
            <w:pPr>
              <w:rPr>
                <w:rFonts w:ascii="Arial" w:eastAsia="Arial" w:hAnsi="Arial" w:cs="Arial"/>
                <w:color w:val="000000"/>
                <w:sz w:val="22"/>
                <w:szCs w:val="22"/>
              </w:rPr>
            </w:pPr>
            <w:r>
              <w:rPr>
                <w:rFonts w:ascii="Arial" w:eastAsia="Arial" w:hAnsi="Arial" w:cs="Arial"/>
                <w:color w:val="000000"/>
                <w:sz w:val="22"/>
                <w:szCs w:val="22"/>
              </w:rPr>
              <w:lastRenderedPageBreak/>
              <w:t>1.9.70.08</w:t>
            </w:r>
          </w:p>
        </w:tc>
        <w:tc>
          <w:tcPr>
            <w:tcW w:w="2835" w:type="dxa"/>
            <w:tcBorders>
              <w:top w:val="single" w:sz="4" w:space="0" w:color="000000"/>
              <w:left w:val="nil"/>
              <w:bottom w:val="single" w:sz="8" w:space="0" w:color="000000"/>
              <w:right w:val="single" w:sz="4" w:space="0" w:color="000000"/>
            </w:tcBorders>
            <w:tcMar>
              <w:top w:w="15" w:type="dxa"/>
              <w:left w:w="15" w:type="dxa"/>
              <w:bottom w:w="0" w:type="dxa"/>
              <w:right w:w="15" w:type="dxa"/>
            </w:tcMar>
            <w:vAlign w:val="bottom"/>
          </w:tcPr>
          <w:p w:rsidR="00B202A2" w:rsidRDefault="00295E06">
            <w:pPr>
              <w:rPr>
                <w:rFonts w:ascii="Arial" w:eastAsia="Arial" w:hAnsi="Arial" w:cs="Arial"/>
                <w:color w:val="000000"/>
                <w:sz w:val="22"/>
                <w:szCs w:val="22"/>
              </w:rPr>
            </w:pPr>
            <w:r>
              <w:rPr>
                <w:rFonts w:ascii="Arial" w:eastAsia="Arial" w:hAnsi="Arial" w:cs="Arial"/>
                <w:color w:val="000000"/>
                <w:sz w:val="22"/>
                <w:szCs w:val="22"/>
              </w:rPr>
              <w:t>Softwares</w:t>
            </w:r>
          </w:p>
        </w:tc>
        <w:tc>
          <w:tcPr>
            <w:tcW w:w="1559" w:type="dxa"/>
            <w:tcBorders>
              <w:top w:val="single" w:sz="4" w:space="0" w:color="000000"/>
              <w:left w:val="nil"/>
              <w:bottom w:val="single" w:sz="8" w:space="0" w:color="000000"/>
              <w:right w:val="single" w:sz="4" w:space="0" w:color="000000"/>
            </w:tcBorders>
            <w:tcMar>
              <w:top w:w="15" w:type="dxa"/>
              <w:left w:w="15" w:type="dxa"/>
              <w:bottom w:w="0" w:type="dxa"/>
              <w:right w:w="15" w:type="dxa"/>
            </w:tcMar>
            <w:vAlign w:val="bottom"/>
          </w:tcPr>
          <w:p w:rsidR="00B202A2" w:rsidRDefault="00295E06">
            <w:pPr>
              <w:jc w:val="right"/>
              <w:rPr>
                <w:rFonts w:ascii="Arial" w:eastAsia="Arial" w:hAnsi="Arial" w:cs="Arial"/>
                <w:color w:val="000000"/>
                <w:sz w:val="22"/>
                <w:szCs w:val="22"/>
              </w:rPr>
            </w:pPr>
            <w:r>
              <w:rPr>
                <w:rFonts w:ascii="Arial" w:eastAsia="Arial" w:hAnsi="Arial" w:cs="Arial"/>
                <w:color w:val="000000"/>
                <w:sz w:val="22"/>
                <w:szCs w:val="22"/>
              </w:rPr>
              <w:t>8.106.358.785,96</w:t>
            </w:r>
          </w:p>
        </w:tc>
        <w:tc>
          <w:tcPr>
            <w:tcW w:w="1700" w:type="dxa"/>
            <w:tcBorders>
              <w:top w:val="single" w:sz="4" w:space="0" w:color="000000"/>
              <w:left w:val="nil"/>
              <w:bottom w:val="single" w:sz="8" w:space="0" w:color="000000"/>
              <w:right w:val="single" w:sz="4" w:space="0" w:color="000000"/>
            </w:tcBorders>
            <w:tcMar>
              <w:top w:w="15" w:type="dxa"/>
              <w:left w:w="15" w:type="dxa"/>
              <w:bottom w:w="0" w:type="dxa"/>
              <w:right w:w="15" w:type="dxa"/>
            </w:tcMar>
            <w:vAlign w:val="bottom"/>
          </w:tcPr>
          <w:p w:rsidR="00B202A2" w:rsidRDefault="00295E06">
            <w:pPr>
              <w:jc w:val="right"/>
              <w:rPr>
                <w:rFonts w:ascii="Arial" w:eastAsia="Arial" w:hAnsi="Arial" w:cs="Arial"/>
                <w:color w:val="000000"/>
                <w:sz w:val="22"/>
                <w:szCs w:val="22"/>
              </w:rPr>
            </w:pPr>
            <w:r>
              <w:rPr>
                <w:rFonts w:ascii="Arial" w:eastAsia="Arial" w:hAnsi="Arial" w:cs="Arial"/>
                <w:color w:val="000000"/>
                <w:sz w:val="22"/>
                <w:szCs w:val="22"/>
              </w:rPr>
              <w:t>6.530.862.683,90</w:t>
            </w:r>
          </w:p>
        </w:tc>
        <w:tc>
          <w:tcPr>
            <w:tcW w:w="2125" w:type="dxa"/>
            <w:tcBorders>
              <w:top w:val="single" w:sz="4" w:space="0" w:color="000000"/>
              <w:left w:val="nil"/>
              <w:bottom w:val="single" w:sz="8" w:space="0" w:color="000000"/>
              <w:right w:val="single" w:sz="8" w:space="0" w:color="000000"/>
            </w:tcBorders>
            <w:tcMar>
              <w:top w:w="15" w:type="dxa"/>
              <w:left w:w="15" w:type="dxa"/>
              <w:bottom w:w="0" w:type="dxa"/>
              <w:right w:w="15" w:type="dxa"/>
            </w:tcMar>
            <w:vAlign w:val="bottom"/>
          </w:tcPr>
          <w:p w:rsidR="00B202A2" w:rsidRDefault="00295E06">
            <w:pPr>
              <w:jc w:val="right"/>
              <w:rPr>
                <w:rFonts w:ascii="Arial" w:eastAsia="Arial" w:hAnsi="Arial" w:cs="Arial"/>
                <w:color w:val="000000"/>
                <w:sz w:val="22"/>
                <w:szCs w:val="22"/>
              </w:rPr>
            </w:pPr>
            <w:r>
              <w:rPr>
                <w:rFonts w:ascii="Arial" w:eastAsia="Arial" w:hAnsi="Arial" w:cs="Arial"/>
                <w:color w:val="000000"/>
                <w:sz w:val="22"/>
                <w:szCs w:val="22"/>
              </w:rPr>
              <w:t>1.575.496.102,06</w:t>
            </w:r>
          </w:p>
        </w:tc>
      </w:tr>
    </w:tbl>
    <w:p w:rsidR="00B202A2" w:rsidRDefault="00B202A2">
      <w:pPr>
        <w:jc w:val="both"/>
        <w:rPr>
          <w:rFonts w:ascii="Arial" w:eastAsia="Arial" w:hAnsi="Arial" w:cs="Arial"/>
          <w:sz w:val="22"/>
          <w:szCs w:val="22"/>
          <w:u w:val="single"/>
        </w:rPr>
      </w:pPr>
    </w:p>
    <w:p w:rsidR="00B202A2" w:rsidRDefault="00295E06">
      <w:pPr>
        <w:jc w:val="both"/>
        <w:rPr>
          <w:rFonts w:ascii="Arial" w:eastAsia="Arial" w:hAnsi="Arial" w:cs="Arial"/>
          <w:sz w:val="22"/>
          <w:szCs w:val="22"/>
          <w:u w:val="single"/>
        </w:rPr>
      </w:pPr>
      <w:r>
        <w:rPr>
          <w:rFonts w:ascii="Arial" w:eastAsia="Arial" w:hAnsi="Arial" w:cs="Arial"/>
          <w:sz w:val="22"/>
          <w:szCs w:val="22"/>
          <w:u w:val="single"/>
        </w:rPr>
        <w:t>Gestión Documental</w:t>
      </w:r>
    </w:p>
    <w:p w:rsidR="00B202A2" w:rsidRDefault="00B202A2">
      <w:pPr>
        <w:jc w:val="both"/>
        <w:rPr>
          <w:rFonts w:ascii="Arial" w:eastAsia="Arial" w:hAnsi="Arial" w:cs="Arial"/>
          <w:sz w:val="22"/>
          <w:szCs w:val="22"/>
        </w:rPr>
      </w:pPr>
    </w:p>
    <w:p w:rsidR="00B202A2" w:rsidRDefault="00295E06">
      <w:pPr>
        <w:jc w:val="both"/>
        <w:rPr>
          <w:rFonts w:ascii="Arial" w:eastAsia="Arial" w:hAnsi="Arial" w:cs="Arial"/>
          <w:sz w:val="22"/>
          <w:szCs w:val="22"/>
        </w:rPr>
      </w:pPr>
      <w:r>
        <w:rPr>
          <w:rFonts w:ascii="Arial" w:eastAsia="Arial" w:hAnsi="Arial" w:cs="Arial"/>
          <w:sz w:val="22"/>
          <w:szCs w:val="22"/>
        </w:rPr>
        <w:t>La UPME conocedora de la importancia de la gestión documental como herramienta para el adecuado trámite de los documentos en su ciclo vital a partir de su origen en los diferentes grupos de trabajo u oficinas productoras hasta su destino final, permite ase</w:t>
      </w:r>
      <w:r>
        <w:rPr>
          <w:rFonts w:ascii="Arial" w:eastAsia="Arial" w:hAnsi="Arial" w:cs="Arial"/>
          <w:sz w:val="22"/>
          <w:szCs w:val="22"/>
        </w:rPr>
        <w:t>gurar que todos los ciudadanos y los grupos de valor puedan tener acceso a la información, a la consulta de documentos tal y como lo determina la normatividad vigente.</w:t>
      </w:r>
    </w:p>
    <w:p w:rsidR="00B202A2" w:rsidRDefault="00B202A2">
      <w:pPr>
        <w:jc w:val="both"/>
        <w:rPr>
          <w:rFonts w:ascii="Arial" w:eastAsia="Arial" w:hAnsi="Arial" w:cs="Arial"/>
          <w:sz w:val="22"/>
          <w:szCs w:val="22"/>
        </w:rPr>
      </w:pPr>
    </w:p>
    <w:p w:rsidR="00B202A2" w:rsidRDefault="00295E06">
      <w:pPr>
        <w:jc w:val="both"/>
        <w:rPr>
          <w:rFonts w:ascii="Arial" w:eastAsia="Arial" w:hAnsi="Arial" w:cs="Arial"/>
          <w:sz w:val="22"/>
          <w:szCs w:val="22"/>
        </w:rPr>
      </w:pPr>
      <w:r>
        <w:rPr>
          <w:rFonts w:ascii="Arial" w:eastAsia="Arial" w:hAnsi="Arial" w:cs="Arial"/>
          <w:sz w:val="22"/>
          <w:szCs w:val="22"/>
        </w:rPr>
        <w:t>Para tal fin, la UPME cumple con las políticas del gobierno nacional, teniendo en cuent</w:t>
      </w:r>
      <w:r>
        <w:rPr>
          <w:rFonts w:ascii="Arial" w:eastAsia="Arial" w:hAnsi="Arial" w:cs="Arial"/>
          <w:sz w:val="22"/>
          <w:szCs w:val="22"/>
        </w:rPr>
        <w:t>a que se continúa con la dinámica sobre la Política Cero Papel y con la conformación de expedientes virtuales. Al interior de los grupos de trabajo se viene desarrollando una estrategia para el uso de la herramienta del Sistema de Gestión Documental ORFEO,</w:t>
      </w:r>
      <w:r>
        <w:rPr>
          <w:rFonts w:ascii="Arial" w:eastAsia="Arial" w:hAnsi="Arial" w:cs="Arial"/>
          <w:sz w:val="22"/>
          <w:szCs w:val="22"/>
        </w:rPr>
        <w:t xml:space="preserve"> como aliado para el desarrollo de las actividades documentales y actualmente se está encaminando a que todos los documentos administrativos deben ser radicados en la herramienta del sistema, teniendo en cuenta que tanto resoluciones como circulares ya est</w:t>
      </w:r>
      <w:r>
        <w:rPr>
          <w:rFonts w:ascii="Arial" w:eastAsia="Arial" w:hAnsi="Arial" w:cs="Arial"/>
          <w:sz w:val="22"/>
          <w:szCs w:val="22"/>
        </w:rPr>
        <w:t>án en dicho sistema y que próximamente se estará habilitando la radicación de las actas.</w:t>
      </w:r>
    </w:p>
    <w:p w:rsidR="00B202A2" w:rsidRDefault="00B202A2">
      <w:pPr>
        <w:jc w:val="both"/>
        <w:rPr>
          <w:rFonts w:ascii="Arial" w:eastAsia="Arial" w:hAnsi="Arial" w:cs="Arial"/>
          <w:sz w:val="22"/>
          <w:szCs w:val="22"/>
        </w:rPr>
      </w:pPr>
    </w:p>
    <w:p w:rsidR="00B202A2" w:rsidRDefault="00295E06">
      <w:pPr>
        <w:jc w:val="both"/>
        <w:rPr>
          <w:rFonts w:ascii="Arial" w:eastAsia="Arial" w:hAnsi="Arial" w:cs="Arial"/>
          <w:sz w:val="22"/>
          <w:szCs w:val="22"/>
        </w:rPr>
      </w:pPr>
      <w:r>
        <w:rPr>
          <w:rFonts w:ascii="Arial" w:eastAsia="Arial" w:hAnsi="Arial" w:cs="Arial"/>
          <w:sz w:val="22"/>
          <w:szCs w:val="22"/>
        </w:rPr>
        <w:t>Igualmente, se continúa cumpliendo con la programación anual de transferencias documentales, en formato FUID, las cuales complementan el inventario general del archiv</w:t>
      </w:r>
      <w:r>
        <w:rPr>
          <w:rFonts w:ascii="Arial" w:eastAsia="Arial" w:hAnsi="Arial" w:cs="Arial"/>
          <w:sz w:val="22"/>
          <w:szCs w:val="22"/>
        </w:rPr>
        <w:t>o central de la UPME, dejando constancia de toda la documentación que se intervino y el sitio exacto de su ubicación física.  A marzo de 2020 el archivo de la entidad está conformado por 28.689 carpetas, ubicadas en 2.593 cajas que están en custodia y admi</w:t>
      </w:r>
      <w:r>
        <w:rPr>
          <w:rFonts w:ascii="Arial" w:eastAsia="Arial" w:hAnsi="Arial" w:cs="Arial"/>
          <w:sz w:val="22"/>
          <w:szCs w:val="22"/>
        </w:rPr>
        <w:t>nistración en el marco del contrato CI-016-2020, precisando que la preservación de la documentación está contemplada en la digitalización de las series documentales más consultadas, por los grupos de interés.</w:t>
      </w:r>
    </w:p>
    <w:p w:rsidR="00B202A2" w:rsidRDefault="00B202A2">
      <w:pPr>
        <w:jc w:val="both"/>
        <w:rPr>
          <w:rFonts w:ascii="Arial" w:eastAsia="Arial" w:hAnsi="Arial" w:cs="Arial"/>
          <w:sz w:val="22"/>
          <w:szCs w:val="22"/>
        </w:rPr>
      </w:pPr>
    </w:p>
    <w:p w:rsidR="00B202A2" w:rsidRDefault="00295E06">
      <w:pPr>
        <w:jc w:val="both"/>
        <w:rPr>
          <w:rFonts w:ascii="Arial" w:eastAsia="Arial" w:hAnsi="Arial" w:cs="Arial"/>
          <w:sz w:val="22"/>
          <w:szCs w:val="22"/>
        </w:rPr>
      </w:pPr>
      <w:r>
        <w:rPr>
          <w:rFonts w:ascii="Arial" w:eastAsia="Arial" w:hAnsi="Arial" w:cs="Arial"/>
          <w:sz w:val="22"/>
          <w:szCs w:val="22"/>
        </w:rPr>
        <w:t>Por otro lado, las Tablas de Valoración Docume</w:t>
      </w:r>
      <w:r>
        <w:rPr>
          <w:rFonts w:ascii="Arial" w:eastAsia="Arial" w:hAnsi="Arial" w:cs="Arial"/>
          <w:sz w:val="22"/>
          <w:szCs w:val="22"/>
        </w:rPr>
        <w:t>ntal, se encuentra en proceso de convalidación ante el Archivo General de la Nación, a la fecha la UPME cumplió con la totalidad de los ajustes solicitados, está pendiente la sustentación ante el GEDTS y posteriormente la sustentación ante el Comité de Con</w:t>
      </w:r>
      <w:r>
        <w:rPr>
          <w:rFonts w:ascii="Arial" w:eastAsia="Arial" w:hAnsi="Arial" w:cs="Arial"/>
          <w:sz w:val="22"/>
          <w:szCs w:val="22"/>
        </w:rPr>
        <w:t>validación del AGN, actividades que son propias de la agenda de este ente rector.</w:t>
      </w:r>
    </w:p>
    <w:p w:rsidR="00B202A2" w:rsidRDefault="00B202A2">
      <w:pPr>
        <w:jc w:val="both"/>
        <w:rPr>
          <w:rFonts w:ascii="Arial" w:eastAsia="Arial" w:hAnsi="Arial" w:cs="Arial"/>
          <w:sz w:val="22"/>
          <w:szCs w:val="22"/>
          <w:highlight w:val="darkYellow"/>
        </w:rPr>
      </w:pPr>
    </w:p>
    <w:p w:rsidR="00B202A2" w:rsidRDefault="00295E06">
      <w:pPr>
        <w:jc w:val="both"/>
        <w:rPr>
          <w:rFonts w:ascii="Arial" w:eastAsia="Arial" w:hAnsi="Arial" w:cs="Arial"/>
          <w:sz w:val="22"/>
          <w:szCs w:val="22"/>
        </w:rPr>
      </w:pPr>
      <w:r>
        <w:rPr>
          <w:rFonts w:ascii="Arial" w:eastAsia="Arial" w:hAnsi="Arial" w:cs="Arial"/>
          <w:sz w:val="22"/>
          <w:szCs w:val="22"/>
        </w:rPr>
        <w:t>La UPME también está adelantando las acciones que conduzcan a que sus instrumentos archivísticos estén actualizados, por lo que fue necesario suscribir un contrato en el mes</w:t>
      </w:r>
      <w:r>
        <w:rPr>
          <w:rFonts w:ascii="Arial" w:eastAsia="Arial" w:hAnsi="Arial" w:cs="Arial"/>
          <w:sz w:val="22"/>
          <w:szCs w:val="22"/>
        </w:rPr>
        <w:t xml:space="preserve"> de septiembre del 2020 para actualizar las Tablas de Retención Documental, con el fin de ser presentadas para convalidación ante el Archivo General de la Nación, junto con los instrumentos de Cuadro de Clasificación Documental y el Índice de Información C</w:t>
      </w:r>
      <w:r>
        <w:rPr>
          <w:rFonts w:ascii="Arial" w:eastAsia="Arial" w:hAnsi="Arial" w:cs="Arial"/>
          <w:sz w:val="22"/>
          <w:szCs w:val="22"/>
        </w:rPr>
        <w:t>lasificada y Reservada.</w:t>
      </w:r>
    </w:p>
    <w:p w:rsidR="00B202A2" w:rsidRDefault="00B202A2">
      <w:pPr>
        <w:jc w:val="both"/>
        <w:rPr>
          <w:rFonts w:ascii="Arial" w:eastAsia="Arial" w:hAnsi="Arial" w:cs="Arial"/>
          <w:sz w:val="22"/>
          <w:szCs w:val="22"/>
        </w:rPr>
      </w:pPr>
    </w:p>
    <w:p w:rsidR="00B202A2" w:rsidRDefault="00295E06">
      <w:pPr>
        <w:jc w:val="both"/>
        <w:rPr>
          <w:rFonts w:ascii="Arial" w:eastAsia="Arial" w:hAnsi="Arial" w:cs="Arial"/>
          <w:sz w:val="22"/>
          <w:szCs w:val="22"/>
        </w:rPr>
      </w:pPr>
      <w:r>
        <w:rPr>
          <w:rFonts w:ascii="Arial" w:eastAsia="Arial" w:hAnsi="Arial" w:cs="Arial"/>
          <w:sz w:val="22"/>
          <w:szCs w:val="22"/>
        </w:rPr>
        <w:t xml:space="preserve">Igualmente, la UPME continúa con la catalogación de los informes finales, producto de los diferentes contratos suscritos, para ser consultados en el repositorio digital denominado DSPACE, que es una aplicación  especializada en el </w:t>
      </w:r>
      <w:r>
        <w:rPr>
          <w:rFonts w:ascii="Arial" w:eastAsia="Arial" w:hAnsi="Arial" w:cs="Arial"/>
          <w:sz w:val="22"/>
          <w:szCs w:val="22"/>
        </w:rPr>
        <w:t>manejo de información bibliográfica, siendo necesario precisar que el centro de documentación es virtual y por lo tanto puede ser consultado 24/7 desde cualquier lugar del mundo, destacando así que la UPME prestó servicio eficiente y eficaz a todos los gru</w:t>
      </w:r>
      <w:r>
        <w:rPr>
          <w:rFonts w:ascii="Arial" w:eastAsia="Arial" w:hAnsi="Arial" w:cs="Arial"/>
          <w:sz w:val="22"/>
          <w:szCs w:val="22"/>
        </w:rPr>
        <w:t xml:space="preserve">pos de </w:t>
      </w:r>
      <w:r>
        <w:rPr>
          <w:rFonts w:ascii="Arial" w:eastAsia="Arial" w:hAnsi="Arial" w:cs="Arial"/>
          <w:sz w:val="22"/>
          <w:szCs w:val="22"/>
        </w:rPr>
        <w:lastRenderedPageBreak/>
        <w:t>interés que requirieron orientación sobre las formas para consultar  dicho centro de documentación.</w:t>
      </w:r>
    </w:p>
    <w:p w:rsidR="00B202A2" w:rsidRDefault="00B202A2">
      <w:pPr>
        <w:jc w:val="both"/>
        <w:rPr>
          <w:rFonts w:ascii="Arial" w:eastAsia="Arial" w:hAnsi="Arial" w:cs="Arial"/>
          <w:sz w:val="22"/>
          <w:szCs w:val="22"/>
        </w:rPr>
      </w:pPr>
    </w:p>
    <w:p w:rsidR="00B202A2" w:rsidRDefault="00295E06">
      <w:pPr>
        <w:pStyle w:val="Ttulo3"/>
        <w:rPr>
          <w:rFonts w:ascii="Arial" w:eastAsia="Arial" w:hAnsi="Arial" w:cs="Arial"/>
          <w:color w:val="2F5496"/>
          <w:sz w:val="22"/>
          <w:szCs w:val="22"/>
        </w:rPr>
      </w:pPr>
      <w:bookmarkStart w:id="57" w:name="_Toc55494299"/>
      <w:r>
        <w:rPr>
          <w:rFonts w:ascii="Arial" w:eastAsia="Arial" w:hAnsi="Arial" w:cs="Arial"/>
          <w:color w:val="2F5496"/>
          <w:sz w:val="22"/>
          <w:szCs w:val="22"/>
        </w:rPr>
        <w:t>2.7.3. Gestión Financiera</w:t>
      </w:r>
      <w:bookmarkEnd w:id="57"/>
    </w:p>
    <w:sdt>
      <w:sdtPr>
        <w:tag w:val="goog_rdk_4"/>
        <w:id w:val="828792396"/>
      </w:sdtPr>
      <w:sdtEndPr/>
      <w:sdtContent>
        <w:p w:rsidR="00B202A2" w:rsidRDefault="00295E06">
          <w:pPr>
            <w:spacing w:before="240"/>
            <w:jc w:val="both"/>
            <w:rPr>
              <w:rFonts w:ascii="Arial" w:eastAsia="Arial" w:hAnsi="Arial" w:cs="Arial"/>
              <w:b/>
              <w:sz w:val="22"/>
              <w:szCs w:val="22"/>
            </w:rPr>
          </w:pPr>
          <w:r>
            <w:rPr>
              <w:rFonts w:ascii="Arial" w:eastAsia="Arial" w:hAnsi="Arial" w:cs="Arial"/>
              <w:b/>
              <w:sz w:val="22"/>
              <w:szCs w:val="22"/>
            </w:rPr>
            <w:t>Presupuesto – Ejecución presupuestal 2019</w:t>
          </w:r>
        </w:p>
      </w:sdtContent>
    </w:sdt>
    <w:p w:rsidR="00B202A2" w:rsidRDefault="00295E06">
      <w:pPr>
        <w:spacing w:before="240"/>
        <w:jc w:val="both"/>
        <w:rPr>
          <w:rFonts w:ascii="Arial" w:eastAsia="Arial" w:hAnsi="Arial" w:cs="Arial"/>
          <w:sz w:val="22"/>
          <w:szCs w:val="22"/>
        </w:rPr>
      </w:pPr>
      <w:r>
        <w:rPr>
          <w:rFonts w:ascii="Arial" w:eastAsia="Arial" w:hAnsi="Arial" w:cs="Arial"/>
          <w:sz w:val="22"/>
          <w:szCs w:val="22"/>
        </w:rPr>
        <w:t>Los recursos de la UPME están catalogados como Ingresos Corrientes - Recursos Propios, y de acuerdo con lo previsto en el artículo 13 de la citada Ley 143 de 1994, en consonancia con el artículo 18 del Decreto 1258 de 2013  y el artículo 153 de la Ley 1753</w:t>
      </w:r>
      <w:r>
        <w:rPr>
          <w:rFonts w:ascii="Arial" w:eastAsia="Arial" w:hAnsi="Arial" w:cs="Arial"/>
          <w:sz w:val="22"/>
          <w:szCs w:val="22"/>
        </w:rPr>
        <w:t xml:space="preserve"> de 2015 , el presupuesto de la vigencia 2019 se financió fundamentalmente con aportes provenientes de las siguientes entidades; Interconexión Eléctrica S.A. - ISA S.A., ECOPETROL, Ministerio de Minas y Energía (aportes que se recibían anteriormente de la </w:t>
      </w:r>
      <w:r>
        <w:rPr>
          <w:rFonts w:ascii="Arial" w:eastAsia="Arial" w:hAnsi="Arial" w:cs="Arial"/>
          <w:sz w:val="22"/>
          <w:szCs w:val="22"/>
        </w:rPr>
        <w:t xml:space="preserve"> Financiera de Desarrollo Nacional – FDN) y Agencia Nacional de Minería - ANM.</w:t>
      </w:r>
    </w:p>
    <w:p w:rsidR="00B202A2" w:rsidRDefault="00295E06">
      <w:pPr>
        <w:spacing w:before="240"/>
        <w:jc w:val="both"/>
        <w:rPr>
          <w:rFonts w:ascii="Arial" w:eastAsia="Arial" w:hAnsi="Arial" w:cs="Arial"/>
          <w:sz w:val="22"/>
          <w:szCs w:val="22"/>
        </w:rPr>
      </w:pPr>
      <w:r>
        <w:rPr>
          <w:rFonts w:ascii="Arial" w:eastAsia="Arial" w:hAnsi="Arial" w:cs="Arial"/>
          <w:sz w:val="22"/>
          <w:szCs w:val="22"/>
        </w:rPr>
        <w:t>Para la vigencia 2019, de acuerdo con la Ley 1940 de 26 de noviembre de 2018 y el Decreto de Liquidación 2467 de 28 de diciembre de 2018, la UPME tuvo una apropiación presupuest</w:t>
      </w:r>
      <w:r>
        <w:rPr>
          <w:rFonts w:ascii="Arial" w:eastAsia="Arial" w:hAnsi="Arial" w:cs="Arial"/>
          <w:sz w:val="22"/>
          <w:szCs w:val="22"/>
        </w:rPr>
        <w:t>al inicial aprobada y vigente de $36.171,1 millones de pesos al cierre de periodo, distribuidos de la siguiente manera:</w:t>
      </w:r>
    </w:p>
    <w:p w:rsidR="00B202A2" w:rsidRDefault="00B202A2">
      <w:pPr>
        <w:spacing w:before="240"/>
        <w:jc w:val="both"/>
        <w:rPr>
          <w:rFonts w:ascii="Arial" w:eastAsia="Arial" w:hAnsi="Arial" w:cs="Arial"/>
          <w:sz w:val="22"/>
          <w:szCs w:val="22"/>
        </w:rPr>
      </w:pPr>
    </w:p>
    <w:p w:rsidR="00B202A2" w:rsidRDefault="00295E06">
      <w:pPr>
        <w:jc w:val="center"/>
        <w:rPr>
          <w:rFonts w:ascii="Arial" w:eastAsia="Arial" w:hAnsi="Arial" w:cs="Arial"/>
          <w:b/>
          <w:sz w:val="22"/>
          <w:szCs w:val="22"/>
          <w:u w:val="single"/>
        </w:rPr>
      </w:pPr>
      <w:r>
        <w:rPr>
          <w:rFonts w:ascii="Arial" w:eastAsia="Arial" w:hAnsi="Arial" w:cs="Arial"/>
          <w:b/>
          <w:sz w:val="22"/>
          <w:szCs w:val="22"/>
          <w:highlight w:val="white"/>
          <w:u w:val="single"/>
        </w:rPr>
        <w:t xml:space="preserve">Tabla 9. </w:t>
      </w:r>
      <w:r>
        <w:rPr>
          <w:rFonts w:ascii="Arial" w:eastAsia="Arial" w:hAnsi="Arial" w:cs="Arial"/>
          <w:b/>
          <w:sz w:val="22"/>
          <w:szCs w:val="22"/>
          <w:u w:val="single"/>
        </w:rPr>
        <w:t xml:space="preserve">Presupuesto </w:t>
      </w:r>
    </w:p>
    <w:p w:rsidR="00B202A2" w:rsidRDefault="00B202A2">
      <w:pPr>
        <w:rPr>
          <w:rFonts w:ascii="Arial" w:eastAsia="Arial" w:hAnsi="Arial" w:cs="Arial"/>
          <w:sz w:val="22"/>
          <w:szCs w:val="22"/>
          <w:u w:val="single"/>
        </w:rPr>
      </w:pPr>
    </w:p>
    <w:tbl>
      <w:tblPr>
        <w:tblStyle w:val="aff8"/>
        <w:tblW w:w="855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0"/>
        <w:gridCol w:w="2940"/>
        <w:gridCol w:w="2610"/>
      </w:tblGrid>
      <w:tr w:rsidR="00B202A2">
        <w:trPr>
          <w:trHeight w:val="360"/>
        </w:trPr>
        <w:tc>
          <w:tcPr>
            <w:tcW w:w="3000" w:type="dxa"/>
            <w:tcBorders>
              <w:top w:val="single" w:sz="8" w:space="0" w:color="000000"/>
              <w:left w:val="single" w:sz="8" w:space="0" w:color="000000"/>
              <w:bottom w:val="single" w:sz="8" w:space="0" w:color="000000"/>
            </w:tcBorders>
            <w:shd w:val="clear" w:color="auto" w:fill="CFE2F3"/>
            <w:tcMar>
              <w:top w:w="100" w:type="dxa"/>
              <w:left w:w="100" w:type="dxa"/>
              <w:bottom w:w="100" w:type="dxa"/>
              <w:right w:w="100" w:type="dxa"/>
            </w:tcMar>
            <w:vAlign w:val="center"/>
          </w:tcPr>
          <w:p w:rsidR="00B202A2" w:rsidRDefault="00295E06">
            <w:pPr>
              <w:spacing w:before="240"/>
              <w:jc w:val="center"/>
              <w:rPr>
                <w:rFonts w:ascii="Arial" w:eastAsia="Arial" w:hAnsi="Arial" w:cs="Arial"/>
                <w:b/>
                <w:sz w:val="22"/>
                <w:szCs w:val="22"/>
              </w:rPr>
            </w:pPr>
            <w:r>
              <w:rPr>
                <w:rFonts w:ascii="Arial" w:eastAsia="Arial" w:hAnsi="Arial" w:cs="Arial"/>
                <w:b/>
                <w:sz w:val="22"/>
                <w:szCs w:val="22"/>
              </w:rPr>
              <w:t>Descripción</w:t>
            </w:r>
          </w:p>
        </w:tc>
        <w:tc>
          <w:tcPr>
            <w:tcW w:w="2940" w:type="dxa"/>
            <w:tcBorders>
              <w:top w:val="single" w:sz="8" w:space="0" w:color="000000"/>
              <w:bottom w:val="single" w:sz="8" w:space="0" w:color="000000"/>
            </w:tcBorders>
            <w:shd w:val="clear" w:color="auto" w:fill="CFE2F3"/>
            <w:tcMar>
              <w:top w:w="100" w:type="dxa"/>
              <w:left w:w="100" w:type="dxa"/>
              <w:bottom w:w="100" w:type="dxa"/>
              <w:right w:w="100" w:type="dxa"/>
            </w:tcMar>
            <w:vAlign w:val="center"/>
          </w:tcPr>
          <w:p w:rsidR="00B202A2" w:rsidRDefault="00295E06">
            <w:pPr>
              <w:spacing w:before="240"/>
              <w:jc w:val="center"/>
              <w:rPr>
                <w:rFonts w:ascii="Arial" w:eastAsia="Arial" w:hAnsi="Arial" w:cs="Arial"/>
                <w:b/>
                <w:sz w:val="22"/>
                <w:szCs w:val="22"/>
              </w:rPr>
            </w:pPr>
            <w:r>
              <w:rPr>
                <w:rFonts w:ascii="Arial" w:eastAsia="Arial" w:hAnsi="Arial" w:cs="Arial"/>
                <w:b/>
                <w:sz w:val="22"/>
                <w:szCs w:val="22"/>
              </w:rPr>
              <w:t>Apr.Vigente  (Millones)</w:t>
            </w:r>
          </w:p>
        </w:tc>
        <w:tc>
          <w:tcPr>
            <w:tcW w:w="2610" w:type="dxa"/>
            <w:tcBorders>
              <w:top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B202A2" w:rsidRDefault="00295E06">
            <w:pPr>
              <w:spacing w:before="240"/>
              <w:jc w:val="center"/>
              <w:rPr>
                <w:rFonts w:ascii="Arial" w:eastAsia="Arial" w:hAnsi="Arial" w:cs="Arial"/>
                <w:b/>
                <w:sz w:val="22"/>
                <w:szCs w:val="22"/>
              </w:rPr>
            </w:pPr>
            <w:r>
              <w:rPr>
                <w:rFonts w:ascii="Arial" w:eastAsia="Arial" w:hAnsi="Arial" w:cs="Arial"/>
                <w:b/>
                <w:sz w:val="22"/>
                <w:szCs w:val="22"/>
              </w:rPr>
              <w:t>%</w:t>
            </w:r>
          </w:p>
        </w:tc>
      </w:tr>
      <w:tr w:rsidR="00B202A2">
        <w:trPr>
          <w:trHeight w:val="500"/>
        </w:trPr>
        <w:tc>
          <w:tcPr>
            <w:tcW w:w="3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jc w:val="both"/>
              <w:rPr>
                <w:rFonts w:ascii="Arial" w:eastAsia="Arial" w:hAnsi="Arial" w:cs="Arial"/>
                <w:b/>
                <w:sz w:val="22"/>
                <w:szCs w:val="22"/>
              </w:rPr>
            </w:pPr>
            <w:r>
              <w:rPr>
                <w:rFonts w:ascii="Arial" w:eastAsia="Arial" w:hAnsi="Arial" w:cs="Arial"/>
                <w:b/>
                <w:sz w:val="22"/>
                <w:szCs w:val="22"/>
              </w:rPr>
              <w:t>Funcionamiento</w:t>
            </w:r>
          </w:p>
        </w:tc>
        <w:tc>
          <w:tcPr>
            <w:tcW w:w="2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$15.701,2</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43%</w:t>
            </w:r>
          </w:p>
        </w:tc>
      </w:tr>
      <w:tr w:rsidR="00B202A2">
        <w:trPr>
          <w:trHeight w:val="500"/>
        </w:trPr>
        <w:tc>
          <w:tcPr>
            <w:tcW w:w="3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jc w:val="both"/>
              <w:rPr>
                <w:rFonts w:ascii="Arial" w:eastAsia="Arial" w:hAnsi="Arial" w:cs="Arial"/>
                <w:b/>
                <w:sz w:val="22"/>
                <w:szCs w:val="22"/>
              </w:rPr>
            </w:pPr>
            <w:r>
              <w:rPr>
                <w:rFonts w:ascii="Arial" w:eastAsia="Arial" w:hAnsi="Arial" w:cs="Arial"/>
                <w:b/>
                <w:sz w:val="22"/>
                <w:szCs w:val="22"/>
              </w:rPr>
              <w:t>Inversión</w:t>
            </w:r>
          </w:p>
        </w:tc>
        <w:tc>
          <w:tcPr>
            <w:tcW w:w="2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$20.469,9</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57%</w:t>
            </w:r>
          </w:p>
        </w:tc>
      </w:tr>
      <w:tr w:rsidR="00B202A2">
        <w:trPr>
          <w:trHeight w:val="500"/>
        </w:trPr>
        <w:tc>
          <w:tcPr>
            <w:tcW w:w="3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jc w:val="both"/>
              <w:rPr>
                <w:rFonts w:ascii="Arial" w:eastAsia="Arial" w:hAnsi="Arial" w:cs="Arial"/>
                <w:sz w:val="22"/>
                <w:szCs w:val="22"/>
              </w:rPr>
            </w:pPr>
            <w:r>
              <w:rPr>
                <w:rFonts w:ascii="Arial" w:eastAsia="Arial" w:hAnsi="Arial" w:cs="Arial"/>
                <w:sz w:val="22"/>
                <w:szCs w:val="22"/>
              </w:rPr>
              <w:t>Total</w:t>
            </w:r>
          </w:p>
        </w:tc>
        <w:tc>
          <w:tcPr>
            <w:tcW w:w="2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$36.171,1</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 xml:space="preserve"> </w:t>
            </w:r>
          </w:p>
        </w:tc>
      </w:tr>
    </w:tbl>
    <w:p w:rsidR="00B202A2" w:rsidRDefault="00295E06">
      <w:pPr>
        <w:spacing w:before="240"/>
        <w:jc w:val="both"/>
        <w:rPr>
          <w:rFonts w:ascii="Arial" w:eastAsia="Arial" w:hAnsi="Arial" w:cs="Arial"/>
          <w:sz w:val="22"/>
          <w:szCs w:val="22"/>
        </w:rPr>
      </w:pPr>
      <w:r>
        <w:rPr>
          <w:rFonts w:ascii="Arial" w:eastAsia="Arial" w:hAnsi="Arial" w:cs="Arial"/>
          <w:sz w:val="22"/>
          <w:szCs w:val="22"/>
        </w:rPr>
        <w:t>Tal y como se observa, del total del presupuesto para la vigencia el 43% corresponde a gastos de funcionamiento y el 57% está dirigido a la inversión, a continuación se detalla la composición del presupuesto de la UPME:</w:t>
      </w:r>
    </w:p>
    <w:p w:rsidR="00B202A2" w:rsidRDefault="00B202A2">
      <w:pPr>
        <w:spacing w:before="240"/>
        <w:jc w:val="both"/>
        <w:rPr>
          <w:rFonts w:ascii="Arial" w:eastAsia="Arial" w:hAnsi="Arial" w:cs="Arial"/>
          <w:b/>
          <w:sz w:val="22"/>
          <w:szCs w:val="22"/>
        </w:rPr>
      </w:pPr>
    </w:p>
    <w:p w:rsidR="00B202A2" w:rsidRDefault="00295E06">
      <w:pPr>
        <w:jc w:val="center"/>
        <w:rPr>
          <w:rFonts w:ascii="Arial" w:eastAsia="Arial" w:hAnsi="Arial" w:cs="Arial"/>
          <w:b/>
          <w:sz w:val="22"/>
          <w:szCs w:val="22"/>
          <w:u w:val="single"/>
        </w:rPr>
      </w:pPr>
      <w:r>
        <w:rPr>
          <w:rFonts w:ascii="Arial" w:eastAsia="Arial" w:hAnsi="Arial" w:cs="Arial"/>
          <w:b/>
          <w:sz w:val="22"/>
          <w:szCs w:val="22"/>
          <w:highlight w:val="white"/>
          <w:u w:val="single"/>
        </w:rPr>
        <w:t>Tabla 9.</w:t>
      </w:r>
      <w:r>
        <w:rPr>
          <w:rFonts w:ascii="Arial" w:eastAsia="Arial" w:hAnsi="Arial" w:cs="Arial"/>
          <w:b/>
          <w:sz w:val="22"/>
          <w:szCs w:val="22"/>
          <w:u w:val="single"/>
        </w:rPr>
        <w:t xml:space="preserve"> Detalle de Presupuesto (a</w:t>
      </w:r>
      <w:r>
        <w:rPr>
          <w:rFonts w:ascii="Arial" w:eastAsia="Arial" w:hAnsi="Arial" w:cs="Arial"/>
          <w:b/>
          <w:sz w:val="22"/>
          <w:szCs w:val="22"/>
          <w:u w:val="single"/>
        </w:rPr>
        <w:t xml:space="preserve">propiación actual) </w:t>
      </w:r>
    </w:p>
    <w:p w:rsidR="00B202A2" w:rsidRDefault="00B202A2">
      <w:pPr>
        <w:spacing w:before="240"/>
        <w:jc w:val="both"/>
        <w:rPr>
          <w:rFonts w:ascii="Arial" w:eastAsia="Arial" w:hAnsi="Arial" w:cs="Arial"/>
          <w:b/>
          <w:sz w:val="22"/>
          <w:szCs w:val="22"/>
        </w:rPr>
      </w:pPr>
    </w:p>
    <w:tbl>
      <w:tblPr>
        <w:tblStyle w:val="aff9"/>
        <w:tblW w:w="86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50"/>
        <w:gridCol w:w="4890"/>
      </w:tblGrid>
      <w:tr w:rsidR="00B202A2">
        <w:trPr>
          <w:trHeight w:val="522"/>
        </w:trPr>
        <w:tc>
          <w:tcPr>
            <w:tcW w:w="375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B202A2" w:rsidRDefault="00295E06">
            <w:pPr>
              <w:spacing w:before="240"/>
              <w:jc w:val="center"/>
            </w:pPr>
            <w:r>
              <w:rPr>
                <w:rFonts w:ascii="Arial" w:eastAsia="Arial" w:hAnsi="Arial" w:cs="Arial"/>
                <w:b/>
                <w:sz w:val="22"/>
                <w:szCs w:val="22"/>
              </w:rPr>
              <w:t>Descripción</w:t>
            </w:r>
          </w:p>
        </w:tc>
        <w:tc>
          <w:tcPr>
            <w:tcW w:w="489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B202A2" w:rsidRDefault="00295E06">
            <w:pPr>
              <w:spacing w:before="240"/>
              <w:jc w:val="center"/>
              <w:rPr>
                <w:rFonts w:ascii="Arial" w:eastAsia="Arial" w:hAnsi="Arial" w:cs="Arial"/>
                <w:b/>
                <w:sz w:val="22"/>
                <w:szCs w:val="22"/>
              </w:rPr>
            </w:pPr>
            <w:r>
              <w:rPr>
                <w:rFonts w:ascii="Arial" w:eastAsia="Arial" w:hAnsi="Arial" w:cs="Arial"/>
                <w:b/>
                <w:sz w:val="22"/>
                <w:szCs w:val="22"/>
              </w:rPr>
              <w:t>Apr.Vigente (Millones)</w:t>
            </w:r>
          </w:p>
        </w:tc>
      </w:tr>
      <w:tr w:rsidR="00B202A2">
        <w:trPr>
          <w:trHeight w:val="440"/>
        </w:trPr>
        <w:tc>
          <w:tcPr>
            <w:tcW w:w="3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202A2" w:rsidRDefault="00295E06">
            <w:pPr>
              <w:jc w:val="both"/>
              <w:rPr>
                <w:rFonts w:ascii="Arial" w:eastAsia="Arial" w:hAnsi="Arial" w:cs="Arial"/>
                <w:sz w:val="22"/>
                <w:szCs w:val="22"/>
              </w:rPr>
            </w:pPr>
            <w:r>
              <w:rPr>
                <w:rFonts w:ascii="Arial" w:eastAsia="Arial" w:hAnsi="Arial" w:cs="Arial"/>
                <w:sz w:val="22"/>
                <w:szCs w:val="22"/>
              </w:rPr>
              <w:t>Gastos de Personal</w:t>
            </w:r>
          </w:p>
        </w:tc>
        <w:tc>
          <w:tcPr>
            <w:tcW w:w="4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202A2" w:rsidRDefault="00295E06">
            <w:pPr>
              <w:jc w:val="center"/>
              <w:rPr>
                <w:rFonts w:ascii="Arial" w:eastAsia="Arial" w:hAnsi="Arial" w:cs="Arial"/>
                <w:sz w:val="22"/>
                <w:szCs w:val="22"/>
              </w:rPr>
            </w:pPr>
            <w:r>
              <w:rPr>
                <w:rFonts w:ascii="Arial" w:eastAsia="Arial" w:hAnsi="Arial" w:cs="Arial"/>
                <w:sz w:val="22"/>
                <w:szCs w:val="22"/>
              </w:rPr>
              <w:t>$13.338,1</w:t>
            </w:r>
          </w:p>
        </w:tc>
      </w:tr>
      <w:tr w:rsidR="00B202A2">
        <w:trPr>
          <w:trHeight w:val="440"/>
        </w:trPr>
        <w:tc>
          <w:tcPr>
            <w:tcW w:w="3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202A2" w:rsidRDefault="00295E06">
            <w:pPr>
              <w:jc w:val="both"/>
              <w:rPr>
                <w:rFonts w:ascii="Arial" w:eastAsia="Arial" w:hAnsi="Arial" w:cs="Arial"/>
                <w:sz w:val="22"/>
                <w:szCs w:val="22"/>
              </w:rPr>
            </w:pPr>
            <w:r>
              <w:rPr>
                <w:rFonts w:ascii="Arial" w:eastAsia="Arial" w:hAnsi="Arial" w:cs="Arial"/>
                <w:sz w:val="22"/>
                <w:szCs w:val="22"/>
              </w:rPr>
              <w:lastRenderedPageBreak/>
              <w:t>Adquisición de Bienes y Servicios</w:t>
            </w:r>
          </w:p>
        </w:tc>
        <w:tc>
          <w:tcPr>
            <w:tcW w:w="4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202A2" w:rsidRDefault="00295E06">
            <w:pPr>
              <w:jc w:val="center"/>
              <w:rPr>
                <w:rFonts w:ascii="Arial" w:eastAsia="Arial" w:hAnsi="Arial" w:cs="Arial"/>
                <w:sz w:val="22"/>
                <w:szCs w:val="22"/>
              </w:rPr>
            </w:pPr>
            <w:r>
              <w:rPr>
                <w:rFonts w:ascii="Arial" w:eastAsia="Arial" w:hAnsi="Arial" w:cs="Arial"/>
                <w:sz w:val="22"/>
                <w:szCs w:val="22"/>
              </w:rPr>
              <w:t>$1.744,6</w:t>
            </w:r>
          </w:p>
        </w:tc>
      </w:tr>
      <w:tr w:rsidR="00B202A2">
        <w:trPr>
          <w:trHeight w:val="440"/>
        </w:trPr>
        <w:tc>
          <w:tcPr>
            <w:tcW w:w="3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202A2" w:rsidRDefault="00295E06">
            <w:pPr>
              <w:jc w:val="both"/>
              <w:rPr>
                <w:rFonts w:ascii="Arial" w:eastAsia="Arial" w:hAnsi="Arial" w:cs="Arial"/>
                <w:sz w:val="22"/>
                <w:szCs w:val="22"/>
              </w:rPr>
            </w:pPr>
            <w:r>
              <w:rPr>
                <w:rFonts w:ascii="Arial" w:eastAsia="Arial" w:hAnsi="Arial" w:cs="Arial"/>
                <w:sz w:val="22"/>
                <w:szCs w:val="22"/>
              </w:rPr>
              <w:t>Transferencias Corrientes</w:t>
            </w:r>
          </w:p>
        </w:tc>
        <w:tc>
          <w:tcPr>
            <w:tcW w:w="4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202A2" w:rsidRDefault="00295E06">
            <w:pPr>
              <w:jc w:val="center"/>
              <w:rPr>
                <w:rFonts w:ascii="Arial" w:eastAsia="Arial" w:hAnsi="Arial" w:cs="Arial"/>
                <w:sz w:val="22"/>
                <w:szCs w:val="22"/>
              </w:rPr>
            </w:pPr>
            <w:r>
              <w:rPr>
                <w:rFonts w:ascii="Arial" w:eastAsia="Arial" w:hAnsi="Arial" w:cs="Arial"/>
                <w:sz w:val="22"/>
                <w:szCs w:val="22"/>
              </w:rPr>
              <w:t>$468,2</w:t>
            </w:r>
          </w:p>
        </w:tc>
      </w:tr>
      <w:tr w:rsidR="00B202A2">
        <w:trPr>
          <w:trHeight w:val="440"/>
        </w:trPr>
        <w:tc>
          <w:tcPr>
            <w:tcW w:w="3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202A2" w:rsidRDefault="00295E06">
            <w:pPr>
              <w:jc w:val="both"/>
              <w:rPr>
                <w:rFonts w:ascii="Arial" w:eastAsia="Arial" w:hAnsi="Arial" w:cs="Arial"/>
                <w:sz w:val="22"/>
                <w:szCs w:val="22"/>
              </w:rPr>
            </w:pPr>
            <w:r>
              <w:rPr>
                <w:rFonts w:ascii="Arial" w:eastAsia="Arial" w:hAnsi="Arial" w:cs="Arial"/>
                <w:sz w:val="22"/>
                <w:szCs w:val="22"/>
              </w:rPr>
              <w:t>Gastos por Tributos</w:t>
            </w:r>
          </w:p>
        </w:tc>
        <w:tc>
          <w:tcPr>
            <w:tcW w:w="4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202A2" w:rsidRDefault="00295E06">
            <w:pPr>
              <w:jc w:val="center"/>
              <w:rPr>
                <w:rFonts w:ascii="Arial" w:eastAsia="Arial" w:hAnsi="Arial" w:cs="Arial"/>
                <w:sz w:val="22"/>
                <w:szCs w:val="22"/>
              </w:rPr>
            </w:pPr>
            <w:r>
              <w:rPr>
                <w:rFonts w:ascii="Arial" w:eastAsia="Arial" w:hAnsi="Arial" w:cs="Arial"/>
                <w:sz w:val="22"/>
                <w:szCs w:val="22"/>
              </w:rPr>
              <w:t>$150,3</w:t>
            </w:r>
          </w:p>
        </w:tc>
      </w:tr>
      <w:tr w:rsidR="00B202A2">
        <w:trPr>
          <w:trHeight w:val="440"/>
        </w:trPr>
        <w:tc>
          <w:tcPr>
            <w:tcW w:w="3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202A2" w:rsidRDefault="00295E06">
            <w:pPr>
              <w:jc w:val="both"/>
              <w:rPr>
                <w:rFonts w:ascii="Arial" w:eastAsia="Arial" w:hAnsi="Arial" w:cs="Arial"/>
                <w:b/>
                <w:sz w:val="22"/>
                <w:szCs w:val="22"/>
              </w:rPr>
            </w:pPr>
            <w:r>
              <w:rPr>
                <w:rFonts w:ascii="Arial" w:eastAsia="Arial" w:hAnsi="Arial" w:cs="Arial"/>
                <w:b/>
                <w:sz w:val="22"/>
                <w:szCs w:val="22"/>
              </w:rPr>
              <w:t>Funcionamiento</w:t>
            </w:r>
          </w:p>
        </w:tc>
        <w:tc>
          <w:tcPr>
            <w:tcW w:w="4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202A2" w:rsidRDefault="00295E06">
            <w:pPr>
              <w:jc w:val="center"/>
              <w:rPr>
                <w:rFonts w:ascii="Arial" w:eastAsia="Arial" w:hAnsi="Arial" w:cs="Arial"/>
                <w:b/>
                <w:sz w:val="22"/>
                <w:szCs w:val="22"/>
              </w:rPr>
            </w:pPr>
            <w:r>
              <w:rPr>
                <w:rFonts w:ascii="Arial" w:eastAsia="Arial" w:hAnsi="Arial" w:cs="Arial"/>
                <w:b/>
                <w:sz w:val="22"/>
                <w:szCs w:val="22"/>
              </w:rPr>
              <w:t>$15.701,2</w:t>
            </w:r>
          </w:p>
        </w:tc>
      </w:tr>
      <w:tr w:rsidR="00B202A2">
        <w:trPr>
          <w:trHeight w:val="440"/>
        </w:trPr>
        <w:tc>
          <w:tcPr>
            <w:tcW w:w="3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202A2" w:rsidRDefault="00295E06">
            <w:pPr>
              <w:jc w:val="both"/>
              <w:rPr>
                <w:rFonts w:ascii="Arial" w:eastAsia="Arial" w:hAnsi="Arial" w:cs="Arial"/>
                <w:b/>
                <w:sz w:val="22"/>
                <w:szCs w:val="22"/>
              </w:rPr>
            </w:pPr>
            <w:r>
              <w:rPr>
                <w:rFonts w:ascii="Arial" w:eastAsia="Arial" w:hAnsi="Arial" w:cs="Arial"/>
                <w:b/>
                <w:sz w:val="22"/>
                <w:szCs w:val="22"/>
              </w:rPr>
              <w:t>Inversión</w:t>
            </w:r>
          </w:p>
        </w:tc>
        <w:tc>
          <w:tcPr>
            <w:tcW w:w="4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202A2" w:rsidRDefault="00295E06">
            <w:pPr>
              <w:jc w:val="center"/>
              <w:rPr>
                <w:rFonts w:ascii="Arial" w:eastAsia="Arial" w:hAnsi="Arial" w:cs="Arial"/>
                <w:b/>
                <w:sz w:val="22"/>
                <w:szCs w:val="22"/>
              </w:rPr>
            </w:pPr>
            <w:r>
              <w:rPr>
                <w:rFonts w:ascii="Arial" w:eastAsia="Arial" w:hAnsi="Arial" w:cs="Arial"/>
                <w:b/>
                <w:sz w:val="22"/>
                <w:szCs w:val="22"/>
              </w:rPr>
              <w:t>$20.469,9</w:t>
            </w:r>
          </w:p>
        </w:tc>
      </w:tr>
      <w:tr w:rsidR="00B202A2">
        <w:trPr>
          <w:trHeight w:val="555"/>
        </w:trPr>
        <w:tc>
          <w:tcPr>
            <w:tcW w:w="37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202A2" w:rsidRDefault="00295E06">
            <w:pPr>
              <w:jc w:val="both"/>
              <w:rPr>
                <w:rFonts w:ascii="Arial" w:eastAsia="Arial" w:hAnsi="Arial" w:cs="Arial"/>
                <w:b/>
                <w:sz w:val="22"/>
                <w:szCs w:val="22"/>
              </w:rPr>
            </w:pPr>
            <w:r>
              <w:rPr>
                <w:rFonts w:ascii="Arial" w:eastAsia="Arial" w:hAnsi="Arial" w:cs="Arial"/>
                <w:b/>
                <w:sz w:val="22"/>
                <w:szCs w:val="22"/>
              </w:rPr>
              <w:t>Total</w:t>
            </w:r>
          </w:p>
        </w:tc>
        <w:tc>
          <w:tcPr>
            <w:tcW w:w="4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202A2" w:rsidRDefault="00295E06">
            <w:pPr>
              <w:jc w:val="center"/>
              <w:rPr>
                <w:rFonts w:ascii="Arial" w:eastAsia="Arial" w:hAnsi="Arial" w:cs="Arial"/>
                <w:b/>
                <w:sz w:val="22"/>
                <w:szCs w:val="22"/>
              </w:rPr>
            </w:pPr>
            <w:r>
              <w:rPr>
                <w:rFonts w:ascii="Arial" w:eastAsia="Arial" w:hAnsi="Arial" w:cs="Arial"/>
                <w:b/>
                <w:sz w:val="22"/>
                <w:szCs w:val="22"/>
              </w:rPr>
              <w:t xml:space="preserve">$36.171,1 </w:t>
            </w:r>
          </w:p>
        </w:tc>
      </w:tr>
    </w:tbl>
    <w:p w:rsidR="00B202A2" w:rsidRDefault="00B202A2">
      <w:pPr>
        <w:rPr>
          <w:rFonts w:ascii="Arial" w:eastAsia="Arial" w:hAnsi="Arial" w:cs="Arial"/>
          <w:sz w:val="22"/>
          <w:szCs w:val="22"/>
        </w:rPr>
      </w:pPr>
    </w:p>
    <w:p w:rsidR="00B202A2" w:rsidRDefault="00295E06">
      <w:pPr>
        <w:rPr>
          <w:rFonts w:ascii="Arial" w:eastAsia="Arial" w:hAnsi="Arial" w:cs="Arial"/>
          <w:b/>
          <w:sz w:val="22"/>
          <w:szCs w:val="22"/>
        </w:rPr>
      </w:pPr>
      <w:r>
        <w:rPr>
          <w:rFonts w:ascii="Arial" w:eastAsia="Arial" w:hAnsi="Arial" w:cs="Arial"/>
          <w:sz w:val="22"/>
          <w:szCs w:val="22"/>
        </w:rPr>
        <w:t>*La apropiación de Gastos de Personal incluye un monto de $324.4 millones de pesos que se encontraba con Previo Concepto DGPP y en estado bloqueado.</w:t>
      </w:r>
    </w:p>
    <w:p w:rsidR="00B202A2" w:rsidRDefault="00295E06">
      <w:pPr>
        <w:spacing w:before="240"/>
        <w:jc w:val="both"/>
        <w:rPr>
          <w:rFonts w:ascii="Arial" w:eastAsia="Arial" w:hAnsi="Arial" w:cs="Arial"/>
          <w:b/>
          <w:sz w:val="22"/>
          <w:szCs w:val="22"/>
        </w:rPr>
      </w:pPr>
      <w:r>
        <w:rPr>
          <w:rFonts w:ascii="Arial" w:eastAsia="Arial" w:hAnsi="Arial" w:cs="Arial"/>
          <w:b/>
          <w:sz w:val="22"/>
          <w:szCs w:val="22"/>
        </w:rPr>
        <w:t>Resultados</w:t>
      </w:r>
    </w:p>
    <w:p w:rsidR="00B202A2" w:rsidRDefault="00295E06">
      <w:pPr>
        <w:spacing w:before="240"/>
        <w:jc w:val="both"/>
        <w:rPr>
          <w:rFonts w:ascii="Arial" w:eastAsia="Arial" w:hAnsi="Arial" w:cs="Arial"/>
          <w:sz w:val="22"/>
          <w:szCs w:val="22"/>
        </w:rPr>
      </w:pPr>
      <w:r>
        <w:rPr>
          <w:rFonts w:ascii="Arial" w:eastAsia="Arial" w:hAnsi="Arial" w:cs="Arial"/>
          <w:sz w:val="22"/>
          <w:szCs w:val="22"/>
        </w:rPr>
        <w:t>A continuación, se presentan los resultados más relevantes relacionados con la ejecución de l</w:t>
      </w:r>
      <w:r>
        <w:rPr>
          <w:rFonts w:ascii="Arial" w:eastAsia="Arial" w:hAnsi="Arial" w:cs="Arial"/>
          <w:sz w:val="22"/>
          <w:szCs w:val="22"/>
        </w:rPr>
        <w:t>os recursos apropiados durante la vigencia 2019 tanto para funcionamiento como para los proyectos de inversión.</w:t>
      </w:r>
    </w:p>
    <w:p w:rsidR="00B202A2" w:rsidRDefault="00295E06">
      <w:pPr>
        <w:spacing w:before="240"/>
        <w:jc w:val="both"/>
        <w:rPr>
          <w:rFonts w:ascii="Arial" w:eastAsia="Arial" w:hAnsi="Arial" w:cs="Arial"/>
          <w:b/>
          <w:sz w:val="22"/>
          <w:szCs w:val="22"/>
        </w:rPr>
      </w:pPr>
      <w:r>
        <w:rPr>
          <w:rFonts w:ascii="Arial" w:eastAsia="Arial" w:hAnsi="Arial" w:cs="Arial"/>
          <w:b/>
          <w:sz w:val="22"/>
          <w:szCs w:val="22"/>
        </w:rPr>
        <w:t>Funcionamiento</w:t>
      </w:r>
    </w:p>
    <w:p w:rsidR="00B202A2" w:rsidRDefault="00295E06">
      <w:pPr>
        <w:spacing w:before="240"/>
        <w:jc w:val="both"/>
        <w:rPr>
          <w:rFonts w:ascii="Arial" w:eastAsia="Arial" w:hAnsi="Arial" w:cs="Arial"/>
          <w:sz w:val="22"/>
          <w:szCs w:val="22"/>
        </w:rPr>
      </w:pPr>
      <w:r>
        <w:rPr>
          <w:rFonts w:ascii="Arial" w:eastAsia="Arial" w:hAnsi="Arial" w:cs="Arial"/>
          <w:sz w:val="22"/>
          <w:szCs w:val="22"/>
        </w:rPr>
        <w:t>En materia de gastos de funcionamiento con corte a 31 de diciembre de 2019, las cifras de la ejecución presupuestal respecto a la</w:t>
      </w:r>
      <w:r>
        <w:rPr>
          <w:rFonts w:ascii="Arial" w:eastAsia="Arial" w:hAnsi="Arial" w:cs="Arial"/>
          <w:sz w:val="22"/>
          <w:szCs w:val="22"/>
        </w:rPr>
        <w:t xml:space="preserve"> apropiación vigente, corresponde a:</w:t>
      </w:r>
    </w:p>
    <w:p w:rsidR="00B202A2" w:rsidRDefault="00B202A2">
      <w:pPr>
        <w:spacing w:before="240"/>
        <w:jc w:val="both"/>
        <w:rPr>
          <w:rFonts w:ascii="Arial" w:eastAsia="Arial" w:hAnsi="Arial" w:cs="Arial"/>
          <w:sz w:val="22"/>
          <w:szCs w:val="22"/>
        </w:rPr>
      </w:pPr>
    </w:p>
    <w:p w:rsidR="00B202A2" w:rsidRDefault="00295E06">
      <w:pPr>
        <w:jc w:val="center"/>
        <w:rPr>
          <w:rFonts w:ascii="Arial" w:eastAsia="Arial" w:hAnsi="Arial" w:cs="Arial"/>
          <w:sz w:val="22"/>
          <w:szCs w:val="22"/>
          <w:u w:val="single"/>
        </w:rPr>
      </w:pPr>
      <w:bookmarkStart w:id="58" w:name="_heading=h.19c6y18" w:colFirst="0" w:colLast="0"/>
      <w:bookmarkEnd w:id="58"/>
      <w:r>
        <w:rPr>
          <w:rFonts w:ascii="Arial" w:eastAsia="Arial" w:hAnsi="Arial" w:cs="Arial"/>
          <w:b/>
          <w:sz w:val="22"/>
          <w:szCs w:val="22"/>
          <w:u w:val="single"/>
        </w:rPr>
        <w:t>Tabla 10. Gastos de Funcionamiento</w:t>
      </w:r>
      <w:r>
        <w:rPr>
          <w:rFonts w:ascii="Arial" w:eastAsia="Arial" w:hAnsi="Arial" w:cs="Arial"/>
          <w:sz w:val="22"/>
          <w:szCs w:val="22"/>
          <w:u w:val="single"/>
        </w:rPr>
        <w:t xml:space="preserve">  </w:t>
      </w:r>
    </w:p>
    <w:p w:rsidR="00B202A2" w:rsidRDefault="00B202A2">
      <w:pPr>
        <w:jc w:val="both"/>
        <w:rPr>
          <w:rFonts w:ascii="Arial" w:eastAsia="Arial" w:hAnsi="Arial" w:cs="Arial"/>
          <w:sz w:val="22"/>
          <w:szCs w:val="22"/>
        </w:rPr>
      </w:pPr>
    </w:p>
    <w:tbl>
      <w:tblPr>
        <w:tblStyle w:val="affa"/>
        <w:tblW w:w="9062" w:type="dxa"/>
        <w:tblInd w:w="0" w:type="dxa"/>
        <w:tblLayout w:type="fixed"/>
        <w:tblLook w:val="0600" w:firstRow="0" w:lastRow="0" w:firstColumn="0" w:lastColumn="0" w:noHBand="1" w:noVBand="1"/>
      </w:tblPr>
      <w:tblGrid>
        <w:gridCol w:w="1905"/>
        <w:gridCol w:w="1487"/>
        <w:gridCol w:w="1701"/>
        <w:gridCol w:w="993"/>
        <w:gridCol w:w="1701"/>
        <w:gridCol w:w="1275"/>
      </w:tblGrid>
      <w:tr w:rsidR="00B202A2">
        <w:trPr>
          <w:trHeight w:val="555"/>
        </w:trPr>
        <w:tc>
          <w:tcPr>
            <w:tcW w:w="190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80" w:type="dxa"/>
              <w:bottom w:w="100" w:type="dxa"/>
              <w:right w:w="80" w:type="dxa"/>
            </w:tcMar>
          </w:tcPr>
          <w:p w:rsidR="00B202A2" w:rsidRDefault="00295E06">
            <w:pPr>
              <w:jc w:val="center"/>
              <w:rPr>
                <w:rFonts w:ascii="Arial" w:eastAsia="Arial" w:hAnsi="Arial" w:cs="Arial"/>
                <w:b/>
                <w:sz w:val="22"/>
                <w:szCs w:val="22"/>
              </w:rPr>
            </w:pPr>
            <w:r>
              <w:rPr>
                <w:rFonts w:ascii="Arial" w:eastAsia="Arial" w:hAnsi="Arial" w:cs="Arial"/>
                <w:b/>
                <w:sz w:val="22"/>
                <w:szCs w:val="22"/>
              </w:rPr>
              <w:t>Descripcion</w:t>
            </w:r>
          </w:p>
        </w:tc>
        <w:tc>
          <w:tcPr>
            <w:tcW w:w="1487" w:type="dxa"/>
            <w:tcBorders>
              <w:top w:val="single" w:sz="8" w:space="0" w:color="000000"/>
              <w:left w:val="nil"/>
              <w:bottom w:val="single" w:sz="8" w:space="0" w:color="000000"/>
              <w:right w:val="single" w:sz="8" w:space="0" w:color="000000"/>
            </w:tcBorders>
            <w:shd w:val="clear" w:color="auto" w:fill="CFE2F3"/>
            <w:tcMar>
              <w:top w:w="100" w:type="dxa"/>
              <w:left w:w="80" w:type="dxa"/>
              <w:bottom w:w="100" w:type="dxa"/>
              <w:right w:w="80" w:type="dxa"/>
            </w:tcMar>
          </w:tcPr>
          <w:p w:rsidR="00B202A2" w:rsidRDefault="00295E06">
            <w:pPr>
              <w:jc w:val="center"/>
              <w:rPr>
                <w:rFonts w:ascii="Arial" w:eastAsia="Arial" w:hAnsi="Arial" w:cs="Arial"/>
                <w:b/>
                <w:sz w:val="22"/>
                <w:szCs w:val="22"/>
              </w:rPr>
            </w:pPr>
            <w:r>
              <w:rPr>
                <w:rFonts w:ascii="Arial" w:eastAsia="Arial" w:hAnsi="Arial" w:cs="Arial"/>
                <w:b/>
                <w:sz w:val="22"/>
                <w:szCs w:val="22"/>
              </w:rPr>
              <w:t>Apr. Vigente</w:t>
            </w:r>
          </w:p>
        </w:tc>
        <w:tc>
          <w:tcPr>
            <w:tcW w:w="1701" w:type="dxa"/>
            <w:tcBorders>
              <w:top w:val="single" w:sz="8" w:space="0" w:color="000000"/>
              <w:left w:val="nil"/>
              <w:bottom w:val="single" w:sz="8" w:space="0" w:color="000000"/>
              <w:right w:val="single" w:sz="8" w:space="0" w:color="000000"/>
            </w:tcBorders>
            <w:shd w:val="clear" w:color="auto" w:fill="CFE2F3"/>
            <w:tcMar>
              <w:top w:w="100" w:type="dxa"/>
              <w:left w:w="80" w:type="dxa"/>
              <w:bottom w:w="100" w:type="dxa"/>
              <w:right w:w="80" w:type="dxa"/>
            </w:tcMar>
          </w:tcPr>
          <w:p w:rsidR="00B202A2" w:rsidRDefault="00295E06">
            <w:pPr>
              <w:jc w:val="center"/>
              <w:rPr>
                <w:rFonts w:ascii="Arial" w:eastAsia="Arial" w:hAnsi="Arial" w:cs="Arial"/>
                <w:b/>
                <w:sz w:val="22"/>
                <w:szCs w:val="22"/>
              </w:rPr>
            </w:pPr>
            <w:r>
              <w:rPr>
                <w:rFonts w:ascii="Arial" w:eastAsia="Arial" w:hAnsi="Arial" w:cs="Arial"/>
                <w:b/>
                <w:sz w:val="22"/>
                <w:szCs w:val="22"/>
              </w:rPr>
              <w:t>Compromiso</w:t>
            </w:r>
          </w:p>
        </w:tc>
        <w:tc>
          <w:tcPr>
            <w:tcW w:w="993" w:type="dxa"/>
            <w:tcBorders>
              <w:top w:val="single" w:sz="8" w:space="0" w:color="000000"/>
              <w:left w:val="nil"/>
              <w:bottom w:val="single" w:sz="8" w:space="0" w:color="000000"/>
              <w:right w:val="single" w:sz="8" w:space="0" w:color="000000"/>
            </w:tcBorders>
            <w:shd w:val="clear" w:color="auto" w:fill="CFE2F3"/>
            <w:tcMar>
              <w:top w:w="100" w:type="dxa"/>
              <w:left w:w="80" w:type="dxa"/>
              <w:bottom w:w="100" w:type="dxa"/>
              <w:right w:w="80" w:type="dxa"/>
            </w:tcMar>
          </w:tcPr>
          <w:p w:rsidR="00B202A2" w:rsidRDefault="00295E06">
            <w:pPr>
              <w:jc w:val="center"/>
              <w:rPr>
                <w:rFonts w:ascii="Arial" w:eastAsia="Arial" w:hAnsi="Arial" w:cs="Arial"/>
                <w:b/>
                <w:sz w:val="22"/>
                <w:szCs w:val="22"/>
              </w:rPr>
            </w:pPr>
            <w:r>
              <w:rPr>
                <w:rFonts w:ascii="Arial" w:eastAsia="Arial" w:hAnsi="Arial" w:cs="Arial"/>
                <w:b/>
                <w:sz w:val="22"/>
                <w:szCs w:val="22"/>
              </w:rPr>
              <w:t>% Eje</w:t>
            </w:r>
          </w:p>
        </w:tc>
        <w:tc>
          <w:tcPr>
            <w:tcW w:w="1701" w:type="dxa"/>
            <w:tcBorders>
              <w:top w:val="single" w:sz="8" w:space="0" w:color="000000"/>
              <w:left w:val="nil"/>
              <w:bottom w:val="single" w:sz="8" w:space="0" w:color="000000"/>
              <w:right w:val="single" w:sz="8" w:space="0" w:color="000000"/>
            </w:tcBorders>
            <w:shd w:val="clear" w:color="auto" w:fill="CFE2F3"/>
            <w:tcMar>
              <w:top w:w="100" w:type="dxa"/>
              <w:left w:w="80" w:type="dxa"/>
              <w:bottom w:w="100" w:type="dxa"/>
              <w:right w:w="80" w:type="dxa"/>
            </w:tcMar>
          </w:tcPr>
          <w:p w:rsidR="00B202A2" w:rsidRDefault="00295E06">
            <w:pPr>
              <w:jc w:val="center"/>
              <w:rPr>
                <w:rFonts w:ascii="Arial" w:eastAsia="Arial" w:hAnsi="Arial" w:cs="Arial"/>
                <w:b/>
                <w:sz w:val="22"/>
                <w:szCs w:val="22"/>
              </w:rPr>
            </w:pPr>
            <w:r>
              <w:rPr>
                <w:rFonts w:ascii="Arial" w:eastAsia="Arial" w:hAnsi="Arial" w:cs="Arial"/>
                <w:b/>
                <w:sz w:val="22"/>
                <w:szCs w:val="22"/>
              </w:rPr>
              <w:t>Obligacion</w:t>
            </w:r>
          </w:p>
        </w:tc>
        <w:tc>
          <w:tcPr>
            <w:tcW w:w="1275" w:type="dxa"/>
            <w:tcBorders>
              <w:top w:val="single" w:sz="8" w:space="0" w:color="000000"/>
              <w:left w:val="nil"/>
              <w:bottom w:val="single" w:sz="8" w:space="0" w:color="000000"/>
              <w:right w:val="single" w:sz="8" w:space="0" w:color="000000"/>
            </w:tcBorders>
            <w:shd w:val="clear" w:color="auto" w:fill="CFE2F3"/>
            <w:tcMar>
              <w:top w:w="100" w:type="dxa"/>
              <w:left w:w="80" w:type="dxa"/>
              <w:bottom w:w="100" w:type="dxa"/>
              <w:right w:w="80" w:type="dxa"/>
            </w:tcMar>
          </w:tcPr>
          <w:p w:rsidR="00B202A2" w:rsidRDefault="00295E06">
            <w:pPr>
              <w:jc w:val="center"/>
              <w:rPr>
                <w:rFonts w:ascii="Arial" w:eastAsia="Arial" w:hAnsi="Arial" w:cs="Arial"/>
                <w:b/>
                <w:sz w:val="22"/>
                <w:szCs w:val="22"/>
              </w:rPr>
            </w:pPr>
            <w:r>
              <w:rPr>
                <w:rFonts w:ascii="Arial" w:eastAsia="Arial" w:hAnsi="Arial" w:cs="Arial"/>
                <w:b/>
                <w:sz w:val="22"/>
                <w:szCs w:val="22"/>
              </w:rPr>
              <w:t>% Eje</w:t>
            </w:r>
          </w:p>
        </w:tc>
      </w:tr>
      <w:tr w:rsidR="00B202A2">
        <w:trPr>
          <w:trHeight w:val="390"/>
        </w:trPr>
        <w:tc>
          <w:tcPr>
            <w:tcW w:w="1905"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B202A2" w:rsidRDefault="00295E06">
            <w:pPr>
              <w:jc w:val="both"/>
              <w:rPr>
                <w:rFonts w:ascii="Arial" w:eastAsia="Arial" w:hAnsi="Arial" w:cs="Arial"/>
                <w:b/>
                <w:sz w:val="22"/>
                <w:szCs w:val="22"/>
              </w:rPr>
            </w:pPr>
            <w:r>
              <w:rPr>
                <w:rFonts w:ascii="Arial" w:eastAsia="Arial" w:hAnsi="Arial" w:cs="Arial"/>
                <w:b/>
                <w:sz w:val="22"/>
                <w:szCs w:val="22"/>
              </w:rPr>
              <w:t>Funcionamiento</w:t>
            </w:r>
          </w:p>
        </w:tc>
        <w:tc>
          <w:tcPr>
            <w:tcW w:w="1487"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jc w:val="center"/>
              <w:rPr>
                <w:rFonts w:ascii="Arial" w:eastAsia="Arial" w:hAnsi="Arial" w:cs="Arial"/>
                <w:b/>
                <w:sz w:val="22"/>
                <w:szCs w:val="22"/>
              </w:rPr>
            </w:pPr>
            <w:r>
              <w:rPr>
                <w:rFonts w:ascii="Arial" w:eastAsia="Arial" w:hAnsi="Arial" w:cs="Arial"/>
                <w:b/>
                <w:sz w:val="22"/>
                <w:szCs w:val="22"/>
              </w:rPr>
              <w:t>$15.701,2</w:t>
            </w:r>
          </w:p>
        </w:tc>
        <w:tc>
          <w:tcPr>
            <w:tcW w:w="1701"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jc w:val="center"/>
              <w:rPr>
                <w:rFonts w:ascii="Arial" w:eastAsia="Arial" w:hAnsi="Arial" w:cs="Arial"/>
                <w:b/>
                <w:sz w:val="22"/>
                <w:szCs w:val="22"/>
              </w:rPr>
            </w:pPr>
            <w:r>
              <w:rPr>
                <w:rFonts w:ascii="Arial" w:eastAsia="Arial" w:hAnsi="Arial" w:cs="Arial"/>
                <w:b/>
                <w:sz w:val="22"/>
                <w:szCs w:val="22"/>
              </w:rPr>
              <w:t>$14.518,8</w:t>
            </w:r>
          </w:p>
        </w:tc>
        <w:tc>
          <w:tcPr>
            <w:tcW w:w="993"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jc w:val="center"/>
              <w:rPr>
                <w:rFonts w:ascii="Arial" w:eastAsia="Arial" w:hAnsi="Arial" w:cs="Arial"/>
                <w:b/>
                <w:sz w:val="22"/>
                <w:szCs w:val="22"/>
              </w:rPr>
            </w:pPr>
            <w:r>
              <w:rPr>
                <w:rFonts w:ascii="Arial" w:eastAsia="Arial" w:hAnsi="Arial" w:cs="Arial"/>
                <w:b/>
                <w:sz w:val="22"/>
                <w:szCs w:val="22"/>
              </w:rPr>
              <w:t>92%</w:t>
            </w:r>
          </w:p>
        </w:tc>
        <w:tc>
          <w:tcPr>
            <w:tcW w:w="1701"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jc w:val="center"/>
              <w:rPr>
                <w:rFonts w:ascii="Arial" w:eastAsia="Arial" w:hAnsi="Arial" w:cs="Arial"/>
                <w:b/>
                <w:sz w:val="22"/>
                <w:szCs w:val="22"/>
              </w:rPr>
            </w:pPr>
            <w:r>
              <w:rPr>
                <w:rFonts w:ascii="Arial" w:eastAsia="Arial" w:hAnsi="Arial" w:cs="Arial"/>
                <w:b/>
                <w:sz w:val="22"/>
                <w:szCs w:val="22"/>
              </w:rPr>
              <w:t>$14.518,8</w:t>
            </w:r>
          </w:p>
        </w:tc>
        <w:tc>
          <w:tcPr>
            <w:tcW w:w="1275"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jc w:val="center"/>
              <w:rPr>
                <w:rFonts w:ascii="Arial" w:eastAsia="Arial" w:hAnsi="Arial" w:cs="Arial"/>
                <w:b/>
                <w:sz w:val="22"/>
                <w:szCs w:val="22"/>
              </w:rPr>
            </w:pPr>
            <w:r>
              <w:rPr>
                <w:rFonts w:ascii="Arial" w:eastAsia="Arial" w:hAnsi="Arial" w:cs="Arial"/>
                <w:b/>
                <w:sz w:val="22"/>
                <w:szCs w:val="22"/>
              </w:rPr>
              <w:t>92%</w:t>
            </w:r>
          </w:p>
        </w:tc>
      </w:tr>
      <w:tr w:rsidR="00B202A2">
        <w:trPr>
          <w:trHeight w:val="390"/>
        </w:trPr>
        <w:tc>
          <w:tcPr>
            <w:tcW w:w="1905"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B202A2" w:rsidRDefault="00295E06">
            <w:pPr>
              <w:rPr>
                <w:rFonts w:ascii="Arial" w:eastAsia="Arial" w:hAnsi="Arial" w:cs="Arial"/>
                <w:sz w:val="22"/>
                <w:szCs w:val="22"/>
              </w:rPr>
            </w:pPr>
            <w:r>
              <w:rPr>
                <w:rFonts w:ascii="Arial" w:eastAsia="Arial" w:hAnsi="Arial" w:cs="Arial"/>
                <w:sz w:val="22"/>
                <w:szCs w:val="22"/>
              </w:rPr>
              <w:t>Gastos de personal</w:t>
            </w:r>
          </w:p>
        </w:tc>
        <w:tc>
          <w:tcPr>
            <w:tcW w:w="1487"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jc w:val="center"/>
              <w:rPr>
                <w:rFonts w:ascii="Arial" w:eastAsia="Arial" w:hAnsi="Arial" w:cs="Arial"/>
                <w:sz w:val="22"/>
                <w:szCs w:val="22"/>
              </w:rPr>
            </w:pPr>
            <w:r>
              <w:rPr>
                <w:rFonts w:ascii="Arial" w:eastAsia="Arial" w:hAnsi="Arial" w:cs="Arial"/>
                <w:sz w:val="22"/>
                <w:szCs w:val="22"/>
              </w:rPr>
              <w:t>$13.338,1</w:t>
            </w:r>
          </w:p>
        </w:tc>
        <w:tc>
          <w:tcPr>
            <w:tcW w:w="1701"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jc w:val="center"/>
              <w:rPr>
                <w:rFonts w:ascii="Arial" w:eastAsia="Arial" w:hAnsi="Arial" w:cs="Arial"/>
                <w:sz w:val="22"/>
                <w:szCs w:val="22"/>
              </w:rPr>
            </w:pPr>
            <w:r>
              <w:rPr>
                <w:rFonts w:ascii="Arial" w:eastAsia="Arial" w:hAnsi="Arial" w:cs="Arial"/>
                <w:sz w:val="22"/>
                <w:szCs w:val="22"/>
              </w:rPr>
              <w:t>$12.768,7</w:t>
            </w:r>
          </w:p>
        </w:tc>
        <w:tc>
          <w:tcPr>
            <w:tcW w:w="993"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jc w:val="center"/>
              <w:rPr>
                <w:rFonts w:ascii="Arial" w:eastAsia="Arial" w:hAnsi="Arial" w:cs="Arial"/>
                <w:sz w:val="22"/>
                <w:szCs w:val="22"/>
              </w:rPr>
            </w:pPr>
            <w:r>
              <w:rPr>
                <w:rFonts w:ascii="Arial" w:eastAsia="Arial" w:hAnsi="Arial" w:cs="Arial"/>
                <w:sz w:val="22"/>
                <w:szCs w:val="22"/>
              </w:rPr>
              <w:t>96%</w:t>
            </w:r>
          </w:p>
        </w:tc>
        <w:tc>
          <w:tcPr>
            <w:tcW w:w="1701"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jc w:val="center"/>
              <w:rPr>
                <w:rFonts w:ascii="Arial" w:eastAsia="Arial" w:hAnsi="Arial" w:cs="Arial"/>
                <w:sz w:val="22"/>
                <w:szCs w:val="22"/>
              </w:rPr>
            </w:pPr>
            <w:r>
              <w:rPr>
                <w:rFonts w:ascii="Arial" w:eastAsia="Arial" w:hAnsi="Arial" w:cs="Arial"/>
                <w:sz w:val="22"/>
                <w:szCs w:val="22"/>
              </w:rPr>
              <w:t>$12.768,7</w:t>
            </w:r>
          </w:p>
        </w:tc>
        <w:tc>
          <w:tcPr>
            <w:tcW w:w="1275"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jc w:val="center"/>
              <w:rPr>
                <w:rFonts w:ascii="Arial" w:eastAsia="Arial" w:hAnsi="Arial" w:cs="Arial"/>
                <w:sz w:val="22"/>
                <w:szCs w:val="22"/>
              </w:rPr>
            </w:pPr>
            <w:r>
              <w:rPr>
                <w:rFonts w:ascii="Arial" w:eastAsia="Arial" w:hAnsi="Arial" w:cs="Arial"/>
                <w:sz w:val="22"/>
                <w:szCs w:val="22"/>
              </w:rPr>
              <w:t>96%</w:t>
            </w:r>
          </w:p>
        </w:tc>
      </w:tr>
      <w:tr w:rsidR="00B202A2">
        <w:trPr>
          <w:trHeight w:val="575"/>
        </w:trPr>
        <w:tc>
          <w:tcPr>
            <w:tcW w:w="1905"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B202A2" w:rsidRDefault="00295E06">
            <w:pPr>
              <w:rPr>
                <w:rFonts w:ascii="Arial" w:eastAsia="Arial" w:hAnsi="Arial" w:cs="Arial"/>
                <w:sz w:val="22"/>
                <w:szCs w:val="22"/>
              </w:rPr>
            </w:pPr>
            <w:r>
              <w:rPr>
                <w:rFonts w:ascii="Arial" w:eastAsia="Arial" w:hAnsi="Arial" w:cs="Arial"/>
                <w:sz w:val="22"/>
                <w:szCs w:val="22"/>
              </w:rPr>
              <w:t>Adquisición de Bienes y Servicios</w:t>
            </w:r>
          </w:p>
        </w:tc>
        <w:tc>
          <w:tcPr>
            <w:tcW w:w="1487"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jc w:val="center"/>
              <w:rPr>
                <w:rFonts w:ascii="Arial" w:eastAsia="Arial" w:hAnsi="Arial" w:cs="Arial"/>
                <w:sz w:val="22"/>
                <w:szCs w:val="22"/>
              </w:rPr>
            </w:pPr>
            <w:r>
              <w:rPr>
                <w:rFonts w:ascii="Arial" w:eastAsia="Arial" w:hAnsi="Arial" w:cs="Arial"/>
                <w:sz w:val="22"/>
                <w:szCs w:val="22"/>
              </w:rPr>
              <w:t>$1.744,6</w:t>
            </w:r>
          </w:p>
        </w:tc>
        <w:tc>
          <w:tcPr>
            <w:tcW w:w="1701"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jc w:val="center"/>
              <w:rPr>
                <w:rFonts w:ascii="Arial" w:eastAsia="Arial" w:hAnsi="Arial" w:cs="Arial"/>
                <w:sz w:val="22"/>
                <w:szCs w:val="22"/>
              </w:rPr>
            </w:pPr>
            <w:r>
              <w:rPr>
                <w:rFonts w:ascii="Arial" w:eastAsia="Arial" w:hAnsi="Arial" w:cs="Arial"/>
                <w:sz w:val="22"/>
                <w:szCs w:val="22"/>
              </w:rPr>
              <w:t>$1.560,5</w:t>
            </w:r>
          </w:p>
        </w:tc>
        <w:tc>
          <w:tcPr>
            <w:tcW w:w="993"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jc w:val="center"/>
              <w:rPr>
                <w:rFonts w:ascii="Arial" w:eastAsia="Arial" w:hAnsi="Arial" w:cs="Arial"/>
                <w:sz w:val="22"/>
                <w:szCs w:val="22"/>
              </w:rPr>
            </w:pPr>
            <w:r>
              <w:rPr>
                <w:rFonts w:ascii="Arial" w:eastAsia="Arial" w:hAnsi="Arial" w:cs="Arial"/>
                <w:sz w:val="22"/>
                <w:szCs w:val="22"/>
              </w:rPr>
              <w:t>89%</w:t>
            </w:r>
          </w:p>
        </w:tc>
        <w:tc>
          <w:tcPr>
            <w:tcW w:w="1701"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jc w:val="center"/>
              <w:rPr>
                <w:rFonts w:ascii="Arial" w:eastAsia="Arial" w:hAnsi="Arial" w:cs="Arial"/>
                <w:sz w:val="22"/>
                <w:szCs w:val="22"/>
              </w:rPr>
            </w:pPr>
            <w:r>
              <w:rPr>
                <w:rFonts w:ascii="Arial" w:eastAsia="Arial" w:hAnsi="Arial" w:cs="Arial"/>
                <w:sz w:val="22"/>
                <w:szCs w:val="22"/>
              </w:rPr>
              <w:t>$1.560,5</w:t>
            </w:r>
          </w:p>
        </w:tc>
        <w:tc>
          <w:tcPr>
            <w:tcW w:w="1275"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jc w:val="center"/>
              <w:rPr>
                <w:rFonts w:ascii="Arial" w:eastAsia="Arial" w:hAnsi="Arial" w:cs="Arial"/>
                <w:sz w:val="22"/>
                <w:szCs w:val="22"/>
              </w:rPr>
            </w:pPr>
            <w:r>
              <w:rPr>
                <w:rFonts w:ascii="Arial" w:eastAsia="Arial" w:hAnsi="Arial" w:cs="Arial"/>
                <w:sz w:val="22"/>
                <w:szCs w:val="22"/>
              </w:rPr>
              <w:t>89%</w:t>
            </w:r>
          </w:p>
        </w:tc>
      </w:tr>
      <w:tr w:rsidR="00B202A2">
        <w:trPr>
          <w:trHeight w:val="375"/>
        </w:trPr>
        <w:tc>
          <w:tcPr>
            <w:tcW w:w="1905"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B202A2" w:rsidRDefault="00295E06">
            <w:pPr>
              <w:rPr>
                <w:rFonts w:ascii="Arial" w:eastAsia="Arial" w:hAnsi="Arial" w:cs="Arial"/>
                <w:sz w:val="22"/>
                <w:szCs w:val="22"/>
              </w:rPr>
            </w:pPr>
            <w:r>
              <w:rPr>
                <w:rFonts w:ascii="Arial" w:eastAsia="Arial" w:hAnsi="Arial" w:cs="Arial"/>
                <w:sz w:val="22"/>
                <w:szCs w:val="22"/>
              </w:rPr>
              <w:t>Transferencias corrientes</w:t>
            </w:r>
          </w:p>
        </w:tc>
        <w:tc>
          <w:tcPr>
            <w:tcW w:w="1487"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jc w:val="center"/>
              <w:rPr>
                <w:rFonts w:ascii="Arial" w:eastAsia="Arial" w:hAnsi="Arial" w:cs="Arial"/>
                <w:sz w:val="22"/>
                <w:szCs w:val="22"/>
              </w:rPr>
            </w:pPr>
            <w:r>
              <w:rPr>
                <w:rFonts w:ascii="Arial" w:eastAsia="Arial" w:hAnsi="Arial" w:cs="Arial"/>
                <w:sz w:val="22"/>
                <w:szCs w:val="22"/>
              </w:rPr>
              <w:t>$468,2</w:t>
            </w:r>
          </w:p>
        </w:tc>
        <w:tc>
          <w:tcPr>
            <w:tcW w:w="1701"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jc w:val="center"/>
              <w:rPr>
                <w:rFonts w:ascii="Arial" w:eastAsia="Arial" w:hAnsi="Arial" w:cs="Arial"/>
                <w:sz w:val="22"/>
                <w:szCs w:val="22"/>
              </w:rPr>
            </w:pPr>
            <w:r>
              <w:rPr>
                <w:rFonts w:ascii="Arial" w:eastAsia="Arial" w:hAnsi="Arial" w:cs="Arial"/>
                <w:sz w:val="22"/>
                <w:szCs w:val="22"/>
              </w:rPr>
              <w:t>$76,4</w:t>
            </w:r>
          </w:p>
        </w:tc>
        <w:tc>
          <w:tcPr>
            <w:tcW w:w="993"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jc w:val="center"/>
              <w:rPr>
                <w:rFonts w:ascii="Arial" w:eastAsia="Arial" w:hAnsi="Arial" w:cs="Arial"/>
                <w:sz w:val="22"/>
                <w:szCs w:val="22"/>
              </w:rPr>
            </w:pPr>
            <w:r>
              <w:rPr>
                <w:rFonts w:ascii="Arial" w:eastAsia="Arial" w:hAnsi="Arial" w:cs="Arial"/>
                <w:sz w:val="22"/>
                <w:szCs w:val="22"/>
              </w:rPr>
              <w:t>16%</w:t>
            </w:r>
          </w:p>
        </w:tc>
        <w:tc>
          <w:tcPr>
            <w:tcW w:w="1701"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jc w:val="center"/>
              <w:rPr>
                <w:rFonts w:ascii="Arial" w:eastAsia="Arial" w:hAnsi="Arial" w:cs="Arial"/>
                <w:sz w:val="22"/>
                <w:szCs w:val="22"/>
              </w:rPr>
            </w:pPr>
            <w:r>
              <w:rPr>
                <w:rFonts w:ascii="Arial" w:eastAsia="Arial" w:hAnsi="Arial" w:cs="Arial"/>
                <w:sz w:val="22"/>
                <w:szCs w:val="22"/>
              </w:rPr>
              <w:t>$76,4</w:t>
            </w:r>
          </w:p>
        </w:tc>
        <w:tc>
          <w:tcPr>
            <w:tcW w:w="1275"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jc w:val="center"/>
              <w:rPr>
                <w:rFonts w:ascii="Arial" w:eastAsia="Arial" w:hAnsi="Arial" w:cs="Arial"/>
                <w:sz w:val="22"/>
                <w:szCs w:val="22"/>
              </w:rPr>
            </w:pPr>
            <w:r>
              <w:rPr>
                <w:rFonts w:ascii="Arial" w:eastAsia="Arial" w:hAnsi="Arial" w:cs="Arial"/>
                <w:sz w:val="22"/>
                <w:szCs w:val="22"/>
              </w:rPr>
              <w:t>16%</w:t>
            </w:r>
          </w:p>
        </w:tc>
      </w:tr>
      <w:tr w:rsidR="00B202A2">
        <w:trPr>
          <w:trHeight w:val="420"/>
        </w:trPr>
        <w:tc>
          <w:tcPr>
            <w:tcW w:w="1905"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B202A2" w:rsidRDefault="00295E06">
            <w:pPr>
              <w:rPr>
                <w:rFonts w:ascii="Arial" w:eastAsia="Arial" w:hAnsi="Arial" w:cs="Arial"/>
                <w:sz w:val="22"/>
                <w:szCs w:val="22"/>
              </w:rPr>
            </w:pPr>
            <w:r>
              <w:rPr>
                <w:rFonts w:ascii="Arial" w:eastAsia="Arial" w:hAnsi="Arial" w:cs="Arial"/>
                <w:sz w:val="22"/>
                <w:szCs w:val="22"/>
              </w:rPr>
              <w:lastRenderedPageBreak/>
              <w:t>Gastos por Tributos</w:t>
            </w:r>
          </w:p>
        </w:tc>
        <w:tc>
          <w:tcPr>
            <w:tcW w:w="1487"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jc w:val="center"/>
              <w:rPr>
                <w:rFonts w:ascii="Arial" w:eastAsia="Arial" w:hAnsi="Arial" w:cs="Arial"/>
                <w:sz w:val="22"/>
                <w:szCs w:val="22"/>
              </w:rPr>
            </w:pPr>
            <w:r>
              <w:rPr>
                <w:rFonts w:ascii="Arial" w:eastAsia="Arial" w:hAnsi="Arial" w:cs="Arial"/>
                <w:sz w:val="22"/>
                <w:szCs w:val="22"/>
              </w:rPr>
              <w:t>$150,3</w:t>
            </w:r>
          </w:p>
        </w:tc>
        <w:tc>
          <w:tcPr>
            <w:tcW w:w="1701"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jc w:val="center"/>
              <w:rPr>
                <w:rFonts w:ascii="Arial" w:eastAsia="Arial" w:hAnsi="Arial" w:cs="Arial"/>
                <w:sz w:val="22"/>
                <w:szCs w:val="22"/>
              </w:rPr>
            </w:pPr>
            <w:r>
              <w:rPr>
                <w:rFonts w:ascii="Arial" w:eastAsia="Arial" w:hAnsi="Arial" w:cs="Arial"/>
                <w:sz w:val="22"/>
                <w:szCs w:val="22"/>
              </w:rPr>
              <w:t>$113,1</w:t>
            </w:r>
          </w:p>
        </w:tc>
        <w:tc>
          <w:tcPr>
            <w:tcW w:w="993"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jc w:val="center"/>
              <w:rPr>
                <w:rFonts w:ascii="Arial" w:eastAsia="Arial" w:hAnsi="Arial" w:cs="Arial"/>
                <w:sz w:val="22"/>
                <w:szCs w:val="22"/>
              </w:rPr>
            </w:pPr>
            <w:r>
              <w:rPr>
                <w:rFonts w:ascii="Arial" w:eastAsia="Arial" w:hAnsi="Arial" w:cs="Arial"/>
                <w:sz w:val="22"/>
                <w:szCs w:val="22"/>
              </w:rPr>
              <w:t>75%</w:t>
            </w:r>
          </w:p>
        </w:tc>
        <w:tc>
          <w:tcPr>
            <w:tcW w:w="1701"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jc w:val="center"/>
              <w:rPr>
                <w:rFonts w:ascii="Arial" w:eastAsia="Arial" w:hAnsi="Arial" w:cs="Arial"/>
                <w:sz w:val="22"/>
                <w:szCs w:val="22"/>
              </w:rPr>
            </w:pPr>
            <w:r>
              <w:rPr>
                <w:rFonts w:ascii="Arial" w:eastAsia="Arial" w:hAnsi="Arial" w:cs="Arial"/>
                <w:sz w:val="22"/>
                <w:szCs w:val="22"/>
              </w:rPr>
              <w:t>$113,1</w:t>
            </w:r>
          </w:p>
        </w:tc>
        <w:tc>
          <w:tcPr>
            <w:tcW w:w="1275" w:type="dxa"/>
            <w:tcBorders>
              <w:top w:val="nil"/>
              <w:left w:val="nil"/>
              <w:bottom w:val="single" w:sz="8" w:space="0" w:color="000000"/>
              <w:right w:val="single" w:sz="8" w:space="0" w:color="000000"/>
            </w:tcBorders>
            <w:tcMar>
              <w:top w:w="100" w:type="dxa"/>
              <w:left w:w="80" w:type="dxa"/>
              <w:bottom w:w="100" w:type="dxa"/>
              <w:right w:w="80" w:type="dxa"/>
            </w:tcMar>
          </w:tcPr>
          <w:p w:rsidR="00B202A2" w:rsidRDefault="00295E06">
            <w:pPr>
              <w:jc w:val="center"/>
              <w:rPr>
                <w:rFonts w:ascii="Arial" w:eastAsia="Arial" w:hAnsi="Arial" w:cs="Arial"/>
                <w:sz w:val="22"/>
                <w:szCs w:val="22"/>
              </w:rPr>
            </w:pPr>
            <w:r>
              <w:rPr>
                <w:rFonts w:ascii="Arial" w:eastAsia="Arial" w:hAnsi="Arial" w:cs="Arial"/>
                <w:sz w:val="22"/>
                <w:szCs w:val="22"/>
              </w:rPr>
              <w:t>75%</w:t>
            </w:r>
          </w:p>
        </w:tc>
      </w:tr>
    </w:tbl>
    <w:p w:rsidR="00B202A2" w:rsidRDefault="00B202A2">
      <w:pPr>
        <w:spacing w:before="240"/>
        <w:jc w:val="both"/>
        <w:rPr>
          <w:rFonts w:ascii="Arial" w:eastAsia="Arial" w:hAnsi="Arial" w:cs="Arial"/>
          <w:sz w:val="22"/>
          <w:szCs w:val="22"/>
        </w:rPr>
      </w:pPr>
    </w:p>
    <w:tbl>
      <w:tblPr>
        <w:tblStyle w:val="affb"/>
        <w:tblW w:w="850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503"/>
      </w:tblGrid>
      <w:tr w:rsidR="00B202A2">
        <w:trPr>
          <w:trHeight w:val="980"/>
        </w:trPr>
        <w:tc>
          <w:tcPr>
            <w:tcW w:w="8503" w:type="dxa"/>
            <w:tcMar>
              <w:top w:w="100" w:type="dxa"/>
              <w:left w:w="100" w:type="dxa"/>
              <w:bottom w:w="100" w:type="dxa"/>
              <w:right w:w="100" w:type="dxa"/>
            </w:tcMar>
          </w:tcPr>
          <w:p w:rsidR="00B202A2" w:rsidRDefault="00295E06">
            <w:pPr>
              <w:spacing w:after="240"/>
              <w:jc w:val="both"/>
              <w:rPr>
                <w:rFonts w:ascii="Arial" w:eastAsia="Arial" w:hAnsi="Arial" w:cs="Arial"/>
                <w:sz w:val="22"/>
                <w:szCs w:val="22"/>
              </w:rPr>
            </w:pPr>
            <w:r>
              <w:rPr>
                <w:rFonts w:ascii="Arial" w:eastAsia="Arial" w:hAnsi="Arial" w:cs="Arial"/>
                <w:sz w:val="22"/>
                <w:szCs w:val="22"/>
              </w:rPr>
              <w:t>En los gastos de personal está incluida una apropiación con Previo Concepto DGPP, que al final del periodo quedó en $324.4 Millones de Pesos, la cual se quedó en estado bloqueada por DGPP</w:t>
            </w:r>
          </w:p>
        </w:tc>
      </w:tr>
    </w:tbl>
    <w:p w:rsidR="00B202A2" w:rsidRDefault="00295E06">
      <w:pPr>
        <w:jc w:val="both"/>
        <w:rPr>
          <w:rFonts w:ascii="Arial" w:eastAsia="Arial" w:hAnsi="Arial" w:cs="Arial"/>
          <w:sz w:val="22"/>
          <w:szCs w:val="22"/>
        </w:rPr>
      </w:pPr>
      <w:r>
        <w:rPr>
          <w:rFonts w:ascii="Arial" w:eastAsia="Arial" w:hAnsi="Arial" w:cs="Arial"/>
          <w:sz w:val="22"/>
          <w:szCs w:val="22"/>
        </w:rPr>
        <w:t xml:space="preserve">Para el cierre de 2019 dentro de las erogaciones más relevantes en </w:t>
      </w:r>
      <w:r>
        <w:rPr>
          <w:rFonts w:ascii="Arial" w:eastAsia="Arial" w:hAnsi="Arial" w:cs="Arial"/>
          <w:sz w:val="22"/>
          <w:szCs w:val="22"/>
        </w:rPr>
        <w:t>relación con la ejecución de gastos de funcionamiento en el mes de diciembre de 2019, se cubrieron todos los pagos, entre los más relevantes están:</w:t>
      </w:r>
    </w:p>
    <w:p w:rsidR="00B202A2" w:rsidRDefault="00295E06">
      <w:pPr>
        <w:numPr>
          <w:ilvl w:val="0"/>
          <w:numId w:val="27"/>
        </w:numPr>
        <w:spacing w:before="240"/>
        <w:jc w:val="both"/>
        <w:rPr>
          <w:rFonts w:ascii="Arial" w:eastAsia="Arial" w:hAnsi="Arial" w:cs="Arial"/>
          <w:sz w:val="22"/>
          <w:szCs w:val="22"/>
        </w:rPr>
      </w:pPr>
      <w:r>
        <w:rPr>
          <w:rFonts w:ascii="Arial" w:eastAsia="Arial" w:hAnsi="Arial" w:cs="Arial"/>
          <w:sz w:val="22"/>
          <w:szCs w:val="22"/>
        </w:rPr>
        <w:t>Nómina y todos los gastos inherentes a ella, servicio de aseo y gastos de cafetería, servicio de seguridad y</w:t>
      </w:r>
      <w:r>
        <w:rPr>
          <w:rFonts w:ascii="Arial" w:eastAsia="Arial" w:hAnsi="Arial" w:cs="Arial"/>
          <w:sz w:val="22"/>
          <w:szCs w:val="22"/>
        </w:rPr>
        <w:t xml:space="preserve"> vigilancia, servicio de mensajería urbana y motorizada, Servicios Públicos (Agua, Alcantarillado y Aseo, Energía, Teléfonos), cuota de administración correspondiente al inmueble donde funcionan las oficinas de la entidad, arrendamientos de bienes muebles </w:t>
      </w:r>
      <w:r>
        <w:rPr>
          <w:rFonts w:ascii="Arial" w:eastAsia="Arial" w:hAnsi="Arial" w:cs="Arial"/>
          <w:sz w:val="22"/>
          <w:szCs w:val="22"/>
        </w:rPr>
        <w:t>e inmuebles, seguros, mantenimientos de la sede, materiales y suministros varios, comisión del encargo fiduciario (hasta el 31 de octubre de 2019), entre otros gastos menores.</w:t>
      </w:r>
    </w:p>
    <w:p w:rsidR="00B202A2" w:rsidRDefault="00295E06">
      <w:pPr>
        <w:spacing w:before="240"/>
        <w:jc w:val="both"/>
        <w:rPr>
          <w:rFonts w:ascii="Arial" w:eastAsia="Arial" w:hAnsi="Arial" w:cs="Arial"/>
          <w:b/>
          <w:sz w:val="22"/>
          <w:szCs w:val="22"/>
        </w:rPr>
      </w:pPr>
      <w:r>
        <w:rPr>
          <w:rFonts w:ascii="Arial" w:eastAsia="Arial" w:hAnsi="Arial" w:cs="Arial"/>
          <w:b/>
          <w:sz w:val="22"/>
          <w:szCs w:val="22"/>
        </w:rPr>
        <w:t>Proyectos de inversión</w:t>
      </w:r>
    </w:p>
    <w:p w:rsidR="00B202A2" w:rsidRDefault="00B202A2">
      <w:pPr>
        <w:jc w:val="both"/>
        <w:rPr>
          <w:rFonts w:ascii="Arial" w:eastAsia="Arial" w:hAnsi="Arial" w:cs="Arial"/>
          <w:b/>
          <w:sz w:val="22"/>
          <w:szCs w:val="22"/>
        </w:rPr>
      </w:pPr>
    </w:p>
    <w:p w:rsidR="00B202A2" w:rsidRDefault="00295E06">
      <w:pPr>
        <w:jc w:val="both"/>
        <w:rPr>
          <w:rFonts w:ascii="Arial" w:eastAsia="Arial" w:hAnsi="Arial" w:cs="Arial"/>
          <w:sz w:val="22"/>
          <w:szCs w:val="22"/>
        </w:rPr>
      </w:pPr>
      <w:r>
        <w:rPr>
          <w:rFonts w:ascii="Arial" w:eastAsia="Arial" w:hAnsi="Arial" w:cs="Arial"/>
          <w:sz w:val="22"/>
          <w:szCs w:val="22"/>
        </w:rPr>
        <w:t>En la ejecución presupuestal en los proyectos de inversión con corte a 31 de diciembre de 2019, se destacan los compromisos y las correlativas obligaciones asociadas a cada uno de los proyectos de la UPME en los siguientes términos:</w:t>
      </w:r>
    </w:p>
    <w:p w:rsidR="00B202A2" w:rsidRDefault="00B202A2">
      <w:pPr>
        <w:jc w:val="both"/>
        <w:rPr>
          <w:rFonts w:ascii="Arial" w:eastAsia="Arial" w:hAnsi="Arial" w:cs="Arial"/>
          <w:sz w:val="22"/>
          <w:szCs w:val="22"/>
        </w:rPr>
      </w:pPr>
    </w:p>
    <w:p w:rsidR="00B202A2" w:rsidRDefault="00295E06">
      <w:pPr>
        <w:jc w:val="center"/>
        <w:rPr>
          <w:rFonts w:ascii="Arial" w:eastAsia="Arial" w:hAnsi="Arial" w:cs="Arial"/>
          <w:b/>
          <w:sz w:val="22"/>
          <w:szCs w:val="22"/>
        </w:rPr>
      </w:pPr>
      <w:bookmarkStart w:id="59" w:name="_heading=h.pndbcg6248v0" w:colFirst="0" w:colLast="0"/>
      <w:bookmarkEnd w:id="59"/>
      <w:r>
        <w:rPr>
          <w:rFonts w:ascii="Arial" w:eastAsia="Arial" w:hAnsi="Arial" w:cs="Arial"/>
          <w:b/>
          <w:sz w:val="22"/>
          <w:szCs w:val="22"/>
          <w:u w:val="single"/>
        </w:rPr>
        <w:t>Tabla 11. Proyectos de</w:t>
      </w:r>
      <w:r>
        <w:rPr>
          <w:rFonts w:ascii="Arial" w:eastAsia="Arial" w:hAnsi="Arial" w:cs="Arial"/>
          <w:b/>
          <w:sz w:val="22"/>
          <w:szCs w:val="22"/>
          <w:u w:val="single"/>
        </w:rPr>
        <w:t xml:space="preserve"> Inversión  </w:t>
      </w:r>
    </w:p>
    <w:p w:rsidR="00B202A2" w:rsidRDefault="00295E06">
      <w:pPr>
        <w:jc w:val="both"/>
        <w:rPr>
          <w:rFonts w:ascii="Arial" w:eastAsia="Arial" w:hAnsi="Arial" w:cs="Arial"/>
          <w:sz w:val="22"/>
          <w:szCs w:val="22"/>
        </w:rPr>
      </w:pPr>
      <w:r>
        <w:rPr>
          <w:rFonts w:ascii="Arial" w:eastAsia="Arial" w:hAnsi="Arial" w:cs="Arial"/>
          <w:sz w:val="22"/>
          <w:szCs w:val="22"/>
        </w:rPr>
        <w:t xml:space="preserve"> </w:t>
      </w:r>
    </w:p>
    <w:tbl>
      <w:tblPr>
        <w:tblStyle w:val="affc"/>
        <w:tblW w:w="969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05"/>
        <w:gridCol w:w="2460"/>
        <w:gridCol w:w="1350"/>
        <w:gridCol w:w="1410"/>
        <w:gridCol w:w="1125"/>
        <w:gridCol w:w="1335"/>
        <w:gridCol w:w="1305"/>
      </w:tblGrid>
      <w:tr w:rsidR="00B202A2">
        <w:trPr>
          <w:trHeight w:val="465"/>
          <w:jc w:val="center"/>
        </w:trPr>
        <w:tc>
          <w:tcPr>
            <w:tcW w:w="705" w:type="dxa"/>
            <w:vMerge w:val="restart"/>
            <w:tcBorders>
              <w:top w:val="single" w:sz="8" w:space="0" w:color="000000"/>
              <w:left w:val="single" w:sz="8" w:space="0" w:color="000000"/>
              <w:bottom w:val="single" w:sz="8" w:space="0" w:color="000000"/>
              <w:right w:val="single" w:sz="8" w:space="0" w:color="000000"/>
            </w:tcBorders>
            <w:shd w:val="clear" w:color="auto" w:fill="CFE2F3"/>
            <w:tcMar>
              <w:top w:w="100" w:type="dxa"/>
              <w:left w:w="80" w:type="dxa"/>
              <w:bottom w:w="100" w:type="dxa"/>
              <w:right w:w="80" w:type="dxa"/>
            </w:tcMar>
          </w:tcPr>
          <w:p w:rsidR="00B202A2" w:rsidRDefault="00295E06">
            <w:pPr>
              <w:rPr>
                <w:rFonts w:ascii="Arial" w:eastAsia="Arial" w:hAnsi="Arial" w:cs="Arial"/>
                <w:b/>
                <w:sz w:val="22"/>
                <w:szCs w:val="22"/>
              </w:rPr>
            </w:pPr>
            <w:r>
              <w:rPr>
                <w:rFonts w:ascii="Arial" w:eastAsia="Arial" w:hAnsi="Arial" w:cs="Arial"/>
                <w:b/>
                <w:sz w:val="22"/>
                <w:szCs w:val="22"/>
              </w:rPr>
              <w:t>Rec.</w:t>
            </w:r>
          </w:p>
        </w:tc>
        <w:tc>
          <w:tcPr>
            <w:tcW w:w="2460" w:type="dxa"/>
            <w:vMerge w:val="restart"/>
            <w:tcBorders>
              <w:top w:val="single" w:sz="8" w:space="0" w:color="000000"/>
              <w:left w:val="nil"/>
              <w:bottom w:val="single" w:sz="8" w:space="0" w:color="000000"/>
              <w:right w:val="single" w:sz="8" w:space="0" w:color="000000"/>
            </w:tcBorders>
            <w:shd w:val="clear" w:color="auto" w:fill="CFE2F3"/>
            <w:tcMar>
              <w:top w:w="100" w:type="dxa"/>
              <w:left w:w="80" w:type="dxa"/>
              <w:bottom w:w="100" w:type="dxa"/>
              <w:right w:w="80" w:type="dxa"/>
            </w:tcMar>
          </w:tcPr>
          <w:p w:rsidR="00B202A2" w:rsidRDefault="00295E06">
            <w:pPr>
              <w:ind w:left="280"/>
              <w:jc w:val="center"/>
              <w:rPr>
                <w:rFonts w:ascii="Arial" w:eastAsia="Arial" w:hAnsi="Arial" w:cs="Arial"/>
                <w:b/>
                <w:sz w:val="22"/>
                <w:szCs w:val="22"/>
              </w:rPr>
            </w:pPr>
            <w:r>
              <w:rPr>
                <w:rFonts w:ascii="Arial" w:eastAsia="Arial" w:hAnsi="Arial" w:cs="Arial"/>
                <w:b/>
                <w:sz w:val="22"/>
                <w:szCs w:val="22"/>
              </w:rPr>
              <w:t>Descripción</w:t>
            </w:r>
          </w:p>
        </w:tc>
        <w:tc>
          <w:tcPr>
            <w:tcW w:w="1350" w:type="dxa"/>
            <w:vMerge w:val="restart"/>
            <w:tcBorders>
              <w:top w:val="single" w:sz="8" w:space="0" w:color="000000"/>
              <w:left w:val="nil"/>
              <w:bottom w:val="single" w:sz="8" w:space="0" w:color="000000"/>
              <w:right w:val="single" w:sz="8" w:space="0" w:color="000000"/>
            </w:tcBorders>
            <w:shd w:val="clear" w:color="auto" w:fill="CFE2F3"/>
            <w:tcMar>
              <w:top w:w="100" w:type="dxa"/>
              <w:left w:w="80" w:type="dxa"/>
              <w:bottom w:w="100" w:type="dxa"/>
              <w:right w:w="80" w:type="dxa"/>
            </w:tcMar>
          </w:tcPr>
          <w:p w:rsidR="00B202A2" w:rsidRDefault="00295E06">
            <w:pPr>
              <w:ind w:left="280"/>
              <w:rPr>
                <w:rFonts w:ascii="Arial" w:eastAsia="Arial" w:hAnsi="Arial" w:cs="Arial"/>
                <w:b/>
                <w:sz w:val="22"/>
                <w:szCs w:val="22"/>
              </w:rPr>
            </w:pPr>
            <w:r>
              <w:rPr>
                <w:rFonts w:ascii="Arial" w:eastAsia="Arial" w:hAnsi="Arial" w:cs="Arial"/>
                <w:b/>
                <w:sz w:val="22"/>
                <w:szCs w:val="22"/>
              </w:rPr>
              <w:t>Apropiación  Vigente</w:t>
            </w:r>
          </w:p>
        </w:tc>
        <w:tc>
          <w:tcPr>
            <w:tcW w:w="2535" w:type="dxa"/>
            <w:gridSpan w:val="2"/>
            <w:tcBorders>
              <w:top w:val="single" w:sz="8" w:space="0" w:color="000000"/>
              <w:left w:val="nil"/>
              <w:bottom w:val="single" w:sz="8" w:space="0" w:color="000000"/>
              <w:right w:val="single" w:sz="8" w:space="0" w:color="000000"/>
            </w:tcBorders>
            <w:shd w:val="clear" w:color="auto" w:fill="CFE2F3"/>
            <w:tcMar>
              <w:top w:w="100" w:type="dxa"/>
              <w:left w:w="80" w:type="dxa"/>
              <w:bottom w:w="100" w:type="dxa"/>
              <w:right w:w="80" w:type="dxa"/>
            </w:tcMar>
          </w:tcPr>
          <w:p w:rsidR="00B202A2" w:rsidRDefault="00295E06">
            <w:pPr>
              <w:ind w:left="280"/>
              <w:jc w:val="center"/>
              <w:rPr>
                <w:rFonts w:ascii="Arial" w:eastAsia="Arial" w:hAnsi="Arial" w:cs="Arial"/>
                <w:b/>
                <w:sz w:val="22"/>
                <w:szCs w:val="22"/>
              </w:rPr>
            </w:pPr>
            <w:r>
              <w:rPr>
                <w:rFonts w:ascii="Arial" w:eastAsia="Arial" w:hAnsi="Arial" w:cs="Arial"/>
                <w:b/>
                <w:sz w:val="22"/>
                <w:szCs w:val="22"/>
              </w:rPr>
              <w:t>Compromisos</w:t>
            </w:r>
          </w:p>
        </w:tc>
        <w:tc>
          <w:tcPr>
            <w:tcW w:w="2640" w:type="dxa"/>
            <w:gridSpan w:val="2"/>
            <w:tcBorders>
              <w:top w:val="single" w:sz="8" w:space="0" w:color="000000"/>
              <w:left w:val="nil"/>
              <w:bottom w:val="single" w:sz="8" w:space="0" w:color="000000"/>
              <w:right w:val="single" w:sz="8" w:space="0" w:color="000000"/>
            </w:tcBorders>
            <w:shd w:val="clear" w:color="auto" w:fill="CFE2F3"/>
            <w:tcMar>
              <w:top w:w="100" w:type="dxa"/>
              <w:left w:w="80" w:type="dxa"/>
              <w:bottom w:w="100" w:type="dxa"/>
              <w:right w:w="80" w:type="dxa"/>
            </w:tcMar>
          </w:tcPr>
          <w:p w:rsidR="00B202A2" w:rsidRDefault="00295E06">
            <w:pPr>
              <w:ind w:left="280"/>
              <w:jc w:val="center"/>
              <w:rPr>
                <w:rFonts w:ascii="Arial" w:eastAsia="Arial" w:hAnsi="Arial" w:cs="Arial"/>
                <w:b/>
                <w:sz w:val="22"/>
                <w:szCs w:val="22"/>
              </w:rPr>
            </w:pPr>
            <w:r>
              <w:rPr>
                <w:rFonts w:ascii="Arial" w:eastAsia="Arial" w:hAnsi="Arial" w:cs="Arial"/>
                <w:b/>
                <w:sz w:val="22"/>
                <w:szCs w:val="22"/>
              </w:rPr>
              <w:t>Obligaciones</w:t>
            </w:r>
          </w:p>
        </w:tc>
      </w:tr>
      <w:tr w:rsidR="00B202A2">
        <w:trPr>
          <w:trHeight w:val="405"/>
          <w:jc w:val="center"/>
        </w:trPr>
        <w:tc>
          <w:tcPr>
            <w:tcW w:w="705" w:type="dxa"/>
            <w:vMerge/>
            <w:tcBorders>
              <w:top w:val="single" w:sz="8" w:space="0" w:color="000000"/>
              <w:left w:val="single" w:sz="8" w:space="0" w:color="000000"/>
              <w:bottom w:val="single" w:sz="8" w:space="0" w:color="000000"/>
              <w:right w:val="single" w:sz="8" w:space="0" w:color="000000"/>
            </w:tcBorders>
            <w:shd w:val="clear" w:color="auto" w:fill="CFE2F3"/>
            <w:tcMar>
              <w:top w:w="100" w:type="dxa"/>
              <w:left w:w="80" w:type="dxa"/>
              <w:bottom w:w="100" w:type="dxa"/>
              <w:right w:w="80" w:type="dxa"/>
            </w:tcMar>
          </w:tcPr>
          <w:p w:rsidR="00B202A2" w:rsidRDefault="00B202A2">
            <w:pPr>
              <w:widowControl w:val="0"/>
              <w:pBdr>
                <w:top w:val="nil"/>
                <w:left w:val="nil"/>
                <w:bottom w:val="nil"/>
                <w:right w:val="nil"/>
                <w:between w:val="nil"/>
              </w:pBdr>
              <w:spacing w:line="276" w:lineRule="auto"/>
              <w:rPr>
                <w:rFonts w:ascii="Arial" w:eastAsia="Arial" w:hAnsi="Arial" w:cs="Arial"/>
                <w:b/>
                <w:sz w:val="22"/>
                <w:szCs w:val="22"/>
              </w:rPr>
            </w:pPr>
          </w:p>
        </w:tc>
        <w:tc>
          <w:tcPr>
            <w:tcW w:w="2460" w:type="dxa"/>
            <w:vMerge/>
            <w:tcBorders>
              <w:top w:val="single" w:sz="8" w:space="0" w:color="000000"/>
              <w:left w:val="nil"/>
              <w:bottom w:val="single" w:sz="8" w:space="0" w:color="000000"/>
              <w:right w:val="single" w:sz="8" w:space="0" w:color="000000"/>
            </w:tcBorders>
            <w:shd w:val="clear" w:color="auto" w:fill="CFE2F3"/>
            <w:tcMar>
              <w:top w:w="100" w:type="dxa"/>
              <w:left w:w="80" w:type="dxa"/>
              <w:bottom w:w="100" w:type="dxa"/>
              <w:right w:w="80" w:type="dxa"/>
            </w:tcMar>
          </w:tcPr>
          <w:p w:rsidR="00B202A2" w:rsidRDefault="00B202A2">
            <w:pPr>
              <w:widowControl w:val="0"/>
              <w:pBdr>
                <w:top w:val="nil"/>
                <w:left w:val="nil"/>
                <w:bottom w:val="nil"/>
                <w:right w:val="nil"/>
                <w:between w:val="nil"/>
              </w:pBdr>
              <w:spacing w:line="276" w:lineRule="auto"/>
              <w:rPr>
                <w:rFonts w:ascii="Arial" w:eastAsia="Arial" w:hAnsi="Arial" w:cs="Arial"/>
                <w:b/>
                <w:sz w:val="22"/>
                <w:szCs w:val="22"/>
              </w:rPr>
            </w:pPr>
          </w:p>
        </w:tc>
        <w:tc>
          <w:tcPr>
            <w:tcW w:w="1350" w:type="dxa"/>
            <w:vMerge/>
            <w:tcBorders>
              <w:top w:val="single" w:sz="8" w:space="0" w:color="000000"/>
              <w:left w:val="nil"/>
              <w:bottom w:val="single" w:sz="8" w:space="0" w:color="000000"/>
              <w:right w:val="single" w:sz="8" w:space="0" w:color="000000"/>
            </w:tcBorders>
            <w:shd w:val="clear" w:color="auto" w:fill="CFE2F3"/>
            <w:tcMar>
              <w:top w:w="100" w:type="dxa"/>
              <w:left w:w="80" w:type="dxa"/>
              <w:bottom w:w="100" w:type="dxa"/>
              <w:right w:w="80" w:type="dxa"/>
            </w:tcMar>
          </w:tcPr>
          <w:p w:rsidR="00B202A2" w:rsidRDefault="00B202A2">
            <w:pPr>
              <w:widowControl w:val="0"/>
              <w:pBdr>
                <w:top w:val="nil"/>
                <w:left w:val="nil"/>
                <w:bottom w:val="nil"/>
                <w:right w:val="nil"/>
                <w:between w:val="nil"/>
              </w:pBdr>
              <w:spacing w:line="276" w:lineRule="auto"/>
              <w:rPr>
                <w:rFonts w:ascii="Arial" w:eastAsia="Arial" w:hAnsi="Arial" w:cs="Arial"/>
                <w:b/>
                <w:sz w:val="22"/>
                <w:szCs w:val="22"/>
              </w:rPr>
            </w:pPr>
          </w:p>
        </w:tc>
        <w:tc>
          <w:tcPr>
            <w:tcW w:w="1410" w:type="dxa"/>
            <w:tcBorders>
              <w:top w:val="nil"/>
              <w:left w:val="nil"/>
              <w:bottom w:val="single" w:sz="8" w:space="0" w:color="000000"/>
              <w:right w:val="single" w:sz="8" w:space="0" w:color="000000"/>
            </w:tcBorders>
            <w:shd w:val="clear" w:color="auto" w:fill="CFE2F3"/>
            <w:tcMar>
              <w:top w:w="100" w:type="dxa"/>
              <w:left w:w="80" w:type="dxa"/>
              <w:bottom w:w="100" w:type="dxa"/>
              <w:right w:w="80" w:type="dxa"/>
            </w:tcMar>
          </w:tcPr>
          <w:p w:rsidR="00B202A2" w:rsidRDefault="00295E06">
            <w:pPr>
              <w:ind w:left="280"/>
              <w:jc w:val="center"/>
              <w:rPr>
                <w:rFonts w:ascii="Arial" w:eastAsia="Arial" w:hAnsi="Arial" w:cs="Arial"/>
                <w:b/>
                <w:sz w:val="22"/>
                <w:szCs w:val="22"/>
              </w:rPr>
            </w:pPr>
            <w:r>
              <w:rPr>
                <w:rFonts w:ascii="Arial" w:eastAsia="Arial" w:hAnsi="Arial" w:cs="Arial"/>
                <w:b/>
                <w:sz w:val="22"/>
                <w:szCs w:val="22"/>
              </w:rPr>
              <w:t>Valor</w:t>
            </w:r>
          </w:p>
        </w:tc>
        <w:tc>
          <w:tcPr>
            <w:tcW w:w="1125" w:type="dxa"/>
            <w:tcBorders>
              <w:top w:val="nil"/>
              <w:left w:val="nil"/>
              <w:bottom w:val="single" w:sz="8" w:space="0" w:color="000000"/>
              <w:right w:val="single" w:sz="8" w:space="0" w:color="000000"/>
            </w:tcBorders>
            <w:shd w:val="clear" w:color="auto" w:fill="CFE2F3"/>
            <w:tcMar>
              <w:top w:w="100" w:type="dxa"/>
              <w:left w:w="80" w:type="dxa"/>
              <w:bottom w:w="100" w:type="dxa"/>
              <w:right w:w="80" w:type="dxa"/>
            </w:tcMar>
          </w:tcPr>
          <w:p w:rsidR="00B202A2" w:rsidRDefault="00295E06">
            <w:pPr>
              <w:ind w:left="280"/>
              <w:jc w:val="center"/>
              <w:rPr>
                <w:rFonts w:ascii="Arial" w:eastAsia="Arial" w:hAnsi="Arial" w:cs="Arial"/>
                <w:b/>
                <w:sz w:val="22"/>
                <w:szCs w:val="22"/>
              </w:rPr>
            </w:pPr>
            <w:r>
              <w:rPr>
                <w:rFonts w:ascii="Arial" w:eastAsia="Arial" w:hAnsi="Arial" w:cs="Arial"/>
                <w:b/>
                <w:sz w:val="22"/>
                <w:szCs w:val="22"/>
              </w:rPr>
              <w:t>%</w:t>
            </w:r>
          </w:p>
        </w:tc>
        <w:tc>
          <w:tcPr>
            <w:tcW w:w="1335" w:type="dxa"/>
            <w:tcBorders>
              <w:top w:val="nil"/>
              <w:left w:val="nil"/>
              <w:bottom w:val="single" w:sz="8" w:space="0" w:color="000000"/>
              <w:right w:val="single" w:sz="8" w:space="0" w:color="000000"/>
            </w:tcBorders>
            <w:shd w:val="clear" w:color="auto" w:fill="CFE2F3"/>
            <w:tcMar>
              <w:top w:w="100" w:type="dxa"/>
              <w:left w:w="80" w:type="dxa"/>
              <w:bottom w:w="100" w:type="dxa"/>
              <w:right w:w="80" w:type="dxa"/>
            </w:tcMar>
          </w:tcPr>
          <w:p w:rsidR="00B202A2" w:rsidRDefault="00295E06">
            <w:pPr>
              <w:ind w:left="280"/>
              <w:jc w:val="center"/>
              <w:rPr>
                <w:rFonts w:ascii="Arial" w:eastAsia="Arial" w:hAnsi="Arial" w:cs="Arial"/>
                <w:b/>
                <w:sz w:val="22"/>
                <w:szCs w:val="22"/>
              </w:rPr>
            </w:pPr>
            <w:r>
              <w:rPr>
                <w:rFonts w:ascii="Arial" w:eastAsia="Arial" w:hAnsi="Arial" w:cs="Arial"/>
                <w:b/>
                <w:sz w:val="22"/>
                <w:szCs w:val="22"/>
              </w:rPr>
              <w:t>Valor</w:t>
            </w:r>
          </w:p>
        </w:tc>
        <w:tc>
          <w:tcPr>
            <w:tcW w:w="1305" w:type="dxa"/>
            <w:tcBorders>
              <w:top w:val="nil"/>
              <w:left w:val="nil"/>
              <w:bottom w:val="single" w:sz="8" w:space="0" w:color="000000"/>
              <w:right w:val="single" w:sz="8" w:space="0" w:color="000000"/>
            </w:tcBorders>
            <w:shd w:val="clear" w:color="auto" w:fill="CFE2F3"/>
            <w:tcMar>
              <w:top w:w="100" w:type="dxa"/>
              <w:left w:w="80" w:type="dxa"/>
              <w:bottom w:w="100" w:type="dxa"/>
              <w:right w:w="80" w:type="dxa"/>
            </w:tcMar>
          </w:tcPr>
          <w:p w:rsidR="00B202A2" w:rsidRDefault="00295E06">
            <w:pPr>
              <w:ind w:left="280"/>
              <w:jc w:val="center"/>
              <w:rPr>
                <w:rFonts w:ascii="Arial" w:eastAsia="Arial" w:hAnsi="Arial" w:cs="Arial"/>
                <w:b/>
                <w:sz w:val="22"/>
                <w:szCs w:val="22"/>
              </w:rPr>
            </w:pPr>
            <w:r>
              <w:rPr>
                <w:rFonts w:ascii="Arial" w:eastAsia="Arial" w:hAnsi="Arial" w:cs="Arial"/>
                <w:b/>
                <w:sz w:val="22"/>
                <w:szCs w:val="22"/>
              </w:rPr>
              <w:t>%</w:t>
            </w:r>
          </w:p>
        </w:tc>
      </w:tr>
      <w:tr w:rsidR="00B202A2">
        <w:trPr>
          <w:trHeight w:val="893"/>
          <w:jc w:val="center"/>
        </w:trPr>
        <w:tc>
          <w:tcPr>
            <w:tcW w:w="3165" w:type="dxa"/>
            <w:gridSpan w:val="2"/>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Inversión</w:t>
            </w:r>
          </w:p>
        </w:tc>
        <w:tc>
          <w:tcPr>
            <w:tcW w:w="13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$19.583,5</w:t>
            </w:r>
          </w:p>
        </w:tc>
        <w:tc>
          <w:tcPr>
            <w:tcW w:w="141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$18.454,0</w:t>
            </w:r>
          </w:p>
        </w:tc>
        <w:tc>
          <w:tcPr>
            <w:tcW w:w="1125"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94,23%</w:t>
            </w:r>
          </w:p>
        </w:tc>
        <w:tc>
          <w:tcPr>
            <w:tcW w:w="1335"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$18.453,2</w:t>
            </w:r>
          </w:p>
        </w:tc>
        <w:tc>
          <w:tcPr>
            <w:tcW w:w="1305"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ind w:left="280"/>
              <w:jc w:val="center"/>
              <w:rPr>
                <w:rFonts w:ascii="Arial" w:eastAsia="Arial" w:hAnsi="Arial" w:cs="Arial"/>
                <w:b/>
                <w:sz w:val="22"/>
                <w:szCs w:val="22"/>
              </w:rPr>
            </w:pPr>
            <w:r>
              <w:rPr>
                <w:rFonts w:ascii="Arial" w:eastAsia="Arial" w:hAnsi="Arial" w:cs="Arial"/>
                <w:b/>
                <w:sz w:val="22"/>
                <w:szCs w:val="22"/>
              </w:rPr>
              <w:t>94,23%</w:t>
            </w:r>
          </w:p>
        </w:tc>
      </w:tr>
      <w:tr w:rsidR="00B202A2">
        <w:trPr>
          <w:trHeight w:val="725"/>
          <w:jc w:val="center"/>
        </w:trPr>
        <w:tc>
          <w:tcPr>
            <w:tcW w:w="705" w:type="dxa"/>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ind w:left="280"/>
              <w:rPr>
                <w:rFonts w:ascii="Arial" w:eastAsia="Arial" w:hAnsi="Arial" w:cs="Arial"/>
                <w:sz w:val="22"/>
                <w:szCs w:val="22"/>
              </w:rPr>
            </w:pPr>
            <w:r>
              <w:rPr>
                <w:rFonts w:ascii="Arial" w:eastAsia="Arial" w:hAnsi="Arial" w:cs="Arial"/>
                <w:sz w:val="22"/>
                <w:szCs w:val="22"/>
              </w:rPr>
              <w:t>20</w:t>
            </w:r>
          </w:p>
        </w:tc>
        <w:tc>
          <w:tcPr>
            <w:tcW w:w="246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ind w:left="280"/>
              <w:rPr>
                <w:rFonts w:ascii="Arial" w:eastAsia="Arial" w:hAnsi="Arial" w:cs="Arial"/>
                <w:sz w:val="20"/>
                <w:szCs w:val="20"/>
              </w:rPr>
            </w:pPr>
            <w:r>
              <w:rPr>
                <w:rFonts w:ascii="Arial" w:eastAsia="Arial" w:hAnsi="Arial" w:cs="Arial"/>
                <w:sz w:val="20"/>
                <w:szCs w:val="20"/>
              </w:rPr>
              <w:t>Asesoría en la articulación de acciones para la expansión del sub sector eléctrico a nivel nacional</w:t>
            </w:r>
          </w:p>
        </w:tc>
        <w:tc>
          <w:tcPr>
            <w:tcW w:w="13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ind w:left="280"/>
              <w:jc w:val="center"/>
              <w:rPr>
                <w:rFonts w:ascii="Arial" w:eastAsia="Arial" w:hAnsi="Arial" w:cs="Arial"/>
                <w:sz w:val="22"/>
                <w:szCs w:val="22"/>
              </w:rPr>
            </w:pPr>
            <w:r>
              <w:rPr>
                <w:rFonts w:ascii="Arial" w:eastAsia="Arial" w:hAnsi="Arial" w:cs="Arial"/>
                <w:sz w:val="22"/>
                <w:szCs w:val="22"/>
              </w:rPr>
              <w:t>$1.130,1</w:t>
            </w:r>
          </w:p>
        </w:tc>
        <w:tc>
          <w:tcPr>
            <w:tcW w:w="141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ind w:left="280"/>
              <w:jc w:val="center"/>
              <w:rPr>
                <w:rFonts w:ascii="Arial" w:eastAsia="Arial" w:hAnsi="Arial" w:cs="Arial"/>
                <w:sz w:val="22"/>
                <w:szCs w:val="22"/>
              </w:rPr>
            </w:pPr>
            <w:r>
              <w:rPr>
                <w:rFonts w:ascii="Arial" w:eastAsia="Arial" w:hAnsi="Arial" w:cs="Arial"/>
                <w:sz w:val="22"/>
                <w:szCs w:val="22"/>
              </w:rPr>
              <w:t>$ 1.099,2</w:t>
            </w:r>
          </w:p>
        </w:tc>
        <w:tc>
          <w:tcPr>
            <w:tcW w:w="1125"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97,00%</w:t>
            </w:r>
          </w:p>
        </w:tc>
        <w:tc>
          <w:tcPr>
            <w:tcW w:w="1335"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ind w:left="280"/>
              <w:jc w:val="center"/>
              <w:rPr>
                <w:rFonts w:ascii="Arial" w:eastAsia="Arial" w:hAnsi="Arial" w:cs="Arial"/>
                <w:sz w:val="22"/>
                <w:szCs w:val="22"/>
              </w:rPr>
            </w:pPr>
            <w:r>
              <w:rPr>
                <w:rFonts w:ascii="Arial" w:eastAsia="Arial" w:hAnsi="Arial" w:cs="Arial"/>
                <w:sz w:val="22"/>
                <w:szCs w:val="22"/>
              </w:rPr>
              <w:t>$1.099,2</w:t>
            </w:r>
          </w:p>
        </w:tc>
        <w:tc>
          <w:tcPr>
            <w:tcW w:w="1305"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ind w:left="280"/>
              <w:jc w:val="center"/>
              <w:rPr>
                <w:rFonts w:ascii="Arial" w:eastAsia="Arial" w:hAnsi="Arial" w:cs="Arial"/>
                <w:sz w:val="22"/>
                <w:szCs w:val="22"/>
              </w:rPr>
            </w:pPr>
            <w:r>
              <w:rPr>
                <w:rFonts w:ascii="Arial" w:eastAsia="Arial" w:hAnsi="Arial" w:cs="Arial"/>
                <w:sz w:val="22"/>
                <w:szCs w:val="22"/>
              </w:rPr>
              <w:t>27,30%</w:t>
            </w:r>
          </w:p>
        </w:tc>
      </w:tr>
      <w:tr w:rsidR="00B202A2">
        <w:trPr>
          <w:trHeight w:val="725"/>
          <w:jc w:val="center"/>
        </w:trPr>
        <w:tc>
          <w:tcPr>
            <w:tcW w:w="705" w:type="dxa"/>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ind w:left="280"/>
              <w:rPr>
                <w:rFonts w:ascii="Arial" w:eastAsia="Arial" w:hAnsi="Arial" w:cs="Arial"/>
                <w:sz w:val="22"/>
                <w:szCs w:val="22"/>
              </w:rPr>
            </w:pPr>
            <w:r>
              <w:rPr>
                <w:rFonts w:ascii="Arial" w:eastAsia="Arial" w:hAnsi="Arial" w:cs="Arial"/>
                <w:sz w:val="22"/>
                <w:szCs w:val="22"/>
              </w:rPr>
              <w:t>20</w:t>
            </w:r>
          </w:p>
        </w:tc>
        <w:tc>
          <w:tcPr>
            <w:tcW w:w="246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ind w:left="280"/>
              <w:rPr>
                <w:rFonts w:ascii="Arial" w:eastAsia="Arial" w:hAnsi="Arial" w:cs="Arial"/>
                <w:sz w:val="20"/>
                <w:szCs w:val="20"/>
              </w:rPr>
            </w:pPr>
            <w:r>
              <w:rPr>
                <w:rFonts w:ascii="Arial" w:eastAsia="Arial" w:hAnsi="Arial" w:cs="Arial"/>
                <w:sz w:val="20"/>
                <w:szCs w:val="20"/>
              </w:rPr>
              <w:t xml:space="preserve">Desarrollo de elementos de la dimensión ambiental y social en la </w:t>
            </w:r>
            <w:r>
              <w:rPr>
                <w:rFonts w:ascii="Arial" w:eastAsia="Arial" w:hAnsi="Arial" w:cs="Arial"/>
                <w:sz w:val="20"/>
                <w:szCs w:val="20"/>
              </w:rPr>
              <w:lastRenderedPageBreak/>
              <w:t>planeación del sector minero energético a nivel nacional</w:t>
            </w:r>
          </w:p>
        </w:tc>
        <w:tc>
          <w:tcPr>
            <w:tcW w:w="13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ind w:left="280"/>
              <w:jc w:val="center"/>
              <w:rPr>
                <w:rFonts w:ascii="Arial" w:eastAsia="Arial" w:hAnsi="Arial" w:cs="Arial"/>
                <w:sz w:val="22"/>
                <w:szCs w:val="22"/>
              </w:rPr>
            </w:pPr>
            <w:r>
              <w:rPr>
                <w:rFonts w:ascii="Arial" w:eastAsia="Arial" w:hAnsi="Arial" w:cs="Arial"/>
                <w:sz w:val="22"/>
                <w:szCs w:val="22"/>
              </w:rPr>
              <w:lastRenderedPageBreak/>
              <w:t>$992,1</w:t>
            </w:r>
          </w:p>
        </w:tc>
        <w:tc>
          <w:tcPr>
            <w:tcW w:w="141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ind w:left="280"/>
              <w:jc w:val="center"/>
              <w:rPr>
                <w:rFonts w:ascii="Arial" w:eastAsia="Arial" w:hAnsi="Arial" w:cs="Arial"/>
                <w:sz w:val="22"/>
                <w:szCs w:val="22"/>
              </w:rPr>
            </w:pPr>
            <w:r>
              <w:rPr>
                <w:rFonts w:ascii="Arial" w:eastAsia="Arial" w:hAnsi="Arial" w:cs="Arial"/>
                <w:sz w:val="22"/>
                <w:szCs w:val="22"/>
              </w:rPr>
              <w:t>$ 988,1</w:t>
            </w:r>
          </w:p>
        </w:tc>
        <w:tc>
          <w:tcPr>
            <w:tcW w:w="1125"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100,00%</w:t>
            </w:r>
          </w:p>
        </w:tc>
        <w:tc>
          <w:tcPr>
            <w:tcW w:w="1335"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ind w:left="280"/>
              <w:jc w:val="center"/>
              <w:rPr>
                <w:rFonts w:ascii="Arial" w:eastAsia="Arial" w:hAnsi="Arial" w:cs="Arial"/>
                <w:sz w:val="22"/>
                <w:szCs w:val="22"/>
              </w:rPr>
            </w:pPr>
            <w:r>
              <w:rPr>
                <w:rFonts w:ascii="Arial" w:eastAsia="Arial" w:hAnsi="Arial" w:cs="Arial"/>
                <w:sz w:val="22"/>
                <w:szCs w:val="22"/>
              </w:rPr>
              <w:t>$ 988,1</w:t>
            </w:r>
          </w:p>
        </w:tc>
        <w:tc>
          <w:tcPr>
            <w:tcW w:w="1305"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ind w:left="280"/>
              <w:jc w:val="center"/>
              <w:rPr>
                <w:rFonts w:ascii="Arial" w:eastAsia="Arial" w:hAnsi="Arial" w:cs="Arial"/>
                <w:sz w:val="22"/>
                <w:szCs w:val="22"/>
              </w:rPr>
            </w:pPr>
            <w:r>
              <w:rPr>
                <w:rFonts w:ascii="Arial" w:eastAsia="Arial" w:hAnsi="Arial" w:cs="Arial"/>
                <w:sz w:val="22"/>
                <w:szCs w:val="22"/>
              </w:rPr>
              <w:t>9,20%</w:t>
            </w:r>
          </w:p>
        </w:tc>
      </w:tr>
      <w:tr w:rsidR="00B202A2">
        <w:trPr>
          <w:trHeight w:val="725"/>
          <w:jc w:val="center"/>
        </w:trPr>
        <w:tc>
          <w:tcPr>
            <w:tcW w:w="705" w:type="dxa"/>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ind w:left="280"/>
              <w:rPr>
                <w:rFonts w:ascii="Arial" w:eastAsia="Arial" w:hAnsi="Arial" w:cs="Arial"/>
                <w:sz w:val="22"/>
                <w:szCs w:val="22"/>
              </w:rPr>
            </w:pPr>
            <w:r>
              <w:rPr>
                <w:rFonts w:ascii="Arial" w:eastAsia="Arial" w:hAnsi="Arial" w:cs="Arial"/>
                <w:sz w:val="22"/>
                <w:szCs w:val="22"/>
              </w:rPr>
              <w:lastRenderedPageBreak/>
              <w:t>21</w:t>
            </w:r>
          </w:p>
        </w:tc>
        <w:tc>
          <w:tcPr>
            <w:tcW w:w="246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ind w:left="280"/>
              <w:rPr>
                <w:rFonts w:ascii="Arial" w:eastAsia="Arial" w:hAnsi="Arial" w:cs="Arial"/>
                <w:sz w:val="20"/>
                <w:szCs w:val="20"/>
              </w:rPr>
            </w:pPr>
            <w:r>
              <w:rPr>
                <w:rFonts w:ascii="Arial" w:eastAsia="Arial" w:hAnsi="Arial" w:cs="Arial"/>
                <w:sz w:val="20"/>
                <w:szCs w:val="20"/>
              </w:rPr>
              <w:t>Desarrollo de elementos de la dimensión ambiental y social en la planeación del sector minero energético a nivel nacional</w:t>
            </w:r>
          </w:p>
        </w:tc>
        <w:tc>
          <w:tcPr>
            <w:tcW w:w="13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ind w:left="280"/>
              <w:jc w:val="center"/>
              <w:rPr>
                <w:rFonts w:ascii="Arial" w:eastAsia="Arial" w:hAnsi="Arial" w:cs="Arial"/>
                <w:sz w:val="22"/>
                <w:szCs w:val="22"/>
              </w:rPr>
            </w:pPr>
            <w:r>
              <w:rPr>
                <w:rFonts w:ascii="Arial" w:eastAsia="Arial" w:hAnsi="Arial" w:cs="Arial"/>
                <w:sz w:val="22"/>
                <w:szCs w:val="22"/>
              </w:rPr>
              <w:t>$1.043,0</w:t>
            </w:r>
          </w:p>
        </w:tc>
        <w:tc>
          <w:tcPr>
            <w:tcW w:w="141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ind w:left="280"/>
              <w:jc w:val="center"/>
              <w:rPr>
                <w:rFonts w:ascii="Arial" w:eastAsia="Arial" w:hAnsi="Arial" w:cs="Arial"/>
                <w:sz w:val="22"/>
                <w:szCs w:val="22"/>
              </w:rPr>
            </w:pPr>
            <w:r>
              <w:rPr>
                <w:rFonts w:ascii="Arial" w:eastAsia="Arial" w:hAnsi="Arial" w:cs="Arial"/>
                <w:sz w:val="22"/>
                <w:szCs w:val="22"/>
              </w:rPr>
              <w:t>$ 1.037,5</w:t>
            </w:r>
          </w:p>
        </w:tc>
        <w:tc>
          <w:tcPr>
            <w:tcW w:w="1125"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99,00%</w:t>
            </w:r>
          </w:p>
        </w:tc>
        <w:tc>
          <w:tcPr>
            <w:tcW w:w="1335"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ind w:left="280"/>
              <w:jc w:val="center"/>
              <w:rPr>
                <w:rFonts w:ascii="Arial" w:eastAsia="Arial" w:hAnsi="Arial" w:cs="Arial"/>
                <w:sz w:val="22"/>
                <w:szCs w:val="22"/>
              </w:rPr>
            </w:pPr>
            <w:r>
              <w:rPr>
                <w:rFonts w:ascii="Arial" w:eastAsia="Arial" w:hAnsi="Arial" w:cs="Arial"/>
                <w:sz w:val="22"/>
                <w:szCs w:val="22"/>
              </w:rPr>
              <w:t>$1.037,5</w:t>
            </w:r>
          </w:p>
        </w:tc>
        <w:tc>
          <w:tcPr>
            <w:tcW w:w="1305"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ind w:left="280"/>
              <w:jc w:val="center"/>
              <w:rPr>
                <w:rFonts w:ascii="Arial" w:eastAsia="Arial" w:hAnsi="Arial" w:cs="Arial"/>
                <w:sz w:val="22"/>
                <w:szCs w:val="22"/>
              </w:rPr>
            </w:pPr>
            <w:r>
              <w:rPr>
                <w:rFonts w:ascii="Arial" w:eastAsia="Arial" w:hAnsi="Arial" w:cs="Arial"/>
                <w:sz w:val="22"/>
                <w:szCs w:val="22"/>
              </w:rPr>
              <w:t xml:space="preserve">99% </w:t>
            </w:r>
          </w:p>
        </w:tc>
      </w:tr>
      <w:tr w:rsidR="00B202A2">
        <w:trPr>
          <w:trHeight w:val="725"/>
          <w:jc w:val="center"/>
        </w:trPr>
        <w:tc>
          <w:tcPr>
            <w:tcW w:w="705" w:type="dxa"/>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ind w:left="280"/>
              <w:rPr>
                <w:rFonts w:ascii="Arial" w:eastAsia="Arial" w:hAnsi="Arial" w:cs="Arial"/>
                <w:sz w:val="22"/>
                <w:szCs w:val="22"/>
              </w:rPr>
            </w:pPr>
            <w:r>
              <w:rPr>
                <w:rFonts w:ascii="Arial" w:eastAsia="Arial" w:hAnsi="Arial" w:cs="Arial"/>
                <w:sz w:val="22"/>
                <w:szCs w:val="22"/>
              </w:rPr>
              <w:t>20</w:t>
            </w:r>
          </w:p>
        </w:tc>
        <w:tc>
          <w:tcPr>
            <w:tcW w:w="246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ind w:left="280"/>
              <w:rPr>
                <w:rFonts w:ascii="Arial" w:eastAsia="Arial" w:hAnsi="Arial" w:cs="Arial"/>
                <w:sz w:val="20"/>
                <w:szCs w:val="20"/>
              </w:rPr>
            </w:pPr>
            <w:r>
              <w:rPr>
                <w:rFonts w:ascii="Arial" w:eastAsia="Arial" w:hAnsi="Arial" w:cs="Arial"/>
                <w:sz w:val="20"/>
                <w:szCs w:val="20"/>
              </w:rPr>
              <w:t>Asesoría para la planeación integral del sector minero energético a nivel nacional</w:t>
            </w:r>
          </w:p>
        </w:tc>
        <w:tc>
          <w:tcPr>
            <w:tcW w:w="13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ind w:left="280"/>
              <w:jc w:val="center"/>
              <w:rPr>
                <w:rFonts w:ascii="Arial" w:eastAsia="Arial" w:hAnsi="Arial" w:cs="Arial"/>
                <w:sz w:val="22"/>
                <w:szCs w:val="22"/>
              </w:rPr>
            </w:pPr>
            <w:r>
              <w:rPr>
                <w:rFonts w:ascii="Arial" w:eastAsia="Arial" w:hAnsi="Arial" w:cs="Arial"/>
                <w:sz w:val="22"/>
                <w:szCs w:val="22"/>
              </w:rPr>
              <w:t>$3.873,1</w:t>
            </w:r>
          </w:p>
        </w:tc>
        <w:tc>
          <w:tcPr>
            <w:tcW w:w="141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ind w:left="280"/>
              <w:jc w:val="center"/>
              <w:rPr>
                <w:rFonts w:ascii="Arial" w:eastAsia="Arial" w:hAnsi="Arial" w:cs="Arial"/>
                <w:sz w:val="22"/>
                <w:szCs w:val="22"/>
              </w:rPr>
            </w:pPr>
            <w:r>
              <w:rPr>
                <w:rFonts w:ascii="Arial" w:eastAsia="Arial" w:hAnsi="Arial" w:cs="Arial"/>
                <w:sz w:val="22"/>
                <w:szCs w:val="22"/>
              </w:rPr>
              <w:t>$3.556,7</w:t>
            </w:r>
          </w:p>
        </w:tc>
        <w:tc>
          <w:tcPr>
            <w:tcW w:w="1125"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92,00%</w:t>
            </w:r>
          </w:p>
        </w:tc>
        <w:tc>
          <w:tcPr>
            <w:tcW w:w="1335"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ind w:left="280"/>
              <w:jc w:val="center"/>
              <w:rPr>
                <w:rFonts w:ascii="Arial" w:eastAsia="Arial" w:hAnsi="Arial" w:cs="Arial"/>
                <w:sz w:val="22"/>
                <w:szCs w:val="22"/>
              </w:rPr>
            </w:pPr>
            <w:r>
              <w:rPr>
                <w:rFonts w:ascii="Arial" w:eastAsia="Arial" w:hAnsi="Arial" w:cs="Arial"/>
                <w:sz w:val="22"/>
                <w:szCs w:val="22"/>
              </w:rPr>
              <w:t>$3.556,7</w:t>
            </w:r>
          </w:p>
        </w:tc>
        <w:tc>
          <w:tcPr>
            <w:tcW w:w="1305"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ind w:left="280"/>
              <w:jc w:val="center"/>
              <w:rPr>
                <w:rFonts w:ascii="Arial" w:eastAsia="Arial" w:hAnsi="Arial" w:cs="Arial"/>
                <w:sz w:val="22"/>
                <w:szCs w:val="22"/>
              </w:rPr>
            </w:pPr>
            <w:r>
              <w:rPr>
                <w:rFonts w:ascii="Arial" w:eastAsia="Arial" w:hAnsi="Arial" w:cs="Arial"/>
                <w:sz w:val="22"/>
                <w:szCs w:val="22"/>
              </w:rPr>
              <w:t>25,50%</w:t>
            </w:r>
          </w:p>
        </w:tc>
      </w:tr>
      <w:tr w:rsidR="00B202A2">
        <w:trPr>
          <w:trHeight w:val="725"/>
          <w:jc w:val="center"/>
        </w:trPr>
        <w:tc>
          <w:tcPr>
            <w:tcW w:w="705" w:type="dxa"/>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ind w:left="280"/>
              <w:jc w:val="center"/>
              <w:rPr>
                <w:rFonts w:ascii="Arial" w:eastAsia="Arial" w:hAnsi="Arial" w:cs="Arial"/>
                <w:sz w:val="22"/>
                <w:szCs w:val="22"/>
              </w:rPr>
            </w:pPr>
            <w:r>
              <w:rPr>
                <w:rFonts w:ascii="Arial" w:eastAsia="Arial" w:hAnsi="Arial" w:cs="Arial"/>
                <w:sz w:val="22"/>
                <w:szCs w:val="22"/>
              </w:rPr>
              <w:t>20</w:t>
            </w:r>
          </w:p>
        </w:tc>
        <w:tc>
          <w:tcPr>
            <w:tcW w:w="246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ind w:left="280"/>
              <w:rPr>
                <w:rFonts w:ascii="Arial" w:eastAsia="Arial" w:hAnsi="Arial" w:cs="Arial"/>
                <w:sz w:val="20"/>
                <w:szCs w:val="20"/>
              </w:rPr>
            </w:pPr>
            <w:r>
              <w:rPr>
                <w:rFonts w:ascii="Arial" w:eastAsia="Arial" w:hAnsi="Arial" w:cs="Arial"/>
                <w:sz w:val="20"/>
                <w:szCs w:val="20"/>
              </w:rPr>
              <w:t>Asesoría para la investigación y proyección integrada de demanda minero energética nacional</w:t>
            </w:r>
          </w:p>
        </w:tc>
        <w:tc>
          <w:tcPr>
            <w:tcW w:w="13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ind w:left="280"/>
              <w:jc w:val="center"/>
              <w:rPr>
                <w:rFonts w:ascii="Arial" w:eastAsia="Arial" w:hAnsi="Arial" w:cs="Arial"/>
                <w:sz w:val="22"/>
                <w:szCs w:val="22"/>
              </w:rPr>
            </w:pPr>
            <w:r>
              <w:rPr>
                <w:rFonts w:ascii="Arial" w:eastAsia="Arial" w:hAnsi="Arial" w:cs="Arial"/>
                <w:sz w:val="22"/>
                <w:szCs w:val="22"/>
              </w:rPr>
              <w:t>$8.386,9</w:t>
            </w:r>
          </w:p>
        </w:tc>
        <w:tc>
          <w:tcPr>
            <w:tcW w:w="141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ind w:left="280"/>
              <w:jc w:val="center"/>
              <w:rPr>
                <w:rFonts w:ascii="Arial" w:eastAsia="Arial" w:hAnsi="Arial" w:cs="Arial"/>
                <w:sz w:val="22"/>
                <w:szCs w:val="22"/>
              </w:rPr>
            </w:pPr>
            <w:r>
              <w:rPr>
                <w:rFonts w:ascii="Arial" w:eastAsia="Arial" w:hAnsi="Arial" w:cs="Arial"/>
                <w:sz w:val="22"/>
                <w:szCs w:val="22"/>
              </w:rPr>
              <w:t>$ 7.930,5</w:t>
            </w:r>
          </w:p>
        </w:tc>
        <w:tc>
          <w:tcPr>
            <w:tcW w:w="1125"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95,00%</w:t>
            </w:r>
          </w:p>
        </w:tc>
        <w:tc>
          <w:tcPr>
            <w:tcW w:w="1335"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ind w:left="280"/>
              <w:jc w:val="center"/>
              <w:rPr>
                <w:rFonts w:ascii="Arial" w:eastAsia="Arial" w:hAnsi="Arial" w:cs="Arial"/>
                <w:sz w:val="22"/>
                <w:szCs w:val="22"/>
              </w:rPr>
            </w:pPr>
            <w:r>
              <w:rPr>
                <w:rFonts w:ascii="Arial" w:eastAsia="Arial" w:hAnsi="Arial" w:cs="Arial"/>
                <w:sz w:val="22"/>
                <w:szCs w:val="22"/>
              </w:rPr>
              <w:t>$7.929,7</w:t>
            </w:r>
          </w:p>
        </w:tc>
        <w:tc>
          <w:tcPr>
            <w:tcW w:w="1305"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ind w:left="280"/>
              <w:jc w:val="center"/>
              <w:rPr>
                <w:rFonts w:ascii="Arial" w:eastAsia="Arial" w:hAnsi="Arial" w:cs="Arial"/>
                <w:sz w:val="22"/>
                <w:szCs w:val="22"/>
              </w:rPr>
            </w:pPr>
            <w:r>
              <w:rPr>
                <w:rFonts w:ascii="Arial" w:eastAsia="Arial" w:hAnsi="Arial" w:cs="Arial"/>
                <w:sz w:val="22"/>
                <w:szCs w:val="22"/>
              </w:rPr>
              <w:t>35,40%</w:t>
            </w:r>
          </w:p>
        </w:tc>
      </w:tr>
      <w:tr w:rsidR="00B202A2">
        <w:trPr>
          <w:trHeight w:val="725"/>
          <w:jc w:val="center"/>
        </w:trPr>
        <w:tc>
          <w:tcPr>
            <w:tcW w:w="705" w:type="dxa"/>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ind w:left="280"/>
              <w:jc w:val="center"/>
              <w:rPr>
                <w:rFonts w:ascii="Arial" w:eastAsia="Arial" w:hAnsi="Arial" w:cs="Arial"/>
                <w:sz w:val="22"/>
                <w:szCs w:val="22"/>
              </w:rPr>
            </w:pPr>
            <w:r>
              <w:rPr>
                <w:rFonts w:ascii="Arial" w:eastAsia="Arial" w:hAnsi="Arial" w:cs="Arial"/>
                <w:sz w:val="22"/>
                <w:szCs w:val="22"/>
              </w:rPr>
              <w:t>20</w:t>
            </w:r>
          </w:p>
        </w:tc>
        <w:tc>
          <w:tcPr>
            <w:tcW w:w="246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ind w:left="280"/>
              <w:rPr>
                <w:rFonts w:ascii="Arial" w:eastAsia="Arial" w:hAnsi="Arial" w:cs="Arial"/>
                <w:sz w:val="20"/>
                <w:szCs w:val="20"/>
              </w:rPr>
            </w:pPr>
            <w:r>
              <w:rPr>
                <w:rFonts w:ascii="Arial" w:eastAsia="Arial" w:hAnsi="Arial" w:cs="Arial"/>
                <w:sz w:val="20"/>
                <w:szCs w:val="20"/>
              </w:rPr>
              <w:t>Fortalecimiento de la gestión del conocimiento aplicado a la unidad de planeación minero energético nacional</w:t>
            </w:r>
          </w:p>
        </w:tc>
        <w:tc>
          <w:tcPr>
            <w:tcW w:w="13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ind w:left="280"/>
              <w:jc w:val="center"/>
              <w:rPr>
                <w:rFonts w:ascii="Arial" w:eastAsia="Arial" w:hAnsi="Arial" w:cs="Arial"/>
                <w:sz w:val="22"/>
                <w:szCs w:val="22"/>
              </w:rPr>
            </w:pPr>
            <w:r>
              <w:rPr>
                <w:rFonts w:ascii="Arial" w:eastAsia="Arial" w:hAnsi="Arial" w:cs="Arial"/>
                <w:sz w:val="22"/>
                <w:szCs w:val="22"/>
              </w:rPr>
              <w:t>$3.628,8</w:t>
            </w:r>
          </w:p>
        </w:tc>
        <w:tc>
          <w:tcPr>
            <w:tcW w:w="141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ind w:left="280"/>
              <w:jc w:val="center"/>
              <w:rPr>
                <w:rFonts w:ascii="Arial" w:eastAsia="Arial" w:hAnsi="Arial" w:cs="Arial"/>
                <w:sz w:val="22"/>
                <w:szCs w:val="22"/>
              </w:rPr>
            </w:pPr>
            <w:r>
              <w:rPr>
                <w:rFonts w:ascii="Arial" w:eastAsia="Arial" w:hAnsi="Arial" w:cs="Arial"/>
                <w:sz w:val="22"/>
                <w:szCs w:val="22"/>
              </w:rPr>
              <w:t>$ 3.614,2</w:t>
            </w:r>
          </w:p>
        </w:tc>
        <w:tc>
          <w:tcPr>
            <w:tcW w:w="1125"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100,00%</w:t>
            </w:r>
          </w:p>
        </w:tc>
        <w:tc>
          <w:tcPr>
            <w:tcW w:w="1335"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ind w:left="280"/>
              <w:jc w:val="center"/>
              <w:rPr>
                <w:rFonts w:ascii="Arial" w:eastAsia="Arial" w:hAnsi="Arial" w:cs="Arial"/>
                <w:sz w:val="22"/>
                <w:szCs w:val="22"/>
              </w:rPr>
            </w:pPr>
            <w:r>
              <w:rPr>
                <w:rFonts w:ascii="Arial" w:eastAsia="Arial" w:hAnsi="Arial" w:cs="Arial"/>
                <w:sz w:val="22"/>
                <w:szCs w:val="22"/>
              </w:rPr>
              <w:t>$3.614,2</w:t>
            </w:r>
          </w:p>
        </w:tc>
        <w:tc>
          <w:tcPr>
            <w:tcW w:w="1305"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ind w:left="280"/>
              <w:jc w:val="center"/>
              <w:rPr>
                <w:rFonts w:ascii="Arial" w:eastAsia="Arial" w:hAnsi="Arial" w:cs="Arial"/>
                <w:sz w:val="22"/>
                <w:szCs w:val="22"/>
              </w:rPr>
            </w:pPr>
            <w:r>
              <w:rPr>
                <w:rFonts w:ascii="Arial" w:eastAsia="Arial" w:hAnsi="Arial" w:cs="Arial"/>
                <w:sz w:val="22"/>
                <w:szCs w:val="22"/>
              </w:rPr>
              <w:t>17,50%</w:t>
            </w:r>
          </w:p>
        </w:tc>
      </w:tr>
      <w:tr w:rsidR="00B202A2">
        <w:trPr>
          <w:trHeight w:val="545"/>
          <w:jc w:val="center"/>
        </w:trPr>
        <w:tc>
          <w:tcPr>
            <w:tcW w:w="705" w:type="dxa"/>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ind w:left="280"/>
              <w:jc w:val="center"/>
              <w:rPr>
                <w:rFonts w:ascii="Arial" w:eastAsia="Arial" w:hAnsi="Arial" w:cs="Arial"/>
                <w:sz w:val="22"/>
                <w:szCs w:val="22"/>
              </w:rPr>
            </w:pPr>
            <w:r>
              <w:rPr>
                <w:rFonts w:ascii="Arial" w:eastAsia="Arial" w:hAnsi="Arial" w:cs="Arial"/>
                <w:sz w:val="22"/>
                <w:szCs w:val="22"/>
              </w:rPr>
              <w:t>20</w:t>
            </w:r>
          </w:p>
        </w:tc>
        <w:tc>
          <w:tcPr>
            <w:tcW w:w="246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ind w:left="280"/>
              <w:rPr>
                <w:rFonts w:ascii="Arial" w:eastAsia="Arial" w:hAnsi="Arial" w:cs="Arial"/>
                <w:sz w:val="20"/>
                <w:szCs w:val="20"/>
              </w:rPr>
            </w:pPr>
            <w:r>
              <w:rPr>
                <w:rFonts w:ascii="Arial" w:eastAsia="Arial" w:hAnsi="Arial" w:cs="Arial"/>
                <w:sz w:val="20"/>
                <w:szCs w:val="20"/>
              </w:rPr>
              <w:t>Consolidación integral de información minero energética a nivel nacional</w:t>
            </w:r>
          </w:p>
        </w:tc>
        <w:tc>
          <w:tcPr>
            <w:tcW w:w="13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ind w:left="280"/>
              <w:jc w:val="center"/>
              <w:rPr>
                <w:rFonts w:ascii="Arial" w:eastAsia="Arial" w:hAnsi="Arial" w:cs="Arial"/>
                <w:sz w:val="22"/>
                <w:szCs w:val="22"/>
              </w:rPr>
            </w:pPr>
            <w:r>
              <w:rPr>
                <w:rFonts w:ascii="Arial" w:eastAsia="Arial" w:hAnsi="Arial" w:cs="Arial"/>
                <w:sz w:val="22"/>
                <w:szCs w:val="22"/>
              </w:rPr>
              <w:t>$529,5</w:t>
            </w:r>
          </w:p>
        </w:tc>
        <w:tc>
          <w:tcPr>
            <w:tcW w:w="141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ind w:left="280"/>
              <w:jc w:val="center"/>
              <w:rPr>
                <w:rFonts w:ascii="Arial" w:eastAsia="Arial" w:hAnsi="Arial" w:cs="Arial"/>
                <w:sz w:val="22"/>
                <w:szCs w:val="22"/>
              </w:rPr>
            </w:pPr>
            <w:r>
              <w:rPr>
                <w:rFonts w:ascii="Arial" w:eastAsia="Arial" w:hAnsi="Arial" w:cs="Arial"/>
                <w:sz w:val="22"/>
                <w:szCs w:val="22"/>
              </w:rPr>
              <w:t>$ 227,7</w:t>
            </w:r>
          </w:p>
        </w:tc>
        <w:tc>
          <w:tcPr>
            <w:tcW w:w="1125"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43,00%</w:t>
            </w:r>
          </w:p>
        </w:tc>
        <w:tc>
          <w:tcPr>
            <w:tcW w:w="1335"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ind w:left="280"/>
              <w:jc w:val="center"/>
              <w:rPr>
                <w:rFonts w:ascii="Arial" w:eastAsia="Arial" w:hAnsi="Arial" w:cs="Arial"/>
                <w:sz w:val="22"/>
                <w:szCs w:val="22"/>
              </w:rPr>
            </w:pPr>
            <w:r>
              <w:rPr>
                <w:rFonts w:ascii="Arial" w:eastAsia="Arial" w:hAnsi="Arial" w:cs="Arial"/>
                <w:sz w:val="22"/>
                <w:szCs w:val="22"/>
              </w:rPr>
              <w:t>$227,7</w:t>
            </w:r>
          </w:p>
        </w:tc>
        <w:tc>
          <w:tcPr>
            <w:tcW w:w="1305"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ind w:left="280"/>
              <w:jc w:val="center"/>
              <w:rPr>
                <w:rFonts w:ascii="Arial" w:eastAsia="Arial" w:hAnsi="Arial" w:cs="Arial"/>
                <w:sz w:val="22"/>
                <w:szCs w:val="22"/>
              </w:rPr>
            </w:pPr>
            <w:r>
              <w:rPr>
                <w:rFonts w:ascii="Arial" w:eastAsia="Arial" w:hAnsi="Arial" w:cs="Arial"/>
                <w:sz w:val="22"/>
                <w:szCs w:val="22"/>
              </w:rPr>
              <w:t>15,50%</w:t>
            </w:r>
          </w:p>
        </w:tc>
      </w:tr>
    </w:tbl>
    <w:sdt>
      <w:sdtPr>
        <w:tag w:val="goog_rdk_5"/>
        <w:id w:val="-478995330"/>
      </w:sdtPr>
      <w:sdtEndPr/>
      <w:sdtContent>
        <w:p w:rsidR="00B202A2" w:rsidRDefault="00295E06">
          <w:pPr>
            <w:spacing w:before="240"/>
            <w:jc w:val="both"/>
            <w:rPr>
              <w:rFonts w:ascii="Arial" w:eastAsia="Arial" w:hAnsi="Arial" w:cs="Arial"/>
              <w:b/>
              <w:color w:val="2F5496"/>
              <w:sz w:val="22"/>
              <w:szCs w:val="22"/>
            </w:rPr>
          </w:pPr>
        </w:p>
      </w:sdtContent>
    </w:sdt>
    <w:p w:rsidR="00B202A2" w:rsidRDefault="00295E06">
      <w:pPr>
        <w:spacing w:before="240"/>
        <w:jc w:val="both"/>
        <w:rPr>
          <w:rFonts w:ascii="Arial" w:eastAsia="Arial" w:hAnsi="Arial" w:cs="Arial"/>
          <w:b/>
          <w:color w:val="434343"/>
          <w:sz w:val="22"/>
          <w:szCs w:val="22"/>
        </w:rPr>
      </w:pPr>
      <w:r>
        <w:rPr>
          <w:rFonts w:ascii="Arial" w:eastAsia="Arial" w:hAnsi="Arial" w:cs="Arial"/>
          <w:b/>
          <w:color w:val="434343"/>
          <w:sz w:val="22"/>
          <w:szCs w:val="22"/>
        </w:rPr>
        <w:t>Presupuesto - Ejecución Presupuestal Vigencia 2020</w:t>
      </w:r>
    </w:p>
    <w:p w:rsidR="00B202A2" w:rsidRDefault="00B202A2">
      <w:pPr>
        <w:spacing w:after="200"/>
        <w:jc w:val="both"/>
        <w:rPr>
          <w:rFonts w:ascii="Arial" w:eastAsia="Arial" w:hAnsi="Arial" w:cs="Arial"/>
          <w:b/>
          <w:sz w:val="22"/>
          <w:szCs w:val="22"/>
        </w:rPr>
      </w:pPr>
    </w:p>
    <w:p w:rsidR="00B202A2" w:rsidRDefault="00295E06">
      <w:pPr>
        <w:spacing w:after="200"/>
        <w:jc w:val="both"/>
        <w:rPr>
          <w:rFonts w:ascii="Arial" w:eastAsia="Arial" w:hAnsi="Arial" w:cs="Arial"/>
          <w:b/>
          <w:sz w:val="22"/>
          <w:szCs w:val="22"/>
        </w:rPr>
      </w:pPr>
      <w:r>
        <w:rPr>
          <w:rFonts w:ascii="Arial" w:eastAsia="Arial" w:hAnsi="Arial" w:cs="Arial"/>
          <w:b/>
          <w:sz w:val="22"/>
          <w:szCs w:val="22"/>
        </w:rPr>
        <w:t>Ingresos</w:t>
      </w:r>
    </w:p>
    <w:p w:rsidR="00B202A2" w:rsidRDefault="00295E06">
      <w:pPr>
        <w:spacing w:before="20" w:after="20"/>
        <w:jc w:val="both"/>
        <w:rPr>
          <w:rFonts w:ascii="Arial" w:eastAsia="Arial" w:hAnsi="Arial" w:cs="Arial"/>
          <w:sz w:val="22"/>
          <w:szCs w:val="22"/>
        </w:rPr>
      </w:pPr>
      <w:r>
        <w:rPr>
          <w:rFonts w:ascii="Arial" w:eastAsia="Arial" w:hAnsi="Arial" w:cs="Arial"/>
          <w:sz w:val="22"/>
          <w:szCs w:val="22"/>
        </w:rPr>
        <w:t>Tal como se ha indicado la UPME se financia principalmente con los aportes de Interconexión Eléctrica S.A. – ISA, la Agencia Nacional de Minería - ANM, Empresa Colombiana de Petróleos - ECOPETROL S.A. y el Ministerio de Minas y Energía.</w:t>
      </w:r>
    </w:p>
    <w:p w:rsidR="00B202A2" w:rsidRDefault="00B202A2">
      <w:pPr>
        <w:spacing w:before="20" w:after="20"/>
        <w:jc w:val="both"/>
        <w:rPr>
          <w:rFonts w:ascii="Arial" w:eastAsia="Arial" w:hAnsi="Arial" w:cs="Arial"/>
          <w:sz w:val="22"/>
          <w:szCs w:val="22"/>
          <w:highlight w:val="yellow"/>
        </w:rPr>
      </w:pPr>
    </w:p>
    <w:p w:rsidR="00B202A2" w:rsidRDefault="00295E06">
      <w:pPr>
        <w:spacing w:before="20" w:after="20"/>
        <w:jc w:val="both"/>
        <w:rPr>
          <w:rFonts w:ascii="Arial" w:eastAsia="Arial" w:hAnsi="Arial" w:cs="Arial"/>
          <w:sz w:val="22"/>
          <w:szCs w:val="22"/>
        </w:rPr>
      </w:pPr>
      <w:r>
        <w:rPr>
          <w:rFonts w:ascii="Arial" w:eastAsia="Arial" w:hAnsi="Arial" w:cs="Arial"/>
          <w:sz w:val="22"/>
          <w:szCs w:val="22"/>
        </w:rPr>
        <w:t>El estado de los i</w:t>
      </w:r>
      <w:r>
        <w:rPr>
          <w:rFonts w:ascii="Arial" w:eastAsia="Arial" w:hAnsi="Arial" w:cs="Arial"/>
          <w:sz w:val="22"/>
          <w:szCs w:val="22"/>
        </w:rPr>
        <w:t>ngresos recibidos de dichas entidades, con corte a 30 de septiembre de 2020 es:</w:t>
      </w:r>
    </w:p>
    <w:p w:rsidR="00B202A2" w:rsidRDefault="00B202A2">
      <w:pPr>
        <w:spacing w:before="20" w:after="20"/>
        <w:jc w:val="both"/>
        <w:rPr>
          <w:rFonts w:ascii="Arial" w:eastAsia="Arial" w:hAnsi="Arial" w:cs="Arial"/>
          <w:sz w:val="22"/>
          <w:szCs w:val="22"/>
        </w:rPr>
      </w:pPr>
    </w:p>
    <w:p w:rsidR="00B202A2" w:rsidRDefault="00295E06">
      <w:pPr>
        <w:jc w:val="center"/>
        <w:rPr>
          <w:rFonts w:ascii="Arial" w:eastAsia="Arial" w:hAnsi="Arial" w:cs="Arial"/>
          <w:sz w:val="22"/>
          <w:szCs w:val="22"/>
          <w:highlight w:val="yellow"/>
          <w:u w:val="single"/>
        </w:rPr>
      </w:pPr>
      <w:bookmarkStart w:id="60" w:name="_heading=h.28h4qwu" w:colFirst="0" w:colLast="0"/>
      <w:bookmarkEnd w:id="60"/>
      <w:r>
        <w:rPr>
          <w:rFonts w:ascii="Arial" w:eastAsia="Arial" w:hAnsi="Arial" w:cs="Arial"/>
          <w:b/>
          <w:sz w:val="22"/>
          <w:szCs w:val="22"/>
          <w:u w:val="single"/>
        </w:rPr>
        <w:t>Tabla 12. ESTADO DE INGRESOS Con fecha de corte: 30 de septiembre de 2020</w:t>
      </w:r>
    </w:p>
    <w:p w:rsidR="00B202A2" w:rsidRDefault="00295E06">
      <w:pPr>
        <w:jc w:val="center"/>
        <w:rPr>
          <w:rFonts w:ascii="Arial" w:eastAsia="Arial" w:hAnsi="Arial" w:cs="Arial"/>
          <w:sz w:val="22"/>
          <w:szCs w:val="22"/>
        </w:rPr>
      </w:pPr>
      <w:r>
        <w:rPr>
          <w:rFonts w:ascii="Arial" w:eastAsia="Arial" w:hAnsi="Arial" w:cs="Arial"/>
          <w:sz w:val="22"/>
          <w:szCs w:val="22"/>
        </w:rPr>
        <w:t xml:space="preserve"> </w:t>
      </w:r>
    </w:p>
    <w:tbl>
      <w:tblPr>
        <w:tblStyle w:val="affd"/>
        <w:tblW w:w="838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20"/>
        <w:gridCol w:w="2430"/>
        <w:gridCol w:w="2205"/>
        <w:gridCol w:w="1830"/>
      </w:tblGrid>
      <w:tr w:rsidR="00B202A2">
        <w:trPr>
          <w:trHeight w:val="635"/>
        </w:trPr>
        <w:tc>
          <w:tcPr>
            <w:tcW w:w="192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lastRenderedPageBreak/>
              <w:t>Descripción</w:t>
            </w:r>
          </w:p>
        </w:tc>
        <w:tc>
          <w:tcPr>
            <w:tcW w:w="243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Aforo (Millones)</w:t>
            </w:r>
          </w:p>
        </w:tc>
        <w:tc>
          <w:tcPr>
            <w:tcW w:w="220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Recaudo</w:t>
            </w:r>
          </w:p>
        </w:tc>
        <w:tc>
          <w:tcPr>
            <w:tcW w:w="183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w:t>
            </w:r>
          </w:p>
        </w:tc>
      </w:tr>
      <w:tr w:rsidR="00B202A2">
        <w:trPr>
          <w:trHeight w:val="425"/>
        </w:trPr>
        <w:tc>
          <w:tcPr>
            <w:tcW w:w="1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rPr>
                <w:rFonts w:ascii="Arial" w:eastAsia="Arial" w:hAnsi="Arial" w:cs="Arial"/>
                <w:sz w:val="22"/>
                <w:szCs w:val="22"/>
              </w:rPr>
            </w:pPr>
            <w:r>
              <w:rPr>
                <w:rFonts w:ascii="Arial" w:eastAsia="Arial" w:hAnsi="Arial" w:cs="Arial"/>
                <w:sz w:val="22"/>
                <w:szCs w:val="22"/>
              </w:rPr>
              <w:t>Aportes de otras entidades</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36.086,6</w:t>
            </w:r>
          </w:p>
        </w:tc>
        <w:tc>
          <w:tcPr>
            <w:tcW w:w="2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31.433,8</w:t>
            </w:r>
          </w:p>
        </w:tc>
        <w:tc>
          <w:tcPr>
            <w:tcW w:w="1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87%</w:t>
            </w:r>
          </w:p>
        </w:tc>
      </w:tr>
      <w:tr w:rsidR="00B202A2">
        <w:trPr>
          <w:trHeight w:val="425"/>
        </w:trPr>
        <w:tc>
          <w:tcPr>
            <w:tcW w:w="1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rPr>
                <w:rFonts w:ascii="Arial" w:eastAsia="Arial" w:hAnsi="Arial" w:cs="Arial"/>
                <w:sz w:val="22"/>
                <w:szCs w:val="22"/>
              </w:rPr>
            </w:pPr>
            <w:r>
              <w:rPr>
                <w:rFonts w:ascii="Arial" w:eastAsia="Arial" w:hAnsi="Arial" w:cs="Arial"/>
                <w:sz w:val="22"/>
                <w:szCs w:val="22"/>
              </w:rPr>
              <w:t>Recursos de capital</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1.250,0</w:t>
            </w:r>
          </w:p>
        </w:tc>
        <w:tc>
          <w:tcPr>
            <w:tcW w:w="2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1.870,7</w:t>
            </w:r>
          </w:p>
        </w:tc>
        <w:tc>
          <w:tcPr>
            <w:tcW w:w="1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149%</w:t>
            </w:r>
          </w:p>
        </w:tc>
      </w:tr>
      <w:tr w:rsidR="00B202A2">
        <w:trPr>
          <w:trHeight w:val="425"/>
        </w:trPr>
        <w:tc>
          <w:tcPr>
            <w:tcW w:w="1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202A2" w:rsidRDefault="00295E06">
            <w:pPr>
              <w:rPr>
                <w:rFonts w:ascii="Arial" w:eastAsia="Arial" w:hAnsi="Arial" w:cs="Arial"/>
                <w:b/>
                <w:sz w:val="22"/>
                <w:szCs w:val="22"/>
              </w:rPr>
            </w:pPr>
            <w:r>
              <w:rPr>
                <w:rFonts w:ascii="Arial" w:eastAsia="Arial" w:hAnsi="Arial" w:cs="Arial"/>
                <w:b/>
                <w:sz w:val="22"/>
                <w:szCs w:val="22"/>
              </w:rPr>
              <w:t>Total Ingresos recibidos</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37.33,.6</w:t>
            </w:r>
          </w:p>
        </w:tc>
        <w:tc>
          <w:tcPr>
            <w:tcW w:w="2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33.30,.5</w:t>
            </w:r>
          </w:p>
        </w:tc>
        <w:tc>
          <w:tcPr>
            <w:tcW w:w="1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89%</w:t>
            </w:r>
          </w:p>
        </w:tc>
      </w:tr>
    </w:tbl>
    <w:p w:rsidR="00B202A2" w:rsidRDefault="00295E06">
      <w:pPr>
        <w:spacing w:after="240"/>
        <w:rPr>
          <w:rFonts w:ascii="Arial" w:eastAsia="Arial" w:hAnsi="Arial" w:cs="Arial"/>
          <w:sz w:val="22"/>
          <w:szCs w:val="22"/>
        </w:rPr>
      </w:pPr>
      <w:r>
        <w:rPr>
          <w:rFonts w:ascii="Arial" w:eastAsia="Arial" w:hAnsi="Arial" w:cs="Arial"/>
          <w:b/>
          <w:sz w:val="22"/>
          <w:szCs w:val="22"/>
        </w:rPr>
        <w:t>Fuente</w:t>
      </w:r>
      <w:r>
        <w:rPr>
          <w:rFonts w:ascii="Arial" w:eastAsia="Arial" w:hAnsi="Arial" w:cs="Arial"/>
          <w:sz w:val="22"/>
          <w:szCs w:val="22"/>
        </w:rPr>
        <w:t>: Ejecución Presupuestal SIIF - Grupo Financiero UPME</w:t>
      </w: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El valor recaudado de $1.870,7 Millones por concepto de recursos de capital, se refiere a los excedentes financieros y recursos de vigencias anteriores, recaudando también rendimientos financieros.</w:t>
      </w:r>
    </w:p>
    <w:p w:rsidR="00B202A2" w:rsidRDefault="00B202A2">
      <w:pPr>
        <w:spacing w:before="240" w:after="240"/>
        <w:jc w:val="both"/>
        <w:rPr>
          <w:rFonts w:ascii="Arial" w:eastAsia="Arial" w:hAnsi="Arial" w:cs="Arial"/>
          <w:sz w:val="22"/>
          <w:szCs w:val="22"/>
        </w:rPr>
      </w:pPr>
    </w:p>
    <w:p w:rsidR="00B202A2" w:rsidRDefault="00295E06">
      <w:pPr>
        <w:jc w:val="center"/>
        <w:rPr>
          <w:rFonts w:ascii="Arial" w:eastAsia="Arial" w:hAnsi="Arial" w:cs="Arial"/>
          <w:b/>
          <w:sz w:val="22"/>
          <w:szCs w:val="22"/>
          <w:u w:val="single"/>
        </w:rPr>
      </w:pPr>
      <w:bookmarkStart w:id="61" w:name="_heading=h.nmf14n" w:colFirst="0" w:colLast="0"/>
      <w:bookmarkEnd w:id="61"/>
      <w:r>
        <w:rPr>
          <w:rFonts w:ascii="Arial" w:eastAsia="Arial" w:hAnsi="Arial" w:cs="Arial"/>
          <w:b/>
          <w:sz w:val="22"/>
          <w:szCs w:val="22"/>
          <w:u w:val="single"/>
        </w:rPr>
        <w:t>Tabla 13. Gastos de Funcionamiento (Corte a 30-Sep-2020)</w:t>
      </w:r>
    </w:p>
    <w:p w:rsidR="00B202A2" w:rsidRDefault="00B202A2">
      <w:pPr>
        <w:jc w:val="both"/>
        <w:rPr>
          <w:rFonts w:ascii="Arial" w:eastAsia="Arial" w:hAnsi="Arial" w:cs="Arial"/>
          <w:sz w:val="22"/>
          <w:szCs w:val="22"/>
        </w:rPr>
      </w:pPr>
    </w:p>
    <w:tbl>
      <w:tblPr>
        <w:tblStyle w:val="affe"/>
        <w:tblW w:w="8511" w:type="dxa"/>
        <w:tblInd w:w="0" w:type="dxa"/>
        <w:tblLayout w:type="fixed"/>
        <w:tblLook w:val="0600" w:firstRow="0" w:lastRow="0" w:firstColumn="0" w:lastColumn="0" w:noHBand="1" w:noVBand="1"/>
      </w:tblPr>
      <w:tblGrid>
        <w:gridCol w:w="2684"/>
        <w:gridCol w:w="1417"/>
        <w:gridCol w:w="1545"/>
        <w:gridCol w:w="765"/>
        <w:gridCol w:w="1305"/>
        <w:gridCol w:w="795"/>
      </w:tblGrid>
      <w:tr w:rsidR="00B202A2">
        <w:trPr>
          <w:trHeight w:val="680"/>
        </w:trPr>
        <w:tc>
          <w:tcPr>
            <w:tcW w:w="2684" w:type="dxa"/>
            <w:tcBorders>
              <w:top w:val="single" w:sz="8" w:space="0" w:color="000000"/>
              <w:left w:val="single" w:sz="8" w:space="0" w:color="000000"/>
              <w:bottom w:val="single" w:sz="8" w:space="0" w:color="000000"/>
              <w:right w:val="single" w:sz="8" w:space="0" w:color="000000"/>
            </w:tcBorders>
            <w:shd w:val="clear" w:color="auto" w:fill="CFE2F3"/>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Descripcion</w:t>
            </w:r>
          </w:p>
        </w:tc>
        <w:tc>
          <w:tcPr>
            <w:tcW w:w="1417" w:type="dxa"/>
            <w:tcBorders>
              <w:top w:val="single" w:sz="8" w:space="0" w:color="000000"/>
              <w:left w:val="nil"/>
              <w:bottom w:val="single" w:sz="8" w:space="0" w:color="000000"/>
              <w:right w:val="single" w:sz="8" w:space="0" w:color="000000"/>
            </w:tcBorders>
            <w:shd w:val="clear" w:color="auto" w:fill="CFE2F3"/>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Apr. Vigente</w:t>
            </w:r>
          </w:p>
        </w:tc>
        <w:tc>
          <w:tcPr>
            <w:tcW w:w="1545" w:type="dxa"/>
            <w:tcBorders>
              <w:top w:val="single" w:sz="8" w:space="0" w:color="000000"/>
              <w:left w:val="nil"/>
              <w:bottom w:val="single" w:sz="8" w:space="0" w:color="000000"/>
              <w:right w:val="single" w:sz="8" w:space="0" w:color="000000"/>
            </w:tcBorders>
            <w:shd w:val="clear" w:color="auto" w:fill="CFE2F3"/>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Compromiso</w:t>
            </w:r>
          </w:p>
        </w:tc>
        <w:tc>
          <w:tcPr>
            <w:tcW w:w="765" w:type="dxa"/>
            <w:tcBorders>
              <w:top w:val="single" w:sz="8" w:space="0" w:color="000000"/>
              <w:left w:val="nil"/>
              <w:bottom w:val="single" w:sz="8" w:space="0" w:color="000000"/>
              <w:right w:val="single" w:sz="8" w:space="0" w:color="000000"/>
            </w:tcBorders>
            <w:shd w:val="clear" w:color="auto" w:fill="CFE2F3"/>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 Eje</w:t>
            </w:r>
          </w:p>
        </w:tc>
        <w:tc>
          <w:tcPr>
            <w:tcW w:w="1305" w:type="dxa"/>
            <w:tcBorders>
              <w:top w:val="single" w:sz="8" w:space="0" w:color="000000"/>
              <w:left w:val="nil"/>
              <w:bottom w:val="single" w:sz="8" w:space="0" w:color="000000"/>
              <w:right w:val="single" w:sz="8" w:space="0" w:color="000000"/>
            </w:tcBorders>
            <w:shd w:val="clear" w:color="auto" w:fill="CFE2F3"/>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Obligacion</w:t>
            </w:r>
          </w:p>
        </w:tc>
        <w:tc>
          <w:tcPr>
            <w:tcW w:w="795" w:type="dxa"/>
            <w:tcBorders>
              <w:top w:val="single" w:sz="8" w:space="0" w:color="000000"/>
              <w:left w:val="nil"/>
              <w:bottom w:val="single" w:sz="8" w:space="0" w:color="000000"/>
              <w:right w:val="single" w:sz="8" w:space="0" w:color="000000"/>
            </w:tcBorders>
            <w:shd w:val="clear" w:color="auto" w:fill="CFE2F3"/>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 Eje</w:t>
            </w:r>
          </w:p>
        </w:tc>
      </w:tr>
      <w:tr w:rsidR="00B202A2">
        <w:trPr>
          <w:trHeight w:val="405"/>
        </w:trPr>
        <w:tc>
          <w:tcPr>
            <w:tcW w:w="268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jc w:val="both"/>
              <w:rPr>
                <w:rFonts w:ascii="Arial" w:eastAsia="Arial" w:hAnsi="Arial" w:cs="Arial"/>
                <w:b/>
                <w:sz w:val="22"/>
                <w:szCs w:val="22"/>
              </w:rPr>
            </w:pPr>
            <w:r>
              <w:rPr>
                <w:rFonts w:ascii="Arial" w:eastAsia="Arial" w:hAnsi="Arial" w:cs="Arial"/>
                <w:b/>
                <w:sz w:val="22"/>
                <w:szCs w:val="22"/>
              </w:rPr>
              <w:t>Funcionamiento</w:t>
            </w:r>
          </w:p>
        </w:tc>
        <w:tc>
          <w:tcPr>
            <w:tcW w:w="1417" w:type="dxa"/>
            <w:tcBorders>
              <w:top w:val="nil"/>
              <w:left w:val="nil"/>
              <w:bottom w:val="single" w:sz="8" w:space="0" w:color="000000"/>
              <w:right w:val="single" w:sz="8" w:space="0" w:color="000000"/>
            </w:tcBorders>
            <w:tcMar>
              <w:top w:w="100" w:type="dxa"/>
              <w:left w:w="80" w:type="dxa"/>
              <w:bottom w:w="100" w:type="dxa"/>
              <w:right w:w="80" w:type="dxa"/>
            </w:tcMar>
            <w:vAlign w:val="center"/>
          </w:tcPr>
          <w:p w:rsidR="00B202A2" w:rsidRDefault="00295E06">
            <w:pPr>
              <w:jc w:val="right"/>
              <w:rPr>
                <w:rFonts w:ascii="Arial" w:eastAsia="Arial" w:hAnsi="Arial" w:cs="Arial"/>
                <w:b/>
                <w:sz w:val="22"/>
                <w:szCs w:val="22"/>
              </w:rPr>
            </w:pPr>
            <w:r>
              <w:rPr>
                <w:rFonts w:ascii="Arial" w:eastAsia="Arial" w:hAnsi="Arial" w:cs="Arial"/>
                <w:b/>
                <w:sz w:val="22"/>
                <w:szCs w:val="22"/>
              </w:rPr>
              <w:t>$16.305,1</w:t>
            </w:r>
          </w:p>
        </w:tc>
        <w:tc>
          <w:tcPr>
            <w:tcW w:w="1545" w:type="dxa"/>
            <w:tcBorders>
              <w:top w:val="nil"/>
              <w:left w:val="nil"/>
              <w:bottom w:val="single" w:sz="8" w:space="0" w:color="000000"/>
              <w:right w:val="single" w:sz="8" w:space="0" w:color="000000"/>
            </w:tcBorders>
            <w:tcMar>
              <w:top w:w="100" w:type="dxa"/>
              <w:left w:w="80" w:type="dxa"/>
              <w:bottom w:w="100" w:type="dxa"/>
              <w:right w:w="80" w:type="dxa"/>
            </w:tcMar>
            <w:vAlign w:val="center"/>
          </w:tcPr>
          <w:p w:rsidR="00B202A2" w:rsidRDefault="00295E06">
            <w:pPr>
              <w:jc w:val="right"/>
              <w:rPr>
                <w:rFonts w:ascii="Arial" w:eastAsia="Arial" w:hAnsi="Arial" w:cs="Arial"/>
                <w:b/>
                <w:sz w:val="22"/>
                <w:szCs w:val="22"/>
              </w:rPr>
            </w:pPr>
            <w:r>
              <w:rPr>
                <w:rFonts w:ascii="Arial" w:eastAsia="Arial" w:hAnsi="Arial" w:cs="Arial"/>
                <w:b/>
                <w:sz w:val="22"/>
                <w:szCs w:val="22"/>
              </w:rPr>
              <w:t>$10.489,8</w:t>
            </w:r>
          </w:p>
        </w:tc>
        <w:tc>
          <w:tcPr>
            <w:tcW w:w="765" w:type="dxa"/>
            <w:tcBorders>
              <w:top w:val="nil"/>
              <w:left w:val="nil"/>
              <w:bottom w:val="single" w:sz="8" w:space="0" w:color="000000"/>
              <w:right w:val="single" w:sz="8" w:space="0" w:color="000000"/>
            </w:tcBorders>
            <w:tcMar>
              <w:top w:w="100" w:type="dxa"/>
              <w:left w:w="80" w:type="dxa"/>
              <w:bottom w:w="100" w:type="dxa"/>
              <w:right w:w="80" w:type="dxa"/>
            </w:tcMar>
            <w:vAlign w:val="center"/>
          </w:tcPr>
          <w:p w:rsidR="00B202A2" w:rsidRDefault="00295E06">
            <w:pPr>
              <w:jc w:val="right"/>
              <w:rPr>
                <w:rFonts w:ascii="Arial" w:eastAsia="Arial" w:hAnsi="Arial" w:cs="Arial"/>
                <w:b/>
                <w:sz w:val="22"/>
                <w:szCs w:val="22"/>
              </w:rPr>
            </w:pPr>
            <w:r>
              <w:rPr>
                <w:rFonts w:ascii="Arial" w:eastAsia="Arial" w:hAnsi="Arial" w:cs="Arial"/>
                <w:b/>
                <w:sz w:val="22"/>
                <w:szCs w:val="22"/>
              </w:rPr>
              <w:t>64%</w:t>
            </w:r>
          </w:p>
        </w:tc>
        <w:tc>
          <w:tcPr>
            <w:tcW w:w="1305" w:type="dxa"/>
            <w:tcBorders>
              <w:top w:val="nil"/>
              <w:left w:val="nil"/>
              <w:bottom w:val="single" w:sz="8" w:space="0" w:color="000000"/>
              <w:right w:val="single" w:sz="8" w:space="0" w:color="000000"/>
            </w:tcBorders>
            <w:tcMar>
              <w:top w:w="100" w:type="dxa"/>
              <w:left w:w="80" w:type="dxa"/>
              <w:bottom w:w="100" w:type="dxa"/>
              <w:right w:w="80" w:type="dxa"/>
            </w:tcMar>
            <w:vAlign w:val="center"/>
          </w:tcPr>
          <w:p w:rsidR="00B202A2" w:rsidRDefault="00295E06">
            <w:pPr>
              <w:jc w:val="right"/>
              <w:rPr>
                <w:rFonts w:ascii="Arial" w:eastAsia="Arial" w:hAnsi="Arial" w:cs="Arial"/>
                <w:b/>
                <w:sz w:val="22"/>
                <w:szCs w:val="22"/>
              </w:rPr>
            </w:pPr>
            <w:r>
              <w:rPr>
                <w:rFonts w:ascii="Arial" w:eastAsia="Arial" w:hAnsi="Arial" w:cs="Arial"/>
                <w:b/>
                <w:sz w:val="22"/>
                <w:szCs w:val="22"/>
              </w:rPr>
              <w:t>$9.79,8</w:t>
            </w:r>
          </w:p>
        </w:tc>
        <w:tc>
          <w:tcPr>
            <w:tcW w:w="795" w:type="dxa"/>
            <w:tcBorders>
              <w:top w:val="nil"/>
              <w:left w:val="nil"/>
              <w:bottom w:val="single" w:sz="8" w:space="0" w:color="000000"/>
              <w:right w:val="single" w:sz="8" w:space="0" w:color="000000"/>
            </w:tcBorders>
            <w:tcMar>
              <w:top w:w="100" w:type="dxa"/>
              <w:left w:w="80" w:type="dxa"/>
              <w:bottom w:w="100" w:type="dxa"/>
              <w:right w:w="80" w:type="dxa"/>
            </w:tcMar>
            <w:vAlign w:val="center"/>
          </w:tcPr>
          <w:p w:rsidR="00B202A2" w:rsidRDefault="00295E06">
            <w:pPr>
              <w:jc w:val="right"/>
              <w:rPr>
                <w:rFonts w:ascii="Arial" w:eastAsia="Arial" w:hAnsi="Arial" w:cs="Arial"/>
                <w:b/>
                <w:sz w:val="22"/>
                <w:szCs w:val="22"/>
              </w:rPr>
            </w:pPr>
            <w:r>
              <w:rPr>
                <w:rFonts w:ascii="Arial" w:eastAsia="Arial" w:hAnsi="Arial" w:cs="Arial"/>
                <w:b/>
                <w:sz w:val="22"/>
                <w:szCs w:val="22"/>
              </w:rPr>
              <w:t>60%</w:t>
            </w:r>
          </w:p>
        </w:tc>
      </w:tr>
      <w:tr w:rsidR="00B202A2">
        <w:trPr>
          <w:trHeight w:val="360"/>
        </w:trPr>
        <w:tc>
          <w:tcPr>
            <w:tcW w:w="268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jc w:val="both"/>
              <w:rPr>
                <w:rFonts w:ascii="Arial" w:eastAsia="Arial" w:hAnsi="Arial" w:cs="Arial"/>
                <w:sz w:val="22"/>
                <w:szCs w:val="22"/>
              </w:rPr>
            </w:pPr>
            <w:r>
              <w:rPr>
                <w:rFonts w:ascii="Arial" w:eastAsia="Arial" w:hAnsi="Arial" w:cs="Arial"/>
                <w:sz w:val="22"/>
                <w:szCs w:val="22"/>
              </w:rPr>
              <w:t>Gastos De Personal</w:t>
            </w:r>
          </w:p>
        </w:tc>
        <w:tc>
          <w:tcPr>
            <w:tcW w:w="1417" w:type="dxa"/>
            <w:tcBorders>
              <w:top w:val="nil"/>
              <w:left w:val="nil"/>
              <w:bottom w:val="single" w:sz="8" w:space="0" w:color="000000"/>
              <w:right w:val="single" w:sz="8" w:space="0" w:color="000000"/>
            </w:tcBorders>
            <w:tcMar>
              <w:top w:w="100" w:type="dxa"/>
              <w:left w:w="80" w:type="dxa"/>
              <w:bottom w:w="100" w:type="dxa"/>
              <w:right w:w="80" w:type="dxa"/>
            </w:tcMar>
            <w:vAlign w:val="center"/>
          </w:tcPr>
          <w:p w:rsidR="00B202A2" w:rsidRDefault="00295E06">
            <w:pPr>
              <w:jc w:val="right"/>
              <w:rPr>
                <w:rFonts w:ascii="Arial" w:eastAsia="Arial" w:hAnsi="Arial" w:cs="Arial"/>
                <w:sz w:val="22"/>
                <w:szCs w:val="22"/>
              </w:rPr>
            </w:pPr>
            <w:r>
              <w:rPr>
                <w:rFonts w:ascii="Arial" w:eastAsia="Arial" w:hAnsi="Arial" w:cs="Arial"/>
                <w:sz w:val="22"/>
                <w:szCs w:val="22"/>
              </w:rPr>
              <w:t>$ 13.941,0</w:t>
            </w:r>
          </w:p>
        </w:tc>
        <w:tc>
          <w:tcPr>
            <w:tcW w:w="1545" w:type="dxa"/>
            <w:tcBorders>
              <w:top w:val="nil"/>
              <w:left w:val="nil"/>
              <w:bottom w:val="single" w:sz="8" w:space="0" w:color="000000"/>
              <w:right w:val="single" w:sz="8" w:space="0" w:color="000000"/>
            </w:tcBorders>
            <w:tcMar>
              <w:top w:w="100" w:type="dxa"/>
              <w:left w:w="80" w:type="dxa"/>
              <w:bottom w:w="100" w:type="dxa"/>
              <w:right w:w="80" w:type="dxa"/>
            </w:tcMar>
            <w:vAlign w:val="center"/>
          </w:tcPr>
          <w:p w:rsidR="00B202A2" w:rsidRDefault="00295E06">
            <w:pPr>
              <w:jc w:val="right"/>
              <w:rPr>
                <w:rFonts w:ascii="Arial" w:eastAsia="Arial" w:hAnsi="Arial" w:cs="Arial"/>
                <w:sz w:val="22"/>
                <w:szCs w:val="22"/>
              </w:rPr>
            </w:pPr>
            <w:r>
              <w:rPr>
                <w:rFonts w:ascii="Arial" w:eastAsia="Arial" w:hAnsi="Arial" w:cs="Arial"/>
                <w:sz w:val="22"/>
                <w:szCs w:val="22"/>
              </w:rPr>
              <w:t>$8.679,7</w:t>
            </w:r>
          </w:p>
        </w:tc>
        <w:tc>
          <w:tcPr>
            <w:tcW w:w="765" w:type="dxa"/>
            <w:tcBorders>
              <w:top w:val="nil"/>
              <w:left w:val="nil"/>
              <w:bottom w:val="single" w:sz="8" w:space="0" w:color="000000"/>
              <w:right w:val="single" w:sz="8" w:space="0" w:color="000000"/>
            </w:tcBorders>
            <w:tcMar>
              <w:top w:w="100" w:type="dxa"/>
              <w:left w:w="80" w:type="dxa"/>
              <w:bottom w:w="100" w:type="dxa"/>
              <w:right w:w="80" w:type="dxa"/>
            </w:tcMar>
            <w:vAlign w:val="center"/>
          </w:tcPr>
          <w:p w:rsidR="00B202A2" w:rsidRDefault="00295E06">
            <w:pPr>
              <w:jc w:val="right"/>
              <w:rPr>
                <w:rFonts w:ascii="Arial" w:eastAsia="Arial" w:hAnsi="Arial" w:cs="Arial"/>
                <w:sz w:val="22"/>
                <w:szCs w:val="22"/>
              </w:rPr>
            </w:pPr>
            <w:r>
              <w:rPr>
                <w:rFonts w:ascii="Arial" w:eastAsia="Arial" w:hAnsi="Arial" w:cs="Arial"/>
                <w:sz w:val="22"/>
                <w:szCs w:val="22"/>
              </w:rPr>
              <w:t>62%</w:t>
            </w:r>
          </w:p>
        </w:tc>
        <w:tc>
          <w:tcPr>
            <w:tcW w:w="1305" w:type="dxa"/>
            <w:tcBorders>
              <w:top w:val="nil"/>
              <w:left w:val="nil"/>
              <w:bottom w:val="single" w:sz="8" w:space="0" w:color="000000"/>
              <w:right w:val="single" w:sz="8" w:space="0" w:color="000000"/>
            </w:tcBorders>
            <w:tcMar>
              <w:top w:w="100" w:type="dxa"/>
              <w:left w:w="80" w:type="dxa"/>
              <w:bottom w:w="100" w:type="dxa"/>
              <w:right w:w="80" w:type="dxa"/>
            </w:tcMar>
            <w:vAlign w:val="center"/>
          </w:tcPr>
          <w:p w:rsidR="00B202A2" w:rsidRDefault="00295E06">
            <w:pPr>
              <w:jc w:val="right"/>
              <w:rPr>
                <w:rFonts w:ascii="Arial" w:eastAsia="Arial" w:hAnsi="Arial" w:cs="Arial"/>
                <w:sz w:val="22"/>
                <w:szCs w:val="22"/>
              </w:rPr>
            </w:pPr>
            <w:r>
              <w:rPr>
                <w:rFonts w:ascii="Arial" w:eastAsia="Arial" w:hAnsi="Arial" w:cs="Arial"/>
                <w:sz w:val="22"/>
                <w:szCs w:val="22"/>
              </w:rPr>
              <w:t>$8.678,6</w:t>
            </w:r>
          </w:p>
        </w:tc>
        <w:tc>
          <w:tcPr>
            <w:tcW w:w="795" w:type="dxa"/>
            <w:tcBorders>
              <w:top w:val="nil"/>
              <w:left w:val="nil"/>
              <w:bottom w:val="single" w:sz="8" w:space="0" w:color="000000"/>
              <w:right w:val="single" w:sz="8" w:space="0" w:color="000000"/>
            </w:tcBorders>
            <w:tcMar>
              <w:top w:w="100" w:type="dxa"/>
              <w:left w:w="80" w:type="dxa"/>
              <w:bottom w:w="100" w:type="dxa"/>
              <w:right w:w="80" w:type="dxa"/>
            </w:tcMar>
            <w:vAlign w:val="center"/>
          </w:tcPr>
          <w:p w:rsidR="00B202A2" w:rsidRDefault="00295E06">
            <w:pPr>
              <w:jc w:val="right"/>
              <w:rPr>
                <w:rFonts w:ascii="Arial" w:eastAsia="Arial" w:hAnsi="Arial" w:cs="Arial"/>
                <w:sz w:val="22"/>
                <w:szCs w:val="22"/>
              </w:rPr>
            </w:pPr>
            <w:r>
              <w:rPr>
                <w:rFonts w:ascii="Arial" w:eastAsia="Arial" w:hAnsi="Arial" w:cs="Arial"/>
                <w:sz w:val="22"/>
                <w:szCs w:val="22"/>
              </w:rPr>
              <w:t>62%</w:t>
            </w:r>
          </w:p>
        </w:tc>
      </w:tr>
      <w:tr w:rsidR="00B202A2">
        <w:trPr>
          <w:trHeight w:val="480"/>
        </w:trPr>
        <w:tc>
          <w:tcPr>
            <w:tcW w:w="268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jc w:val="both"/>
              <w:rPr>
                <w:rFonts w:ascii="Arial" w:eastAsia="Arial" w:hAnsi="Arial" w:cs="Arial"/>
                <w:sz w:val="22"/>
                <w:szCs w:val="22"/>
              </w:rPr>
            </w:pPr>
            <w:r>
              <w:rPr>
                <w:rFonts w:ascii="Arial" w:eastAsia="Arial" w:hAnsi="Arial" w:cs="Arial"/>
                <w:sz w:val="22"/>
                <w:szCs w:val="22"/>
              </w:rPr>
              <w:t>Adquisición De Bienes y Servicios</w:t>
            </w:r>
          </w:p>
        </w:tc>
        <w:tc>
          <w:tcPr>
            <w:tcW w:w="1417" w:type="dxa"/>
            <w:tcBorders>
              <w:top w:val="nil"/>
              <w:left w:val="nil"/>
              <w:bottom w:val="single" w:sz="8" w:space="0" w:color="000000"/>
              <w:right w:val="single" w:sz="8" w:space="0" w:color="000000"/>
            </w:tcBorders>
            <w:tcMar>
              <w:top w:w="100" w:type="dxa"/>
              <w:left w:w="80" w:type="dxa"/>
              <w:bottom w:w="100" w:type="dxa"/>
              <w:right w:w="80" w:type="dxa"/>
            </w:tcMar>
            <w:vAlign w:val="center"/>
          </w:tcPr>
          <w:p w:rsidR="00B202A2" w:rsidRDefault="00295E06">
            <w:pPr>
              <w:jc w:val="right"/>
              <w:rPr>
                <w:rFonts w:ascii="Arial" w:eastAsia="Arial" w:hAnsi="Arial" w:cs="Arial"/>
                <w:sz w:val="22"/>
                <w:szCs w:val="22"/>
              </w:rPr>
            </w:pPr>
            <w:r>
              <w:rPr>
                <w:rFonts w:ascii="Arial" w:eastAsia="Arial" w:hAnsi="Arial" w:cs="Arial"/>
                <w:sz w:val="22"/>
                <w:szCs w:val="22"/>
              </w:rPr>
              <w:t>$ 1.796,9</w:t>
            </w:r>
          </w:p>
        </w:tc>
        <w:tc>
          <w:tcPr>
            <w:tcW w:w="1545" w:type="dxa"/>
            <w:tcBorders>
              <w:top w:val="nil"/>
              <w:left w:val="nil"/>
              <w:bottom w:val="single" w:sz="8" w:space="0" w:color="000000"/>
              <w:right w:val="single" w:sz="8" w:space="0" w:color="000000"/>
            </w:tcBorders>
            <w:tcMar>
              <w:top w:w="100" w:type="dxa"/>
              <w:left w:w="80" w:type="dxa"/>
              <w:bottom w:w="100" w:type="dxa"/>
              <w:right w:w="80" w:type="dxa"/>
            </w:tcMar>
            <w:vAlign w:val="center"/>
          </w:tcPr>
          <w:p w:rsidR="00B202A2" w:rsidRDefault="00295E06">
            <w:pPr>
              <w:jc w:val="right"/>
              <w:rPr>
                <w:rFonts w:ascii="Arial" w:eastAsia="Arial" w:hAnsi="Arial" w:cs="Arial"/>
                <w:sz w:val="22"/>
                <w:szCs w:val="22"/>
              </w:rPr>
            </w:pPr>
            <w:r>
              <w:rPr>
                <w:rFonts w:ascii="Arial" w:eastAsia="Arial" w:hAnsi="Arial" w:cs="Arial"/>
                <w:sz w:val="22"/>
                <w:szCs w:val="22"/>
              </w:rPr>
              <w:t>$1.675,9</w:t>
            </w:r>
          </w:p>
        </w:tc>
        <w:tc>
          <w:tcPr>
            <w:tcW w:w="765" w:type="dxa"/>
            <w:tcBorders>
              <w:top w:val="nil"/>
              <w:left w:val="nil"/>
              <w:bottom w:val="single" w:sz="8" w:space="0" w:color="000000"/>
              <w:right w:val="single" w:sz="8" w:space="0" w:color="000000"/>
            </w:tcBorders>
            <w:tcMar>
              <w:top w:w="100" w:type="dxa"/>
              <w:left w:w="80" w:type="dxa"/>
              <w:bottom w:w="100" w:type="dxa"/>
              <w:right w:w="80" w:type="dxa"/>
            </w:tcMar>
            <w:vAlign w:val="center"/>
          </w:tcPr>
          <w:p w:rsidR="00B202A2" w:rsidRDefault="00295E06">
            <w:pPr>
              <w:jc w:val="right"/>
              <w:rPr>
                <w:rFonts w:ascii="Arial" w:eastAsia="Arial" w:hAnsi="Arial" w:cs="Arial"/>
                <w:sz w:val="22"/>
                <w:szCs w:val="22"/>
              </w:rPr>
            </w:pPr>
            <w:r>
              <w:rPr>
                <w:rFonts w:ascii="Arial" w:eastAsia="Arial" w:hAnsi="Arial" w:cs="Arial"/>
                <w:sz w:val="22"/>
                <w:szCs w:val="22"/>
              </w:rPr>
              <w:t>93%</w:t>
            </w:r>
          </w:p>
        </w:tc>
        <w:tc>
          <w:tcPr>
            <w:tcW w:w="1305" w:type="dxa"/>
            <w:tcBorders>
              <w:top w:val="nil"/>
              <w:left w:val="nil"/>
              <w:bottom w:val="single" w:sz="8" w:space="0" w:color="000000"/>
              <w:right w:val="single" w:sz="8" w:space="0" w:color="000000"/>
            </w:tcBorders>
            <w:tcMar>
              <w:top w:w="100" w:type="dxa"/>
              <w:left w:w="80" w:type="dxa"/>
              <w:bottom w:w="100" w:type="dxa"/>
              <w:right w:w="80" w:type="dxa"/>
            </w:tcMar>
            <w:vAlign w:val="center"/>
          </w:tcPr>
          <w:p w:rsidR="00B202A2" w:rsidRDefault="00295E06">
            <w:pPr>
              <w:jc w:val="right"/>
              <w:rPr>
                <w:rFonts w:ascii="Arial" w:eastAsia="Arial" w:hAnsi="Arial" w:cs="Arial"/>
                <w:sz w:val="22"/>
                <w:szCs w:val="22"/>
              </w:rPr>
            </w:pPr>
            <w:r>
              <w:rPr>
                <w:rFonts w:ascii="Arial" w:eastAsia="Arial" w:hAnsi="Arial" w:cs="Arial"/>
                <w:sz w:val="22"/>
                <w:szCs w:val="22"/>
              </w:rPr>
              <w:t>$984,1</w:t>
            </w:r>
          </w:p>
        </w:tc>
        <w:tc>
          <w:tcPr>
            <w:tcW w:w="795" w:type="dxa"/>
            <w:tcBorders>
              <w:top w:val="nil"/>
              <w:left w:val="nil"/>
              <w:bottom w:val="single" w:sz="8" w:space="0" w:color="000000"/>
              <w:right w:val="single" w:sz="8" w:space="0" w:color="000000"/>
            </w:tcBorders>
            <w:tcMar>
              <w:top w:w="100" w:type="dxa"/>
              <w:left w:w="80" w:type="dxa"/>
              <w:bottom w:w="100" w:type="dxa"/>
              <w:right w:w="80" w:type="dxa"/>
            </w:tcMar>
            <w:vAlign w:val="center"/>
          </w:tcPr>
          <w:p w:rsidR="00B202A2" w:rsidRDefault="00295E06">
            <w:pPr>
              <w:jc w:val="right"/>
              <w:rPr>
                <w:rFonts w:ascii="Arial" w:eastAsia="Arial" w:hAnsi="Arial" w:cs="Arial"/>
                <w:sz w:val="22"/>
                <w:szCs w:val="22"/>
              </w:rPr>
            </w:pPr>
            <w:r>
              <w:rPr>
                <w:rFonts w:ascii="Arial" w:eastAsia="Arial" w:hAnsi="Arial" w:cs="Arial"/>
                <w:sz w:val="22"/>
                <w:szCs w:val="22"/>
              </w:rPr>
              <w:t>55%</w:t>
            </w:r>
          </w:p>
        </w:tc>
      </w:tr>
      <w:tr w:rsidR="00B202A2">
        <w:trPr>
          <w:trHeight w:val="315"/>
        </w:trPr>
        <w:tc>
          <w:tcPr>
            <w:tcW w:w="268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jc w:val="both"/>
              <w:rPr>
                <w:rFonts w:ascii="Arial" w:eastAsia="Arial" w:hAnsi="Arial" w:cs="Arial"/>
                <w:sz w:val="22"/>
                <w:szCs w:val="22"/>
              </w:rPr>
            </w:pPr>
            <w:r>
              <w:rPr>
                <w:rFonts w:ascii="Arial" w:eastAsia="Arial" w:hAnsi="Arial" w:cs="Arial"/>
                <w:sz w:val="22"/>
                <w:szCs w:val="22"/>
              </w:rPr>
              <w:t>Transferencias Corrientes</w:t>
            </w:r>
          </w:p>
        </w:tc>
        <w:tc>
          <w:tcPr>
            <w:tcW w:w="1417" w:type="dxa"/>
            <w:tcBorders>
              <w:top w:val="nil"/>
              <w:left w:val="nil"/>
              <w:bottom w:val="single" w:sz="8" w:space="0" w:color="000000"/>
              <w:right w:val="single" w:sz="8" w:space="0" w:color="000000"/>
            </w:tcBorders>
            <w:tcMar>
              <w:top w:w="100" w:type="dxa"/>
              <w:left w:w="80" w:type="dxa"/>
              <w:bottom w:w="100" w:type="dxa"/>
              <w:right w:w="80" w:type="dxa"/>
            </w:tcMar>
            <w:vAlign w:val="center"/>
          </w:tcPr>
          <w:p w:rsidR="00B202A2" w:rsidRDefault="00295E06">
            <w:pPr>
              <w:jc w:val="right"/>
              <w:rPr>
                <w:rFonts w:ascii="Arial" w:eastAsia="Arial" w:hAnsi="Arial" w:cs="Arial"/>
                <w:sz w:val="22"/>
                <w:szCs w:val="22"/>
              </w:rPr>
            </w:pPr>
            <w:r>
              <w:rPr>
                <w:rFonts w:ascii="Arial" w:eastAsia="Arial" w:hAnsi="Arial" w:cs="Arial"/>
                <w:sz w:val="22"/>
                <w:szCs w:val="22"/>
              </w:rPr>
              <w:t>$ 415,8</w:t>
            </w:r>
          </w:p>
        </w:tc>
        <w:tc>
          <w:tcPr>
            <w:tcW w:w="1545" w:type="dxa"/>
            <w:tcBorders>
              <w:top w:val="nil"/>
              <w:left w:val="nil"/>
              <w:bottom w:val="single" w:sz="8" w:space="0" w:color="000000"/>
              <w:right w:val="single" w:sz="8" w:space="0" w:color="000000"/>
            </w:tcBorders>
            <w:tcMar>
              <w:top w:w="100" w:type="dxa"/>
              <w:left w:w="80" w:type="dxa"/>
              <w:bottom w:w="100" w:type="dxa"/>
              <w:right w:w="80" w:type="dxa"/>
            </w:tcMar>
            <w:vAlign w:val="center"/>
          </w:tcPr>
          <w:p w:rsidR="00B202A2" w:rsidRDefault="00295E06">
            <w:pPr>
              <w:jc w:val="right"/>
              <w:rPr>
                <w:rFonts w:ascii="Arial" w:eastAsia="Arial" w:hAnsi="Arial" w:cs="Arial"/>
                <w:sz w:val="22"/>
                <w:szCs w:val="22"/>
              </w:rPr>
            </w:pPr>
            <w:r>
              <w:rPr>
                <w:rFonts w:ascii="Arial" w:eastAsia="Arial" w:hAnsi="Arial" w:cs="Arial"/>
                <w:sz w:val="22"/>
                <w:szCs w:val="22"/>
              </w:rPr>
              <w:t>$27,2</w:t>
            </w:r>
          </w:p>
        </w:tc>
        <w:tc>
          <w:tcPr>
            <w:tcW w:w="765" w:type="dxa"/>
            <w:tcBorders>
              <w:top w:val="nil"/>
              <w:left w:val="nil"/>
              <w:bottom w:val="single" w:sz="8" w:space="0" w:color="000000"/>
              <w:right w:val="single" w:sz="8" w:space="0" w:color="000000"/>
            </w:tcBorders>
            <w:tcMar>
              <w:top w:w="100" w:type="dxa"/>
              <w:left w:w="80" w:type="dxa"/>
              <w:bottom w:w="100" w:type="dxa"/>
              <w:right w:w="80" w:type="dxa"/>
            </w:tcMar>
            <w:vAlign w:val="center"/>
          </w:tcPr>
          <w:p w:rsidR="00B202A2" w:rsidRDefault="00295E06">
            <w:pPr>
              <w:jc w:val="right"/>
              <w:rPr>
                <w:rFonts w:ascii="Arial" w:eastAsia="Arial" w:hAnsi="Arial" w:cs="Arial"/>
                <w:sz w:val="22"/>
                <w:szCs w:val="22"/>
              </w:rPr>
            </w:pPr>
            <w:r>
              <w:rPr>
                <w:rFonts w:ascii="Arial" w:eastAsia="Arial" w:hAnsi="Arial" w:cs="Arial"/>
                <w:sz w:val="22"/>
                <w:szCs w:val="22"/>
              </w:rPr>
              <w:t>7%</w:t>
            </w:r>
          </w:p>
        </w:tc>
        <w:tc>
          <w:tcPr>
            <w:tcW w:w="1305" w:type="dxa"/>
            <w:tcBorders>
              <w:top w:val="nil"/>
              <w:left w:val="nil"/>
              <w:bottom w:val="single" w:sz="8" w:space="0" w:color="000000"/>
              <w:right w:val="single" w:sz="8" w:space="0" w:color="000000"/>
            </w:tcBorders>
            <w:tcMar>
              <w:top w:w="100" w:type="dxa"/>
              <w:left w:w="80" w:type="dxa"/>
              <w:bottom w:w="100" w:type="dxa"/>
              <w:right w:w="80" w:type="dxa"/>
            </w:tcMar>
            <w:vAlign w:val="center"/>
          </w:tcPr>
          <w:p w:rsidR="00B202A2" w:rsidRDefault="00295E06">
            <w:pPr>
              <w:jc w:val="right"/>
              <w:rPr>
                <w:rFonts w:ascii="Arial" w:eastAsia="Arial" w:hAnsi="Arial" w:cs="Arial"/>
                <w:sz w:val="22"/>
                <w:szCs w:val="22"/>
              </w:rPr>
            </w:pPr>
            <w:r>
              <w:rPr>
                <w:rFonts w:ascii="Arial" w:eastAsia="Arial" w:hAnsi="Arial" w:cs="Arial"/>
                <w:sz w:val="22"/>
                <w:szCs w:val="22"/>
              </w:rPr>
              <w:t>$27,2</w:t>
            </w:r>
          </w:p>
        </w:tc>
        <w:tc>
          <w:tcPr>
            <w:tcW w:w="795" w:type="dxa"/>
            <w:tcBorders>
              <w:top w:val="nil"/>
              <w:left w:val="nil"/>
              <w:bottom w:val="single" w:sz="8" w:space="0" w:color="000000"/>
              <w:right w:val="single" w:sz="8" w:space="0" w:color="000000"/>
            </w:tcBorders>
            <w:tcMar>
              <w:top w:w="100" w:type="dxa"/>
              <w:left w:w="80" w:type="dxa"/>
              <w:bottom w:w="100" w:type="dxa"/>
              <w:right w:w="80" w:type="dxa"/>
            </w:tcMar>
            <w:vAlign w:val="center"/>
          </w:tcPr>
          <w:p w:rsidR="00B202A2" w:rsidRDefault="00295E06">
            <w:pPr>
              <w:jc w:val="right"/>
              <w:rPr>
                <w:rFonts w:ascii="Arial" w:eastAsia="Arial" w:hAnsi="Arial" w:cs="Arial"/>
                <w:sz w:val="22"/>
                <w:szCs w:val="22"/>
              </w:rPr>
            </w:pPr>
            <w:r>
              <w:rPr>
                <w:rFonts w:ascii="Arial" w:eastAsia="Arial" w:hAnsi="Arial" w:cs="Arial"/>
                <w:sz w:val="22"/>
                <w:szCs w:val="22"/>
              </w:rPr>
              <w:t>7%</w:t>
            </w:r>
          </w:p>
        </w:tc>
      </w:tr>
      <w:tr w:rsidR="00B202A2">
        <w:trPr>
          <w:trHeight w:val="345"/>
        </w:trPr>
        <w:tc>
          <w:tcPr>
            <w:tcW w:w="268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jc w:val="both"/>
              <w:rPr>
                <w:rFonts w:ascii="Arial" w:eastAsia="Arial" w:hAnsi="Arial" w:cs="Arial"/>
                <w:sz w:val="22"/>
                <w:szCs w:val="22"/>
              </w:rPr>
            </w:pPr>
            <w:r>
              <w:rPr>
                <w:rFonts w:ascii="Arial" w:eastAsia="Arial" w:hAnsi="Arial" w:cs="Arial"/>
                <w:sz w:val="22"/>
                <w:szCs w:val="22"/>
              </w:rPr>
              <w:t>Gastos Por Tributos</w:t>
            </w:r>
          </w:p>
        </w:tc>
        <w:tc>
          <w:tcPr>
            <w:tcW w:w="1417" w:type="dxa"/>
            <w:tcBorders>
              <w:top w:val="nil"/>
              <w:left w:val="nil"/>
              <w:bottom w:val="single" w:sz="8" w:space="0" w:color="000000"/>
              <w:right w:val="single" w:sz="8" w:space="0" w:color="000000"/>
            </w:tcBorders>
            <w:tcMar>
              <w:top w:w="100" w:type="dxa"/>
              <w:left w:w="80" w:type="dxa"/>
              <w:bottom w:w="100" w:type="dxa"/>
              <w:right w:w="80" w:type="dxa"/>
            </w:tcMar>
            <w:vAlign w:val="center"/>
          </w:tcPr>
          <w:p w:rsidR="00B202A2" w:rsidRDefault="00295E06">
            <w:pPr>
              <w:jc w:val="right"/>
              <w:rPr>
                <w:rFonts w:ascii="Arial" w:eastAsia="Arial" w:hAnsi="Arial" w:cs="Arial"/>
                <w:sz w:val="22"/>
                <w:szCs w:val="22"/>
              </w:rPr>
            </w:pPr>
            <w:r>
              <w:rPr>
                <w:rFonts w:ascii="Arial" w:eastAsia="Arial" w:hAnsi="Arial" w:cs="Arial"/>
                <w:sz w:val="22"/>
                <w:szCs w:val="22"/>
              </w:rPr>
              <w:t>$ 151,3</w:t>
            </w:r>
          </w:p>
        </w:tc>
        <w:tc>
          <w:tcPr>
            <w:tcW w:w="1545" w:type="dxa"/>
            <w:tcBorders>
              <w:top w:val="nil"/>
              <w:left w:val="nil"/>
              <w:bottom w:val="single" w:sz="8" w:space="0" w:color="000000"/>
              <w:right w:val="single" w:sz="8" w:space="0" w:color="000000"/>
            </w:tcBorders>
            <w:tcMar>
              <w:top w:w="100" w:type="dxa"/>
              <w:left w:w="80" w:type="dxa"/>
              <w:bottom w:w="100" w:type="dxa"/>
              <w:right w:w="80" w:type="dxa"/>
            </w:tcMar>
            <w:vAlign w:val="center"/>
          </w:tcPr>
          <w:p w:rsidR="00B202A2" w:rsidRDefault="00295E06">
            <w:pPr>
              <w:jc w:val="right"/>
              <w:rPr>
                <w:rFonts w:ascii="Arial" w:eastAsia="Arial" w:hAnsi="Arial" w:cs="Arial"/>
                <w:sz w:val="22"/>
                <w:szCs w:val="22"/>
              </w:rPr>
            </w:pPr>
            <w:r>
              <w:rPr>
                <w:rFonts w:ascii="Arial" w:eastAsia="Arial" w:hAnsi="Arial" w:cs="Arial"/>
                <w:sz w:val="22"/>
                <w:szCs w:val="22"/>
              </w:rPr>
              <w:t>$106,9</w:t>
            </w:r>
          </w:p>
        </w:tc>
        <w:tc>
          <w:tcPr>
            <w:tcW w:w="765" w:type="dxa"/>
            <w:tcBorders>
              <w:top w:val="nil"/>
              <w:left w:val="nil"/>
              <w:bottom w:val="single" w:sz="8" w:space="0" w:color="000000"/>
              <w:right w:val="single" w:sz="8" w:space="0" w:color="000000"/>
            </w:tcBorders>
            <w:tcMar>
              <w:top w:w="100" w:type="dxa"/>
              <w:left w:w="80" w:type="dxa"/>
              <w:bottom w:w="100" w:type="dxa"/>
              <w:right w:w="80" w:type="dxa"/>
            </w:tcMar>
            <w:vAlign w:val="center"/>
          </w:tcPr>
          <w:p w:rsidR="00B202A2" w:rsidRDefault="00295E06">
            <w:pPr>
              <w:jc w:val="right"/>
              <w:rPr>
                <w:rFonts w:ascii="Arial" w:eastAsia="Arial" w:hAnsi="Arial" w:cs="Arial"/>
                <w:sz w:val="22"/>
                <w:szCs w:val="22"/>
              </w:rPr>
            </w:pPr>
            <w:r>
              <w:rPr>
                <w:rFonts w:ascii="Arial" w:eastAsia="Arial" w:hAnsi="Arial" w:cs="Arial"/>
                <w:sz w:val="22"/>
                <w:szCs w:val="22"/>
              </w:rPr>
              <w:t>71%</w:t>
            </w:r>
          </w:p>
        </w:tc>
        <w:tc>
          <w:tcPr>
            <w:tcW w:w="1305" w:type="dxa"/>
            <w:tcBorders>
              <w:top w:val="nil"/>
              <w:left w:val="nil"/>
              <w:bottom w:val="single" w:sz="8" w:space="0" w:color="000000"/>
              <w:right w:val="single" w:sz="8" w:space="0" w:color="000000"/>
            </w:tcBorders>
            <w:tcMar>
              <w:top w:w="100" w:type="dxa"/>
              <w:left w:w="80" w:type="dxa"/>
              <w:bottom w:w="100" w:type="dxa"/>
              <w:right w:w="80" w:type="dxa"/>
            </w:tcMar>
            <w:vAlign w:val="center"/>
          </w:tcPr>
          <w:p w:rsidR="00B202A2" w:rsidRDefault="00295E06">
            <w:pPr>
              <w:jc w:val="right"/>
              <w:rPr>
                <w:rFonts w:ascii="Arial" w:eastAsia="Arial" w:hAnsi="Arial" w:cs="Arial"/>
                <w:sz w:val="22"/>
                <w:szCs w:val="22"/>
              </w:rPr>
            </w:pPr>
            <w:r>
              <w:rPr>
                <w:rFonts w:ascii="Arial" w:eastAsia="Arial" w:hAnsi="Arial" w:cs="Arial"/>
                <w:sz w:val="22"/>
                <w:szCs w:val="22"/>
              </w:rPr>
              <w:t>$106,9</w:t>
            </w:r>
          </w:p>
        </w:tc>
        <w:tc>
          <w:tcPr>
            <w:tcW w:w="795" w:type="dxa"/>
            <w:tcBorders>
              <w:top w:val="nil"/>
              <w:left w:val="nil"/>
              <w:bottom w:val="single" w:sz="8" w:space="0" w:color="000000"/>
              <w:right w:val="single" w:sz="8" w:space="0" w:color="000000"/>
            </w:tcBorders>
            <w:tcMar>
              <w:top w:w="100" w:type="dxa"/>
              <w:left w:w="80" w:type="dxa"/>
              <w:bottom w:w="100" w:type="dxa"/>
              <w:right w:w="80" w:type="dxa"/>
            </w:tcMar>
            <w:vAlign w:val="center"/>
          </w:tcPr>
          <w:p w:rsidR="00B202A2" w:rsidRDefault="00295E06">
            <w:pPr>
              <w:jc w:val="right"/>
              <w:rPr>
                <w:rFonts w:ascii="Arial" w:eastAsia="Arial" w:hAnsi="Arial" w:cs="Arial"/>
                <w:sz w:val="22"/>
                <w:szCs w:val="22"/>
              </w:rPr>
            </w:pPr>
            <w:r>
              <w:rPr>
                <w:rFonts w:ascii="Arial" w:eastAsia="Arial" w:hAnsi="Arial" w:cs="Arial"/>
                <w:sz w:val="22"/>
                <w:szCs w:val="22"/>
              </w:rPr>
              <w:t>71%</w:t>
            </w:r>
          </w:p>
        </w:tc>
      </w:tr>
    </w:tbl>
    <w:p w:rsidR="00B202A2" w:rsidRDefault="00295E06">
      <w:pPr>
        <w:rPr>
          <w:rFonts w:ascii="Arial" w:eastAsia="Arial" w:hAnsi="Arial" w:cs="Arial"/>
          <w:sz w:val="22"/>
          <w:szCs w:val="22"/>
        </w:rPr>
      </w:pPr>
      <w:r>
        <w:rPr>
          <w:rFonts w:ascii="Arial" w:eastAsia="Arial" w:hAnsi="Arial" w:cs="Arial"/>
          <w:b/>
          <w:sz w:val="22"/>
          <w:szCs w:val="22"/>
        </w:rPr>
        <w:t>Nota:</w:t>
      </w:r>
      <w:r>
        <w:rPr>
          <w:rFonts w:ascii="Arial" w:eastAsia="Arial" w:hAnsi="Arial" w:cs="Arial"/>
          <w:sz w:val="22"/>
          <w:szCs w:val="22"/>
        </w:rPr>
        <w:t xml:space="preserve"> En los gastos de personal está incluida una apropiación con Previo Concepto DGPP, que al final del periodo quedó en $438,8 Millones de Pesos, la cual se quedó en estado bloqueada por DGPP.</w:t>
      </w:r>
    </w:p>
    <w:sdt>
      <w:sdtPr>
        <w:tag w:val="goog_rdk_6"/>
        <w:id w:val="1314070504"/>
      </w:sdtPr>
      <w:sdtEndPr/>
      <w:sdtContent>
        <w:p w:rsidR="00B202A2" w:rsidRDefault="00295E06">
          <w:pPr>
            <w:spacing w:before="240" w:after="240"/>
            <w:jc w:val="both"/>
            <w:rPr>
              <w:rFonts w:ascii="Arial" w:eastAsia="Arial" w:hAnsi="Arial" w:cs="Arial"/>
              <w:b/>
              <w:sz w:val="22"/>
              <w:szCs w:val="22"/>
            </w:rPr>
          </w:pPr>
          <w:r>
            <w:rPr>
              <w:rFonts w:ascii="Arial" w:eastAsia="Arial" w:hAnsi="Arial" w:cs="Arial"/>
              <w:b/>
              <w:sz w:val="22"/>
              <w:szCs w:val="22"/>
            </w:rPr>
            <w:t>Compromisos:</w:t>
          </w:r>
        </w:p>
      </w:sdtContent>
    </w:sdt>
    <w:p w:rsidR="00B202A2" w:rsidRDefault="00295E06">
      <w:pPr>
        <w:spacing w:before="240" w:after="240"/>
        <w:jc w:val="both"/>
        <w:rPr>
          <w:rFonts w:ascii="Arial" w:eastAsia="Arial" w:hAnsi="Arial" w:cs="Arial"/>
          <w:sz w:val="22"/>
          <w:szCs w:val="22"/>
        </w:rPr>
      </w:pPr>
      <w:r>
        <w:rPr>
          <w:rFonts w:ascii="Arial" w:eastAsia="Arial" w:hAnsi="Arial" w:cs="Arial"/>
          <w:sz w:val="22"/>
          <w:szCs w:val="22"/>
        </w:rPr>
        <w:t>Como se puede observar en la Tabla 13, a este corte</w:t>
      </w:r>
      <w:r>
        <w:rPr>
          <w:rFonts w:ascii="Arial" w:eastAsia="Arial" w:hAnsi="Arial" w:cs="Arial"/>
          <w:sz w:val="22"/>
          <w:szCs w:val="22"/>
        </w:rPr>
        <w:t xml:space="preserve"> los compromisos de gastos de funcionamiento fueron de $10.489,8 millones de pesos equivalente al 64% del total del presupuesto para funcionamiento; en los gastos de personal por su parte se comprometió $8.679,7 millones de pesos que representan el 62% del</w:t>
      </w:r>
      <w:r>
        <w:rPr>
          <w:rFonts w:ascii="Arial" w:eastAsia="Arial" w:hAnsi="Arial" w:cs="Arial"/>
          <w:sz w:val="22"/>
          <w:szCs w:val="22"/>
        </w:rPr>
        <w:t xml:space="preserve"> total de gastos apropiados; en Adquisición de Bienes y Servicios se cerraron compromisos con $1.675,9 millones de pesos equivalente al 93%; Transferencias Corrientes con $27,2 equivalente al 7% y Gastos por tributos, multas, sanciones en intereses de mora</w:t>
      </w:r>
      <w:r>
        <w:rPr>
          <w:rFonts w:ascii="Arial" w:eastAsia="Arial" w:hAnsi="Arial" w:cs="Arial"/>
          <w:sz w:val="22"/>
          <w:szCs w:val="22"/>
        </w:rPr>
        <w:t xml:space="preserve"> finalizó con 106.9 millones de pesos con el 71% comprometidos del total apropiado.</w:t>
      </w:r>
    </w:p>
    <w:p w:rsidR="00B202A2" w:rsidRDefault="00B202A2">
      <w:pPr>
        <w:spacing w:after="200"/>
        <w:ind w:firstLine="720"/>
        <w:jc w:val="both"/>
        <w:rPr>
          <w:rFonts w:ascii="Arial" w:eastAsia="Arial" w:hAnsi="Arial" w:cs="Arial"/>
          <w:sz w:val="22"/>
          <w:szCs w:val="22"/>
        </w:rPr>
      </w:pPr>
      <w:bookmarkStart w:id="62" w:name="_heading=h.37m2jsg" w:colFirst="0" w:colLast="0"/>
      <w:bookmarkEnd w:id="62"/>
    </w:p>
    <w:p w:rsidR="00B202A2" w:rsidRDefault="00295E06">
      <w:pPr>
        <w:spacing w:after="200"/>
        <w:jc w:val="both"/>
        <w:rPr>
          <w:rFonts w:ascii="Arial" w:eastAsia="Arial" w:hAnsi="Arial" w:cs="Arial"/>
          <w:sz w:val="22"/>
          <w:szCs w:val="22"/>
        </w:rPr>
      </w:pPr>
      <w:bookmarkStart w:id="63" w:name="_heading=h.w2bz0cey46dr" w:colFirst="0" w:colLast="0"/>
      <w:bookmarkEnd w:id="63"/>
      <w:r>
        <w:br w:type="page"/>
      </w:r>
    </w:p>
    <w:p w:rsidR="00B202A2" w:rsidRDefault="00295E06">
      <w:pPr>
        <w:spacing w:after="200"/>
        <w:jc w:val="center"/>
        <w:rPr>
          <w:rFonts w:ascii="Arial" w:eastAsia="Arial" w:hAnsi="Arial" w:cs="Arial"/>
          <w:b/>
          <w:sz w:val="22"/>
          <w:szCs w:val="22"/>
        </w:rPr>
      </w:pPr>
      <w:bookmarkStart w:id="64" w:name="_heading=h.flb0y6h0qay" w:colFirst="0" w:colLast="0"/>
      <w:bookmarkEnd w:id="64"/>
      <w:r>
        <w:rPr>
          <w:rFonts w:ascii="Arial" w:eastAsia="Arial" w:hAnsi="Arial" w:cs="Arial"/>
          <w:b/>
          <w:sz w:val="22"/>
          <w:szCs w:val="22"/>
        </w:rPr>
        <w:lastRenderedPageBreak/>
        <w:t>Gráfica 12. Ejecución Presupuestal Compromisos a septiembre 30 de 2020</w:t>
      </w:r>
    </w:p>
    <w:p w:rsidR="00B202A2" w:rsidRDefault="00295E06">
      <w:pPr>
        <w:rPr>
          <w:rFonts w:ascii="Arial" w:eastAsia="Arial" w:hAnsi="Arial" w:cs="Arial"/>
          <w:sz w:val="22"/>
          <w:szCs w:val="22"/>
        </w:rPr>
      </w:pPr>
      <w:r>
        <w:rPr>
          <w:rFonts w:ascii="Arial" w:eastAsia="Arial" w:hAnsi="Arial" w:cs="Arial"/>
          <w:noProof/>
          <w:color w:val="000000"/>
          <w:sz w:val="22"/>
          <w:szCs w:val="22"/>
          <w:lang w:val="en-US"/>
        </w:rPr>
        <w:drawing>
          <wp:inline distT="0" distB="0" distL="0" distR="0" wp14:anchorId="6F1C2C60" wp14:editId="26DF4527">
            <wp:extent cx="5406390" cy="2720340"/>
            <wp:effectExtent l="0" t="0" r="0" b="0"/>
            <wp:docPr id="147" name="image62.png" descr="https://lh3.googleusercontent.com/Jsk_bdTzGNYbIRt34w0HxOE-pNeW2HlhdsX4Ecz7KirfbTqsQmqmyq4ZvE-X5OHT-1kyBwqrGoMI_nh5HPBC0LVVte8f3HmBzoPRbl1YLmWC6K7vx9LCKBOQocN4zQ"/>
            <wp:cNvGraphicFramePr/>
            <a:graphic xmlns:a="http://schemas.openxmlformats.org/drawingml/2006/main">
              <a:graphicData uri="http://schemas.openxmlformats.org/drawingml/2006/picture">
                <pic:pic xmlns:pic="http://schemas.openxmlformats.org/drawingml/2006/picture">
                  <pic:nvPicPr>
                    <pic:cNvPr id="0" name="image62.png" descr="https://lh3.googleusercontent.com/Jsk_bdTzGNYbIRt34w0HxOE-pNeW2HlhdsX4Ecz7KirfbTqsQmqmyq4ZvE-X5OHT-1kyBwqrGoMI_nh5HPBC0LVVte8f3HmBzoPRbl1YLmWC6K7vx9LCKBOQocN4zQ"/>
                    <pic:cNvPicPr preferRelativeResize="0"/>
                  </pic:nvPicPr>
                  <pic:blipFill>
                    <a:blip r:embed="rId24"/>
                    <a:srcRect/>
                    <a:stretch>
                      <a:fillRect/>
                    </a:stretch>
                  </pic:blipFill>
                  <pic:spPr>
                    <a:xfrm>
                      <a:off x="0" y="0"/>
                      <a:ext cx="5406390" cy="2720340"/>
                    </a:xfrm>
                    <a:prstGeom prst="rect">
                      <a:avLst/>
                    </a:prstGeom>
                    <a:ln/>
                  </pic:spPr>
                </pic:pic>
              </a:graphicData>
            </a:graphic>
          </wp:inline>
        </w:drawing>
      </w:r>
    </w:p>
    <w:sdt>
      <w:sdtPr>
        <w:tag w:val="goog_rdk_7"/>
        <w:id w:val="1405801643"/>
      </w:sdtPr>
      <w:sdtEndPr/>
      <w:sdtContent>
        <w:p w:rsidR="00B202A2" w:rsidRDefault="00295E06">
          <w:pPr>
            <w:spacing w:before="240" w:after="240"/>
            <w:jc w:val="both"/>
            <w:rPr>
              <w:rFonts w:ascii="Arial" w:eastAsia="Arial" w:hAnsi="Arial" w:cs="Arial"/>
              <w:b/>
              <w:sz w:val="22"/>
              <w:szCs w:val="22"/>
              <w:u w:val="single"/>
            </w:rPr>
          </w:pPr>
          <w:r>
            <w:rPr>
              <w:rFonts w:ascii="Arial" w:eastAsia="Arial" w:hAnsi="Arial" w:cs="Arial"/>
              <w:b/>
              <w:sz w:val="22"/>
              <w:szCs w:val="22"/>
              <w:u w:val="single"/>
            </w:rPr>
            <w:t>Obligaciones:</w:t>
          </w:r>
        </w:p>
      </w:sdtContent>
    </w:sdt>
    <w:p w:rsidR="00B202A2" w:rsidRDefault="00295E06">
      <w:pPr>
        <w:spacing w:before="240" w:after="240"/>
        <w:jc w:val="both"/>
        <w:rPr>
          <w:rFonts w:ascii="Arial" w:eastAsia="Arial" w:hAnsi="Arial" w:cs="Arial"/>
          <w:sz w:val="22"/>
          <w:szCs w:val="22"/>
        </w:rPr>
      </w:pPr>
      <w:r>
        <w:rPr>
          <w:rFonts w:ascii="Arial" w:eastAsia="Arial" w:hAnsi="Arial" w:cs="Arial"/>
          <w:sz w:val="22"/>
          <w:szCs w:val="22"/>
        </w:rPr>
        <w:t>Con respecto a las obligaciones, este corte cerró con una ejecución de $9.796,8 millones de pesos en gastos de funcionamiento equivalente al 60% del total apropiado.</w:t>
      </w: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Es importante destacar que en la ejecución de gastos de funcionamiento con corte a 30 de s</w:t>
      </w:r>
      <w:r>
        <w:rPr>
          <w:rFonts w:ascii="Arial" w:eastAsia="Arial" w:hAnsi="Arial" w:cs="Arial"/>
          <w:sz w:val="22"/>
          <w:szCs w:val="22"/>
        </w:rPr>
        <w:t>eptiembre de 2020, las principales erogaciones cubrieron los siguientes pagos, entre otros:</w:t>
      </w:r>
    </w:p>
    <w:p w:rsidR="00B202A2" w:rsidRDefault="00295E06">
      <w:pPr>
        <w:spacing w:before="240"/>
        <w:jc w:val="both"/>
        <w:rPr>
          <w:rFonts w:ascii="Arial" w:eastAsia="Arial" w:hAnsi="Arial" w:cs="Arial"/>
          <w:sz w:val="22"/>
          <w:szCs w:val="22"/>
        </w:rPr>
      </w:pPr>
      <w:r>
        <w:rPr>
          <w:rFonts w:ascii="Arial" w:eastAsia="Arial" w:hAnsi="Arial" w:cs="Arial"/>
          <w:sz w:val="22"/>
          <w:szCs w:val="22"/>
        </w:rPr>
        <w:t xml:space="preserve"> </w:t>
      </w:r>
    </w:p>
    <w:p w:rsidR="00B202A2" w:rsidRDefault="00295E06">
      <w:pPr>
        <w:numPr>
          <w:ilvl w:val="0"/>
          <w:numId w:val="21"/>
        </w:numPr>
        <w:jc w:val="both"/>
        <w:rPr>
          <w:rFonts w:ascii="Arial" w:eastAsia="Arial" w:hAnsi="Arial" w:cs="Arial"/>
          <w:sz w:val="22"/>
          <w:szCs w:val="22"/>
        </w:rPr>
      </w:pPr>
      <w:r>
        <w:rPr>
          <w:rFonts w:ascii="Arial" w:eastAsia="Arial" w:hAnsi="Arial" w:cs="Arial"/>
          <w:sz w:val="22"/>
          <w:szCs w:val="22"/>
        </w:rPr>
        <w:t>Pago de la nómina, prestaciones y seguridad social, servicios de vigilancia y aseo, servicios de administración Centro Empresarial Arrecife etapa II torre peatona</w:t>
      </w:r>
      <w:r>
        <w:rPr>
          <w:rFonts w:ascii="Arial" w:eastAsia="Arial" w:hAnsi="Arial" w:cs="Arial"/>
          <w:sz w:val="22"/>
          <w:szCs w:val="22"/>
        </w:rPr>
        <w:t>l propiedad horizontal, servicio de mantenimientos y adecuaciones en la sede administrativa, servicios de suministro de comidas y bebidas, servicios de transporte, servicios de distribución de electricidad y agua, alcantarillado y aseo, servicios de teleco</w:t>
      </w:r>
      <w:r>
        <w:rPr>
          <w:rFonts w:ascii="Arial" w:eastAsia="Arial" w:hAnsi="Arial" w:cs="Arial"/>
          <w:sz w:val="22"/>
          <w:szCs w:val="22"/>
        </w:rPr>
        <w:t>municación, servicios postales nacionales, suministro de combustible, arriendo de oficinas; entre otros.</w:t>
      </w:r>
    </w:p>
    <w:p w:rsidR="00B202A2" w:rsidRDefault="00B202A2">
      <w:pPr>
        <w:jc w:val="both"/>
        <w:rPr>
          <w:rFonts w:ascii="Arial" w:eastAsia="Arial" w:hAnsi="Arial" w:cs="Arial"/>
          <w:sz w:val="22"/>
          <w:szCs w:val="22"/>
        </w:rPr>
      </w:pPr>
    </w:p>
    <w:p w:rsidR="00B202A2" w:rsidRDefault="00295E06">
      <w:pPr>
        <w:jc w:val="both"/>
        <w:rPr>
          <w:rFonts w:ascii="Arial" w:eastAsia="Arial" w:hAnsi="Arial" w:cs="Arial"/>
          <w:b/>
          <w:sz w:val="22"/>
          <w:szCs w:val="22"/>
        </w:rPr>
      </w:pPr>
      <w:r>
        <w:rPr>
          <w:rFonts w:ascii="Arial" w:eastAsia="Arial" w:hAnsi="Arial" w:cs="Arial"/>
          <w:b/>
          <w:sz w:val="22"/>
          <w:szCs w:val="22"/>
        </w:rPr>
        <w:t>Ejecución de Gastos Proyectos de Inversión</w:t>
      </w:r>
    </w:p>
    <w:p w:rsidR="00B202A2" w:rsidRDefault="00B202A2">
      <w:pPr>
        <w:jc w:val="both"/>
        <w:rPr>
          <w:rFonts w:ascii="Arial" w:eastAsia="Arial" w:hAnsi="Arial" w:cs="Arial"/>
          <w:b/>
          <w:sz w:val="22"/>
          <w:szCs w:val="22"/>
        </w:rPr>
      </w:pPr>
    </w:p>
    <w:p w:rsidR="00B202A2" w:rsidRDefault="00295E06">
      <w:pPr>
        <w:jc w:val="both"/>
        <w:rPr>
          <w:rFonts w:ascii="Arial" w:eastAsia="Arial" w:hAnsi="Arial" w:cs="Arial"/>
          <w:sz w:val="22"/>
          <w:szCs w:val="22"/>
        </w:rPr>
      </w:pPr>
      <w:bookmarkStart w:id="65" w:name="_heading=h.1mrcu09" w:colFirst="0" w:colLast="0"/>
      <w:bookmarkEnd w:id="65"/>
      <w:r>
        <w:rPr>
          <w:rFonts w:ascii="Arial" w:eastAsia="Arial" w:hAnsi="Arial" w:cs="Arial"/>
          <w:sz w:val="22"/>
          <w:szCs w:val="22"/>
        </w:rPr>
        <w:t>En la ejecución presupuestal de los proyectos de inversión con corte a 30 de septiembre de 2020, se destacan los compromisos y las correlativas obligaciones asociadas a cada uno de los proyectos de la UPME en los siguientes términos:</w:t>
      </w:r>
    </w:p>
    <w:p w:rsidR="00B202A2" w:rsidRDefault="00B202A2">
      <w:pPr>
        <w:jc w:val="both"/>
        <w:rPr>
          <w:rFonts w:ascii="Arial" w:eastAsia="Arial" w:hAnsi="Arial" w:cs="Arial"/>
          <w:sz w:val="22"/>
          <w:szCs w:val="22"/>
        </w:rPr>
      </w:pPr>
    </w:p>
    <w:p w:rsidR="00B202A2" w:rsidRDefault="00295E06">
      <w:pPr>
        <w:jc w:val="both"/>
        <w:rPr>
          <w:rFonts w:ascii="Arial" w:eastAsia="Arial" w:hAnsi="Arial" w:cs="Arial"/>
          <w:sz w:val="22"/>
          <w:szCs w:val="22"/>
        </w:rPr>
      </w:pPr>
      <w:r>
        <w:br w:type="page"/>
      </w:r>
    </w:p>
    <w:p w:rsidR="00B202A2" w:rsidRDefault="00B202A2"/>
    <w:p w:rsidR="00B202A2" w:rsidRDefault="00295E06">
      <w:pPr>
        <w:jc w:val="center"/>
        <w:rPr>
          <w:rFonts w:ascii="Arial" w:eastAsia="Arial" w:hAnsi="Arial" w:cs="Arial"/>
          <w:b/>
          <w:sz w:val="22"/>
          <w:szCs w:val="22"/>
          <w:u w:val="single"/>
        </w:rPr>
      </w:pPr>
      <w:bookmarkStart w:id="66" w:name="_heading=h.46r0co2" w:colFirst="0" w:colLast="0"/>
      <w:bookmarkEnd w:id="66"/>
      <w:r>
        <w:rPr>
          <w:rFonts w:ascii="Arial" w:eastAsia="Arial" w:hAnsi="Arial" w:cs="Arial"/>
          <w:b/>
          <w:sz w:val="22"/>
          <w:szCs w:val="22"/>
          <w:u w:val="single"/>
        </w:rPr>
        <w:t>Tabla 14. Ejecució</w:t>
      </w:r>
      <w:r>
        <w:rPr>
          <w:rFonts w:ascii="Arial" w:eastAsia="Arial" w:hAnsi="Arial" w:cs="Arial"/>
          <w:b/>
          <w:sz w:val="22"/>
          <w:szCs w:val="22"/>
          <w:u w:val="single"/>
        </w:rPr>
        <w:t>n por proyectos</w:t>
      </w:r>
    </w:p>
    <w:p w:rsidR="00B202A2" w:rsidRDefault="00B202A2">
      <w:pPr>
        <w:jc w:val="both"/>
        <w:rPr>
          <w:rFonts w:ascii="Arial" w:eastAsia="Arial" w:hAnsi="Arial" w:cs="Arial"/>
          <w:sz w:val="22"/>
          <w:szCs w:val="22"/>
        </w:rPr>
      </w:pPr>
    </w:p>
    <w:tbl>
      <w:tblPr>
        <w:tblStyle w:val="afff"/>
        <w:tblW w:w="84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450"/>
        <w:gridCol w:w="1515"/>
        <w:gridCol w:w="1035"/>
        <w:gridCol w:w="720"/>
        <w:gridCol w:w="1080"/>
        <w:gridCol w:w="690"/>
      </w:tblGrid>
      <w:tr w:rsidR="00B202A2">
        <w:trPr>
          <w:trHeight w:val="500"/>
        </w:trPr>
        <w:tc>
          <w:tcPr>
            <w:tcW w:w="3450" w:type="dxa"/>
            <w:vMerge w:val="restart"/>
            <w:tcBorders>
              <w:top w:val="single" w:sz="8" w:space="0" w:color="000000"/>
              <w:left w:val="single" w:sz="8" w:space="0" w:color="000000"/>
              <w:bottom w:val="single" w:sz="8" w:space="0" w:color="000000"/>
              <w:right w:val="single" w:sz="8" w:space="0" w:color="000000"/>
            </w:tcBorders>
            <w:shd w:val="clear" w:color="auto" w:fill="CFE2F3"/>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Descripción</w:t>
            </w:r>
          </w:p>
        </w:tc>
        <w:tc>
          <w:tcPr>
            <w:tcW w:w="1515" w:type="dxa"/>
            <w:vMerge w:val="restart"/>
            <w:tcBorders>
              <w:top w:val="single" w:sz="8" w:space="0" w:color="000000"/>
              <w:left w:val="nil"/>
              <w:bottom w:val="single" w:sz="8" w:space="0" w:color="000000"/>
              <w:right w:val="single" w:sz="8" w:space="0" w:color="000000"/>
            </w:tcBorders>
            <w:shd w:val="clear" w:color="auto" w:fill="CFE2F3"/>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Apropiación  Vigente</w:t>
            </w:r>
          </w:p>
        </w:tc>
        <w:tc>
          <w:tcPr>
            <w:tcW w:w="1755" w:type="dxa"/>
            <w:gridSpan w:val="2"/>
            <w:tcBorders>
              <w:top w:val="single" w:sz="8" w:space="0" w:color="000000"/>
              <w:left w:val="nil"/>
              <w:bottom w:val="single" w:sz="8" w:space="0" w:color="000000"/>
              <w:right w:val="single" w:sz="8" w:space="0" w:color="000000"/>
            </w:tcBorders>
            <w:shd w:val="clear" w:color="auto" w:fill="CFE2F3"/>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Compromisos</w:t>
            </w:r>
          </w:p>
        </w:tc>
        <w:tc>
          <w:tcPr>
            <w:tcW w:w="1770" w:type="dxa"/>
            <w:gridSpan w:val="2"/>
            <w:tcBorders>
              <w:top w:val="single" w:sz="8" w:space="0" w:color="000000"/>
              <w:left w:val="nil"/>
              <w:bottom w:val="single" w:sz="8" w:space="0" w:color="000000"/>
              <w:right w:val="single" w:sz="8" w:space="0" w:color="000000"/>
            </w:tcBorders>
            <w:shd w:val="clear" w:color="auto" w:fill="CFE2F3"/>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Obligaciones</w:t>
            </w:r>
          </w:p>
        </w:tc>
      </w:tr>
      <w:tr w:rsidR="00B202A2">
        <w:trPr>
          <w:trHeight w:val="515"/>
        </w:trPr>
        <w:tc>
          <w:tcPr>
            <w:tcW w:w="3450" w:type="dxa"/>
            <w:vMerge/>
            <w:tcBorders>
              <w:top w:val="single" w:sz="8" w:space="0" w:color="000000"/>
              <w:left w:val="single" w:sz="8" w:space="0" w:color="000000"/>
              <w:bottom w:val="single" w:sz="8" w:space="0" w:color="000000"/>
              <w:right w:val="single" w:sz="8" w:space="0" w:color="000000"/>
            </w:tcBorders>
            <w:shd w:val="clear" w:color="auto" w:fill="CFE2F3"/>
            <w:tcMar>
              <w:top w:w="100" w:type="dxa"/>
              <w:left w:w="80" w:type="dxa"/>
              <w:bottom w:w="100" w:type="dxa"/>
              <w:right w:w="80" w:type="dxa"/>
            </w:tcMar>
            <w:vAlign w:val="center"/>
          </w:tcPr>
          <w:p w:rsidR="00B202A2" w:rsidRDefault="00B202A2">
            <w:pPr>
              <w:widowControl w:val="0"/>
              <w:pBdr>
                <w:top w:val="nil"/>
                <w:left w:val="nil"/>
                <w:bottom w:val="nil"/>
                <w:right w:val="nil"/>
                <w:between w:val="nil"/>
              </w:pBdr>
              <w:spacing w:line="276" w:lineRule="auto"/>
              <w:rPr>
                <w:rFonts w:ascii="Arial" w:eastAsia="Arial" w:hAnsi="Arial" w:cs="Arial"/>
                <w:b/>
                <w:color w:val="FFFFFF"/>
                <w:sz w:val="22"/>
                <w:szCs w:val="22"/>
              </w:rPr>
            </w:pPr>
          </w:p>
        </w:tc>
        <w:tc>
          <w:tcPr>
            <w:tcW w:w="1515" w:type="dxa"/>
            <w:vMerge/>
            <w:tcBorders>
              <w:top w:val="single" w:sz="8" w:space="0" w:color="000000"/>
              <w:left w:val="nil"/>
              <w:bottom w:val="single" w:sz="8" w:space="0" w:color="000000"/>
              <w:right w:val="single" w:sz="8" w:space="0" w:color="000000"/>
            </w:tcBorders>
            <w:shd w:val="clear" w:color="auto" w:fill="CFE2F3"/>
            <w:tcMar>
              <w:top w:w="100" w:type="dxa"/>
              <w:left w:w="80" w:type="dxa"/>
              <w:bottom w:w="100" w:type="dxa"/>
              <w:right w:w="80" w:type="dxa"/>
            </w:tcMar>
            <w:vAlign w:val="center"/>
          </w:tcPr>
          <w:p w:rsidR="00B202A2" w:rsidRDefault="00B202A2">
            <w:pPr>
              <w:widowControl w:val="0"/>
              <w:pBdr>
                <w:top w:val="nil"/>
                <w:left w:val="nil"/>
                <w:bottom w:val="nil"/>
                <w:right w:val="nil"/>
                <w:between w:val="nil"/>
              </w:pBdr>
              <w:spacing w:line="276" w:lineRule="auto"/>
              <w:rPr>
                <w:rFonts w:ascii="Arial" w:eastAsia="Arial" w:hAnsi="Arial" w:cs="Arial"/>
                <w:b/>
                <w:color w:val="FFFFFF"/>
                <w:sz w:val="22"/>
                <w:szCs w:val="22"/>
              </w:rPr>
            </w:pPr>
          </w:p>
        </w:tc>
        <w:tc>
          <w:tcPr>
            <w:tcW w:w="1035" w:type="dxa"/>
            <w:tcBorders>
              <w:top w:val="nil"/>
              <w:left w:val="nil"/>
              <w:bottom w:val="single" w:sz="8" w:space="0" w:color="000000"/>
              <w:right w:val="single" w:sz="8" w:space="0" w:color="000000"/>
            </w:tcBorders>
            <w:shd w:val="clear" w:color="auto" w:fill="CFE2F3"/>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Valor</w:t>
            </w:r>
          </w:p>
        </w:tc>
        <w:tc>
          <w:tcPr>
            <w:tcW w:w="720" w:type="dxa"/>
            <w:tcBorders>
              <w:top w:val="nil"/>
              <w:left w:val="nil"/>
              <w:bottom w:val="single" w:sz="8" w:space="0" w:color="000000"/>
              <w:right w:val="single" w:sz="8" w:space="0" w:color="000000"/>
            </w:tcBorders>
            <w:shd w:val="clear" w:color="auto" w:fill="CFE2F3"/>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w:t>
            </w:r>
          </w:p>
        </w:tc>
        <w:tc>
          <w:tcPr>
            <w:tcW w:w="1080" w:type="dxa"/>
            <w:tcBorders>
              <w:top w:val="nil"/>
              <w:left w:val="nil"/>
              <w:bottom w:val="single" w:sz="8" w:space="0" w:color="000000"/>
              <w:right w:val="single" w:sz="8" w:space="0" w:color="000000"/>
            </w:tcBorders>
            <w:shd w:val="clear" w:color="auto" w:fill="CFE2F3"/>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Valor</w:t>
            </w:r>
          </w:p>
        </w:tc>
        <w:tc>
          <w:tcPr>
            <w:tcW w:w="690" w:type="dxa"/>
            <w:tcBorders>
              <w:top w:val="nil"/>
              <w:left w:val="nil"/>
              <w:bottom w:val="single" w:sz="8" w:space="0" w:color="000000"/>
              <w:right w:val="single" w:sz="8" w:space="0" w:color="000000"/>
            </w:tcBorders>
            <w:shd w:val="clear" w:color="auto" w:fill="CFE2F3"/>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w:t>
            </w:r>
          </w:p>
        </w:tc>
      </w:tr>
      <w:tr w:rsidR="00B202A2">
        <w:trPr>
          <w:trHeight w:val="545"/>
        </w:trPr>
        <w:tc>
          <w:tcPr>
            <w:tcW w:w="345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Inversión</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$21.080,2</w:t>
            </w:r>
          </w:p>
        </w:tc>
        <w:tc>
          <w:tcPr>
            <w:tcW w:w="103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$9.538,7</w:t>
            </w:r>
          </w:p>
        </w:tc>
        <w:tc>
          <w:tcPr>
            <w:tcW w:w="72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45%</w:t>
            </w:r>
          </w:p>
        </w:tc>
        <w:tc>
          <w:tcPr>
            <w:tcW w:w="108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$4.167,3</w:t>
            </w:r>
          </w:p>
        </w:tc>
        <w:tc>
          <w:tcPr>
            <w:tcW w:w="69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20%</w:t>
            </w:r>
          </w:p>
        </w:tc>
      </w:tr>
      <w:tr w:rsidR="00B202A2">
        <w:trPr>
          <w:trHeight w:val="720"/>
        </w:trPr>
        <w:tc>
          <w:tcPr>
            <w:tcW w:w="345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both"/>
              <w:rPr>
                <w:rFonts w:ascii="Arial" w:eastAsia="Arial" w:hAnsi="Arial" w:cs="Arial"/>
                <w:sz w:val="22"/>
                <w:szCs w:val="22"/>
              </w:rPr>
            </w:pPr>
            <w:r>
              <w:rPr>
                <w:rFonts w:ascii="Arial" w:eastAsia="Arial" w:hAnsi="Arial" w:cs="Arial"/>
                <w:sz w:val="22"/>
                <w:szCs w:val="22"/>
              </w:rPr>
              <w:t>Asesoría para la equidad y conectividad energética a nivel nacional</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$990,0</w:t>
            </w:r>
          </w:p>
        </w:tc>
        <w:tc>
          <w:tcPr>
            <w:tcW w:w="103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$ 831,0</w:t>
            </w:r>
          </w:p>
        </w:tc>
        <w:tc>
          <w:tcPr>
            <w:tcW w:w="72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84%</w:t>
            </w:r>
          </w:p>
        </w:tc>
        <w:tc>
          <w:tcPr>
            <w:tcW w:w="108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$713,8</w:t>
            </w:r>
          </w:p>
        </w:tc>
        <w:tc>
          <w:tcPr>
            <w:tcW w:w="69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72%</w:t>
            </w:r>
          </w:p>
        </w:tc>
      </w:tr>
      <w:tr w:rsidR="00B202A2">
        <w:trPr>
          <w:trHeight w:val="705"/>
        </w:trPr>
        <w:tc>
          <w:tcPr>
            <w:tcW w:w="345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both"/>
              <w:rPr>
                <w:rFonts w:ascii="Arial" w:eastAsia="Arial" w:hAnsi="Arial" w:cs="Arial"/>
                <w:sz w:val="22"/>
                <w:szCs w:val="22"/>
              </w:rPr>
            </w:pPr>
            <w:r>
              <w:rPr>
                <w:rFonts w:ascii="Arial" w:eastAsia="Arial" w:hAnsi="Arial" w:cs="Arial"/>
                <w:sz w:val="22"/>
                <w:szCs w:val="22"/>
              </w:rPr>
              <w:t>Implementación de acciones para la confiabilidad del subsector eléctrico a nivel  nacional</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$3.975,9</w:t>
            </w:r>
          </w:p>
        </w:tc>
        <w:tc>
          <w:tcPr>
            <w:tcW w:w="103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$ 812,4</w:t>
            </w:r>
          </w:p>
        </w:tc>
        <w:tc>
          <w:tcPr>
            <w:tcW w:w="72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20%</w:t>
            </w:r>
          </w:p>
        </w:tc>
        <w:tc>
          <w:tcPr>
            <w:tcW w:w="108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$572,4</w:t>
            </w:r>
          </w:p>
        </w:tc>
        <w:tc>
          <w:tcPr>
            <w:tcW w:w="69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14%</w:t>
            </w:r>
          </w:p>
        </w:tc>
      </w:tr>
      <w:tr w:rsidR="00B202A2">
        <w:trPr>
          <w:trHeight w:val="720"/>
        </w:trPr>
        <w:tc>
          <w:tcPr>
            <w:tcW w:w="345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both"/>
              <w:rPr>
                <w:rFonts w:ascii="Arial" w:eastAsia="Arial" w:hAnsi="Arial" w:cs="Arial"/>
                <w:sz w:val="22"/>
                <w:szCs w:val="22"/>
              </w:rPr>
            </w:pPr>
            <w:r>
              <w:rPr>
                <w:rFonts w:ascii="Arial" w:eastAsia="Arial" w:hAnsi="Arial" w:cs="Arial"/>
                <w:sz w:val="22"/>
                <w:szCs w:val="22"/>
              </w:rPr>
              <w:t>Implementación de acciones para la confiabilidad del subsector eléctrico a nivel  nacional</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$1.298,7</w:t>
            </w:r>
          </w:p>
        </w:tc>
        <w:tc>
          <w:tcPr>
            <w:tcW w:w="103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$ 406,6</w:t>
            </w:r>
          </w:p>
        </w:tc>
        <w:tc>
          <w:tcPr>
            <w:tcW w:w="72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31%</w:t>
            </w:r>
          </w:p>
        </w:tc>
        <w:tc>
          <w:tcPr>
            <w:tcW w:w="108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$13,3</w:t>
            </w:r>
          </w:p>
        </w:tc>
        <w:tc>
          <w:tcPr>
            <w:tcW w:w="69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10%</w:t>
            </w:r>
          </w:p>
        </w:tc>
      </w:tr>
      <w:tr w:rsidR="00B202A2">
        <w:trPr>
          <w:trHeight w:val="915"/>
        </w:trPr>
        <w:tc>
          <w:tcPr>
            <w:tcW w:w="345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both"/>
              <w:rPr>
                <w:rFonts w:ascii="Arial" w:eastAsia="Arial" w:hAnsi="Arial" w:cs="Arial"/>
                <w:sz w:val="22"/>
                <w:szCs w:val="22"/>
              </w:rPr>
            </w:pPr>
            <w:r>
              <w:rPr>
                <w:rFonts w:ascii="Arial" w:eastAsia="Arial" w:hAnsi="Arial" w:cs="Arial"/>
                <w:sz w:val="22"/>
                <w:szCs w:val="22"/>
              </w:rPr>
              <w:t>Asesoría para la planeación de abastecimiento y confiabilidad del sub sector de hidrocarburos a nivel  nacional</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$2.153,6</w:t>
            </w:r>
          </w:p>
        </w:tc>
        <w:tc>
          <w:tcPr>
            <w:tcW w:w="103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$ 537,6</w:t>
            </w:r>
          </w:p>
        </w:tc>
        <w:tc>
          <w:tcPr>
            <w:tcW w:w="72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25%</w:t>
            </w:r>
          </w:p>
        </w:tc>
        <w:tc>
          <w:tcPr>
            <w:tcW w:w="108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$370,8</w:t>
            </w:r>
          </w:p>
        </w:tc>
        <w:tc>
          <w:tcPr>
            <w:tcW w:w="69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17%</w:t>
            </w:r>
          </w:p>
        </w:tc>
      </w:tr>
      <w:tr w:rsidR="00B202A2">
        <w:trPr>
          <w:trHeight w:val="885"/>
        </w:trPr>
        <w:tc>
          <w:tcPr>
            <w:tcW w:w="345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both"/>
              <w:rPr>
                <w:rFonts w:ascii="Arial" w:eastAsia="Arial" w:hAnsi="Arial" w:cs="Arial"/>
                <w:sz w:val="22"/>
                <w:szCs w:val="22"/>
              </w:rPr>
            </w:pPr>
            <w:r>
              <w:rPr>
                <w:rFonts w:ascii="Arial" w:eastAsia="Arial" w:hAnsi="Arial" w:cs="Arial"/>
                <w:sz w:val="22"/>
                <w:szCs w:val="22"/>
              </w:rPr>
              <w:t>Desarrollo de estrategias para dotar de sentido social y ambiental la planeación minero energética a nivel  nacional</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$2.035,0</w:t>
            </w:r>
          </w:p>
        </w:tc>
        <w:tc>
          <w:tcPr>
            <w:tcW w:w="103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$1.357,8</w:t>
            </w:r>
          </w:p>
        </w:tc>
        <w:tc>
          <w:tcPr>
            <w:tcW w:w="72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67%</w:t>
            </w:r>
          </w:p>
        </w:tc>
        <w:tc>
          <w:tcPr>
            <w:tcW w:w="108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$135,0</w:t>
            </w:r>
          </w:p>
        </w:tc>
        <w:tc>
          <w:tcPr>
            <w:tcW w:w="69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7%</w:t>
            </w:r>
          </w:p>
        </w:tc>
      </w:tr>
      <w:tr w:rsidR="00B202A2">
        <w:trPr>
          <w:trHeight w:val="690"/>
        </w:trPr>
        <w:tc>
          <w:tcPr>
            <w:tcW w:w="345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both"/>
              <w:rPr>
                <w:rFonts w:ascii="Arial" w:eastAsia="Arial" w:hAnsi="Arial" w:cs="Arial"/>
                <w:sz w:val="22"/>
                <w:szCs w:val="22"/>
              </w:rPr>
            </w:pPr>
            <w:r>
              <w:rPr>
                <w:rFonts w:ascii="Arial" w:eastAsia="Arial" w:hAnsi="Arial" w:cs="Arial"/>
                <w:sz w:val="22"/>
                <w:szCs w:val="22"/>
              </w:rPr>
              <w:t>Asesoría para la seguridad energética y el seguimiento del  pen  a nivel  nacional</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$3.628,0</w:t>
            </w:r>
          </w:p>
        </w:tc>
        <w:tc>
          <w:tcPr>
            <w:tcW w:w="103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$2.987,4</w:t>
            </w:r>
          </w:p>
        </w:tc>
        <w:tc>
          <w:tcPr>
            <w:tcW w:w="72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82%</w:t>
            </w:r>
          </w:p>
        </w:tc>
        <w:tc>
          <w:tcPr>
            <w:tcW w:w="108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$1.355,6</w:t>
            </w:r>
          </w:p>
        </w:tc>
        <w:tc>
          <w:tcPr>
            <w:tcW w:w="69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37%</w:t>
            </w:r>
          </w:p>
        </w:tc>
      </w:tr>
      <w:tr w:rsidR="00B202A2">
        <w:trPr>
          <w:trHeight w:val="915"/>
        </w:trPr>
        <w:tc>
          <w:tcPr>
            <w:tcW w:w="345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both"/>
              <w:rPr>
                <w:rFonts w:ascii="Arial" w:eastAsia="Arial" w:hAnsi="Arial" w:cs="Arial"/>
                <w:sz w:val="22"/>
                <w:szCs w:val="22"/>
              </w:rPr>
            </w:pPr>
            <w:r>
              <w:rPr>
                <w:rFonts w:ascii="Arial" w:eastAsia="Arial" w:hAnsi="Arial" w:cs="Arial"/>
                <w:sz w:val="22"/>
                <w:szCs w:val="22"/>
              </w:rPr>
              <w:t>Generación  de valor público a través del emprendimiento y la innovación para la UPME ubicada en  Bogotá-[previo concepto DNP]</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$4.588,9</w:t>
            </w:r>
          </w:p>
        </w:tc>
        <w:tc>
          <w:tcPr>
            <w:tcW w:w="103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$2.297,2</w:t>
            </w:r>
          </w:p>
        </w:tc>
        <w:tc>
          <w:tcPr>
            <w:tcW w:w="72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50%</w:t>
            </w:r>
          </w:p>
        </w:tc>
        <w:tc>
          <w:tcPr>
            <w:tcW w:w="108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$886,4</w:t>
            </w:r>
          </w:p>
        </w:tc>
        <w:tc>
          <w:tcPr>
            <w:tcW w:w="69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19%</w:t>
            </w:r>
          </w:p>
        </w:tc>
      </w:tr>
      <w:tr w:rsidR="00B202A2">
        <w:trPr>
          <w:trHeight w:val="720"/>
        </w:trPr>
        <w:tc>
          <w:tcPr>
            <w:tcW w:w="345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both"/>
              <w:rPr>
                <w:rFonts w:ascii="Arial" w:eastAsia="Arial" w:hAnsi="Arial" w:cs="Arial"/>
                <w:sz w:val="22"/>
                <w:szCs w:val="22"/>
              </w:rPr>
            </w:pPr>
            <w:r>
              <w:rPr>
                <w:rFonts w:ascii="Arial" w:eastAsia="Arial" w:hAnsi="Arial" w:cs="Arial"/>
                <w:sz w:val="22"/>
                <w:szCs w:val="22"/>
              </w:rPr>
              <w:t>Asesoría para promover el desarrollo sostenible y la competitividad del sector minero nacional</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$2.410,0</w:t>
            </w:r>
          </w:p>
        </w:tc>
        <w:tc>
          <w:tcPr>
            <w:tcW w:w="103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$308,8</w:t>
            </w:r>
          </w:p>
        </w:tc>
        <w:tc>
          <w:tcPr>
            <w:tcW w:w="72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13%</w:t>
            </w:r>
          </w:p>
        </w:tc>
        <w:tc>
          <w:tcPr>
            <w:tcW w:w="108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$0,00</w:t>
            </w:r>
          </w:p>
        </w:tc>
        <w:tc>
          <w:tcPr>
            <w:tcW w:w="69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0%</w:t>
            </w:r>
          </w:p>
        </w:tc>
      </w:tr>
    </w:tbl>
    <w:p w:rsidR="00B202A2" w:rsidRDefault="00B202A2">
      <w:pPr>
        <w:spacing w:before="240" w:after="240"/>
        <w:jc w:val="both"/>
        <w:rPr>
          <w:rFonts w:ascii="Arial" w:eastAsia="Arial" w:hAnsi="Arial" w:cs="Arial"/>
          <w:b/>
          <w:color w:val="2F5496"/>
          <w:sz w:val="22"/>
          <w:szCs w:val="22"/>
        </w:rPr>
      </w:pPr>
    </w:p>
    <w:p w:rsidR="00B202A2" w:rsidRDefault="00295E06">
      <w:pPr>
        <w:spacing w:before="240" w:after="240"/>
        <w:jc w:val="both"/>
        <w:rPr>
          <w:rFonts w:ascii="Arial" w:eastAsia="Arial" w:hAnsi="Arial" w:cs="Arial"/>
          <w:b/>
          <w:color w:val="2F5496"/>
          <w:sz w:val="22"/>
          <w:szCs w:val="22"/>
        </w:rPr>
      </w:pPr>
      <w:r>
        <w:br w:type="page"/>
      </w:r>
    </w:p>
    <w:p w:rsidR="00B202A2" w:rsidRDefault="00295E06">
      <w:pPr>
        <w:spacing w:before="240" w:after="240"/>
        <w:jc w:val="both"/>
        <w:rPr>
          <w:rFonts w:ascii="Arial" w:eastAsia="Arial" w:hAnsi="Arial" w:cs="Arial"/>
          <w:b/>
          <w:color w:val="2F5496"/>
          <w:sz w:val="22"/>
          <w:szCs w:val="22"/>
        </w:rPr>
      </w:pPr>
      <w:r>
        <w:rPr>
          <w:rFonts w:ascii="Arial" w:eastAsia="Arial" w:hAnsi="Arial" w:cs="Arial"/>
          <w:b/>
          <w:sz w:val="22"/>
          <w:szCs w:val="22"/>
        </w:rPr>
        <w:lastRenderedPageBreak/>
        <w:t xml:space="preserve">Gestión Contable 2019  </w:t>
      </w:r>
      <w:r>
        <w:rPr>
          <w:rFonts w:ascii="Arial" w:eastAsia="Arial" w:hAnsi="Arial" w:cs="Arial"/>
          <w:b/>
          <w:color w:val="2F5496"/>
          <w:sz w:val="22"/>
          <w:szCs w:val="22"/>
        </w:rPr>
        <w:t xml:space="preserve">   </w:t>
      </w:r>
      <w:r>
        <w:rPr>
          <w:rFonts w:ascii="Arial" w:eastAsia="Arial" w:hAnsi="Arial" w:cs="Arial"/>
          <w:b/>
          <w:color w:val="2F5496"/>
          <w:sz w:val="22"/>
          <w:szCs w:val="22"/>
        </w:rPr>
        <w:tab/>
      </w:r>
    </w:p>
    <w:p w:rsidR="00B202A2" w:rsidRDefault="00295E06">
      <w:pPr>
        <w:ind w:left="-20"/>
        <w:jc w:val="both"/>
        <w:rPr>
          <w:rFonts w:ascii="Arial" w:eastAsia="Arial" w:hAnsi="Arial" w:cs="Arial"/>
          <w:sz w:val="22"/>
          <w:szCs w:val="22"/>
        </w:rPr>
      </w:pPr>
      <w:r>
        <w:rPr>
          <w:rFonts w:ascii="Arial" w:eastAsia="Arial" w:hAnsi="Arial" w:cs="Arial"/>
          <w:sz w:val="22"/>
          <w:szCs w:val="22"/>
        </w:rPr>
        <w:t>En virtud de las disposiciones del nuevo marco técnico normativo y en concordancia con los nuevos Procedimientos Transversales del Régimen de Contabilidad Pública, la Contaduría General de la Nación incorporó el nuevo procedimiento con el objetivo de estab</w:t>
      </w:r>
      <w:r>
        <w:rPr>
          <w:rFonts w:ascii="Arial" w:eastAsia="Arial" w:hAnsi="Arial" w:cs="Arial"/>
          <w:sz w:val="22"/>
          <w:szCs w:val="22"/>
        </w:rPr>
        <w:t>lecer los lineamientos para la preparación y publicación de los informes financieros y contables mensuales de conformidad con el numeral 36 del artículo 34 de la Ley 734 de 2002, para los cuales las entidades de gobierno presenten la información financiera</w:t>
      </w:r>
      <w:r>
        <w:rPr>
          <w:rFonts w:ascii="Arial" w:eastAsia="Arial" w:hAnsi="Arial" w:cs="Arial"/>
          <w:sz w:val="22"/>
          <w:szCs w:val="22"/>
        </w:rPr>
        <w:t xml:space="preserve"> de los hechos económicos que no sean recurrentes y que tengan un efecto material en la estructura financiera de la entidad.</w:t>
      </w:r>
    </w:p>
    <w:p w:rsidR="00B202A2" w:rsidRDefault="00295E06">
      <w:pPr>
        <w:ind w:left="-20"/>
        <w:jc w:val="both"/>
        <w:rPr>
          <w:rFonts w:ascii="Arial" w:eastAsia="Arial" w:hAnsi="Arial" w:cs="Arial"/>
          <w:sz w:val="22"/>
          <w:szCs w:val="22"/>
        </w:rPr>
      </w:pPr>
      <w:r>
        <w:rPr>
          <w:rFonts w:ascii="Arial" w:eastAsia="Arial" w:hAnsi="Arial" w:cs="Arial"/>
          <w:sz w:val="22"/>
          <w:szCs w:val="22"/>
        </w:rPr>
        <w:t xml:space="preserve"> </w:t>
      </w:r>
    </w:p>
    <w:p w:rsidR="00B202A2" w:rsidRDefault="00295E06">
      <w:pPr>
        <w:ind w:left="-20"/>
        <w:jc w:val="both"/>
        <w:rPr>
          <w:rFonts w:ascii="Arial" w:eastAsia="Arial" w:hAnsi="Arial" w:cs="Arial"/>
          <w:sz w:val="22"/>
          <w:szCs w:val="22"/>
        </w:rPr>
      </w:pPr>
      <w:r>
        <w:rPr>
          <w:rFonts w:ascii="Arial" w:eastAsia="Arial" w:hAnsi="Arial" w:cs="Arial"/>
          <w:sz w:val="22"/>
          <w:szCs w:val="22"/>
        </w:rPr>
        <w:t>La UPME en línea con las disposiciones de la Contaduría General de la Nación presentó los estados de situación financiera y estad</w:t>
      </w:r>
      <w:r>
        <w:rPr>
          <w:rFonts w:ascii="Arial" w:eastAsia="Arial" w:hAnsi="Arial" w:cs="Arial"/>
          <w:sz w:val="22"/>
          <w:szCs w:val="22"/>
        </w:rPr>
        <w:t>o de resultados del periodo comprendido del 1 de enero al 31 de diciembre de 2019 y sus notas explicativas, lo cual se resume a continuación.</w:t>
      </w:r>
    </w:p>
    <w:p w:rsidR="00B202A2" w:rsidRDefault="00B202A2">
      <w:pPr>
        <w:ind w:left="-20"/>
        <w:jc w:val="both"/>
        <w:rPr>
          <w:rFonts w:ascii="Arial" w:eastAsia="Arial" w:hAnsi="Arial" w:cs="Arial"/>
          <w:sz w:val="22"/>
          <w:szCs w:val="22"/>
        </w:rPr>
      </w:pPr>
    </w:p>
    <w:p w:rsidR="00B202A2" w:rsidRDefault="00B202A2">
      <w:pPr>
        <w:ind w:left="-20"/>
        <w:jc w:val="both"/>
        <w:rPr>
          <w:rFonts w:ascii="Arial" w:eastAsia="Arial" w:hAnsi="Arial" w:cs="Arial"/>
          <w:sz w:val="22"/>
          <w:szCs w:val="22"/>
        </w:rPr>
      </w:pPr>
    </w:p>
    <w:p w:rsidR="00B202A2" w:rsidRDefault="00295E06">
      <w:pPr>
        <w:jc w:val="center"/>
        <w:rPr>
          <w:rFonts w:ascii="Arial" w:eastAsia="Arial" w:hAnsi="Arial" w:cs="Arial"/>
          <w:b/>
          <w:sz w:val="22"/>
          <w:szCs w:val="22"/>
          <w:u w:val="single"/>
        </w:rPr>
      </w:pPr>
      <w:bookmarkStart w:id="67" w:name="_heading=h.2lwamvv" w:colFirst="0" w:colLast="0"/>
      <w:bookmarkEnd w:id="67"/>
      <w:r>
        <w:rPr>
          <w:rFonts w:ascii="Arial" w:eastAsia="Arial" w:hAnsi="Arial" w:cs="Arial"/>
          <w:b/>
          <w:sz w:val="22"/>
          <w:szCs w:val="22"/>
          <w:u w:val="single"/>
        </w:rPr>
        <w:t>Tabla 15. Estado de Situación Financiera (Cifras en miles de pesos)</w:t>
      </w:r>
    </w:p>
    <w:p w:rsidR="00B202A2" w:rsidRDefault="00B202A2">
      <w:pPr>
        <w:jc w:val="center"/>
        <w:rPr>
          <w:rFonts w:ascii="Arial" w:eastAsia="Arial" w:hAnsi="Arial" w:cs="Arial"/>
          <w:sz w:val="22"/>
          <w:szCs w:val="22"/>
        </w:rPr>
      </w:pPr>
      <w:bookmarkStart w:id="68" w:name="_heading=h.tw1mn4y6lnil" w:colFirst="0" w:colLast="0"/>
      <w:bookmarkEnd w:id="68"/>
    </w:p>
    <w:tbl>
      <w:tblPr>
        <w:tblStyle w:val="afff0"/>
        <w:tblW w:w="898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40"/>
        <w:gridCol w:w="2490"/>
        <w:gridCol w:w="1605"/>
        <w:gridCol w:w="1620"/>
        <w:gridCol w:w="930"/>
      </w:tblGrid>
      <w:tr w:rsidR="00B202A2">
        <w:trPr>
          <w:trHeight w:val="451"/>
        </w:trPr>
        <w:tc>
          <w:tcPr>
            <w:tcW w:w="2340" w:type="dxa"/>
            <w:vMerge w:val="restart"/>
            <w:tcBorders>
              <w:top w:val="single" w:sz="8" w:space="0" w:color="000000"/>
              <w:left w:val="single" w:sz="8" w:space="0" w:color="000000"/>
              <w:bottom w:val="single" w:sz="8" w:space="0" w:color="000000"/>
              <w:right w:val="single" w:sz="8" w:space="0" w:color="000000"/>
            </w:tcBorders>
            <w:shd w:val="clear" w:color="auto" w:fill="CFE2F3"/>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Detalle</w:t>
            </w:r>
          </w:p>
        </w:tc>
        <w:tc>
          <w:tcPr>
            <w:tcW w:w="4095" w:type="dxa"/>
            <w:gridSpan w:val="2"/>
            <w:tcBorders>
              <w:top w:val="single" w:sz="8" w:space="0" w:color="000000"/>
              <w:left w:val="nil"/>
              <w:bottom w:val="single" w:sz="8" w:space="0" w:color="000000"/>
              <w:right w:val="single" w:sz="8" w:space="0" w:color="000000"/>
            </w:tcBorders>
            <w:shd w:val="clear" w:color="auto" w:fill="CFE2F3"/>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Periodos</w:t>
            </w:r>
          </w:p>
        </w:tc>
        <w:tc>
          <w:tcPr>
            <w:tcW w:w="2550" w:type="dxa"/>
            <w:gridSpan w:val="2"/>
            <w:tcBorders>
              <w:top w:val="single" w:sz="8" w:space="0" w:color="000000"/>
              <w:left w:val="nil"/>
              <w:bottom w:val="single" w:sz="8" w:space="0" w:color="000000"/>
              <w:right w:val="single" w:sz="8" w:space="0" w:color="000000"/>
            </w:tcBorders>
            <w:shd w:val="clear" w:color="auto" w:fill="CFE2F3"/>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Variaciones</w:t>
            </w:r>
          </w:p>
        </w:tc>
      </w:tr>
      <w:tr w:rsidR="00B202A2">
        <w:trPr>
          <w:trHeight w:val="485"/>
        </w:trPr>
        <w:tc>
          <w:tcPr>
            <w:tcW w:w="2340" w:type="dxa"/>
            <w:vMerge/>
            <w:tcBorders>
              <w:top w:val="single" w:sz="8" w:space="0" w:color="000000"/>
              <w:left w:val="single" w:sz="8" w:space="0" w:color="000000"/>
              <w:bottom w:val="single" w:sz="8" w:space="0" w:color="000000"/>
              <w:right w:val="single" w:sz="8" w:space="0" w:color="000000"/>
            </w:tcBorders>
            <w:shd w:val="clear" w:color="auto" w:fill="CFE2F3"/>
            <w:tcMar>
              <w:top w:w="100" w:type="dxa"/>
              <w:left w:w="80" w:type="dxa"/>
              <w:bottom w:w="100" w:type="dxa"/>
              <w:right w:w="80" w:type="dxa"/>
            </w:tcMar>
            <w:vAlign w:val="center"/>
          </w:tcPr>
          <w:p w:rsidR="00B202A2" w:rsidRDefault="00B202A2">
            <w:pPr>
              <w:widowControl w:val="0"/>
              <w:pBdr>
                <w:top w:val="nil"/>
                <w:left w:val="nil"/>
                <w:bottom w:val="nil"/>
                <w:right w:val="nil"/>
                <w:between w:val="nil"/>
              </w:pBdr>
              <w:spacing w:line="276" w:lineRule="auto"/>
              <w:rPr>
                <w:rFonts w:ascii="Arial" w:eastAsia="Arial" w:hAnsi="Arial" w:cs="Arial"/>
                <w:b/>
                <w:color w:val="FFFFFF"/>
                <w:sz w:val="22"/>
                <w:szCs w:val="22"/>
              </w:rPr>
            </w:pPr>
          </w:p>
        </w:tc>
        <w:tc>
          <w:tcPr>
            <w:tcW w:w="2490" w:type="dxa"/>
            <w:tcBorders>
              <w:top w:val="nil"/>
              <w:left w:val="nil"/>
              <w:bottom w:val="single" w:sz="8" w:space="0" w:color="000000"/>
              <w:right w:val="single" w:sz="8" w:space="0" w:color="000000"/>
            </w:tcBorders>
            <w:shd w:val="clear" w:color="auto" w:fill="CFE2F3"/>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31-dic-19</w:t>
            </w:r>
          </w:p>
        </w:tc>
        <w:tc>
          <w:tcPr>
            <w:tcW w:w="1605" w:type="dxa"/>
            <w:tcBorders>
              <w:top w:val="nil"/>
              <w:left w:val="nil"/>
              <w:bottom w:val="single" w:sz="8" w:space="0" w:color="000000"/>
              <w:right w:val="single" w:sz="8" w:space="0" w:color="000000"/>
            </w:tcBorders>
            <w:shd w:val="clear" w:color="auto" w:fill="CFE2F3"/>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31-dic-18</w:t>
            </w:r>
          </w:p>
        </w:tc>
        <w:tc>
          <w:tcPr>
            <w:tcW w:w="1620" w:type="dxa"/>
            <w:tcBorders>
              <w:top w:val="nil"/>
              <w:left w:val="nil"/>
              <w:bottom w:val="single" w:sz="8" w:space="0" w:color="000000"/>
              <w:right w:val="single" w:sz="8" w:space="0" w:color="000000"/>
            </w:tcBorders>
            <w:shd w:val="clear" w:color="auto" w:fill="CFE2F3"/>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Absoluta</w:t>
            </w:r>
          </w:p>
        </w:tc>
        <w:tc>
          <w:tcPr>
            <w:tcW w:w="930" w:type="dxa"/>
            <w:tcBorders>
              <w:top w:val="nil"/>
              <w:left w:val="nil"/>
              <w:bottom w:val="single" w:sz="8" w:space="0" w:color="000000"/>
              <w:right w:val="single" w:sz="8" w:space="0" w:color="000000"/>
            </w:tcBorders>
            <w:shd w:val="clear" w:color="auto" w:fill="CFE2F3"/>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w:t>
            </w:r>
          </w:p>
        </w:tc>
      </w:tr>
      <w:tr w:rsidR="00B202A2">
        <w:trPr>
          <w:trHeight w:val="465"/>
        </w:trPr>
        <w:tc>
          <w:tcPr>
            <w:tcW w:w="234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both"/>
              <w:rPr>
                <w:rFonts w:ascii="Arial" w:eastAsia="Arial" w:hAnsi="Arial" w:cs="Arial"/>
                <w:b/>
                <w:sz w:val="22"/>
                <w:szCs w:val="22"/>
              </w:rPr>
            </w:pPr>
            <w:r>
              <w:rPr>
                <w:rFonts w:ascii="Arial" w:eastAsia="Arial" w:hAnsi="Arial" w:cs="Arial"/>
                <w:b/>
                <w:sz w:val="22"/>
                <w:szCs w:val="22"/>
              </w:rPr>
              <w:t>Activo</w:t>
            </w:r>
          </w:p>
        </w:tc>
        <w:tc>
          <w:tcPr>
            <w:tcW w:w="249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$24.957.804</w:t>
            </w:r>
          </w:p>
        </w:tc>
        <w:tc>
          <w:tcPr>
            <w:tcW w:w="160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$24.515.414</w:t>
            </w:r>
          </w:p>
        </w:tc>
        <w:tc>
          <w:tcPr>
            <w:tcW w:w="162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right"/>
              <w:rPr>
                <w:rFonts w:ascii="Arial" w:eastAsia="Arial" w:hAnsi="Arial" w:cs="Arial"/>
                <w:b/>
                <w:sz w:val="22"/>
                <w:szCs w:val="22"/>
              </w:rPr>
            </w:pPr>
            <w:r>
              <w:rPr>
                <w:rFonts w:ascii="Arial" w:eastAsia="Arial" w:hAnsi="Arial" w:cs="Arial"/>
                <w:b/>
                <w:sz w:val="22"/>
                <w:szCs w:val="22"/>
              </w:rPr>
              <w:t>$442.390</w:t>
            </w:r>
          </w:p>
        </w:tc>
        <w:tc>
          <w:tcPr>
            <w:tcW w:w="9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 xml:space="preserve">1,8% </w:t>
            </w:r>
          </w:p>
        </w:tc>
      </w:tr>
      <w:tr w:rsidR="00B202A2">
        <w:trPr>
          <w:trHeight w:val="540"/>
        </w:trPr>
        <w:tc>
          <w:tcPr>
            <w:tcW w:w="234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both"/>
              <w:rPr>
                <w:rFonts w:ascii="Arial" w:eastAsia="Arial" w:hAnsi="Arial" w:cs="Arial"/>
                <w:sz w:val="22"/>
                <w:szCs w:val="22"/>
              </w:rPr>
            </w:pPr>
            <w:r>
              <w:rPr>
                <w:rFonts w:ascii="Arial" w:eastAsia="Arial" w:hAnsi="Arial" w:cs="Arial"/>
                <w:sz w:val="22"/>
                <w:szCs w:val="22"/>
              </w:rPr>
              <w:t>Corriente</w:t>
            </w:r>
          </w:p>
        </w:tc>
        <w:tc>
          <w:tcPr>
            <w:tcW w:w="249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$6.761.787</w:t>
            </w:r>
          </w:p>
        </w:tc>
        <w:tc>
          <w:tcPr>
            <w:tcW w:w="160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$515.815</w:t>
            </w:r>
          </w:p>
        </w:tc>
        <w:tc>
          <w:tcPr>
            <w:tcW w:w="162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right"/>
              <w:rPr>
                <w:rFonts w:ascii="Arial" w:eastAsia="Arial" w:hAnsi="Arial" w:cs="Arial"/>
                <w:sz w:val="22"/>
                <w:szCs w:val="22"/>
              </w:rPr>
            </w:pPr>
            <w:r>
              <w:rPr>
                <w:rFonts w:ascii="Arial" w:eastAsia="Arial" w:hAnsi="Arial" w:cs="Arial"/>
                <w:sz w:val="22"/>
                <w:szCs w:val="22"/>
              </w:rPr>
              <w:t>-$754.028</w:t>
            </w:r>
          </w:p>
        </w:tc>
        <w:tc>
          <w:tcPr>
            <w:tcW w:w="9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-10,0%</w:t>
            </w:r>
          </w:p>
        </w:tc>
      </w:tr>
      <w:tr w:rsidR="00B202A2">
        <w:trPr>
          <w:trHeight w:val="465"/>
        </w:trPr>
        <w:tc>
          <w:tcPr>
            <w:tcW w:w="234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both"/>
              <w:rPr>
                <w:rFonts w:ascii="Arial" w:eastAsia="Arial" w:hAnsi="Arial" w:cs="Arial"/>
                <w:sz w:val="22"/>
                <w:szCs w:val="22"/>
              </w:rPr>
            </w:pPr>
            <w:r>
              <w:rPr>
                <w:rFonts w:ascii="Arial" w:eastAsia="Arial" w:hAnsi="Arial" w:cs="Arial"/>
                <w:sz w:val="22"/>
                <w:szCs w:val="22"/>
              </w:rPr>
              <w:t>No Corriente</w:t>
            </w:r>
          </w:p>
        </w:tc>
        <w:tc>
          <w:tcPr>
            <w:tcW w:w="249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$18.196.017</w:t>
            </w:r>
          </w:p>
        </w:tc>
        <w:tc>
          <w:tcPr>
            <w:tcW w:w="160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$16.999.598</w:t>
            </w:r>
          </w:p>
        </w:tc>
        <w:tc>
          <w:tcPr>
            <w:tcW w:w="162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right"/>
              <w:rPr>
                <w:rFonts w:ascii="Arial" w:eastAsia="Arial" w:hAnsi="Arial" w:cs="Arial"/>
                <w:sz w:val="22"/>
                <w:szCs w:val="22"/>
              </w:rPr>
            </w:pPr>
            <w:r>
              <w:rPr>
                <w:rFonts w:ascii="Arial" w:eastAsia="Arial" w:hAnsi="Arial" w:cs="Arial"/>
                <w:sz w:val="22"/>
                <w:szCs w:val="22"/>
              </w:rPr>
              <w:t>$1.196.419</w:t>
            </w:r>
          </w:p>
        </w:tc>
        <w:tc>
          <w:tcPr>
            <w:tcW w:w="9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7,0%</w:t>
            </w:r>
          </w:p>
        </w:tc>
      </w:tr>
      <w:tr w:rsidR="00B202A2">
        <w:trPr>
          <w:trHeight w:val="480"/>
        </w:trPr>
        <w:tc>
          <w:tcPr>
            <w:tcW w:w="234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both"/>
              <w:rPr>
                <w:rFonts w:ascii="Arial" w:eastAsia="Arial" w:hAnsi="Arial" w:cs="Arial"/>
                <w:b/>
                <w:sz w:val="22"/>
                <w:szCs w:val="22"/>
              </w:rPr>
            </w:pPr>
            <w:r>
              <w:rPr>
                <w:rFonts w:ascii="Arial" w:eastAsia="Arial" w:hAnsi="Arial" w:cs="Arial"/>
                <w:b/>
                <w:sz w:val="22"/>
                <w:szCs w:val="22"/>
              </w:rPr>
              <w:t>Pasivo</w:t>
            </w:r>
          </w:p>
        </w:tc>
        <w:tc>
          <w:tcPr>
            <w:tcW w:w="249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$6.986.740</w:t>
            </w:r>
          </w:p>
        </w:tc>
        <w:tc>
          <w:tcPr>
            <w:tcW w:w="160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$7.731.204</w:t>
            </w:r>
          </w:p>
        </w:tc>
        <w:tc>
          <w:tcPr>
            <w:tcW w:w="162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right"/>
              <w:rPr>
                <w:rFonts w:ascii="Arial" w:eastAsia="Arial" w:hAnsi="Arial" w:cs="Arial"/>
                <w:b/>
                <w:sz w:val="22"/>
                <w:szCs w:val="22"/>
              </w:rPr>
            </w:pPr>
            <w:r>
              <w:rPr>
                <w:rFonts w:ascii="Arial" w:eastAsia="Arial" w:hAnsi="Arial" w:cs="Arial"/>
                <w:b/>
                <w:sz w:val="22"/>
                <w:szCs w:val="22"/>
              </w:rPr>
              <w:t>-$744.464</w:t>
            </w:r>
          </w:p>
        </w:tc>
        <w:tc>
          <w:tcPr>
            <w:tcW w:w="9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-9,6%</w:t>
            </w:r>
          </w:p>
        </w:tc>
      </w:tr>
      <w:tr w:rsidR="00B202A2">
        <w:trPr>
          <w:trHeight w:val="435"/>
        </w:trPr>
        <w:tc>
          <w:tcPr>
            <w:tcW w:w="234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both"/>
              <w:rPr>
                <w:rFonts w:ascii="Arial" w:eastAsia="Arial" w:hAnsi="Arial" w:cs="Arial"/>
                <w:sz w:val="22"/>
                <w:szCs w:val="22"/>
              </w:rPr>
            </w:pPr>
            <w:r>
              <w:rPr>
                <w:rFonts w:ascii="Arial" w:eastAsia="Arial" w:hAnsi="Arial" w:cs="Arial"/>
                <w:sz w:val="22"/>
                <w:szCs w:val="22"/>
              </w:rPr>
              <w:t>Corriente</w:t>
            </w:r>
          </w:p>
        </w:tc>
        <w:tc>
          <w:tcPr>
            <w:tcW w:w="249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$5.589.569</w:t>
            </w:r>
          </w:p>
        </w:tc>
        <w:tc>
          <w:tcPr>
            <w:tcW w:w="160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$781.322</w:t>
            </w:r>
          </w:p>
        </w:tc>
        <w:tc>
          <w:tcPr>
            <w:tcW w:w="162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right"/>
              <w:rPr>
                <w:rFonts w:ascii="Arial" w:eastAsia="Arial" w:hAnsi="Arial" w:cs="Arial"/>
                <w:sz w:val="22"/>
                <w:szCs w:val="22"/>
              </w:rPr>
            </w:pPr>
            <w:r>
              <w:rPr>
                <w:rFonts w:ascii="Arial" w:eastAsia="Arial" w:hAnsi="Arial" w:cs="Arial"/>
                <w:sz w:val="22"/>
                <w:szCs w:val="22"/>
              </w:rPr>
              <w:t xml:space="preserve"> -$191.753</w:t>
            </w:r>
          </w:p>
        </w:tc>
        <w:tc>
          <w:tcPr>
            <w:tcW w:w="9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-3,3%</w:t>
            </w:r>
          </w:p>
        </w:tc>
      </w:tr>
      <w:tr w:rsidR="00B202A2">
        <w:trPr>
          <w:trHeight w:val="525"/>
        </w:trPr>
        <w:tc>
          <w:tcPr>
            <w:tcW w:w="234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both"/>
              <w:rPr>
                <w:rFonts w:ascii="Arial" w:eastAsia="Arial" w:hAnsi="Arial" w:cs="Arial"/>
                <w:sz w:val="22"/>
                <w:szCs w:val="22"/>
              </w:rPr>
            </w:pPr>
            <w:r>
              <w:rPr>
                <w:rFonts w:ascii="Arial" w:eastAsia="Arial" w:hAnsi="Arial" w:cs="Arial"/>
                <w:sz w:val="22"/>
                <w:szCs w:val="22"/>
              </w:rPr>
              <w:t>No Corriente</w:t>
            </w:r>
          </w:p>
        </w:tc>
        <w:tc>
          <w:tcPr>
            <w:tcW w:w="249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$1.397.171</w:t>
            </w:r>
          </w:p>
        </w:tc>
        <w:tc>
          <w:tcPr>
            <w:tcW w:w="160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$1.949.882</w:t>
            </w:r>
          </w:p>
        </w:tc>
        <w:tc>
          <w:tcPr>
            <w:tcW w:w="162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right"/>
              <w:rPr>
                <w:rFonts w:ascii="Arial" w:eastAsia="Arial" w:hAnsi="Arial" w:cs="Arial"/>
                <w:sz w:val="22"/>
                <w:szCs w:val="22"/>
              </w:rPr>
            </w:pPr>
            <w:r>
              <w:rPr>
                <w:rFonts w:ascii="Arial" w:eastAsia="Arial" w:hAnsi="Arial" w:cs="Arial"/>
                <w:sz w:val="22"/>
                <w:szCs w:val="22"/>
              </w:rPr>
              <w:t>-$552.711</w:t>
            </w:r>
          </w:p>
        </w:tc>
        <w:tc>
          <w:tcPr>
            <w:tcW w:w="9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-28,3%</w:t>
            </w:r>
          </w:p>
        </w:tc>
      </w:tr>
      <w:tr w:rsidR="00B202A2">
        <w:trPr>
          <w:trHeight w:val="480"/>
        </w:trPr>
        <w:tc>
          <w:tcPr>
            <w:tcW w:w="234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both"/>
              <w:rPr>
                <w:rFonts w:ascii="Arial" w:eastAsia="Arial" w:hAnsi="Arial" w:cs="Arial"/>
                <w:b/>
                <w:sz w:val="22"/>
                <w:szCs w:val="22"/>
              </w:rPr>
            </w:pPr>
            <w:r>
              <w:rPr>
                <w:rFonts w:ascii="Arial" w:eastAsia="Arial" w:hAnsi="Arial" w:cs="Arial"/>
                <w:b/>
                <w:sz w:val="22"/>
                <w:szCs w:val="22"/>
              </w:rPr>
              <w:t>Patrimonio</w:t>
            </w:r>
          </w:p>
        </w:tc>
        <w:tc>
          <w:tcPr>
            <w:tcW w:w="249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$17.971.064</w:t>
            </w:r>
          </w:p>
        </w:tc>
        <w:tc>
          <w:tcPr>
            <w:tcW w:w="160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$16.784.209</w:t>
            </w:r>
          </w:p>
        </w:tc>
        <w:tc>
          <w:tcPr>
            <w:tcW w:w="162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right"/>
              <w:rPr>
                <w:rFonts w:ascii="Arial" w:eastAsia="Arial" w:hAnsi="Arial" w:cs="Arial"/>
                <w:b/>
                <w:sz w:val="22"/>
                <w:szCs w:val="22"/>
              </w:rPr>
            </w:pPr>
            <w:r>
              <w:rPr>
                <w:rFonts w:ascii="Arial" w:eastAsia="Arial" w:hAnsi="Arial" w:cs="Arial"/>
                <w:b/>
                <w:sz w:val="22"/>
                <w:szCs w:val="22"/>
              </w:rPr>
              <w:t>$1.186.855</w:t>
            </w:r>
          </w:p>
        </w:tc>
        <w:tc>
          <w:tcPr>
            <w:tcW w:w="9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7,1%</w:t>
            </w:r>
          </w:p>
        </w:tc>
      </w:tr>
      <w:tr w:rsidR="00B202A2">
        <w:trPr>
          <w:trHeight w:val="510"/>
        </w:trPr>
        <w:tc>
          <w:tcPr>
            <w:tcW w:w="2340"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rPr>
                <w:rFonts w:ascii="Arial" w:eastAsia="Arial" w:hAnsi="Arial" w:cs="Arial"/>
                <w:b/>
                <w:sz w:val="22"/>
                <w:szCs w:val="22"/>
              </w:rPr>
            </w:pPr>
            <w:r>
              <w:rPr>
                <w:rFonts w:ascii="Arial" w:eastAsia="Arial" w:hAnsi="Arial" w:cs="Arial"/>
                <w:b/>
                <w:sz w:val="22"/>
                <w:szCs w:val="22"/>
              </w:rPr>
              <w:t>Total Pasivo + Patrimonio</w:t>
            </w:r>
          </w:p>
        </w:tc>
        <w:tc>
          <w:tcPr>
            <w:tcW w:w="249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$24.957.804</w:t>
            </w:r>
          </w:p>
        </w:tc>
        <w:tc>
          <w:tcPr>
            <w:tcW w:w="160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$24.515.413</w:t>
            </w:r>
          </w:p>
        </w:tc>
        <w:tc>
          <w:tcPr>
            <w:tcW w:w="162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right"/>
              <w:rPr>
                <w:rFonts w:ascii="Arial" w:eastAsia="Arial" w:hAnsi="Arial" w:cs="Arial"/>
                <w:b/>
                <w:sz w:val="22"/>
                <w:szCs w:val="22"/>
              </w:rPr>
            </w:pPr>
            <w:r>
              <w:rPr>
                <w:rFonts w:ascii="Arial" w:eastAsia="Arial" w:hAnsi="Arial" w:cs="Arial"/>
                <w:b/>
                <w:sz w:val="22"/>
                <w:szCs w:val="22"/>
              </w:rPr>
              <w:t xml:space="preserve"> $442.390</w:t>
            </w:r>
          </w:p>
        </w:tc>
        <w:tc>
          <w:tcPr>
            <w:tcW w:w="9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1,8%</w:t>
            </w:r>
          </w:p>
        </w:tc>
      </w:tr>
    </w:tbl>
    <w:p w:rsidR="00B202A2" w:rsidRDefault="00295E06">
      <w:pPr>
        <w:spacing w:after="240"/>
        <w:jc w:val="both"/>
        <w:rPr>
          <w:rFonts w:ascii="Arial" w:eastAsia="Arial" w:hAnsi="Arial" w:cs="Arial"/>
          <w:b/>
          <w:i/>
          <w:sz w:val="22"/>
          <w:szCs w:val="22"/>
        </w:rPr>
      </w:pPr>
      <w:r>
        <w:rPr>
          <w:rFonts w:ascii="Arial" w:eastAsia="Arial" w:hAnsi="Arial" w:cs="Arial"/>
          <w:b/>
          <w:i/>
          <w:sz w:val="22"/>
          <w:szCs w:val="22"/>
        </w:rPr>
        <w:t xml:space="preserve"> </w:t>
      </w:r>
    </w:p>
    <w:p w:rsidR="00B202A2" w:rsidRDefault="00295E06">
      <w:pPr>
        <w:ind w:left="-20"/>
        <w:jc w:val="both"/>
        <w:rPr>
          <w:rFonts w:ascii="Arial" w:eastAsia="Arial" w:hAnsi="Arial" w:cs="Arial"/>
          <w:sz w:val="22"/>
          <w:szCs w:val="22"/>
        </w:rPr>
      </w:pPr>
      <w:r>
        <w:rPr>
          <w:rFonts w:ascii="Arial" w:eastAsia="Arial" w:hAnsi="Arial" w:cs="Arial"/>
          <w:sz w:val="22"/>
          <w:szCs w:val="22"/>
        </w:rPr>
        <w:t xml:space="preserve">Como se muestra en la Tabla 15, los </w:t>
      </w:r>
      <w:r>
        <w:rPr>
          <w:rFonts w:ascii="Arial" w:eastAsia="Arial" w:hAnsi="Arial" w:cs="Arial"/>
          <w:i/>
          <w:sz w:val="22"/>
          <w:szCs w:val="22"/>
          <w:u w:val="single"/>
        </w:rPr>
        <w:t>Activos</w:t>
      </w:r>
      <w:r>
        <w:rPr>
          <w:rFonts w:ascii="Arial" w:eastAsia="Arial" w:hAnsi="Arial" w:cs="Arial"/>
          <w:i/>
          <w:sz w:val="22"/>
          <w:szCs w:val="22"/>
        </w:rPr>
        <w:t xml:space="preserve"> presentan</w:t>
      </w:r>
      <w:r>
        <w:rPr>
          <w:rFonts w:ascii="Arial" w:eastAsia="Arial" w:hAnsi="Arial" w:cs="Arial"/>
          <w:sz w:val="22"/>
          <w:szCs w:val="22"/>
        </w:rPr>
        <w:t xml:space="preserve"> un leve aumento del 1,8% frente a la vigencia de 2018, donde la porción </w:t>
      </w:r>
      <w:r>
        <w:rPr>
          <w:rFonts w:ascii="Arial" w:eastAsia="Arial" w:hAnsi="Arial" w:cs="Arial"/>
          <w:i/>
          <w:sz w:val="22"/>
          <w:szCs w:val="22"/>
        </w:rPr>
        <w:t>No Corriente</w:t>
      </w:r>
      <w:r>
        <w:rPr>
          <w:rFonts w:ascii="Arial" w:eastAsia="Arial" w:hAnsi="Arial" w:cs="Arial"/>
          <w:sz w:val="22"/>
          <w:szCs w:val="22"/>
        </w:rPr>
        <w:t xml:space="preserve"> reflejó la diferencia más representativa con $1.196.419 equivalente al 7%.</w:t>
      </w:r>
    </w:p>
    <w:p w:rsidR="00B202A2" w:rsidRDefault="00B202A2">
      <w:pPr>
        <w:ind w:left="-20"/>
        <w:jc w:val="both"/>
        <w:rPr>
          <w:rFonts w:ascii="Arial" w:eastAsia="Arial" w:hAnsi="Arial" w:cs="Arial"/>
          <w:sz w:val="22"/>
          <w:szCs w:val="22"/>
        </w:rPr>
      </w:pPr>
    </w:p>
    <w:p w:rsidR="00B202A2" w:rsidRDefault="00295E06">
      <w:pPr>
        <w:ind w:left="-20"/>
        <w:jc w:val="both"/>
        <w:rPr>
          <w:rFonts w:ascii="Arial" w:eastAsia="Arial" w:hAnsi="Arial" w:cs="Arial"/>
          <w:sz w:val="22"/>
          <w:szCs w:val="22"/>
        </w:rPr>
      </w:pPr>
      <w:r>
        <w:rPr>
          <w:rFonts w:ascii="Arial" w:eastAsia="Arial" w:hAnsi="Arial" w:cs="Arial"/>
          <w:sz w:val="22"/>
          <w:szCs w:val="22"/>
        </w:rPr>
        <w:t xml:space="preserve">De igual forma en el 2019 hubo disminución de los intangibles debido a las amortizaciones del </w:t>
      </w:r>
      <w:r>
        <w:rPr>
          <w:rFonts w:ascii="Arial" w:eastAsia="Arial" w:hAnsi="Arial" w:cs="Arial"/>
          <w:sz w:val="22"/>
          <w:szCs w:val="22"/>
        </w:rPr>
        <w:t>periodo disminuyendo el valor del Software.</w:t>
      </w:r>
    </w:p>
    <w:p w:rsidR="00B202A2" w:rsidRDefault="00295E06">
      <w:pPr>
        <w:ind w:left="-20"/>
        <w:jc w:val="both"/>
        <w:rPr>
          <w:rFonts w:ascii="Arial" w:eastAsia="Arial" w:hAnsi="Arial" w:cs="Arial"/>
          <w:sz w:val="22"/>
          <w:szCs w:val="22"/>
        </w:rPr>
      </w:pPr>
      <w:r>
        <w:rPr>
          <w:rFonts w:ascii="Arial" w:eastAsia="Arial" w:hAnsi="Arial" w:cs="Arial"/>
          <w:sz w:val="22"/>
          <w:szCs w:val="22"/>
        </w:rPr>
        <w:t xml:space="preserve"> </w:t>
      </w:r>
    </w:p>
    <w:p w:rsidR="00B202A2" w:rsidRDefault="00295E06">
      <w:pPr>
        <w:ind w:left="-20"/>
        <w:jc w:val="both"/>
        <w:rPr>
          <w:rFonts w:ascii="Arial" w:eastAsia="Arial" w:hAnsi="Arial" w:cs="Arial"/>
          <w:sz w:val="22"/>
          <w:szCs w:val="22"/>
        </w:rPr>
      </w:pPr>
      <w:r>
        <w:rPr>
          <w:rFonts w:ascii="Arial" w:eastAsia="Arial" w:hAnsi="Arial" w:cs="Arial"/>
          <w:sz w:val="22"/>
          <w:szCs w:val="22"/>
        </w:rPr>
        <w:t xml:space="preserve">En los </w:t>
      </w:r>
      <w:r>
        <w:rPr>
          <w:rFonts w:ascii="Arial" w:eastAsia="Arial" w:hAnsi="Arial" w:cs="Arial"/>
          <w:i/>
          <w:sz w:val="22"/>
          <w:szCs w:val="22"/>
          <w:u w:val="single"/>
        </w:rPr>
        <w:t>Pasivos</w:t>
      </w:r>
      <w:r>
        <w:rPr>
          <w:rFonts w:ascii="Arial" w:eastAsia="Arial" w:hAnsi="Arial" w:cs="Arial"/>
          <w:sz w:val="22"/>
          <w:szCs w:val="22"/>
        </w:rPr>
        <w:t xml:space="preserve">: se refleja disminución del -9,6%, donde la porción </w:t>
      </w:r>
      <w:r>
        <w:rPr>
          <w:rFonts w:ascii="Arial" w:eastAsia="Arial" w:hAnsi="Arial" w:cs="Arial"/>
          <w:i/>
          <w:sz w:val="22"/>
          <w:szCs w:val="22"/>
        </w:rPr>
        <w:t>No Corriente</w:t>
      </w:r>
      <w:r>
        <w:rPr>
          <w:rFonts w:ascii="Arial" w:eastAsia="Arial" w:hAnsi="Arial" w:cs="Arial"/>
          <w:sz w:val="22"/>
          <w:szCs w:val="22"/>
        </w:rPr>
        <w:t xml:space="preserve"> fue la más representativa con -28.3%, por el ajuste en la provisión de los procesos litigiosos.</w:t>
      </w:r>
    </w:p>
    <w:p w:rsidR="00B202A2" w:rsidRDefault="00295E06">
      <w:pPr>
        <w:ind w:left="-20"/>
        <w:jc w:val="both"/>
        <w:rPr>
          <w:rFonts w:ascii="Arial" w:eastAsia="Arial" w:hAnsi="Arial" w:cs="Arial"/>
          <w:sz w:val="22"/>
          <w:szCs w:val="22"/>
        </w:rPr>
      </w:pPr>
      <w:r>
        <w:rPr>
          <w:rFonts w:ascii="Arial" w:eastAsia="Arial" w:hAnsi="Arial" w:cs="Arial"/>
          <w:sz w:val="22"/>
          <w:szCs w:val="22"/>
        </w:rPr>
        <w:t xml:space="preserve"> </w:t>
      </w:r>
    </w:p>
    <w:p w:rsidR="00B202A2" w:rsidRDefault="00295E06">
      <w:pPr>
        <w:ind w:left="-20"/>
        <w:jc w:val="both"/>
        <w:rPr>
          <w:rFonts w:ascii="Arial" w:eastAsia="Arial" w:hAnsi="Arial" w:cs="Arial"/>
          <w:sz w:val="22"/>
          <w:szCs w:val="22"/>
        </w:rPr>
      </w:pPr>
      <w:r>
        <w:rPr>
          <w:rFonts w:ascii="Arial" w:eastAsia="Arial" w:hAnsi="Arial" w:cs="Arial"/>
          <w:sz w:val="22"/>
          <w:szCs w:val="22"/>
        </w:rPr>
        <w:t xml:space="preserve">En el </w:t>
      </w:r>
      <w:r>
        <w:rPr>
          <w:rFonts w:ascii="Arial" w:eastAsia="Arial" w:hAnsi="Arial" w:cs="Arial"/>
          <w:i/>
          <w:sz w:val="22"/>
          <w:szCs w:val="22"/>
          <w:u w:val="single"/>
        </w:rPr>
        <w:t>Patrimonio</w:t>
      </w:r>
      <w:r>
        <w:rPr>
          <w:rFonts w:ascii="Arial" w:eastAsia="Arial" w:hAnsi="Arial" w:cs="Arial"/>
          <w:sz w:val="22"/>
          <w:szCs w:val="22"/>
        </w:rPr>
        <w:t>: presenta incre</w:t>
      </w:r>
      <w:r>
        <w:rPr>
          <w:rFonts w:ascii="Arial" w:eastAsia="Arial" w:hAnsi="Arial" w:cs="Arial"/>
          <w:sz w:val="22"/>
          <w:szCs w:val="22"/>
        </w:rPr>
        <w:t xml:space="preserve">mento del 7,1%, debido a los impactos de las variaciones en el activo y los pasivos, el patrimonio de la Unidad está constituido por el </w:t>
      </w:r>
      <w:r>
        <w:rPr>
          <w:rFonts w:ascii="Arial" w:eastAsia="Arial" w:hAnsi="Arial" w:cs="Arial"/>
          <w:i/>
          <w:sz w:val="22"/>
          <w:szCs w:val="22"/>
        </w:rPr>
        <w:t>Capital Fiscal</w:t>
      </w:r>
      <w:r>
        <w:rPr>
          <w:rFonts w:ascii="Arial" w:eastAsia="Arial" w:hAnsi="Arial" w:cs="Arial"/>
          <w:sz w:val="22"/>
          <w:szCs w:val="22"/>
        </w:rPr>
        <w:t xml:space="preserve"> acumulado al cierre del periodo, menos el resultado del ejercicio y los impactos por la transición.</w:t>
      </w:r>
    </w:p>
    <w:p w:rsidR="00B202A2" w:rsidRDefault="00B202A2">
      <w:pPr>
        <w:ind w:left="-20"/>
        <w:jc w:val="both"/>
        <w:rPr>
          <w:rFonts w:ascii="Arial" w:eastAsia="Arial" w:hAnsi="Arial" w:cs="Arial"/>
          <w:sz w:val="22"/>
          <w:szCs w:val="22"/>
        </w:rPr>
      </w:pPr>
    </w:p>
    <w:p w:rsidR="00B202A2" w:rsidRDefault="00295E06">
      <w:pPr>
        <w:jc w:val="center"/>
        <w:rPr>
          <w:rFonts w:ascii="Arial" w:eastAsia="Arial" w:hAnsi="Arial" w:cs="Arial"/>
          <w:b/>
          <w:sz w:val="22"/>
          <w:szCs w:val="22"/>
          <w:u w:val="single"/>
        </w:rPr>
      </w:pPr>
      <w:bookmarkStart w:id="69" w:name="_heading=h.111kx3o" w:colFirst="0" w:colLast="0"/>
      <w:bookmarkEnd w:id="69"/>
      <w:r>
        <w:rPr>
          <w:rFonts w:ascii="Arial" w:eastAsia="Arial" w:hAnsi="Arial" w:cs="Arial"/>
          <w:b/>
          <w:sz w:val="22"/>
          <w:szCs w:val="22"/>
          <w:u w:val="single"/>
        </w:rPr>
        <w:t>Tabl</w:t>
      </w:r>
      <w:r>
        <w:rPr>
          <w:rFonts w:ascii="Arial" w:eastAsia="Arial" w:hAnsi="Arial" w:cs="Arial"/>
          <w:b/>
          <w:sz w:val="22"/>
          <w:szCs w:val="22"/>
          <w:u w:val="single"/>
        </w:rPr>
        <w:t>a 16. Estado de Resultados</w:t>
      </w:r>
    </w:p>
    <w:p w:rsidR="00B202A2" w:rsidRDefault="00B202A2">
      <w:pPr>
        <w:jc w:val="both"/>
        <w:rPr>
          <w:rFonts w:ascii="Arial" w:eastAsia="Arial" w:hAnsi="Arial" w:cs="Arial"/>
          <w:sz w:val="22"/>
          <w:szCs w:val="22"/>
          <w:u w:val="single"/>
        </w:rPr>
      </w:pPr>
    </w:p>
    <w:tbl>
      <w:tblPr>
        <w:tblStyle w:val="afff1"/>
        <w:tblW w:w="90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70"/>
        <w:gridCol w:w="1560"/>
        <w:gridCol w:w="1560"/>
        <w:gridCol w:w="1620"/>
        <w:gridCol w:w="1290"/>
      </w:tblGrid>
      <w:tr w:rsidR="00B202A2">
        <w:trPr>
          <w:trHeight w:val="665"/>
        </w:trPr>
        <w:tc>
          <w:tcPr>
            <w:tcW w:w="297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80" w:type="dxa"/>
              <w:bottom w:w="100" w:type="dxa"/>
              <w:right w:w="80" w:type="dxa"/>
            </w:tcMar>
            <w:vAlign w:val="center"/>
          </w:tcPr>
          <w:p w:rsidR="00B202A2" w:rsidRDefault="00295E06">
            <w:pPr>
              <w:ind w:left="100" w:right="100"/>
              <w:jc w:val="center"/>
              <w:rPr>
                <w:rFonts w:ascii="Arial" w:eastAsia="Arial" w:hAnsi="Arial" w:cs="Arial"/>
                <w:b/>
                <w:sz w:val="22"/>
                <w:szCs w:val="22"/>
              </w:rPr>
            </w:pPr>
            <w:r>
              <w:rPr>
                <w:rFonts w:ascii="Arial" w:eastAsia="Arial" w:hAnsi="Arial" w:cs="Arial"/>
                <w:b/>
                <w:sz w:val="22"/>
                <w:szCs w:val="22"/>
              </w:rPr>
              <w:t>Detalle</w:t>
            </w:r>
          </w:p>
        </w:tc>
        <w:tc>
          <w:tcPr>
            <w:tcW w:w="1560" w:type="dxa"/>
            <w:tcBorders>
              <w:top w:val="single" w:sz="8" w:space="0" w:color="000000"/>
              <w:left w:val="nil"/>
              <w:bottom w:val="single" w:sz="8" w:space="0" w:color="000000"/>
              <w:right w:val="single" w:sz="8" w:space="0" w:color="000000"/>
            </w:tcBorders>
            <w:shd w:val="clear" w:color="auto" w:fill="CFE2F3"/>
            <w:tcMar>
              <w:top w:w="100" w:type="dxa"/>
              <w:left w:w="80" w:type="dxa"/>
              <w:bottom w:w="100" w:type="dxa"/>
              <w:right w:w="80" w:type="dxa"/>
            </w:tcMar>
            <w:vAlign w:val="center"/>
          </w:tcPr>
          <w:p w:rsidR="00B202A2" w:rsidRDefault="00295E06">
            <w:pPr>
              <w:ind w:left="100" w:right="100"/>
              <w:jc w:val="center"/>
              <w:rPr>
                <w:rFonts w:ascii="Arial" w:eastAsia="Arial" w:hAnsi="Arial" w:cs="Arial"/>
                <w:b/>
                <w:sz w:val="22"/>
                <w:szCs w:val="22"/>
              </w:rPr>
            </w:pPr>
            <w:r>
              <w:rPr>
                <w:rFonts w:ascii="Arial" w:eastAsia="Arial" w:hAnsi="Arial" w:cs="Arial"/>
                <w:b/>
                <w:sz w:val="22"/>
                <w:szCs w:val="22"/>
              </w:rPr>
              <w:t xml:space="preserve"> 31 de diciembre de 2019</w:t>
            </w:r>
          </w:p>
        </w:tc>
        <w:tc>
          <w:tcPr>
            <w:tcW w:w="1560" w:type="dxa"/>
            <w:tcBorders>
              <w:top w:val="single" w:sz="8" w:space="0" w:color="000000"/>
              <w:left w:val="nil"/>
              <w:bottom w:val="single" w:sz="8" w:space="0" w:color="000000"/>
              <w:right w:val="single" w:sz="8" w:space="0" w:color="000000"/>
            </w:tcBorders>
            <w:shd w:val="clear" w:color="auto" w:fill="CFE2F3"/>
            <w:tcMar>
              <w:top w:w="100" w:type="dxa"/>
              <w:left w:w="80" w:type="dxa"/>
              <w:bottom w:w="100" w:type="dxa"/>
              <w:right w:w="80" w:type="dxa"/>
            </w:tcMar>
            <w:vAlign w:val="center"/>
          </w:tcPr>
          <w:p w:rsidR="00B202A2" w:rsidRDefault="00295E06">
            <w:pPr>
              <w:ind w:left="100" w:right="100"/>
              <w:jc w:val="center"/>
              <w:rPr>
                <w:rFonts w:ascii="Arial" w:eastAsia="Arial" w:hAnsi="Arial" w:cs="Arial"/>
                <w:b/>
                <w:sz w:val="22"/>
                <w:szCs w:val="22"/>
              </w:rPr>
            </w:pPr>
            <w:r>
              <w:rPr>
                <w:rFonts w:ascii="Arial" w:eastAsia="Arial" w:hAnsi="Arial" w:cs="Arial"/>
                <w:b/>
                <w:sz w:val="22"/>
                <w:szCs w:val="22"/>
              </w:rPr>
              <w:t xml:space="preserve"> 31 de diciembre de 2018</w:t>
            </w:r>
          </w:p>
        </w:tc>
        <w:tc>
          <w:tcPr>
            <w:tcW w:w="1620" w:type="dxa"/>
            <w:tcBorders>
              <w:top w:val="single" w:sz="8" w:space="0" w:color="000000"/>
              <w:left w:val="nil"/>
              <w:bottom w:val="single" w:sz="8" w:space="0" w:color="000000"/>
              <w:right w:val="single" w:sz="8" w:space="0" w:color="000000"/>
            </w:tcBorders>
            <w:shd w:val="clear" w:color="auto" w:fill="CFE2F3"/>
            <w:tcMar>
              <w:top w:w="100" w:type="dxa"/>
              <w:left w:w="80" w:type="dxa"/>
              <w:bottom w:w="100" w:type="dxa"/>
              <w:right w:w="80" w:type="dxa"/>
            </w:tcMar>
            <w:vAlign w:val="center"/>
          </w:tcPr>
          <w:p w:rsidR="00B202A2" w:rsidRDefault="00295E06">
            <w:pPr>
              <w:spacing w:before="240"/>
              <w:ind w:left="100" w:right="100"/>
              <w:jc w:val="center"/>
              <w:rPr>
                <w:rFonts w:ascii="Arial" w:eastAsia="Arial" w:hAnsi="Arial" w:cs="Arial"/>
                <w:b/>
                <w:sz w:val="22"/>
                <w:szCs w:val="22"/>
              </w:rPr>
            </w:pPr>
            <w:r>
              <w:rPr>
                <w:rFonts w:ascii="Arial" w:eastAsia="Arial" w:hAnsi="Arial" w:cs="Arial"/>
                <w:b/>
                <w:sz w:val="22"/>
                <w:szCs w:val="22"/>
              </w:rPr>
              <w:t xml:space="preserve"> Variación</w:t>
            </w:r>
          </w:p>
        </w:tc>
        <w:tc>
          <w:tcPr>
            <w:tcW w:w="1290" w:type="dxa"/>
            <w:tcBorders>
              <w:top w:val="single" w:sz="8" w:space="0" w:color="000000"/>
              <w:left w:val="nil"/>
              <w:bottom w:val="single" w:sz="8" w:space="0" w:color="000000"/>
              <w:right w:val="single" w:sz="8" w:space="0" w:color="000000"/>
            </w:tcBorders>
            <w:shd w:val="clear" w:color="auto" w:fill="CFE2F3"/>
            <w:tcMar>
              <w:top w:w="100" w:type="dxa"/>
              <w:left w:w="80" w:type="dxa"/>
              <w:bottom w:w="100" w:type="dxa"/>
              <w:right w:w="80" w:type="dxa"/>
            </w:tcMar>
            <w:vAlign w:val="center"/>
          </w:tcPr>
          <w:p w:rsidR="00B202A2" w:rsidRDefault="00295E06">
            <w:pPr>
              <w:ind w:left="100" w:right="100"/>
              <w:jc w:val="center"/>
              <w:rPr>
                <w:rFonts w:ascii="Arial" w:eastAsia="Arial" w:hAnsi="Arial" w:cs="Arial"/>
                <w:b/>
                <w:sz w:val="22"/>
                <w:szCs w:val="22"/>
              </w:rPr>
            </w:pPr>
            <w:r>
              <w:rPr>
                <w:rFonts w:ascii="Arial" w:eastAsia="Arial" w:hAnsi="Arial" w:cs="Arial"/>
                <w:b/>
                <w:sz w:val="22"/>
                <w:szCs w:val="22"/>
              </w:rPr>
              <w:t>%</w:t>
            </w:r>
          </w:p>
        </w:tc>
      </w:tr>
      <w:tr w:rsidR="00B202A2">
        <w:trPr>
          <w:trHeight w:val="425"/>
        </w:trPr>
        <w:tc>
          <w:tcPr>
            <w:tcW w:w="297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right="100"/>
              <w:rPr>
                <w:rFonts w:ascii="Arial" w:eastAsia="Arial" w:hAnsi="Arial" w:cs="Arial"/>
                <w:sz w:val="22"/>
                <w:szCs w:val="22"/>
              </w:rPr>
            </w:pPr>
            <w:r>
              <w:rPr>
                <w:rFonts w:ascii="Arial" w:eastAsia="Arial" w:hAnsi="Arial" w:cs="Arial"/>
                <w:sz w:val="22"/>
                <w:szCs w:val="22"/>
              </w:rPr>
              <w:t>Ingresos sin contraprestación</w:t>
            </w:r>
          </w:p>
        </w:tc>
        <w:tc>
          <w:tcPr>
            <w:tcW w:w="156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right="100"/>
              <w:jc w:val="center"/>
              <w:rPr>
                <w:rFonts w:ascii="Arial" w:eastAsia="Arial" w:hAnsi="Arial" w:cs="Arial"/>
                <w:sz w:val="22"/>
                <w:szCs w:val="22"/>
              </w:rPr>
            </w:pPr>
            <w:r>
              <w:rPr>
                <w:rFonts w:ascii="Arial" w:eastAsia="Arial" w:hAnsi="Arial" w:cs="Arial"/>
                <w:sz w:val="22"/>
                <w:szCs w:val="22"/>
              </w:rPr>
              <w:t>$31.935.211</w:t>
            </w:r>
          </w:p>
        </w:tc>
        <w:tc>
          <w:tcPr>
            <w:tcW w:w="156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right="100"/>
              <w:jc w:val="center"/>
              <w:rPr>
                <w:rFonts w:ascii="Arial" w:eastAsia="Arial" w:hAnsi="Arial" w:cs="Arial"/>
                <w:sz w:val="22"/>
                <w:szCs w:val="22"/>
              </w:rPr>
            </w:pPr>
            <w:r>
              <w:rPr>
                <w:rFonts w:ascii="Arial" w:eastAsia="Arial" w:hAnsi="Arial" w:cs="Arial"/>
                <w:sz w:val="22"/>
                <w:szCs w:val="22"/>
              </w:rPr>
              <w:t>$29.809.586</w:t>
            </w:r>
          </w:p>
        </w:tc>
        <w:tc>
          <w:tcPr>
            <w:tcW w:w="162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right="100"/>
              <w:jc w:val="center"/>
              <w:rPr>
                <w:rFonts w:ascii="Arial" w:eastAsia="Arial" w:hAnsi="Arial" w:cs="Arial"/>
                <w:sz w:val="22"/>
                <w:szCs w:val="22"/>
              </w:rPr>
            </w:pPr>
            <w:r>
              <w:rPr>
                <w:rFonts w:ascii="Arial" w:eastAsia="Arial" w:hAnsi="Arial" w:cs="Arial"/>
                <w:sz w:val="22"/>
                <w:szCs w:val="22"/>
              </w:rPr>
              <w:t>$2.125.625</w:t>
            </w:r>
          </w:p>
        </w:tc>
        <w:tc>
          <w:tcPr>
            <w:tcW w:w="129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left="100" w:right="100"/>
              <w:jc w:val="center"/>
              <w:rPr>
                <w:rFonts w:ascii="Arial" w:eastAsia="Arial" w:hAnsi="Arial" w:cs="Arial"/>
                <w:sz w:val="22"/>
                <w:szCs w:val="22"/>
              </w:rPr>
            </w:pPr>
            <w:r>
              <w:rPr>
                <w:rFonts w:ascii="Arial" w:eastAsia="Arial" w:hAnsi="Arial" w:cs="Arial"/>
                <w:sz w:val="22"/>
                <w:szCs w:val="22"/>
              </w:rPr>
              <w:t>7,1%</w:t>
            </w:r>
          </w:p>
        </w:tc>
      </w:tr>
      <w:tr w:rsidR="00B202A2">
        <w:trPr>
          <w:trHeight w:val="425"/>
        </w:trPr>
        <w:tc>
          <w:tcPr>
            <w:tcW w:w="297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right="100"/>
              <w:rPr>
                <w:rFonts w:ascii="Arial" w:eastAsia="Arial" w:hAnsi="Arial" w:cs="Arial"/>
                <w:sz w:val="22"/>
                <w:szCs w:val="22"/>
              </w:rPr>
            </w:pPr>
            <w:r>
              <w:rPr>
                <w:rFonts w:ascii="Arial" w:eastAsia="Arial" w:hAnsi="Arial" w:cs="Arial"/>
                <w:sz w:val="22"/>
                <w:szCs w:val="22"/>
              </w:rPr>
              <w:t>Gasto de administración</w:t>
            </w:r>
          </w:p>
        </w:tc>
        <w:tc>
          <w:tcPr>
            <w:tcW w:w="156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right="100"/>
              <w:jc w:val="center"/>
              <w:rPr>
                <w:rFonts w:ascii="Arial" w:eastAsia="Arial" w:hAnsi="Arial" w:cs="Arial"/>
                <w:sz w:val="22"/>
                <w:szCs w:val="22"/>
              </w:rPr>
            </w:pPr>
            <w:r>
              <w:rPr>
                <w:rFonts w:ascii="Arial" w:eastAsia="Arial" w:hAnsi="Arial" w:cs="Arial"/>
                <w:sz w:val="22"/>
                <w:szCs w:val="22"/>
              </w:rPr>
              <w:t>$12.876.990</w:t>
            </w:r>
          </w:p>
        </w:tc>
        <w:tc>
          <w:tcPr>
            <w:tcW w:w="156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right="100"/>
              <w:jc w:val="center"/>
              <w:rPr>
                <w:rFonts w:ascii="Arial" w:eastAsia="Arial" w:hAnsi="Arial" w:cs="Arial"/>
                <w:sz w:val="22"/>
                <w:szCs w:val="22"/>
              </w:rPr>
            </w:pPr>
            <w:r>
              <w:rPr>
                <w:rFonts w:ascii="Arial" w:eastAsia="Arial" w:hAnsi="Arial" w:cs="Arial"/>
                <w:sz w:val="22"/>
                <w:szCs w:val="22"/>
              </w:rPr>
              <w:t>$12.783.393</w:t>
            </w:r>
          </w:p>
        </w:tc>
        <w:tc>
          <w:tcPr>
            <w:tcW w:w="162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right="100"/>
              <w:jc w:val="center"/>
              <w:rPr>
                <w:rFonts w:ascii="Arial" w:eastAsia="Arial" w:hAnsi="Arial" w:cs="Arial"/>
                <w:sz w:val="22"/>
                <w:szCs w:val="22"/>
              </w:rPr>
            </w:pPr>
            <w:r>
              <w:rPr>
                <w:rFonts w:ascii="Arial" w:eastAsia="Arial" w:hAnsi="Arial" w:cs="Arial"/>
                <w:sz w:val="22"/>
                <w:szCs w:val="22"/>
              </w:rPr>
              <w:t>$93.597</w:t>
            </w:r>
          </w:p>
        </w:tc>
        <w:tc>
          <w:tcPr>
            <w:tcW w:w="129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left="100" w:right="100"/>
              <w:jc w:val="center"/>
              <w:rPr>
                <w:rFonts w:ascii="Arial" w:eastAsia="Arial" w:hAnsi="Arial" w:cs="Arial"/>
                <w:sz w:val="22"/>
                <w:szCs w:val="22"/>
              </w:rPr>
            </w:pPr>
            <w:r>
              <w:rPr>
                <w:rFonts w:ascii="Arial" w:eastAsia="Arial" w:hAnsi="Arial" w:cs="Arial"/>
                <w:sz w:val="22"/>
                <w:szCs w:val="22"/>
              </w:rPr>
              <w:t>0,7%</w:t>
            </w:r>
          </w:p>
        </w:tc>
      </w:tr>
      <w:tr w:rsidR="00B202A2">
        <w:trPr>
          <w:trHeight w:val="380"/>
        </w:trPr>
        <w:tc>
          <w:tcPr>
            <w:tcW w:w="297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right="100"/>
              <w:rPr>
                <w:rFonts w:ascii="Arial" w:eastAsia="Arial" w:hAnsi="Arial" w:cs="Arial"/>
                <w:sz w:val="22"/>
                <w:szCs w:val="22"/>
              </w:rPr>
            </w:pPr>
            <w:r>
              <w:rPr>
                <w:rFonts w:ascii="Arial" w:eastAsia="Arial" w:hAnsi="Arial" w:cs="Arial"/>
                <w:sz w:val="22"/>
                <w:szCs w:val="22"/>
              </w:rPr>
              <w:t>Gasto de generales</w:t>
            </w:r>
          </w:p>
        </w:tc>
        <w:tc>
          <w:tcPr>
            <w:tcW w:w="156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right="100"/>
              <w:jc w:val="center"/>
              <w:rPr>
                <w:rFonts w:ascii="Arial" w:eastAsia="Arial" w:hAnsi="Arial" w:cs="Arial"/>
                <w:sz w:val="22"/>
                <w:szCs w:val="22"/>
              </w:rPr>
            </w:pPr>
            <w:r>
              <w:rPr>
                <w:rFonts w:ascii="Arial" w:eastAsia="Arial" w:hAnsi="Arial" w:cs="Arial"/>
                <w:sz w:val="22"/>
                <w:szCs w:val="22"/>
              </w:rPr>
              <w:t>$17.245.585</w:t>
            </w:r>
          </w:p>
        </w:tc>
        <w:tc>
          <w:tcPr>
            <w:tcW w:w="156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right="100"/>
              <w:jc w:val="center"/>
              <w:rPr>
                <w:rFonts w:ascii="Arial" w:eastAsia="Arial" w:hAnsi="Arial" w:cs="Arial"/>
                <w:sz w:val="22"/>
                <w:szCs w:val="22"/>
              </w:rPr>
            </w:pPr>
            <w:r>
              <w:rPr>
                <w:rFonts w:ascii="Arial" w:eastAsia="Arial" w:hAnsi="Arial" w:cs="Arial"/>
                <w:sz w:val="22"/>
                <w:szCs w:val="22"/>
              </w:rPr>
              <w:t>$19.524.102</w:t>
            </w:r>
          </w:p>
        </w:tc>
        <w:tc>
          <w:tcPr>
            <w:tcW w:w="162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right="100"/>
              <w:jc w:val="center"/>
              <w:rPr>
                <w:rFonts w:ascii="Arial" w:eastAsia="Arial" w:hAnsi="Arial" w:cs="Arial"/>
                <w:sz w:val="22"/>
                <w:szCs w:val="22"/>
              </w:rPr>
            </w:pPr>
            <w:r>
              <w:rPr>
                <w:rFonts w:ascii="Arial" w:eastAsia="Arial" w:hAnsi="Arial" w:cs="Arial"/>
                <w:sz w:val="22"/>
                <w:szCs w:val="22"/>
              </w:rPr>
              <w:t>-$2.278.517</w:t>
            </w:r>
          </w:p>
        </w:tc>
        <w:tc>
          <w:tcPr>
            <w:tcW w:w="129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left="100" w:right="100"/>
              <w:jc w:val="center"/>
              <w:rPr>
                <w:rFonts w:ascii="Arial" w:eastAsia="Arial" w:hAnsi="Arial" w:cs="Arial"/>
                <w:sz w:val="22"/>
                <w:szCs w:val="22"/>
              </w:rPr>
            </w:pPr>
            <w:r>
              <w:rPr>
                <w:rFonts w:ascii="Arial" w:eastAsia="Arial" w:hAnsi="Arial" w:cs="Arial"/>
                <w:sz w:val="22"/>
                <w:szCs w:val="22"/>
              </w:rPr>
              <w:t>-11,7%</w:t>
            </w:r>
          </w:p>
        </w:tc>
      </w:tr>
      <w:tr w:rsidR="00B202A2">
        <w:trPr>
          <w:trHeight w:val="425"/>
        </w:trPr>
        <w:tc>
          <w:tcPr>
            <w:tcW w:w="297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right="100"/>
              <w:rPr>
                <w:rFonts w:ascii="Arial" w:eastAsia="Arial" w:hAnsi="Arial" w:cs="Arial"/>
                <w:sz w:val="22"/>
                <w:szCs w:val="22"/>
              </w:rPr>
            </w:pPr>
            <w:r>
              <w:rPr>
                <w:rFonts w:ascii="Arial" w:eastAsia="Arial" w:hAnsi="Arial" w:cs="Arial"/>
                <w:sz w:val="22"/>
                <w:szCs w:val="22"/>
              </w:rPr>
              <w:t>Gasto de depreciaciones/amortizaciones</w:t>
            </w:r>
          </w:p>
        </w:tc>
        <w:tc>
          <w:tcPr>
            <w:tcW w:w="156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right="100"/>
              <w:jc w:val="center"/>
              <w:rPr>
                <w:rFonts w:ascii="Arial" w:eastAsia="Arial" w:hAnsi="Arial" w:cs="Arial"/>
                <w:sz w:val="22"/>
                <w:szCs w:val="22"/>
              </w:rPr>
            </w:pPr>
            <w:r>
              <w:rPr>
                <w:rFonts w:ascii="Arial" w:eastAsia="Arial" w:hAnsi="Arial" w:cs="Arial"/>
                <w:sz w:val="22"/>
                <w:szCs w:val="22"/>
              </w:rPr>
              <w:t>$1.988.632</w:t>
            </w:r>
          </w:p>
        </w:tc>
        <w:tc>
          <w:tcPr>
            <w:tcW w:w="156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right="100"/>
              <w:jc w:val="center"/>
              <w:rPr>
                <w:rFonts w:ascii="Arial" w:eastAsia="Arial" w:hAnsi="Arial" w:cs="Arial"/>
                <w:sz w:val="22"/>
                <w:szCs w:val="22"/>
              </w:rPr>
            </w:pPr>
            <w:r>
              <w:rPr>
                <w:rFonts w:ascii="Arial" w:eastAsia="Arial" w:hAnsi="Arial" w:cs="Arial"/>
                <w:sz w:val="22"/>
                <w:szCs w:val="22"/>
              </w:rPr>
              <w:t>$1.597.126</w:t>
            </w:r>
          </w:p>
        </w:tc>
        <w:tc>
          <w:tcPr>
            <w:tcW w:w="162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right="100"/>
              <w:jc w:val="center"/>
              <w:rPr>
                <w:rFonts w:ascii="Arial" w:eastAsia="Arial" w:hAnsi="Arial" w:cs="Arial"/>
                <w:sz w:val="22"/>
                <w:szCs w:val="22"/>
              </w:rPr>
            </w:pPr>
            <w:r>
              <w:rPr>
                <w:rFonts w:ascii="Arial" w:eastAsia="Arial" w:hAnsi="Arial" w:cs="Arial"/>
                <w:sz w:val="22"/>
                <w:szCs w:val="22"/>
              </w:rPr>
              <w:t>$391.506</w:t>
            </w:r>
          </w:p>
        </w:tc>
        <w:tc>
          <w:tcPr>
            <w:tcW w:w="129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left="100" w:right="100"/>
              <w:jc w:val="center"/>
              <w:rPr>
                <w:rFonts w:ascii="Arial" w:eastAsia="Arial" w:hAnsi="Arial" w:cs="Arial"/>
                <w:sz w:val="22"/>
                <w:szCs w:val="22"/>
              </w:rPr>
            </w:pPr>
            <w:r>
              <w:rPr>
                <w:rFonts w:ascii="Arial" w:eastAsia="Arial" w:hAnsi="Arial" w:cs="Arial"/>
                <w:sz w:val="22"/>
                <w:szCs w:val="22"/>
              </w:rPr>
              <w:t>24,5%</w:t>
            </w:r>
          </w:p>
        </w:tc>
      </w:tr>
      <w:tr w:rsidR="00B202A2">
        <w:trPr>
          <w:trHeight w:val="425"/>
        </w:trPr>
        <w:tc>
          <w:tcPr>
            <w:tcW w:w="297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right="100"/>
              <w:rPr>
                <w:rFonts w:ascii="Arial" w:eastAsia="Arial" w:hAnsi="Arial" w:cs="Arial"/>
                <w:sz w:val="22"/>
                <w:szCs w:val="22"/>
              </w:rPr>
            </w:pPr>
            <w:r>
              <w:rPr>
                <w:rFonts w:ascii="Arial" w:eastAsia="Arial" w:hAnsi="Arial" w:cs="Arial"/>
                <w:sz w:val="22"/>
                <w:szCs w:val="22"/>
              </w:rPr>
              <w:t>Gastos de impuestos, contribuciones tasas</w:t>
            </w:r>
          </w:p>
        </w:tc>
        <w:tc>
          <w:tcPr>
            <w:tcW w:w="156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right="100"/>
              <w:jc w:val="center"/>
              <w:rPr>
                <w:rFonts w:ascii="Arial" w:eastAsia="Arial" w:hAnsi="Arial" w:cs="Arial"/>
                <w:sz w:val="22"/>
                <w:szCs w:val="22"/>
              </w:rPr>
            </w:pPr>
            <w:r>
              <w:rPr>
                <w:rFonts w:ascii="Arial" w:eastAsia="Arial" w:hAnsi="Arial" w:cs="Arial"/>
                <w:sz w:val="22"/>
                <w:szCs w:val="22"/>
              </w:rPr>
              <w:t>$211.244</w:t>
            </w:r>
          </w:p>
        </w:tc>
        <w:tc>
          <w:tcPr>
            <w:tcW w:w="156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right="100"/>
              <w:jc w:val="center"/>
              <w:rPr>
                <w:rFonts w:ascii="Arial" w:eastAsia="Arial" w:hAnsi="Arial" w:cs="Arial"/>
                <w:sz w:val="22"/>
                <w:szCs w:val="22"/>
              </w:rPr>
            </w:pPr>
            <w:r>
              <w:rPr>
                <w:rFonts w:ascii="Arial" w:eastAsia="Arial" w:hAnsi="Arial" w:cs="Arial"/>
                <w:sz w:val="22"/>
                <w:szCs w:val="22"/>
              </w:rPr>
              <w:t>$288.394</w:t>
            </w:r>
          </w:p>
        </w:tc>
        <w:tc>
          <w:tcPr>
            <w:tcW w:w="162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right="100"/>
              <w:jc w:val="center"/>
              <w:rPr>
                <w:rFonts w:ascii="Arial" w:eastAsia="Arial" w:hAnsi="Arial" w:cs="Arial"/>
                <w:sz w:val="22"/>
                <w:szCs w:val="22"/>
              </w:rPr>
            </w:pPr>
            <w:r>
              <w:rPr>
                <w:rFonts w:ascii="Arial" w:eastAsia="Arial" w:hAnsi="Arial" w:cs="Arial"/>
                <w:sz w:val="22"/>
                <w:szCs w:val="22"/>
              </w:rPr>
              <w:t>-$77.150</w:t>
            </w:r>
          </w:p>
        </w:tc>
        <w:tc>
          <w:tcPr>
            <w:tcW w:w="129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left="100" w:right="100"/>
              <w:jc w:val="center"/>
              <w:rPr>
                <w:rFonts w:ascii="Arial" w:eastAsia="Arial" w:hAnsi="Arial" w:cs="Arial"/>
                <w:sz w:val="22"/>
                <w:szCs w:val="22"/>
              </w:rPr>
            </w:pPr>
            <w:r>
              <w:rPr>
                <w:rFonts w:ascii="Arial" w:eastAsia="Arial" w:hAnsi="Arial" w:cs="Arial"/>
                <w:sz w:val="22"/>
                <w:szCs w:val="22"/>
              </w:rPr>
              <w:t>-26,8%</w:t>
            </w:r>
          </w:p>
        </w:tc>
      </w:tr>
      <w:tr w:rsidR="00B202A2">
        <w:trPr>
          <w:trHeight w:val="425"/>
        </w:trPr>
        <w:tc>
          <w:tcPr>
            <w:tcW w:w="297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right="100"/>
              <w:rPr>
                <w:rFonts w:ascii="Arial" w:eastAsia="Arial" w:hAnsi="Arial" w:cs="Arial"/>
                <w:sz w:val="22"/>
                <w:szCs w:val="22"/>
              </w:rPr>
            </w:pPr>
            <w:r>
              <w:rPr>
                <w:rFonts w:ascii="Arial" w:eastAsia="Arial" w:hAnsi="Arial" w:cs="Arial"/>
                <w:sz w:val="22"/>
                <w:szCs w:val="22"/>
              </w:rPr>
              <w:t>Gastos financieros</w:t>
            </w:r>
          </w:p>
        </w:tc>
        <w:tc>
          <w:tcPr>
            <w:tcW w:w="156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right="100"/>
              <w:jc w:val="center"/>
              <w:rPr>
                <w:rFonts w:ascii="Arial" w:eastAsia="Arial" w:hAnsi="Arial" w:cs="Arial"/>
                <w:sz w:val="22"/>
                <w:szCs w:val="22"/>
              </w:rPr>
            </w:pPr>
            <w:r>
              <w:rPr>
                <w:rFonts w:ascii="Arial" w:eastAsia="Arial" w:hAnsi="Arial" w:cs="Arial"/>
                <w:sz w:val="22"/>
                <w:szCs w:val="22"/>
              </w:rPr>
              <w:t>$180.774</w:t>
            </w:r>
          </w:p>
        </w:tc>
        <w:tc>
          <w:tcPr>
            <w:tcW w:w="156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right="100"/>
              <w:jc w:val="center"/>
              <w:rPr>
                <w:rFonts w:ascii="Arial" w:eastAsia="Arial" w:hAnsi="Arial" w:cs="Arial"/>
                <w:sz w:val="22"/>
                <w:szCs w:val="22"/>
              </w:rPr>
            </w:pPr>
            <w:r>
              <w:rPr>
                <w:rFonts w:ascii="Arial" w:eastAsia="Arial" w:hAnsi="Arial" w:cs="Arial"/>
                <w:sz w:val="22"/>
                <w:szCs w:val="22"/>
              </w:rPr>
              <w:t>$183.728</w:t>
            </w:r>
          </w:p>
        </w:tc>
        <w:tc>
          <w:tcPr>
            <w:tcW w:w="162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right="100"/>
              <w:jc w:val="center"/>
              <w:rPr>
                <w:rFonts w:ascii="Arial" w:eastAsia="Arial" w:hAnsi="Arial" w:cs="Arial"/>
                <w:sz w:val="22"/>
                <w:szCs w:val="22"/>
              </w:rPr>
            </w:pPr>
            <w:r>
              <w:rPr>
                <w:rFonts w:ascii="Arial" w:eastAsia="Arial" w:hAnsi="Arial" w:cs="Arial"/>
                <w:sz w:val="22"/>
                <w:szCs w:val="22"/>
              </w:rPr>
              <w:t>-$2.954</w:t>
            </w:r>
          </w:p>
        </w:tc>
        <w:tc>
          <w:tcPr>
            <w:tcW w:w="129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left="100" w:right="100"/>
              <w:jc w:val="center"/>
              <w:rPr>
                <w:rFonts w:ascii="Arial" w:eastAsia="Arial" w:hAnsi="Arial" w:cs="Arial"/>
                <w:sz w:val="22"/>
                <w:szCs w:val="22"/>
              </w:rPr>
            </w:pPr>
            <w:r>
              <w:rPr>
                <w:rFonts w:ascii="Arial" w:eastAsia="Arial" w:hAnsi="Arial" w:cs="Arial"/>
                <w:sz w:val="22"/>
                <w:szCs w:val="22"/>
              </w:rPr>
              <w:t>-1,6%</w:t>
            </w:r>
          </w:p>
        </w:tc>
      </w:tr>
      <w:tr w:rsidR="00B202A2">
        <w:trPr>
          <w:trHeight w:val="425"/>
        </w:trPr>
        <w:tc>
          <w:tcPr>
            <w:tcW w:w="297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right="100"/>
              <w:rPr>
                <w:rFonts w:ascii="Arial" w:eastAsia="Arial" w:hAnsi="Arial" w:cs="Arial"/>
                <w:sz w:val="22"/>
                <w:szCs w:val="22"/>
              </w:rPr>
            </w:pPr>
            <w:r>
              <w:rPr>
                <w:rFonts w:ascii="Arial" w:eastAsia="Arial" w:hAnsi="Arial" w:cs="Arial"/>
                <w:sz w:val="22"/>
                <w:szCs w:val="22"/>
              </w:rPr>
              <w:t>Gasto de provisiones y litigios</w:t>
            </w:r>
          </w:p>
        </w:tc>
        <w:tc>
          <w:tcPr>
            <w:tcW w:w="156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right="100"/>
              <w:jc w:val="center"/>
              <w:rPr>
                <w:rFonts w:ascii="Arial" w:eastAsia="Arial" w:hAnsi="Arial" w:cs="Arial"/>
                <w:sz w:val="22"/>
                <w:szCs w:val="22"/>
              </w:rPr>
            </w:pPr>
            <w:r>
              <w:rPr>
                <w:rFonts w:ascii="Arial" w:eastAsia="Arial" w:hAnsi="Arial" w:cs="Arial"/>
                <w:sz w:val="22"/>
                <w:szCs w:val="22"/>
              </w:rPr>
              <w:t>$0</w:t>
            </w:r>
          </w:p>
        </w:tc>
        <w:tc>
          <w:tcPr>
            <w:tcW w:w="156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right="100"/>
              <w:jc w:val="center"/>
              <w:rPr>
                <w:rFonts w:ascii="Arial" w:eastAsia="Arial" w:hAnsi="Arial" w:cs="Arial"/>
                <w:sz w:val="22"/>
                <w:szCs w:val="22"/>
              </w:rPr>
            </w:pPr>
            <w:r>
              <w:rPr>
                <w:rFonts w:ascii="Arial" w:eastAsia="Arial" w:hAnsi="Arial" w:cs="Arial"/>
                <w:sz w:val="22"/>
                <w:szCs w:val="22"/>
              </w:rPr>
              <w:t>$92.731.002</w:t>
            </w:r>
          </w:p>
        </w:tc>
        <w:tc>
          <w:tcPr>
            <w:tcW w:w="162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right="100"/>
              <w:jc w:val="center"/>
              <w:rPr>
                <w:rFonts w:ascii="Arial" w:eastAsia="Arial" w:hAnsi="Arial" w:cs="Arial"/>
                <w:sz w:val="22"/>
                <w:szCs w:val="22"/>
              </w:rPr>
            </w:pPr>
            <w:r>
              <w:rPr>
                <w:rFonts w:ascii="Arial" w:eastAsia="Arial" w:hAnsi="Arial" w:cs="Arial"/>
                <w:sz w:val="22"/>
                <w:szCs w:val="22"/>
              </w:rPr>
              <w:t>-$92.731.002</w:t>
            </w:r>
          </w:p>
        </w:tc>
        <w:tc>
          <w:tcPr>
            <w:tcW w:w="129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left="100" w:right="100"/>
              <w:jc w:val="center"/>
              <w:rPr>
                <w:rFonts w:ascii="Arial" w:eastAsia="Arial" w:hAnsi="Arial" w:cs="Arial"/>
                <w:sz w:val="22"/>
                <w:szCs w:val="22"/>
              </w:rPr>
            </w:pPr>
            <w:r>
              <w:rPr>
                <w:rFonts w:ascii="Arial" w:eastAsia="Arial" w:hAnsi="Arial" w:cs="Arial"/>
                <w:sz w:val="22"/>
                <w:szCs w:val="22"/>
              </w:rPr>
              <w:t>-100%</w:t>
            </w:r>
          </w:p>
        </w:tc>
      </w:tr>
      <w:tr w:rsidR="00B202A2">
        <w:trPr>
          <w:trHeight w:val="425"/>
        </w:trPr>
        <w:tc>
          <w:tcPr>
            <w:tcW w:w="297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right="100"/>
              <w:rPr>
                <w:rFonts w:ascii="Arial" w:eastAsia="Arial" w:hAnsi="Arial" w:cs="Arial"/>
                <w:sz w:val="22"/>
                <w:szCs w:val="22"/>
              </w:rPr>
            </w:pPr>
            <w:r>
              <w:rPr>
                <w:rFonts w:ascii="Arial" w:eastAsia="Arial" w:hAnsi="Arial" w:cs="Arial"/>
                <w:sz w:val="22"/>
                <w:szCs w:val="22"/>
              </w:rPr>
              <w:t>Otros ingresos</w:t>
            </w:r>
          </w:p>
        </w:tc>
        <w:tc>
          <w:tcPr>
            <w:tcW w:w="156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right="100"/>
              <w:jc w:val="center"/>
              <w:rPr>
                <w:rFonts w:ascii="Arial" w:eastAsia="Arial" w:hAnsi="Arial" w:cs="Arial"/>
                <w:sz w:val="22"/>
                <w:szCs w:val="22"/>
              </w:rPr>
            </w:pPr>
            <w:r>
              <w:rPr>
                <w:rFonts w:ascii="Arial" w:eastAsia="Arial" w:hAnsi="Arial" w:cs="Arial"/>
                <w:sz w:val="22"/>
                <w:szCs w:val="22"/>
              </w:rPr>
              <w:t>$1.121.286</w:t>
            </w:r>
          </w:p>
        </w:tc>
        <w:tc>
          <w:tcPr>
            <w:tcW w:w="156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right="100"/>
              <w:jc w:val="center"/>
              <w:rPr>
                <w:rFonts w:ascii="Arial" w:eastAsia="Arial" w:hAnsi="Arial" w:cs="Arial"/>
                <w:sz w:val="22"/>
                <w:szCs w:val="22"/>
              </w:rPr>
            </w:pPr>
            <w:r>
              <w:rPr>
                <w:rFonts w:ascii="Arial" w:eastAsia="Arial" w:hAnsi="Arial" w:cs="Arial"/>
                <w:sz w:val="22"/>
                <w:szCs w:val="22"/>
              </w:rPr>
              <w:t>$1.306.239</w:t>
            </w:r>
          </w:p>
        </w:tc>
        <w:tc>
          <w:tcPr>
            <w:tcW w:w="162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right="100"/>
              <w:jc w:val="center"/>
              <w:rPr>
                <w:rFonts w:ascii="Arial" w:eastAsia="Arial" w:hAnsi="Arial" w:cs="Arial"/>
                <w:sz w:val="22"/>
                <w:szCs w:val="22"/>
              </w:rPr>
            </w:pPr>
            <w:r>
              <w:rPr>
                <w:rFonts w:ascii="Arial" w:eastAsia="Arial" w:hAnsi="Arial" w:cs="Arial"/>
                <w:sz w:val="22"/>
                <w:szCs w:val="22"/>
              </w:rPr>
              <w:t>-$184.953</w:t>
            </w:r>
          </w:p>
        </w:tc>
        <w:tc>
          <w:tcPr>
            <w:tcW w:w="129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left="100" w:right="100"/>
              <w:jc w:val="center"/>
              <w:rPr>
                <w:rFonts w:ascii="Arial" w:eastAsia="Arial" w:hAnsi="Arial" w:cs="Arial"/>
                <w:sz w:val="22"/>
                <w:szCs w:val="22"/>
              </w:rPr>
            </w:pPr>
            <w:r>
              <w:rPr>
                <w:rFonts w:ascii="Arial" w:eastAsia="Arial" w:hAnsi="Arial" w:cs="Arial"/>
                <w:sz w:val="22"/>
                <w:szCs w:val="22"/>
              </w:rPr>
              <w:t>-14-2%</w:t>
            </w:r>
          </w:p>
        </w:tc>
      </w:tr>
      <w:tr w:rsidR="00B202A2">
        <w:trPr>
          <w:trHeight w:val="425"/>
        </w:trPr>
        <w:tc>
          <w:tcPr>
            <w:tcW w:w="297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right="100"/>
              <w:rPr>
                <w:rFonts w:ascii="Arial" w:eastAsia="Arial" w:hAnsi="Arial" w:cs="Arial"/>
                <w:sz w:val="22"/>
                <w:szCs w:val="22"/>
              </w:rPr>
            </w:pPr>
            <w:r>
              <w:rPr>
                <w:rFonts w:ascii="Arial" w:eastAsia="Arial" w:hAnsi="Arial" w:cs="Arial"/>
                <w:sz w:val="22"/>
                <w:szCs w:val="22"/>
              </w:rPr>
              <w:t>Otros gastos</w:t>
            </w:r>
          </w:p>
        </w:tc>
        <w:tc>
          <w:tcPr>
            <w:tcW w:w="156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right="100"/>
              <w:jc w:val="center"/>
              <w:rPr>
                <w:rFonts w:ascii="Arial" w:eastAsia="Arial" w:hAnsi="Arial" w:cs="Arial"/>
                <w:sz w:val="22"/>
                <w:szCs w:val="22"/>
              </w:rPr>
            </w:pPr>
            <w:r>
              <w:rPr>
                <w:rFonts w:ascii="Arial" w:eastAsia="Arial" w:hAnsi="Arial" w:cs="Arial"/>
                <w:sz w:val="22"/>
                <w:szCs w:val="22"/>
              </w:rPr>
              <w:t>$618</w:t>
            </w:r>
          </w:p>
        </w:tc>
        <w:tc>
          <w:tcPr>
            <w:tcW w:w="156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right="100"/>
              <w:jc w:val="center"/>
              <w:rPr>
                <w:rFonts w:ascii="Arial" w:eastAsia="Arial" w:hAnsi="Arial" w:cs="Arial"/>
                <w:sz w:val="22"/>
                <w:szCs w:val="22"/>
              </w:rPr>
            </w:pPr>
            <w:r>
              <w:rPr>
                <w:rFonts w:ascii="Arial" w:eastAsia="Arial" w:hAnsi="Arial" w:cs="Arial"/>
                <w:sz w:val="22"/>
                <w:szCs w:val="22"/>
              </w:rPr>
              <w:t>$9.170.399</w:t>
            </w:r>
          </w:p>
        </w:tc>
        <w:tc>
          <w:tcPr>
            <w:tcW w:w="162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right="100"/>
              <w:jc w:val="center"/>
              <w:rPr>
                <w:rFonts w:ascii="Arial" w:eastAsia="Arial" w:hAnsi="Arial" w:cs="Arial"/>
                <w:sz w:val="22"/>
                <w:szCs w:val="22"/>
              </w:rPr>
            </w:pPr>
            <w:r>
              <w:rPr>
                <w:rFonts w:ascii="Arial" w:eastAsia="Arial" w:hAnsi="Arial" w:cs="Arial"/>
                <w:sz w:val="22"/>
                <w:szCs w:val="22"/>
              </w:rPr>
              <w:t>-$9.169.781</w:t>
            </w:r>
          </w:p>
        </w:tc>
        <w:tc>
          <w:tcPr>
            <w:tcW w:w="129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left="100" w:right="100"/>
              <w:jc w:val="center"/>
              <w:rPr>
                <w:rFonts w:ascii="Arial" w:eastAsia="Arial" w:hAnsi="Arial" w:cs="Arial"/>
                <w:sz w:val="22"/>
                <w:szCs w:val="22"/>
              </w:rPr>
            </w:pPr>
            <w:r>
              <w:rPr>
                <w:rFonts w:ascii="Arial" w:eastAsia="Arial" w:hAnsi="Arial" w:cs="Arial"/>
                <w:sz w:val="22"/>
                <w:szCs w:val="22"/>
              </w:rPr>
              <w:t>99,9%</w:t>
            </w:r>
          </w:p>
        </w:tc>
      </w:tr>
      <w:tr w:rsidR="00B202A2">
        <w:trPr>
          <w:trHeight w:val="440"/>
        </w:trPr>
        <w:tc>
          <w:tcPr>
            <w:tcW w:w="297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right="100"/>
              <w:rPr>
                <w:rFonts w:ascii="Arial" w:eastAsia="Arial" w:hAnsi="Arial" w:cs="Arial"/>
                <w:sz w:val="22"/>
                <w:szCs w:val="22"/>
              </w:rPr>
            </w:pPr>
            <w:r>
              <w:rPr>
                <w:rFonts w:ascii="Arial" w:eastAsia="Arial" w:hAnsi="Arial" w:cs="Arial"/>
                <w:sz w:val="22"/>
                <w:szCs w:val="22"/>
              </w:rPr>
              <w:t>Ganancia (pérdida) por actividades de operación</w:t>
            </w:r>
          </w:p>
        </w:tc>
        <w:tc>
          <w:tcPr>
            <w:tcW w:w="156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right="100"/>
              <w:jc w:val="center"/>
              <w:rPr>
                <w:rFonts w:ascii="Arial" w:eastAsia="Arial" w:hAnsi="Arial" w:cs="Arial"/>
                <w:sz w:val="22"/>
                <w:szCs w:val="22"/>
              </w:rPr>
            </w:pPr>
            <w:r>
              <w:rPr>
                <w:rFonts w:ascii="Arial" w:eastAsia="Arial" w:hAnsi="Arial" w:cs="Arial"/>
                <w:sz w:val="22"/>
                <w:szCs w:val="22"/>
              </w:rPr>
              <w:t>$552.653</w:t>
            </w:r>
          </w:p>
        </w:tc>
        <w:tc>
          <w:tcPr>
            <w:tcW w:w="156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right="100"/>
              <w:jc w:val="center"/>
              <w:rPr>
                <w:rFonts w:ascii="Arial" w:eastAsia="Arial" w:hAnsi="Arial" w:cs="Arial"/>
                <w:sz w:val="22"/>
                <w:szCs w:val="22"/>
              </w:rPr>
            </w:pPr>
            <w:r>
              <w:rPr>
                <w:rFonts w:ascii="Arial" w:eastAsia="Arial" w:hAnsi="Arial" w:cs="Arial"/>
                <w:sz w:val="22"/>
                <w:szCs w:val="22"/>
              </w:rPr>
              <w:t>-$12.524.048</w:t>
            </w:r>
          </w:p>
        </w:tc>
        <w:tc>
          <w:tcPr>
            <w:tcW w:w="162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right="100"/>
              <w:jc w:val="center"/>
              <w:rPr>
                <w:rFonts w:ascii="Arial" w:eastAsia="Arial" w:hAnsi="Arial" w:cs="Arial"/>
                <w:sz w:val="22"/>
                <w:szCs w:val="22"/>
              </w:rPr>
            </w:pPr>
            <w:r>
              <w:rPr>
                <w:rFonts w:ascii="Arial" w:eastAsia="Arial" w:hAnsi="Arial" w:cs="Arial"/>
                <w:sz w:val="22"/>
                <w:szCs w:val="22"/>
              </w:rPr>
              <w:t>$11.971.395</w:t>
            </w:r>
          </w:p>
        </w:tc>
        <w:tc>
          <w:tcPr>
            <w:tcW w:w="129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ind w:left="100" w:right="100"/>
              <w:jc w:val="center"/>
              <w:rPr>
                <w:rFonts w:ascii="Arial" w:eastAsia="Arial" w:hAnsi="Arial" w:cs="Arial"/>
                <w:sz w:val="22"/>
                <w:szCs w:val="22"/>
              </w:rPr>
            </w:pPr>
            <w:r>
              <w:rPr>
                <w:rFonts w:ascii="Arial" w:eastAsia="Arial" w:hAnsi="Arial" w:cs="Arial"/>
                <w:sz w:val="22"/>
                <w:szCs w:val="22"/>
              </w:rPr>
              <w:t>95,6%</w:t>
            </w:r>
          </w:p>
        </w:tc>
      </w:tr>
    </w:tbl>
    <w:p w:rsidR="00B202A2" w:rsidRDefault="00B202A2">
      <w:pPr>
        <w:jc w:val="both"/>
        <w:rPr>
          <w:rFonts w:ascii="Arial" w:eastAsia="Arial" w:hAnsi="Arial" w:cs="Arial"/>
          <w:b/>
          <w:sz w:val="22"/>
          <w:szCs w:val="22"/>
        </w:rPr>
      </w:pPr>
    </w:p>
    <w:p w:rsidR="00B202A2" w:rsidRDefault="00295E06">
      <w:pPr>
        <w:jc w:val="both"/>
        <w:rPr>
          <w:rFonts w:ascii="Arial" w:eastAsia="Arial" w:hAnsi="Arial" w:cs="Arial"/>
          <w:sz w:val="22"/>
          <w:szCs w:val="22"/>
        </w:rPr>
      </w:pPr>
      <w:r>
        <w:rPr>
          <w:rFonts w:ascii="Arial" w:eastAsia="Arial" w:hAnsi="Arial" w:cs="Arial"/>
          <w:sz w:val="22"/>
          <w:szCs w:val="22"/>
        </w:rPr>
        <w:t xml:space="preserve">Los </w:t>
      </w:r>
      <w:r>
        <w:rPr>
          <w:rFonts w:ascii="Arial" w:eastAsia="Arial" w:hAnsi="Arial" w:cs="Arial"/>
          <w:sz w:val="22"/>
          <w:szCs w:val="22"/>
          <w:u w:val="single"/>
        </w:rPr>
        <w:t>Ingresos</w:t>
      </w:r>
      <w:r>
        <w:rPr>
          <w:rFonts w:ascii="Arial" w:eastAsia="Arial" w:hAnsi="Arial" w:cs="Arial"/>
          <w:sz w:val="22"/>
          <w:szCs w:val="22"/>
        </w:rPr>
        <w:t>: para el 2019 se mantuvieron los aportantes: ISA, ECOPETROL, MINISTERIO DE MINAS Y ENERGÍA y ANM, con un aporte del 25% proporcional por $7.983.8 millones de pesos cada uno; lo demás ingresos corresponden a recursos propios de capital.</w:t>
      </w:r>
    </w:p>
    <w:p w:rsidR="00B202A2" w:rsidRDefault="00295E06">
      <w:pPr>
        <w:ind w:left="-20"/>
        <w:jc w:val="both"/>
        <w:rPr>
          <w:rFonts w:ascii="Arial" w:eastAsia="Arial" w:hAnsi="Arial" w:cs="Arial"/>
          <w:sz w:val="22"/>
          <w:szCs w:val="22"/>
        </w:rPr>
      </w:pPr>
      <w:r>
        <w:rPr>
          <w:rFonts w:ascii="Arial" w:eastAsia="Arial" w:hAnsi="Arial" w:cs="Arial"/>
          <w:sz w:val="22"/>
          <w:szCs w:val="22"/>
        </w:rPr>
        <w:lastRenderedPageBreak/>
        <w:t xml:space="preserve"> </w:t>
      </w:r>
    </w:p>
    <w:p w:rsidR="00B202A2" w:rsidRDefault="00295E06">
      <w:pPr>
        <w:jc w:val="both"/>
        <w:rPr>
          <w:rFonts w:ascii="Arial" w:eastAsia="Arial" w:hAnsi="Arial" w:cs="Arial"/>
          <w:sz w:val="22"/>
          <w:szCs w:val="22"/>
        </w:rPr>
      </w:pPr>
      <w:r>
        <w:rPr>
          <w:rFonts w:ascii="Arial" w:eastAsia="Arial" w:hAnsi="Arial" w:cs="Arial"/>
          <w:sz w:val="22"/>
          <w:szCs w:val="22"/>
        </w:rPr>
        <w:t xml:space="preserve">En Cuanto a los </w:t>
      </w:r>
      <w:r>
        <w:rPr>
          <w:rFonts w:ascii="Arial" w:eastAsia="Arial" w:hAnsi="Arial" w:cs="Arial"/>
          <w:sz w:val="22"/>
          <w:szCs w:val="22"/>
          <w:u w:val="single"/>
        </w:rPr>
        <w:t>Gastos</w:t>
      </w:r>
      <w:r>
        <w:rPr>
          <w:rFonts w:ascii="Arial" w:eastAsia="Arial" w:hAnsi="Arial" w:cs="Arial"/>
          <w:sz w:val="22"/>
          <w:szCs w:val="22"/>
        </w:rPr>
        <w:t>: se reflejan partidas por administración y gastos generales de la sede de la entidad en la operación y funcionamiento, pagos de impuestos, gastos financieros, provisiones y amortizaciones y especialmente por la baja del contrato d</w:t>
      </w:r>
      <w:r>
        <w:rPr>
          <w:rFonts w:ascii="Arial" w:eastAsia="Arial" w:hAnsi="Arial" w:cs="Arial"/>
          <w:sz w:val="22"/>
          <w:szCs w:val="22"/>
        </w:rPr>
        <w:t>e compra venta del Proyecto Eléctrico ANDAQUÍ suscrito entre la UPME e ISAGEN por valor de $9.170 millones supeditado al logro del cierre financiero del proyecto, que no se logró.</w:t>
      </w:r>
    </w:p>
    <w:p w:rsidR="00B202A2" w:rsidRDefault="00295E06">
      <w:pPr>
        <w:ind w:left="-20"/>
        <w:jc w:val="both"/>
        <w:rPr>
          <w:rFonts w:ascii="Arial" w:eastAsia="Arial" w:hAnsi="Arial" w:cs="Arial"/>
          <w:sz w:val="22"/>
          <w:szCs w:val="22"/>
        </w:rPr>
      </w:pPr>
      <w:r>
        <w:rPr>
          <w:rFonts w:ascii="Arial" w:eastAsia="Arial" w:hAnsi="Arial" w:cs="Arial"/>
          <w:sz w:val="22"/>
          <w:szCs w:val="22"/>
        </w:rPr>
        <w:t xml:space="preserve"> </w:t>
      </w:r>
    </w:p>
    <w:p w:rsidR="00B202A2" w:rsidRDefault="00B202A2">
      <w:pPr>
        <w:ind w:left="-20"/>
        <w:jc w:val="both"/>
        <w:rPr>
          <w:rFonts w:ascii="Arial" w:eastAsia="Arial" w:hAnsi="Arial" w:cs="Arial"/>
          <w:sz w:val="22"/>
          <w:szCs w:val="22"/>
        </w:rPr>
      </w:pPr>
    </w:p>
    <w:p w:rsidR="00B202A2" w:rsidRDefault="00295E06">
      <w:pPr>
        <w:jc w:val="center"/>
        <w:rPr>
          <w:rFonts w:ascii="Arial" w:eastAsia="Arial" w:hAnsi="Arial" w:cs="Arial"/>
          <w:b/>
          <w:sz w:val="22"/>
          <w:szCs w:val="22"/>
          <w:u w:val="single"/>
        </w:rPr>
      </w:pPr>
      <w:bookmarkStart w:id="70" w:name="_heading=h.3l18frh" w:colFirst="0" w:colLast="0"/>
      <w:bookmarkEnd w:id="70"/>
      <w:r>
        <w:rPr>
          <w:rFonts w:ascii="Arial" w:eastAsia="Arial" w:hAnsi="Arial" w:cs="Arial"/>
          <w:b/>
          <w:sz w:val="22"/>
          <w:szCs w:val="22"/>
          <w:u w:val="single"/>
        </w:rPr>
        <w:t>Tabla 17. Estado de Cambios en el Patrimonio a 31 de diciembre de 2019 (C</w:t>
      </w:r>
      <w:r>
        <w:rPr>
          <w:rFonts w:ascii="Arial" w:eastAsia="Arial" w:hAnsi="Arial" w:cs="Arial"/>
          <w:b/>
          <w:sz w:val="22"/>
          <w:szCs w:val="22"/>
          <w:u w:val="single"/>
        </w:rPr>
        <w:t>ifras en miles de pesos)</w:t>
      </w:r>
    </w:p>
    <w:p w:rsidR="00B202A2" w:rsidRDefault="00B202A2">
      <w:pPr>
        <w:jc w:val="center"/>
        <w:rPr>
          <w:rFonts w:ascii="Arial" w:eastAsia="Arial" w:hAnsi="Arial" w:cs="Arial"/>
          <w:b/>
          <w:sz w:val="22"/>
          <w:szCs w:val="22"/>
          <w:u w:val="single"/>
        </w:rPr>
      </w:pPr>
      <w:bookmarkStart w:id="71" w:name="_heading=h.ka68oatsvpqb" w:colFirst="0" w:colLast="0"/>
      <w:bookmarkEnd w:id="71"/>
    </w:p>
    <w:tbl>
      <w:tblPr>
        <w:tblStyle w:val="afff2"/>
        <w:tblW w:w="92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00"/>
        <w:gridCol w:w="1440"/>
        <w:gridCol w:w="1395"/>
        <w:gridCol w:w="1455"/>
        <w:gridCol w:w="1425"/>
        <w:gridCol w:w="1395"/>
      </w:tblGrid>
      <w:tr w:rsidR="00B202A2">
        <w:trPr>
          <w:trHeight w:val="578"/>
        </w:trPr>
        <w:tc>
          <w:tcPr>
            <w:tcW w:w="210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Detalle</w:t>
            </w:r>
          </w:p>
        </w:tc>
        <w:tc>
          <w:tcPr>
            <w:tcW w:w="144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Capital Fiscal</w:t>
            </w:r>
          </w:p>
        </w:tc>
        <w:tc>
          <w:tcPr>
            <w:tcW w:w="139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Resultado del Ejercicio Anteriores</w:t>
            </w:r>
          </w:p>
        </w:tc>
        <w:tc>
          <w:tcPr>
            <w:tcW w:w="145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Resultado del Ejercicio</w:t>
            </w:r>
          </w:p>
        </w:tc>
        <w:tc>
          <w:tcPr>
            <w:tcW w:w="142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Impactos Transición</w:t>
            </w:r>
          </w:p>
        </w:tc>
        <w:tc>
          <w:tcPr>
            <w:tcW w:w="139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Total Patrimonio</w:t>
            </w:r>
          </w:p>
        </w:tc>
      </w:tr>
      <w:tr w:rsidR="00B202A2">
        <w:trPr>
          <w:trHeight w:val="440"/>
        </w:trPr>
        <w:tc>
          <w:tcPr>
            <w:tcW w:w="210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rPr>
                <w:rFonts w:ascii="Arial" w:eastAsia="Arial" w:hAnsi="Arial" w:cs="Arial"/>
                <w:b/>
                <w:sz w:val="22"/>
                <w:szCs w:val="22"/>
              </w:rPr>
            </w:pPr>
            <w:r>
              <w:rPr>
                <w:rFonts w:ascii="Arial" w:eastAsia="Arial" w:hAnsi="Arial" w:cs="Arial"/>
                <w:b/>
                <w:sz w:val="22"/>
                <w:szCs w:val="22"/>
              </w:rPr>
              <w:t>Saldo a 01 de ene-2019</w:t>
            </w:r>
          </w:p>
        </w:tc>
        <w:tc>
          <w:tcPr>
            <w:tcW w:w="144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$22.510.543</w:t>
            </w:r>
          </w:p>
        </w:tc>
        <w:tc>
          <w:tcPr>
            <w:tcW w:w="1395"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 xml:space="preserve"> $0  </w:t>
            </w:r>
          </w:p>
        </w:tc>
        <w:tc>
          <w:tcPr>
            <w:tcW w:w="1455"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-$12.524.048</w:t>
            </w:r>
          </w:p>
        </w:tc>
        <w:tc>
          <w:tcPr>
            <w:tcW w:w="1425"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$6.797.714</w:t>
            </w:r>
          </w:p>
        </w:tc>
        <w:tc>
          <w:tcPr>
            <w:tcW w:w="1395"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$16.784.210</w:t>
            </w:r>
          </w:p>
        </w:tc>
      </w:tr>
      <w:tr w:rsidR="00B202A2">
        <w:trPr>
          <w:trHeight w:val="440"/>
        </w:trPr>
        <w:tc>
          <w:tcPr>
            <w:tcW w:w="210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rPr>
                <w:rFonts w:ascii="Arial" w:eastAsia="Arial" w:hAnsi="Arial" w:cs="Arial"/>
                <w:sz w:val="22"/>
                <w:szCs w:val="22"/>
              </w:rPr>
            </w:pPr>
            <w:r>
              <w:rPr>
                <w:rFonts w:ascii="Arial" w:eastAsia="Arial" w:hAnsi="Arial" w:cs="Arial"/>
                <w:sz w:val="22"/>
                <w:szCs w:val="22"/>
              </w:rPr>
              <w:t>Capital Fiscal</w:t>
            </w:r>
          </w:p>
        </w:tc>
        <w:tc>
          <w:tcPr>
            <w:tcW w:w="144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 xml:space="preserve"> $0  </w:t>
            </w:r>
          </w:p>
        </w:tc>
        <w:tc>
          <w:tcPr>
            <w:tcW w:w="1395"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 xml:space="preserve"> $0  </w:t>
            </w:r>
          </w:p>
        </w:tc>
        <w:tc>
          <w:tcPr>
            <w:tcW w:w="1455"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 xml:space="preserve"> $0  </w:t>
            </w:r>
          </w:p>
        </w:tc>
        <w:tc>
          <w:tcPr>
            <w:tcW w:w="1425"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 xml:space="preserve"> $0  </w:t>
            </w:r>
          </w:p>
        </w:tc>
        <w:tc>
          <w:tcPr>
            <w:tcW w:w="1395"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 xml:space="preserve"> $0  </w:t>
            </w:r>
          </w:p>
        </w:tc>
      </w:tr>
      <w:tr w:rsidR="00B202A2">
        <w:trPr>
          <w:trHeight w:val="665"/>
        </w:trPr>
        <w:tc>
          <w:tcPr>
            <w:tcW w:w="210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rPr>
                <w:rFonts w:ascii="Arial" w:eastAsia="Arial" w:hAnsi="Arial" w:cs="Arial"/>
                <w:sz w:val="22"/>
                <w:szCs w:val="22"/>
              </w:rPr>
            </w:pPr>
            <w:r>
              <w:rPr>
                <w:rFonts w:ascii="Arial" w:eastAsia="Arial" w:hAnsi="Arial" w:cs="Arial"/>
                <w:sz w:val="22"/>
                <w:szCs w:val="22"/>
              </w:rPr>
              <w:t>Resultado o pérdida del ejercicio</w:t>
            </w:r>
          </w:p>
        </w:tc>
        <w:tc>
          <w:tcPr>
            <w:tcW w:w="144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 xml:space="preserve"> $0  </w:t>
            </w:r>
          </w:p>
        </w:tc>
        <w:tc>
          <w:tcPr>
            <w:tcW w:w="1395"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 xml:space="preserve">$0  </w:t>
            </w:r>
          </w:p>
        </w:tc>
        <w:tc>
          <w:tcPr>
            <w:tcW w:w="1455"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$552.653</w:t>
            </w:r>
          </w:p>
        </w:tc>
        <w:tc>
          <w:tcPr>
            <w:tcW w:w="1425"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 xml:space="preserve"> $0  </w:t>
            </w:r>
          </w:p>
        </w:tc>
        <w:tc>
          <w:tcPr>
            <w:tcW w:w="1395"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$552.653</w:t>
            </w:r>
          </w:p>
        </w:tc>
      </w:tr>
      <w:tr w:rsidR="00B202A2">
        <w:trPr>
          <w:trHeight w:val="665"/>
        </w:trPr>
        <w:tc>
          <w:tcPr>
            <w:tcW w:w="210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rPr>
                <w:rFonts w:ascii="Arial" w:eastAsia="Arial" w:hAnsi="Arial" w:cs="Arial"/>
                <w:sz w:val="22"/>
                <w:szCs w:val="22"/>
              </w:rPr>
            </w:pPr>
            <w:r>
              <w:rPr>
                <w:rFonts w:ascii="Arial" w:eastAsia="Arial" w:hAnsi="Arial" w:cs="Arial"/>
                <w:sz w:val="22"/>
                <w:szCs w:val="22"/>
              </w:rPr>
              <w:t>Resultado o pérdida del ejercicio anteriores</w:t>
            </w:r>
          </w:p>
        </w:tc>
        <w:tc>
          <w:tcPr>
            <w:tcW w:w="144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 xml:space="preserve"> $0  </w:t>
            </w:r>
          </w:p>
        </w:tc>
        <w:tc>
          <w:tcPr>
            <w:tcW w:w="1395"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 xml:space="preserve">-$5.092.132  </w:t>
            </w:r>
          </w:p>
        </w:tc>
        <w:tc>
          <w:tcPr>
            <w:tcW w:w="1455"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$12.524.048</w:t>
            </w:r>
          </w:p>
        </w:tc>
        <w:tc>
          <w:tcPr>
            <w:tcW w:w="1425"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-$6.797.714</w:t>
            </w:r>
          </w:p>
        </w:tc>
        <w:tc>
          <w:tcPr>
            <w:tcW w:w="1395"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$634.201</w:t>
            </w:r>
          </w:p>
        </w:tc>
      </w:tr>
      <w:tr w:rsidR="00B202A2">
        <w:trPr>
          <w:trHeight w:val="440"/>
        </w:trPr>
        <w:tc>
          <w:tcPr>
            <w:tcW w:w="210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rPr>
                <w:rFonts w:ascii="Arial" w:eastAsia="Arial" w:hAnsi="Arial" w:cs="Arial"/>
                <w:b/>
                <w:sz w:val="22"/>
                <w:szCs w:val="22"/>
              </w:rPr>
            </w:pPr>
            <w:r>
              <w:rPr>
                <w:rFonts w:ascii="Arial" w:eastAsia="Arial" w:hAnsi="Arial" w:cs="Arial"/>
                <w:b/>
                <w:sz w:val="22"/>
                <w:szCs w:val="22"/>
              </w:rPr>
              <w:t>saldo a 31 de dic-2019</w:t>
            </w:r>
          </w:p>
        </w:tc>
        <w:tc>
          <w:tcPr>
            <w:tcW w:w="144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$22.510.543</w:t>
            </w:r>
          </w:p>
        </w:tc>
        <w:tc>
          <w:tcPr>
            <w:tcW w:w="1395"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 xml:space="preserve">-$5.092.132  </w:t>
            </w:r>
          </w:p>
        </w:tc>
        <w:tc>
          <w:tcPr>
            <w:tcW w:w="1455"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$552.653</w:t>
            </w:r>
          </w:p>
        </w:tc>
        <w:tc>
          <w:tcPr>
            <w:tcW w:w="1425"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 xml:space="preserve">$0  </w:t>
            </w:r>
          </w:p>
        </w:tc>
        <w:tc>
          <w:tcPr>
            <w:tcW w:w="1395"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$17.971.064</w:t>
            </w:r>
          </w:p>
        </w:tc>
      </w:tr>
    </w:tbl>
    <w:p w:rsidR="00B202A2" w:rsidRDefault="00B202A2">
      <w:pPr>
        <w:ind w:left="-20"/>
        <w:jc w:val="both"/>
        <w:rPr>
          <w:rFonts w:ascii="Arial" w:eastAsia="Arial" w:hAnsi="Arial" w:cs="Arial"/>
          <w:sz w:val="22"/>
          <w:szCs w:val="22"/>
        </w:rPr>
      </w:pPr>
    </w:p>
    <w:p w:rsidR="00B202A2" w:rsidRDefault="00295E06">
      <w:pPr>
        <w:ind w:left="-20"/>
        <w:jc w:val="both"/>
        <w:rPr>
          <w:rFonts w:ascii="Arial" w:eastAsia="Arial" w:hAnsi="Arial" w:cs="Arial"/>
          <w:sz w:val="22"/>
          <w:szCs w:val="22"/>
        </w:rPr>
      </w:pPr>
      <w:r>
        <w:rPr>
          <w:rFonts w:ascii="Arial" w:eastAsia="Arial" w:hAnsi="Arial" w:cs="Arial"/>
          <w:sz w:val="22"/>
          <w:szCs w:val="22"/>
        </w:rPr>
        <w:t>Ahora bien se aclara que la variación reflejada corresponde al impacto en el comportamiento de los activos y los pasivos al cierre del periodo fiscal.</w:t>
      </w:r>
    </w:p>
    <w:p w:rsidR="00B202A2" w:rsidRDefault="00B202A2">
      <w:pPr>
        <w:ind w:left="-20"/>
        <w:jc w:val="both"/>
        <w:rPr>
          <w:rFonts w:ascii="Arial" w:eastAsia="Arial" w:hAnsi="Arial" w:cs="Arial"/>
          <w:sz w:val="22"/>
          <w:szCs w:val="22"/>
        </w:rPr>
      </w:pPr>
    </w:p>
    <w:p w:rsidR="00B202A2" w:rsidRDefault="00295E06">
      <w:pPr>
        <w:spacing w:before="240"/>
        <w:jc w:val="both"/>
        <w:rPr>
          <w:rFonts w:ascii="Arial" w:eastAsia="Arial" w:hAnsi="Arial" w:cs="Arial"/>
          <w:b/>
          <w:sz w:val="22"/>
          <w:szCs w:val="22"/>
        </w:rPr>
      </w:pPr>
      <w:r>
        <w:rPr>
          <w:rFonts w:ascii="Arial" w:eastAsia="Arial" w:hAnsi="Arial" w:cs="Arial"/>
          <w:b/>
          <w:sz w:val="22"/>
          <w:szCs w:val="22"/>
        </w:rPr>
        <w:t>Gestión Contable 2020</w:t>
      </w:r>
    </w:p>
    <w:p w:rsidR="00B202A2" w:rsidRDefault="00295E06">
      <w:pPr>
        <w:ind w:left="-20"/>
        <w:jc w:val="both"/>
        <w:rPr>
          <w:rFonts w:ascii="Arial" w:eastAsia="Arial" w:hAnsi="Arial" w:cs="Arial"/>
          <w:sz w:val="22"/>
          <w:szCs w:val="22"/>
        </w:rPr>
      </w:pPr>
      <w:r>
        <w:rPr>
          <w:rFonts w:ascii="Arial" w:eastAsia="Arial" w:hAnsi="Arial" w:cs="Arial"/>
          <w:sz w:val="22"/>
          <w:szCs w:val="22"/>
        </w:rPr>
        <w:t xml:space="preserve"> </w:t>
      </w:r>
    </w:p>
    <w:p w:rsidR="00B202A2" w:rsidRDefault="00295E06">
      <w:pPr>
        <w:ind w:left="-20"/>
        <w:jc w:val="both"/>
        <w:rPr>
          <w:rFonts w:ascii="Arial" w:eastAsia="Arial" w:hAnsi="Arial" w:cs="Arial"/>
          <w:b/>
          <w:sz w:val="22"/>
          <w:szCs w:val="22"/>
        </w:rPr>
      </w:pPr>
      <w:r>
        <w:rPr>
          <w:rFonts w:ascii="Arial" w:eastAsia="Arial" w:hAnsi="Arial" w:cs="Arial"/>
          <w:b/>
          <w:sz w:val="22"/>
          <w:szCs w:val="22"/>
        </w:rPr>
        <w:t>Estado de Situación Financiera con corte al 30 de septiembre de 2020:</w:t>
      </w:r>
    </w:p>
    <w:p w:rsidR="00B202A2" w:rsidRDefault="00295E06">
      <w:pPr>
        <w:spacing w:before="240"/>
        <w:jc w:val="both"/>
        <w:rPr>
          <w:rFonts w:ascii="Arial" w:eastAsia="Arial" w:hAnsi="Arial" w:cs="Arial"/>
          <w:b/>
          <w:sz w:val="22"/>
          <w:szCs w:val="22"/>
        </w:rPr>
      </w:pPr>
      <w:r>
        <w:rPr>
          <w:rFonts w:ascii="Arial" w:eastAsia="Arial" w:hAnsi="Arial" w:cs="Arial"/>
          <w:b/>
          <w:sz w:val="22"/>
          <w:szCs w:val="22"/>
        </w:rPr>
        <w:t xml:space="preserve"> </w:t>
      </w:r>
    </w:p>
    <w:p w:rsidR="00B202A2" w:rsidRDefault="00295E06">
      <w:pPr>
        <w:ind w:left="-20"/>
        <w:jc w:val="both"/>
        <w:rPr>
          <w:rFonts w:ascii="Arial" w:eastAsia="Arial" w:hAnsi="Arial" w:cs="Arial"/>
          <w:sz w:val="22"/>
          <w:szCs w:val="22"/>
        </w:rPr>
      </w:pPr>
      <w:r>
        <w:rPr>
          <w:rFonts w:ascii="Arial" w:eastAsia="Arial" w:hAnsi="Arial" w:cs="Arial"/>
          <w:sz w:val="22"/>
          <w:szCs w:val="22"/>
        </w:rPr>
        <w:t>La UPME en línea con las disposiciones de la Contaduría General de la Nación presentó los estados de situación financiera y estado de resultados del periodo comprendido entre 1 de enero al 30 de Septiembre de 2020 y sus notas explicativas, lo cual se resum</w:t>
      </w:r>
      <w:r>
        <w:rPr>
          <w:rFonts w:ascii="Arial" w:eastAsia="Arial" w:hAnsi="Arial" w:cs="Arial"/>
          <w:sz w:val="22"/>
          <w:szCs w:val="22"/>
        </w:rPr>
        <w:t>e a continuación:</w:t>
      </w:r>
    </w:p>
    <w:p w:rsidR="00B202A2" w:rsidRDefault="00295E06">
      <w:pPr>
        <w:ind w:left="-20"/>
        <w:jc w:val="both"/>
        <w:rPr>
          <w:rFonts w:ascii="Arial" w:eastAsia="Arial" w:hAnsi="Arial" w:cs="Arial"/>
          <w:sz w:val="22"/>
          <w:szCs w:val="22"/>
        </w:rPr>
      </w:pPr>
      <w:r>
        <w:br w:type="page"/>
      </w:r>
    </w:p>
    <w:p w:rsidR="00B202A2" w:rsidRDefault="00B202A2">
      <w:pPr>
        <w:ind w:left="-20"/>
        <w:jc w:val="both"/>
        <w:rPr>
          <w:rFonts w:ascii="Arial" w:eastAsia="Arial" w:hAnsi="Arial" w:cs="Arial"/>
          <w:sz w:val="22"/>
          <w:szCs w:val="22"/>
        </w:rPr>
      </w:pPr>
    </w:p>
    <w:p w:rsidR="00B202A2" w:rsidRDefault="00B202A2">
      <w:pPr>
        <w:ind w:left="-20"/>
        <w:jc w:val="both"/>
        <w:rPr>
          <w:rFonts w:ascii="Arial" w:eastAsia="Arial" w:hAnsi="Arial" w:cs="Arial"/>
          <w:sz w:val="22"/>
          <w:szCs w:val="22"/>
        </w:rPr>
      </w:pPr>
    </w:p>
    <w:p w:rsidR="00B202A2" w:rsidRDefault="00295E06">
      <w:pPr>
        <w:jc w:val="center"/>
        <w:rPr>
          <w:rFonts w:ascii="Arial" w:eastAsia="Arial" w:hAnsi="Arial" w:cs="Arial"/>
          <w:b/>
          <w:sz w:val="22"/>
          <w:szCs w:val="22"/>
          <w:u w:val="single"/>
        </w:rPr>
      </w:pPr>
      <w:bookmarkStart w:id="72" w:name="_heading=h.206ipza" w:colFirst="0" w:colLast="0"/>
      <w:bookmarkEnd w:id="72"/>
      <w:r>
        <w:rPr>
          <w:rFonts w:ascii="Arial" w:eastAsia="Arial" w:hAnsi="Arial" w:cs="Arial"/>
          <w:b/>
          <w:sz w:val="22"/>
          <w:szCs w:val="22"/>
          <w:u w:val="single"/>
        </w:rPr>
        <w:t xml:space="preserve">Tabla 18. Estados de situación financiera - Cifras en Miles de Pesos </w:t>
      </w:r>
    </w:p>
    <w:p w:rsidR="00B202A2" w:rsidRDefault="00B202A2">
      <w:pPr>
        <w:jc w:val="center"/>
        <w:rPr>
          <w:rFonts w:ascii="Arial" w:eastAsia="Arial" w:hAnsi="Arial" w:cs="Arial"/>
          <w:sz w:val="22"/>
          <w:szCs w:val="22"/>
          <w:u w:val="single"/>
        </w:rPr>
      </w:pPr>
      <w:bookmarkStart w:id="73" w:name="_heading=h.y36bokl77vvw" w:colFirst="0" w:colLast="0"/>
      <w:bookmarkEnd w:id="73"/>
    </w:p>
    <w:tbl>
      <w:tblPr>
        <w:tblStyle w:val="afff3"/>
        <w:tblW w:w="85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5"/>
        <w:gridCol w:w="1845"/>
        <w:gridCol w:w="1980"/>
        <w:gridCol w:w="1530"/>
        <w:gridCol w:w="1680"/>
      </w:tblGrid>
      <w:tr w:rsidR="00B202A2">
        <w:trPr>
          <w:trHeight w:val="530"/>
        </w:trPr>
        <w:tc>
          <w:tcPr>
            <w:tcW w:w="1545" w:type="dxa"/>
            <w:vMerge w:val="restart"/>
            <w:tcBorders>
              <w:top w:val="single" w:sz="8" w:space="0" w:color="000000"/>
              <w:left w:val="single" w:sz="8" w:space="0" w:color="000000"/>
              <w:bottom w:val="single" w:sz="8" w:space="0" w:color="000000"/>
              <w:right w:val="single" w:sz="8" w:space="0" w:color="000000"/>
            </w:tcBorders>
            <w:shd w:val="clear" w:color="auto" w:fill="CFE2F3"/>
            <w:tcMar>
              <w:top w:w="100" w:type="dxa"/>
              <w:left w:w="80" w:type="dxa"/>
              <w:bottom w:w="100" w:type="dxa"/>
              <w:right w:w="80" w:type="dxa"/>
            </w:tcMar>
            <w:vAlign w:val="center"/>
          </w:tcPr>
          <w:p w:rsidR="00B202A2" w:rsidRDefault="00295E06">
            <w:pPr>
              <w:spacing w:before="240"/>
              <w:jc w:val="center"/>
              <w:rPr>
                <w:rFonts w:ascii="Arial" w:eastAsia="Arial" w:hAnsi="Arial" w:cs="Arial"/>
                <w:b/>
                <w:sz w:val="22"/>
                <w:szCs w:val="22"/>
              </w:rPr>
            </w:pPr>
            <w:r>
              <w:rPr>
                <w:rFonts w:ascii="Arial" w:eastAsia="Arial" w:hAnsi="Arial" w:cs="Arial"/>
                <w:b/>
                <w:sz w:val="22"/>
                <w:szCs w:val="22"/>
              </w:rPr>
              <w:t>Detalle</w:t>
            </w:r>
          </w:p>
        </w:tc>
        <w:tc>
          <w:tcPr>
            <w:tcW w:w="3825" w:type="dxa"/>
            <w:gridSpan w:val="2"/>
            <w:tcBorders>
              <w:top w:val="single" w:sz="8" w:space="0" w:color="000000"/>
              <w:left w:val="single" w:sz="8" w:space="0" w:color="000000"/>
              <w:bottom w:val="single" w:sz="8" w:space="0" w:color="000000"/>
              <w:right w:val="single" w:sz="8" w:space="0" w:color="000000"/>
            </w:tcBorders>
            <w:shd w:val="clear" w:color="auto" w:fill="CFE2F3"/>
            <w:tcMar>
              <w:top w:w="100" w:type="dxa"/>
              <w:left w:w="80" w:type="dxa"/>
              <w:bottom w:w="100" w:type="dxa"/>
              <w:right w:w="80" w:type="dxa"/>
            </w:tcMar>
            <w:vAlign w:val="center"/>
          </w:tcPr>
          <w:p w:rsidR="00B202A2" w:rsidRDefault="00295E06">
            <w:pPr>
              <w:spacing w:before="240"/>
              <w:jc w:val="center"/>
              <w:rPr>
                <w:rFonts w:ascii="Arial" w:eastAsia="Arial" w:hAnsi="Arial" w:cs="Arial"/>
                <w:b/>
                <w:sz w:val="22"/>
                <w:szCs w:val="22"/>
              </w:rPr>
            </w:pPr>
            <w:r>
              <w:rPr>
                <w:rFonts w:ascii="Arial" w:eastAsia="Arial" w:hAnsi="Arial" w:cs="Arial"/>
                <w:b/>
                <w:sz w:val="22"/>
                <w:szCs w:val="22"/>
              </w:rPr>
              <w:t>Periodos</w:t>
            </w:r>
          </w:p>
        </w:tc>
        <w:tc>
          <w:tcPr>
            <w:tcW w:w="3210" w:type="dxa"/>
            <w:gridSpan w:val="2"/>
            <w:tcBorders>
              <w:top w:val="single" w:sz="8" w:space="0" w:color="000000"/>
              <w:left w:val="single" w:sz="8" w:space="0" w:color="000000"/>
              <w:bottom w:val="single" w:sz="8" w:space="0" w:color="000000"/>
              <w:right w:val="single" w:sz="8" w:space="0" w:color="000000"/>
            </w:tcBorders>
            <w:shd w:val="clear" w:color="auto" w:fill="CFE2F3"/>
            <w:tcMar>
              <w:top w:w="100" w:type="dxa"/>
              <w:left w:w="80" w:type="dxa"/>
              <w:bottom w:w="100" w:type="dxa"/>
              <w:right w:w="80" w:type="dxa"/>
            </w:tcMar>
            <w:vAlign w:val="center"/>
          </w:tcPr>
          <w:p w:rsidR="00B202A2" w:rsidRDefault="00295E06">
            <w:pPr>
              <w:spacing w:before="240"/>
              <w:jc w:val="center"/>
              <w:rPr>
                <w:rFonts w:ascii="Arial" w:eastAsia="Arial" w:hAnsi="Arial" w:cs="Arial"/>
                <w:b/>
                <w:sz w:val="22"/>
                <w:szCs w:val="22"/>
              </w:rPr>
            </w:pPr>
            <w:r>
              <w:rPr>
                <w:rFonts w:ascii="Arial" w:eastAsia="Arial" w:hAnsi="Arial" w:cs="Arial"/>
                <w:b/>
                <w:sz w:val="22"/>
                <w:szCs w:val="22"/>
              </w:rPr>
              <w:t>Variaciones</w:t>
            </w:r>
          </w:p>
        </w:tc>
      </w:tr>
      <w:tr w:rsidR="00B202A2">
        <w:trPr>
          <w:trHeight w:val="610"/>
        </w:trPr>
        <w:tc>
          <w:tcPr>
            <w:tcW w:w="1545" w:type="dxa"/>
            <w:vMerge/>
            <w:tcBorders>
              <w:top w:val="single" w:sz="8" w:space="0" w:color="000000"/>
              <w:left w:val="single" w:sz="8" w:space="0" w:color="000000"/>
              <w:bottom w:val="single" w:sz="8" w:space="0" w:color="000000"/>
              <w:right w:val="single" w:sz="8" w:space="0" w:color="000000"/>
            </w:tcBorders>
            <w:shd w:val="clear" w:color="auto" w:fill="CFE2F3"/>
            <w:tcMar>
              <w:top w:w="100" w:type="dxa"/>
              <w:left w:w="80" w:type="dxa"/>
              <w:bottom w:w="100" w:type="dxa"/>
              <w:right w:w="80" w:type="dxa"/>
            </w:tcMar>
            <w:vAlign w:val="center"/>
          </w:tcPr>
          <w:p w:rsidR="00B202A2" w:rsidRDefault="00B202A2">
            <w:pPr>
              <w:widowControl w:val="0"/>
              <w:pBdr>
                <w:top w:val="nil"/>
                <w:left w:val="nil"/>
                <w:bottom w:val="nil"/>
                <w:right w:val="nil"/>
                <w:between w:val="nil"/>
              </w:pBdr>
              <w:spacing w:line="276" w:lineRule="auto"/>
              <w:rPr>
                <w:rFonts w:ascii="Arial" w:eastAsia="Arial" w:hAnsi="Arial" w:cs="Arial"/>
                <w:b/>
                <w:color w:val="FFFFFF"/>
                <w:sz w:val="22"/>
                <w:szCs w:val="22"/>
              </w:rPr>
            </w:pPr>
          </w:p>
        </w:tc>
        <w:tc>
          <w:tcPr>
            <w:tcW w:w="184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80" w:type="dxa"/>
              <w:bottom w:w="100" w:type="dxa"/>
              <w:right w:w="80" w:type="dxa"/>
            </w:tcMar>
            <w:vAlign w:val="center"/>
          </w:tcPr>
          <w:p w:rsidR="00B202A2" w:rsidRDefault="00295E06">
            <w:pPr>
              <w:spacing w:before="240"/>
              <w:jc w:val="center"/>
              <w:rPr>
                <w:rFonts w:ascii="Arial" w:eastAsia="Arial" w:hAnsi="Arial" w:cs="Arial"/>
                <w:b/>
                <w:sz w:val="22"/>
                <w:szCs w:val="22"/>
              </w:rPr>
            </w:pPr>
            <w:r>
              <w:rPr>
                <w:rFonts w:ascii="Arial" w:eastAsia="Arial" w:hAnsi="Arial" w:cs="Arial"/>
                <w:b/>
                <w:sz w:val="22"/>
                <w:szCs w:val="22"/>
              </w:rPr>
              <w:t>Sep 30 2020</w:t>
            </w:r>
          </w:p>
        </w:tc>
        <w:tc>
          <w:tcPr>
            <w:tcW w:w="198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80" w:type="dxa"/>
              <w:bottom w:w="100" w:type="dxa"/>
              <w:right w:w="80" w:type="dxa"/>
            </w:tcMar>
            <w:vAlign w:val="center"/>
          </w:tcPr>
          <w:p w:rsidR="00B202A2" w:rsidRDefault="00295E06">
            <w:pPr>
              <w:spacing w:before="240"/>
              <w:jc w:val="center"/>
              <w:rPr>
                <w:rFonts w:ascii="Arial" w:eastAsia="Arial" w:hAnsi="Arial" w:cs="Arial"/>
                <w:b/>
                <w:sz w:val="22"/>
                <w:szCs w:val="22"/>
              </w:rPr>
            </w:pPr>
            <w:r>
              <w:rPr>
                <w:rFonts w:ascii="Arial" w:eastAsia="Arial" w:hAnsi="Arial" w:cs="Arial"/>
                <w:b/>
                <w:sz w:val="22"/>
                <w:szCs w:val="22"/>
              </w:rPr>
              <w:t>Sep 30 2019</w:t>
            </w:r>
          </w:p>
        </w:tc>
        <w:tc>
          <w:tcPr>
            <w:tcW w:w="153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80" w:type="dxa"/>
              <w:bottom w:w="100" w:type="dxa"/>
              <w:right w:w="80" w:type="dxa"/>
            </w:tcMar>
            <w:vAlign w:val="center"/>
          </w:tcPr>
          <w:p w:rsidR="00B202A2" w:rsidRDefault="00295E06">
            <w:pPr>
              <w:spacing w:before="240"/>
              <w:jc w:val="center"/>
              <w:rPr>
                <w:rFonts w:ascii="Arial" w:eastAsia="Arial" w:hAnsi="Arial" w:cs="Arial"/>
                <w:b/>
                <w:sz w:val="22"/>
                <w:szCs w:val="22"/>
              </w:rPr>
            </w:pPr>
            <w:r>
              <w:rPr>
                <w:rFonts w:ascii="Arial" w:eastAsia="Arial" w:hAnsi="Arial" w:cs="Arial"/>
                <w:b/>
                <w:sz w:val="22"/>
                <w:szCs w:val="22"/>
              </w:rPr>
              <w:t>Absoluta</w:t>
            </w:r>
          </w:p>
        </w:tc>
        <w:tc>
          <w:tcPr>
            <w:tcW w:w="168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80" w:type="dxa"/>
              <w:bottom w:w="100" w:type="dxa"/>
              <w:right w:w="80" w:type="dxa"/>
            </w:tcMar>
            <w:vAlign w:val="center"/>
          </w:tcPr>
          <w:p w:rsidR="00B202A2" w:rsidRDefault="00295E06">
            <w:pPr>
              <w:spacing w:before="240"/>
              <w:jc w:val="center"/>
              <w:rPr>
                <w:rFonts w:ascii="Arial" w:eastAsia="Arial" w:hAnsi="Arial" w:cs="Arial"/>
                <w:b/>
                <w:sz w:val="22"/>
                <w:szCs w:val="22"/>
              </w:rPr>
            </w:pPr>
            <w:r>
              <w:rPr>
                <w:rFonts w:ascii="Arial" w:eastAsia="Arial" w:hAnsi="Arial" w:cs="Arial"/>
                <w:b/>
                <w:sz w:val="22"/>
                <w:szCs w:val="22"/>
              </w:rPr>
              <w:t>Relativa (%)</w:t>
            </w:r>
          </w:p>
        </w:tc>
      </w:tr>
      <w:tr w:rsidR="00B202A2">
        <w:trPr>
          <w:trHeight w:val="530"/>
        </w:trPr>
        <w:tc>
          <w:tcPr>
            <w:tcW w:w="15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spacing w:before="240"/>
              <w:jc w:val="both"/>
              <w:rPr>
                <w:rFonts w:ascii="Arial" w:eastAsia="Arial" w:hAnsi="Arial" w:cs="Arial"/>
                <w:b/>
                <w:sz w:val="22"/>
                <w:szCs w:val="22"/>
              </w:rPr>
            </w:pPr>
            <w:r>
              <w:rPr>
                <w:rFonts w:ascii="Arial" w:eastAsia="Arial" w:hAnsi="Arial" w:cs="Arial"/>
                <w:b/>
                <w:sz w:val="22"/>
                <w:szCs w:val="22"/>
              </w:rPr>
              <w:t>Activos</w:t>
            </w:r>
          </w:p>
        </w:tc>
        <w:tc>
          <w:tcPr>
            <w:tcW w:w="18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spacing w:before="240"/>
              <w:jc w:val="center"/>
              <w:rPr>
                <w:rFonts w:ascii="Arial" w:eastAsia="Arial" w:hAnsi="Arial" w:cs="Arial"/>
                <w:b/>
                <w:sz w:val="22"/>
                <w:szCs w:val="22"/>
              </w:rPr>
            </w:pPr>
            <w:r>
              <w:rPr>
                <w:rFonts w:ascii="Arial" w:eastAsia="Arial" w:hAnsi="Arial" w:cs="Arial"/>
                <w:b/>
                <w:sz w:val="22"/>
                <w:szCs w:val="22"/>
              </w:rPr>
              <w:t>44.492.456</w:t>
            </w:r>
          </w:p>
        </w:tc>
        <w:tc>
          <w:tcPr>
            <w:tcW w:w="198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spacing w:before="240"/>
              <w:jc w:val="center"/>
              <w:rPr>
                <w:rFonts w:ascii="Arial" w:eastAsia="Arial" w:hAnsi="Arial" w:cs="Arial"/>
                <w:b/>
                <w:sz w:val="22"/>
                <w:szCs w:val="22"/>
              </w:rPr>
            </w:pPr>
            <w:r>
              <w:rPr>
                <w:rFonts w:ascii="Arial" w:eastAsia="Arial" w:hAnsi="Arial" w:cs="Arial"/>
                <w:b/>
                <w:sz w:val="22"/>
                <w:szCs w:val="22"/>
              </w:rPr>
              <w:t>40.624.894</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spacing w:before="240"/>
              <w:jc w:val="center"/>
              <w:rPr>
                <w:rFonts w:ascii="Arial" w:eastAsia="Arial" w:hAnsi="Arial" w:cs="Arial"/>
                <w:b/>
                <w:sz w:val="22"/>
                <w:szCs w:val="22"/>
              </w:rPr>
            </w:pPr>
            <w:r>
              <w:rPr>
                <w:rFonts w:ascii="Arial" w:eastAsia="Arial" w:hAnsi="Arial" w:cs="Arial"/>
                <w:b/>
                <w:sz w:val="22"/>
                <w:szCs w:val="22"/>
              </w:rPr>
              <w:t>3.867.562</w:t>
            </w:r>
          </w:p>
        </w:tc>
        <w:tc>
          <w:tcPr>
            <w:tcW w:w="168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spacing w:before="240"/>
              <w:jc w:val="center"/>
              <w:rPr>
                <w:rFonts w:ascii="Arial" w:eastAsia="Arial" w:hAnsi="Arial" w:cs="Arial"/>
                <w:b/>
                <w:sz w:val="22"/>
                <w:szCs w:val="22"/>
              </w:rPr>
            </w:pPr>
            <w:r>
              <w:rPr>
                <w:rFonts w:ascii="Arial" w:eastAsia="Arial" w:hAnsi="Arial" w:cs="Arial"/>
                <w:b/>
                <w:sz w:val="22"/>
                <w:szCs w:val="22"/>
              </w:rPr>
              <w:t>9,52%</w:t>
            </w:r>
          </w:p>
        </w:tc>
      </w:tr>
      <w:tr w:rsidR="00B202A2">
        <w:trPr>
          <w:trHeight w:val="530"/>
        </w:trPr>
        <w:tc>
          <w:tcPr>
            <w:tcW w:w="15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spacing w:before="240"/>
              <w:jc w:val="both"/>
              <w:rPr>
                <w:rFonts w:ascii="Arial" w:eastAsia="Arial" w:hAnsi="Arial" w:cs="Arial"/>
                <w:sz w:val="22"/>
                <w:szCs w:val="22"/>
              </w:rPr>
            </w:pPr>
            <w:r>
              <w:rPr>
                <w:rFonts w:ascii="Arial" w:eastAsia="Arial" w:hAnsi="Arial" w:cs="Arial"/>
                <w:sz w:val="22"/>
                <w:szCs w:val="22"/>
              </w:rPr>
              <w:t>Corriente</w:t>
            </w:r>
          </w:p>
        </w:tc>
        <w:tc>
          <w:tcPr>
            <w:tcW w:w="18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27.219.771</w:t>
            </w:r>
          </w:p>
        </w:tc>
        <w:tc>
          <w:tcPr>
            <w:tcW w:w="198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24.167.777</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 xml:space="preserve"> </w:t>
            </w:r>
          </w:p>
        </w:tc>
        <w:tc>
          <w:tcPr>
            <w:tcW w:w="168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 xml:space="preserve"> </w:t>
            </w:r>
          </w:p>
        </w:tc>
      </w:tr>
      <w:tr w:rsidR="00B202A2">
        <w:trPr>
          <w:trHeight w:val="530"/>
        </w:trPr>
        <w:tc>
          <w:tcPr>
            <w:tcW w:w="15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spacing w:before="240"/>
              <w:jc w:val="both"/>
              <w:rPr>
                <w:rFonts w:ascii="Arial" w:eastAsia="Arial" w:hAnsi="Arial" w:cs="Arial"/>
                <w:sz w:val="22"/>
                <w:szCs w:val="22"/>
              </w:rPr>
            </w:pPr>
            <w:r>
              <w:rPr>
                <w:rFonts w:ascii="Arial" w:eastAsia="Arial" w:hAnsi="Arial" w:cs="Arial"/>
                <w:sz w:val="22"/>
                <w:szCs w:val="22"/>
              </w:rPr>
              <w:t>No Corriente</w:t>
            </w:r>
          </w:p>
        </w:tc>
        <w:tc>
          <w:tcPr>
            <w:tcW w:w="18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17.272.685</w:t>
            </w:r>
          </w:p>
        </w:tc>
        <w:tc>
          <w:tcPr>
            <w:tcW w:w="198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16.457.117</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 xml:space="preserve"> </w:t>
            </w:r>
          </w:p>
        </w:tc>
        <w:tc>
          <w:tcPr>
            <w:tcW w:w="168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 xml:space="preserve"> </w:t>
            </w:r>
          </w:p>
        </w:tc>
      </w:tr>
      <w:tr w:rsidR="00B202A2">
        <w:trPr>
          <w:trHeight w:val="530"/>
        </w:trPr>
        <w:tc>
          <w:tcPr>
            <w:tcW w:w="15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spacing w:before="240"/>
              <w:jc w:val="both"/>
              <w:rPr>
                <w:rFonts w:ascii="Arial" w:eastAsia="Arial" w:hAnsi="Arial" w:cs="Arial"/>
                <w:b/>
                <w:sz w:val="22"/>
                <w:szCs w:val="22"/>
              </w:rPr>
            </w:pPr>
            <w:r>
              <w:rPr>
                <w:rFonts w:ascii="Arial" w:eastAsia="Arial" w:hAnsi="Arial" w:cs="Arial"/>
                <w:b/>
                <w:sz w:val="22"/>
                <w:szCs w:val="22"/>
              </w:rPr>
              <w:t>Pasivos</w:t>
            </w:r>
          </w:p>
        </w:tc>
        <w:tc>
          <w:tcPr>
            <w:tcW w:w="18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spacing w:before="240"/>
              <w:jc w:val="center"/>
              <w:rPr>
                <w:rFonts w:ascii="Arial" w:eastAsia="Arial" w:hAnsi="Arial" w:cs="Arial"/>
                <w:b/>
                <w:sz w:val="22"/>
                <w:szCs w:val="22"/>
              </w:rPr>
            </w:pPr>
            <w:r>
              <w:rPr>
                <w:rFonts w:ascii="Arial" w:eastAsia="Arial" w:hAnsi="Arial" w:cs="Arial"/>
                <w:b/>
                <w:sz w:val="22"/>
                <w:szCs w:val="22"/>
              </w:rPr>
              <w:t>25.582.205</w:t>
            </w:r>
          </w:p>
        </w:tc>
        <w:tc>
          <w:tcPr>
            <w:tcW w:w="198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spacing w:before="240"/>
              <w:jc w:val="center"/>
              <w:rPr>
                <w:rFonts w:ascii="Arial" w:eastAsia="Arial" w:hAnsi="Arial" w:cs="Arial"/>
                <w:b/>
                <w:sz w:val="22"/>
                <w:szCs w:val="22"/>
              </w:rPr>
            </w:pPr>
            <w:r>
              <w:rPr>
                <w:rFonts w:ascii="Arial" w:eastAsia="Arial" w:hAnsi="Arial" w:cs="Arial"/>
                <w:b/>
                <w:sz w:val="22"/>
                <w:szCs w:val="22"/>
              </w:rPr>
              <w:t>24.937.692</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spacing w:before="240"/>
              <w:jc w:val="center"/>
              <w:rPr>
                <w:rFonts w:ascii="Arial" w:eastAsia="Arial" w:hAnsi="Arial" w:cs="Arial"/>
                <w:b/>
                <w:sz w:val="22"/>
                <w:szCs w:val="22"/>
              </w:rPr>
            </w:pPr>
            <w:r>
              <w:rPr>
                <w:rFonts w:ascii="Arial" w:eastAsia="Arial" w:hAnsi="Arial" w:cs="Arial"/>
                <w:b/>
                <w:sz w:val="22"/>
                <w:szCs w:val="22"/>
              </w:rPr>
              <w:t>644.513</w:t>
            </w:r>
          </w:p>
        </w:tc>
        <w:tc>
          <w:tcPr>
            <w:tcW w:w="168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spacing w:before="240"/>
              <w:jc w:val="center"/>
              <w:rPr>
                <w:rFonts w:ascii="Arial" w:eastAsia="Arial" w:hAnsi="Arial" w:cs="Arial"/>
                <w:b/>
                <w:sz w:val="22"/>
                <w:szCs w:val="22"/>
              </w:rPr>
            </w:pPr>
            <w:r>
              <w:rPr>
                <w:rFonts w:ascii="Arial" w:eastAsia="Arial" w:hAnsi="Arial" w:cs="Arial"/>
                <w:b/>
                <w:sz w:val="22"/>
                <w:szCs w:val="22"/>
              </w:rPr>
              <w:t>2,58%</w:t>
            </w:r>
          </w:p>
        </w:tc>
      </w:tr>
      <w:tr w:rsidR="00B202A2">
        <w:trPr>
          <w:trHeight w:val="530"/>
        </w:trPr>
        <w:tc>
          <w:tcPr>
            <w:tcW w:w="15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spacing w:before="240"/>
              <w:jc w:val="both"/>
              <w:rPr>
                <w:rFonts w:ascii="Arial" w:eastAsia="Arial" w:hAnsi="Arial" w:cs="Arial"/>
                <w:sz w:val="22"/>
                <w:szCs w:val="22"/>
              </w:rPr>
            </w:pPr>
            <w:r>
              <w:rPr>
                <w:rFonts w:ascii="Arial" w:eastAsia="Arial" w:hAnsi="Arial" w:cs="Arial"/>
                <w:sz w:val="22"/>
                <w:szCs w:val="22"/>
              </w:rPr>
              <w:t>Corriente</w:t>
            </w:r>
          </w:p>
        </w:tc>
        <w:tc>
          <w:tcPr>
            <w:tcW w:w="18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24.151.446</w:t>
            </w:r>
          </w:p>
        </w:tc>
        <w:tc>
          <w:tcPr>
            <w:tcW w:w="198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22.987.810</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 xml:space="preserve"> </w:t>
            </w:r>
          </w:p>
        </w:tc>
        <w:tc>
          <w:tcPr>
            <w:tcW w:w="168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 xml:space="preserve"> </w:t>
            </w:r>
          </w:p>
        </w:tc>
      </w:tr>
      <w:tr w:rsidR="00B202A2">
        <w:trPr>
          <w:trHeight w:val="530"/>
        </w:trPr>
        <w:tc>
          <w:tcPr>
            <w:tcW w:w="15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spacing w:before="240"/>
              <w:jc w:val="both"/>
              <w:rPr>
                <w:rFonts w:ascii="Arial" w:eastAsia="Arial" w:hAnsi="Arial" w:cs="Arial"/>
                <w:sz w:val="22"/>
                <w:szCs w:val="22"/>
              </w:rPr>
            </w:pPr>
            <w:r>
              <w:rPr>
                <w:rFonts w:ascii="Arial" w:eastAsia="Arial" w:hAnsi="Arial" w:cs="Arial"/>
                <w:sz w:val="22"/>
                <w:szCs w:val="22"/>
              </w:rPr>
              <w:t>No Corriente</w:t>
            </w:r>
          </w:p>
        </w:tc>
        <w:tc>
          <w:tcPr>
            <w:tcW w:w="18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1.430.759</w:t>
            </w:r>
          </w:p>
        </w:tc>
        <w:tc>
          <w:tcPr>
            <w:tcW w:w="198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1.949.882</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 xml:space="preserve"> </w:t>
            </w:r>
          </w:p>
        </w:tc>
        <w:tc>
          <w:tcPr>
            <w:tcW w:w="168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 xml:space="preserve"> </w:t>
            </w:r>
          </w:p>
        </w:tc>
      </w:tr>
      <w:tr w:rsidR="00B202A2">
        <w:trPr>
          <w:trHeight w:val="545"/>
        </w:trPr>
        <w:tc>
          <w:tcPr>
            <w:tcW w:w="15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spacing w:before="240"/>
              <w:jc w:val="both"/>
              <w:rPr>
                <w:rFonts w:ascii="Arial" w:eastAsia="Arial" w:hAnsi="Arial" w:cs="Arial"/>
                <w:b/>
                <w:sz w:val="22"/>
                <w:szCs w:val="22"/>
              </w:rPr>
            </w:pPr>
            <w:r>
              <w:rPr>
                <w:rFonts w:ascii="Arial" w:eastAsia="Arial" w:hAnsi="Arial" w:cs="Arial"/>
                <w:b/>
                <w:sz w:val="22"/>
                <w:szCs w:val="22"/>
              </w:rPr>
              <w:t>Patrimonio</w:t>
            </w:r>
          </w:p>
        </w:tc>
        <w:tc>
          <w:tcPr>
            <w:tcW w:w="18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spacing w:before="240"/>
              <w:jc w:val="center"/>
              <w:rPr>
                <w:rFonts w:ascii="Arial" w:eastAsia="Arial" w:hAnsi="Arial" w:cs="Arial"/>
                <w:b/>
                <w:sz w:val="22"/>
                <w:szCs w:val="22"/>
              </w:rPr>
            </w:pPr>
            <w:r>
              <w:rPr>
                <w:rFonts w:ascii="Arial" w:eastAsia="Arial" w:hAnsi="Arial" w:cs="Arial"/>
                <w:b/>
                <w:sz w:val="22"/>
                <w:szCs w:val="22"/>
              </w:rPr>
              <w:t>18.910.251</w:t>
            </w:r>
          </w:p>
        </w:tc>
        <w:tc>
          <w:tcPr>
            <w:tcW w:w="198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spacing w:before="240"/>
              <w:jc w:val="center"/>
              <w:rPr>
                <w:rFonts w:ascii="Arial" w:eastAsia="Arial" w:hAnsi="Arial" w:cs="Arial"/>
                <w:b/>
                <w:sz w:val="22"/>
                <w:szCs w:val="22"/>
              </w:rPr>
            </w:pPr>
            <w:r>
              <w:rPr>
                <w:rFonts w:ascii="Arial" w:eastAsia="Arial" w:hAnsi="Arial" w:cs="Arial"/>
                <w:b/>
                <w:sz w:val="22"/>
                <w:szCs w:val="22"/>
              </w:rPr>
              <w:t>15.687.202</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spacing w:before="240"/>
              <w:jc w:val="center"/>
              <w:rPr>
                <w:rFonts w:ascii="Arial" w:eastAsia="Arial" w:hAnsi="Arial" w:cs="Arial"/>
                <w:b/>
                <w:sz w:val="22"/>
                <w:szCs w:val="22"/>
              </w:rPr>
            </w:pPr>
            <w:r>
              <w:rPr>
                <w:rFonts w:ascii="Arial" w:eastAsia="Arial" w:hAnsi="Arial" w:cs="Arial"/>
                <w:b/>
                <w:sz w:val="22"/>
                <w:szCs w:val="22"/>
              </w:rPr>
              <w:t>3.223.049</w:t>
            </w:r>
          </w:p>
        </w:tc>
        <w:tc>
          <w:tcPr>
            <w:tcW w:w="168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spacing w:before="240"/>
              <w:jc w:val="center"/>
              <w:rPr>
                <w:rFonts w:ascii="Arial" w:eastAsia="Arial" w:hAnsi="Arial" w:cs="Arial"/>
                <w:b/>
                <w:sz w:val="22"/>
                <w:szCs w:val="22"/>
              </w:rPr>
            </w:pPr>
            <w:r>
              <w:rPr>
                <w:rFonts w:ascii="Arial" w:eastAsia="Arial" w:hAnsi="Arial" w:cs="Arial"/>
                <w:b/>
                <w:sz w:val="22"/>
                <w:szCs w:val="22"/>
              </w:rPr>
              <w:t>20,54%</w:t>
            </w:r>
          </w:p>
        </w:tc>
      </w:tr>
      <w:tr w:rsidR="00B202A2">
        <w:trPr>
          <w:trHeight w:val="545"/>
        </w:trPr>
        <w:tc>
          <w:tcPr>
            <w:tcW w:w="15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spacing w:before="240"/>
              <w:jc w:val="both"/>
              <w:rPr>
                <w:rFonts w:ascii="Arial" w:eastAsia="Arial" w:hAnsi="Arial" w:cs="Arial"/>
                <w:b/>
                <w:sz w:val="22"/>
                <w:szCs w:val="22"/>
              </w:rPr>
            </w:pPr>
            <w:r>
              <w:rPr>
                <w:rFonts w:ascii="Arial" w:eastAsia="Arial" w:hAnsi="Arial" w:cs="Arial"/>
                <w:b/>
                <w:sz w:val="22"/>
                <w:szCs w:val="22"/>
              </w:rPr>
              <w:t>Total Pasivo + Patrimonio</w:t>
            </w:r>
          </w:p>
        </w:tc>
        <w:tc>
          <w:tcPr>
            <w:tcW w:w="18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spacing w:before="240"/>
              <w:jc w:val="center"/>
              <w:rPr>
                <w:rFonts w:ascii="Arial" w:eastAsia="Arial" w:hAnsi="Arial" w:cs="Arial"/>
                <w:b/>
                <w:sz w:val="22"/>
                <w:szCs w:val="22"/>
              </w:rPr>
            </w:pPr>
            <w:r>
              <w:rPr>
                <w:rFonts w:ascii="Arial" w:eastAsia="Arial" w:hAnsi="Arial" w:cs="Arial"/>
                <w:b/>
                <w:sz w:val="22"/>
                <w:szCs w:val="22"/>
              </w:rPr>
              <w:t>44.492.456</w:t>
            </w:r>
          </w:p>
        </w:tc>
        <w:tc>
          <w:tcPr>
            <w:tcW w:w="198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spacing w:before="240"/>
              <w:jc w:val="center"/>
              <w:rPr>
                <w:rFonts w:ascii="Arial" w:eastAsia="Arial" w:hAnsi="Arial" w:cs="Arial"/>
                <w:b/>
                <w:sz w:val="22"/>
                <w:szCs w:val="22"/>
              </w:rPr>
            </w:pPr>
            <w:r>
              <w:rPr>
                <w:rFonts w:ascii="Arial" w:eastAsia="Arial" w:hAnsi="Arial" w:cs="Arial"/>
                <w:b/>
                <w:sz w:val="22"/>
                <w:szCs w:val="22"/>
              </w:rPr>
              <w:t>40.624.894</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spacing w:before="240"/>
              <w:jc w:val="center"/>
              <w:rPr>
                <w:rFonts w:ascii="Arial" w:eastAsia="Arial" w:hAnsi="Arial" w:cs="Arial"/>
                <w:b/>
                <w:sz w:val="22"/>
                <w:szCs w:val="22"/>
              </w:rPr>
            </w:pPr>
            <w:r>
              <w:rPr>
                <w:rFonts w:ascii="Arial" w:eastAsia="Arial" w:hAnsi="Arial" w:cs="Arial"/>
                <w:b/>
                <w:sz w:val="22"/>
                <w:szCs w:val="22"/>
              </w:rPr>
              <w:t>3.867.562</w:t>
            </w:r>
          </w:p>
        </w:tc>
        <w:tc>
          <w:tcPr>
            <w:tcW w:w="168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vAlign w:val="center"/>
          </w:tcPr>
          <w:p w:rsidR="00B202A2" w:rsidRDefault="00295E06">
            <w:pPr>
              <w:spacing w:before="240"/>
              <w:jc w:val="center"/>
              <w:rPr>
                <w:rFonts w:ascii="Arial" w:eastAsia="Arial" w:hAnsi="Arial" w:cs="Arial"/>
                <w:b/>
                <w:sz w:val="22"/>
                <w:szCs w:val="22"/>
              </w:rPr>
            </w:pPr>
            <w:r>
              <w:rPr>
                <w:rFonts w:ascii="Arial" w:eastAsia="Arial" w:hAnsi="Arial" w:cs="Arial"/>
                <w:b/>
                <w:sz w:val="22"/>
                <w:szCs w:val="22"/>
              </w:rPr>
              <w:t>9,52%</w:t>
            </w:r>
          </w:p>
        </w:tc>
      </w:tr>
    </w:tbl>
    <w:p w:rsidR="00B202A2" w:rsidRDefault="00295E06">
      <w:pPr>
        <w:spacing w:before="240"/>
        <w:rPr>
          <w:rFonts w:ascii="Arial" w:eastAsia="Arial" w:hAnsi="Arial" w:cs="Arial"/>
          <w:sz w:val="22"/>
          <w:szCs w:val="22"/>
        </w:rPr>
      </w:pPr>
      <w:r>
        <w:rPr>
          <w:rFonts w:ascii="Arial" w:eastAsia="Arial" w:hAnsi="Arial" w:cs="Arial"/>
          <w:sz w:val="22"/>
          <w:szCs w:val="22"/>
        </w:rPr>
        <w:t xml:space="preserve">                       Fuente: Situación Financiera a SEP-30-2020 – SIIF Nación           </w:t>
      </w:r>
      <w:r>
        <w:rPr>
          <w:rFonts w:ascii="Arial" w:eastAsia="Arial" w:hAnsi="Arial" w:cs="Arial"/>
          <w:sz w:val="22"/>
          <w:szCs w:val="22"/>
        </w:rPr>
        <w:tab/>
      </w:r>
    </w:p>
    <w:p w:rsidR="00B202A2" w:rsidRDefault="00295E06">
      <w:pPr>
        <w:spacing w:before="240"/>
        <w:jc w:val="both"/>
        <w:rPr>
          <w:rFonts w:ascii="Arial" w:eastAsia="Arial" w:hAnsi="Arial" w:cs="Arial"/>
          <w:b/>
          <w:sz w:val="22"/>
          <w:szCs w:val="22"/>
        </w:rPr>
      </w:pPr>
      <w:r>
        <w:rPr>
          <w:rFonts w:ascii="Arial" w:eastAsia="Arial" w:hAnsi="Arial" w:cs="Arial"/>
          <w:b/>
          <w:sz w:val="22"/>
          <w:szCs w:val="22"/>
        </w:rPr>
        <w:t xml:space="preserve">                                                                                                                          </w:t>
      </w:r>
      <w:r>
        <w:rPr>
          <w:rFonts w:ascii="Arial" w:eastAsia="Arial" w:hAnsi="Arial" w:cs="Arial"/>
          <w:b/>
          <w:sz w:val="22"/>
          <w:szCs w:val="22"/>
        </w:rPr>
        <w:tab/>
      </w:r>
    </w:p>
    <w:p w:rsidR="00B202A2" w:rsidRDefault="00295E06">
      <w:pPr>
        <w:ind w:left="-20"/>
        <w:jc w:val="both"/>
        <w:rPr>
          <w:rFonts w:ascii="Arial" w:eastAsia="Arial" w:hAnsi="Arial" w:cs="Arial"/>
          <w:sz w:val="22"/>
          <w:szCs w:val="22"/>
        </w:rPr>
      </w:pPr>
      <w:r>
        <w:rPr>
          <w:rFonts w:ascii="Arial" w:eastAsia="Arial" w:hAnsi="Arial" w:cs="Arial"/>
          <w:sz w:val="22"/>
          <w:szCs w:val="22"/>
        </w:rPr>
        <w:t xml:space="preserve">En cuanto a los </w:t>
      </w:r>
      <w:r>
        <w:rPr>
          <w:rFonts w:ascii="Arial" w:eastAsia="Arial" w:hAnsi="Arial" w:cs="Arial"/>
          <w:i/>
          <w:sz w:val="22"/>
          <w:szCs w:val="22"/>
          <w:u w:val="single"/>
        </w:rPr>
        <w:t>Activos</w:t>
      </w:r>
      <w:r>
        <w:rPr>
          <w:rFonts w:ascii="Arial" w:eastAsia="Arial" w:hAnsi="Arial" w:cs="Arial"/>
          <w:sz w:val="22"/>
          <w:szCs w:val="22"/>
        </w:rPr>
        <w:t xml:space="preserve">: se observa una variación en aumento del 9,52% frente al </w:t>
      </w:r>
      <w:r>
        <w:rPr>
          <w:rFonts w:ascii="Arial" w:eastAsia="Arial" w:hAnsi="Arial" w:cs="Arial"/>
          <w:i/>
          <w:sz w:val="22"/>
          <w:szCs w:val="22"/>
        </w:rPr>
        <w:t>Estado de Situación Financiera del 2019,</w:t>
      </w:r>
      <w:r>
        <w:rPr>
          <w:rFonts w:ascii="Arial" w:eastAsia="Arial" w:hAnsi="Arial" w:cs="Arial"/>
          <w:sz w:val="22"/>
          <w:szCs w:val="22"/>
        </w:rPr>
        <w:t xml:space="preserve"> la cual corresponde a que los convenios interadministrativos que celebró la UPME durante la vigencia 2020 se han reconocido en la cuenta de Recursos entregados en administración (190801), mientras que en la vigencia 2019 se reconocen directamente en el ga</w:t>
      </w:r>
      <w:r>
        <w:rPr>
          <w:rFonts w:ascii="Arial" w:eastAsia="Arial" w:hAnsi="Arial" w:cs="Arial"/>
          <w:sz w:val="22"/>
          <w:szCs w:val="22"/>
        </w:rPr>
        <w:t>sto.</w:t>
      </w:r>
    </w:p>
    <w:p w:rsidR="00B202A2" w:rsidRDefault="00295E06">
      <w:pPr>
        <w:ind w:left="-20"/>
        <w:jc w:val="both"/>
        <w:rPr>
          <w:rFonts w:ascii="Arial" w:eastAsia="Arial" w:hAnsi="Arial" w:cs="Arial"/>
          <w:sz w:val="22"/>
          <w:szCs w:val="22"/>
        </w:rPr>
      </w:pPr>
      <w:r>
        <w:rPr>
          <w:rFonts w:ascii="Arial" w:eastAsia="Arial" w:hAnsi="Arial" w:cs="Arial"/>
          <w:sz w:val="22"/>
          <w:szCs w:val="22"/>
        </w:rPr>
        <w:t xml:space="preserve"> </w:t>
      </w:r>
    </w:p>
    <w:p w:rsidR="00B202A2" w:rsidRDefault="00295E06">
      <w:pPr>
        <w:ind w:left="-20"/>
        <w:jc w:val="both"/>
        <w:rPr>
          <w:rFonts w:ascii="Arial" w:eastAsia="Arial" w:hAnsi="Arial" w:cs="Arial"/>
          <w:sz w:val="22"/>
          <w:szCs w:val="22"/>
        </w:rPr>
      </w:pPr>
      <w:r>
        <w:rPr>
          <w:rFonts w:ascii="Arial" w:eastAsia="Arial" w:hAnsi="Arial" w:cs="Arial"/>
          <w:sz w:val="22"/>
          <w:szCs w:val="22"/>
        </w:rPr>
        <w:t xml:space="preserve">En los </w:t>
      </w:r>
      <w:r>
        <w:rPr>
          <w:rFonts w:ascii="Arial" w:eastAsia="Arial" w:hAnsi="Arial" w:cs="Arial"/>
          <w:i/>
          <w:sz w:val="22"/>
          <w:szCs w:val="22"/>
          <w:u w:val="single"/>
        </w:rPr>
        <w:t>Pasivos</w:t>
      </w:r>
      <w:r>
        <w:rPr>
          <w:rFonts w:ascii="Arial" w:eastAsia="Arial" w:hAnsi="Arial" w:cs="Arial"/>
          <w:sz w:val="22"/>
          <w:szCs w:val="22"/>
        </w:rPr>
        <w:t>: existe una variación del 2,58%, debido a la proporción entre aumentos y disminuciones de las cuentas por pagar, por ejemplo en la partida de Beneficios a los Empleados existe un aumento por el incremento de salario de la vigencia act</w:t>
      </w:r>
      <w:r>
        <w:rPr>
          <w:rFonts w:ascii="Arial" w:eastAsia="Arial" w:hAnsi="Arial" w:cs="Arial"/>
          <w:sz w:val="22"/>
          <w:szCs w:val="22"/>
        </w:rPr>
        <w:t>ual, en la partida de Otras Cuentas Por Pagar se produjo una disminución con respecto a la vigencia 2019, ya que en la presente vigencia se pagó la totalidad de excedentes y rendimientos financieros a los aportante en este periodo, en la partida de Ingreso</w:t>
      </w:r>
      <w:r>
        <w:rPr>
          <w:rFonts w:ascii="Arial" w:eastAsia="Arial" w:hAnsi="Arial" w:cs="Arial"/>
          <w:sz w:val="22"/>
          <w:szCs w:val="22"/>
        </w:rPr>
        <w:t xml:space="preserve">s </w:t>
      </w:r>
      <w:r>
        <w:rPr>
          <w:rFonts w:ascii="Arial" w:eastAsia="Arial" w:hAnsi="Arial" w:cs="Arial"/>
          <w:sz w:val="22"/>
          <w:szCs w:val="22"/>
        </w:rPr>
        <w:lastRenderedPageBreak/>
        <w:t>Diferidos por Transferencias Condicionadas, se refleja un aumento en el saldo pendiente del presupuesto 2020 por ejecutar y en la partida de Provisiones y Litigios se presenta una disminución en la provisión de los procesos litigios.</w:t>
      </w:r>
    </w:p>
    <w:p w:rsidR="00B202A2" w:rsidRDefault="00295E06">
      <w:pPr>
        <w:ind w:left="-20"/>
        <w:jc w:val="both"/>
        <w:rPr>
          <w:rFonts w:ascii="Arial" w:eastAsia="Arial" w:hAnsi="Arial" w:cs="Arial"/>
          <w:sz w:val="22"/>
          <w:szCs w:val="22"/>
          <w:highlight w:val="yellow"/>
        </w:rPr>
      </w:pPr>
      <w:r>
        <w:rPr>
          <w:rFonts w:ascii="Arial" w:eastAsia="Arial" w:hAnsi="Arial" w:cs="Arial"/>
          <w:sz w:val="22"/>
          <w:szCs w:val="22"/>
          <w:highlight w:val="yellow"/>
        </w:rPr>
        <w:t xml:space="preserve"> </w:t>
      </w:r>
    </w:p>
    <w:p w:rsidR="00B202A2" w:rsidRDefault="00295E06">
      <w:pPr>
        <w:ind w:left="-20"/>
        <w:jc w:val="both"/>
        <w:rPr>
          <w:rFonts w:ascii="Arial" w:eastAsia="Arial" w:hAnsi="Arial" w:cs="Arial"/>
          <w:sz w:val="22"/>
          <w:szCs w:val="22"/>
        </w:rPr>
      </w:pPr>
      <w:r>
        <w:rPr>
          <w:rFonts w:ascii="Arial" w:eastAsia="Arial" w:hAnsi="Arial" w:cs="Arial"/>
          <w:sz w:val="22"/>
          <w:szCs w:val="22"/>
        </w:rPr>
        <w:t xml:space="preserve">En el </w:t>
      </w:r>
      <w:r>
        <w:rPr>
          <w:rFonts w:ascii="Arial" w:eastAsia="Arial" w:hAnsi="Arial" w:cs="Arial"/>
          <w:i/>
          <w:sz w:val="22"/>
          <w:szCs w:val="22"/>
          <w:u w:val="single"/>
        </w:rPr>
        <w:t>Patrimonio</w:t>
      </w:r>
      <w:r>
        <w:rPr>
          <w:rFonts w:ascii="Arial" w:eastAsia="Arial" w:hAnsi="Arial" w:cs="Arial"/>
          <w:sz w:val="22"/>
          <w:szCs w:val="22"/>
        </w:rPr>
        <w:t xml:space="preserve">: </w:t>
      </w:r>
      <w:r>
        <w:rPr>
          <w:rFonts w:ascii="Arial" w:eastAsia="Arial" w:hAnsi="Arial" w:cs="Arial"/>
          <w:sz w:val="22"/>
          <w:szCs w:val="22"/>
        </w:rPr>
        <w:t>se presenta una variación del 20,54% con corte a septiembre 30 de 2020, como lo mencionamos anteriormente los pagos de convenios celebrados en la presente vigencia se han reconocido en el activo (Recursos Entregados en Administración), mientras que en la v</w:t>
      </w:r>
      <w:r>
        <w:rPr>
          <w:rFonts w:ascii="Arial" w:eastAsia="Arial" w:hAnsi="Arial" w:cs="Arial"/>
          <w:sz w:val="22"/>
          <w:szCs w:val="22"/>
        </w:rPr>
        <w:t>igencia 2019 se reconocen directamente al gasto, por tal razón el corte septiembre/2020 se presentó una utilidad del ejercicio.</w:t>
      </w:r>
    </w:p>
    <w:p w:rsidR="00B202A2" w:rsidRDefault="00295E06">
      <w:pPr>
        <w:jc w:val="both"/>
        <w:rPr>
          <w:rFonts w:ascii="Arial" w:eastAsia="Arial" w:hAnsi="Arial" w:cs="Arial"/>
          <w:sz w:val="22"/>
          <w:szCs w:val="22"/>
        </w:rPr>
      </w:pPr>
      <w:r>
        <w:rPr>
          <w:rFonts w:ascii="Arial" w:eastAsia="Arial" w:hAnsi="Arial" w:cs="Arial"/>
          <w:sz w:val="22"/>
          <w:szCs w:val="22"/>
        </w:rPr>
        <w:t xml:space="preserve"> </w:t>
      </w:r>
    </w:p>
    <w:p w:rsidR="00B202A2" w:rsidRDefault="00295E06">
      <w:pPr>
        <w:ind w:left="-20"/>
        <w:jc w:val="both"/>
        <w:rPr>
          <w:rFonts w:ascii="Arial" w:eastAsia="Arial" w:hAnsi="Arial" w:cs="Arial"/>
          <w:sz w:val="22"/>
          <w:szCs w:val="22"/>
        </w:rPr>
      </w:pPr>
      <w:r>
        <w:rPr>
          <w:rFonts w:ascii="Arial" w:eastAsia="Arial" w:hAnsi="Arial" w:cs="Arial"/>
          <w:sz w:val="22"/>
          <w:szCs w:val="22"/>
        </w:rPr>
        <w:t xml:space="preserve">El patrimonio de la Unidad está constituido por el </w:t>
      </w:r>
      <w:r>
        <w:rPr>
          <w:rFonts w:ascii="Arial" w:eastAsia="Arial" w:hAnsi="Arial" w:cs="Arial"/>
          <w:i/>
          <w:sz w:val="22"/>
          <w:szCs w:val="22"/>
        </w:rPr>
        <w:t>Capital Fiscal</w:t>
      </w:r>
      <w:r>
        <w:rPr>
          <w:rFonts w:ascii="Arial" w:eastAsia="Arial" w:hAnsi="Arial" w:cs="Arial"/>
          <w:sz w:val="22"/>
          <w:szCs w:val="22"/>
        </w:rPr>
        <w:t xml:space="preserve"> acumulado al cierre del periodo, menos el resultado del ejer</w:t>
      </w:r>
      <w:r>
        <w:rPr>
          <w:rFonts w:ascii="Arial" w:eastAsia="Arial" w:hAnsi="Arial" w:cs="Arial"/>
          <w:sz w:val="22"/>
          <w:szCs w:val="22"/>
        </w:rPr>
        <w:t>cicio y los impactos por la transición.</w:t>
      </w:r>
    </w:p>
    <w:p w:rsidR="00B202A2" w:rsidRDefault="00295E06">
      <w:pPr>
        <w:ind w:left="-20"/>
        <w:jc w:val="both"/>
        <w:rPr>
          <w:rFonts w:ascii="Arial" w:eastAsia="Arial" w:hAnsi="Arial" w:cs="Arial"/>
          <w:b/>
          <w:sz w:val="22"/>
          <w:szCs w:val="22"/>
        </w:rPr>
      </w:pPr>
      <w:r>
        <w:rPr>
          <w:rFonts w:ascii="Arial" w:eastAsia="Arial" w:hAnsi="Arial" w:cs="Arial"/>
          <w:sz w:val="22"/>
          <w:szCs w:val="22"/>
        </w:rPr>
        <w:t xml:space="preserve"> </w:t>
      </w:r>
    </w:p>
    <w:p w:rsidR="00B202A2" w:rsidRDefault="00295E06">
      <w:pPr>
        <w:jc w:val="center"/>
        <w:rPr>
          <w:rFonts w:ascii="Arial" w:eastAsia="Arial" w:hAnsi="Arial" w:cs="Arial"/>
          <w:b/>
          <w:sz w:val="22"/>
          <w:szCs w:val="22"/>
          <w:u w:val="single"/>
        </w:rPr>
      </w:pPr>
      <w:bookmarkStart w:id="74" w:name="_heading=h.4k668n3" w:colFirst="0" w:colLast="0"/>
      <w:bookmarkEnd w:id="74"/>
      <w:r>
        <w:rPr>
          <w:rFonts w:ascii="Arial" w:eastAsia="Arial" w:hAnsi="Arial" w:cs="Arial"/>
          <w:b/>
          <w:sz w:val="22"/>
          <w:szCs w:val="22"/>
          <w:u w:val="single"/>
        </w:rPr>
        <w:t>Tabla 19. Estado de Resultado de con corte al 30 de Septiembre de 2020 Cifras en Miles de Pesos</w:t>
      </w:r>
    </w:p>
    <w:p w:rsidR="00B202A2" w:rsidRDefault="00295E06">
      <w:pPr>
        <w:ind w:left="-20"/>
        <w:jc w:val="both"/>
        <w:rPr>
          <w:rFonts w:ascii="Arial" w:eastAsia="Arial" w:hAnsi="Arial" w:cs="Arial"/>
          <w:sz w:val="22"/>
          <w:szCs w:val="22"/>
        </w:rPr>
      </w:pPr>
      <w:r>
        <w:rPr>
          <w:rFonts w:ascii="Arial" w:eastAsia="Arial" w:hAnsi="Arial" w:cs="Arial"/>
          <w:sz w:val="22"/>
          <w:szCs w:val="22"/>
        </w:rPr>
        <w:t xml:space="preserve"> </w:t>
      </w:r>
    </w:p>
    <w:tbl>
      <w:tblPr>
        <w:tblStyle w:val="afff4"/>
        <w:tblW w:w="88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015"/>
        <w:gridCol w:w="1620"/>
        <w:gridCol w:w="1635"/>
        <w:gridCol w:w="1365"/>
        <w:gridCol w:w="1245"/>
      </w:tblGrid>
      <w:tr w:rsidR="00B202A2">
        <w:trPr>
          <w:trHeight w:val="515"/>
        </w:trPr>
        <w:tc>
          <w:tcPr>
            <w:tcW w:w="3015" w:type="dxa"/>
            <w:vMerge w:val="restart"/>
            <w:tcBorders>
              <w:top w:val="single" w:sz="8" w:space="0" w:color="000000"/>
              <w:left w:val="single" w:sz="8" w:space="0" w:color="000000"/>
              <w:bottom w:val="single" w:sz="8" w:space="0" w:color="000000"/>
              <w:right w:val="single" w:sz="8" w:space="0" w:color="000000"/>
            </w:tcBorders>
            <w:shd w:val="clear" w:color="auto" w:fill="CFE2F3"/>
            <w:tcMar>
              <w:top w:w="100" w:type="dxa"/>
              <w:left w:w="80" w:type="dxa"/>
              <w:bottom w:w="100" w:type="dxa"/>
              <w:right w:w="80" w:type="dxa"/>
            </w:tcMar>
            <w:vAlign w:val="center"/>
          </w:tcPr>
          <w:p w:rsidR="00B202A2" w:rsidRDefault="00295E06">
            <w:pPr>
              <w:spacing w:before="240"/>
              <w:jc w:val="center"/>
              <w:rPr>
                <w:rFonts w:ascii="Arial" w:eastAsia="Arial" w:hAnsi="Arial" w:cs="Arial"/>
                <w:b/>
                <w:sz w:val="22"/>
                <w:szCs w:val="22"/>
              </w:rPr>
            </w:pPr>
            <w:r>
              <w:rPr>
                <w:rFonts w:ascii="Arial" w:eastAsia="Arial" w:hAnsi="Arial" w:cs="Arial"/>
                <w:b/>
                <w:sz w:val="22"/>
                <w:szCs w:val="22"/>
              </w:rPr>
              <w:t>Detalle</w:t>
            </w:r>
          </w:p>
        </w:tc>
        <w:tc>
          <w:tcPr>
            <w:tcW w:w="3255" w:type="dxa"/>
            <w:gridSpan w:val="2"/>
            <w:tcBorders>
              <w:top w:val="single" w:sz="8" w:space="0" w:color="000000"/>
              <w:left w:val="nil"/>
              <w:bottom w:val="single" w:sz="8" w:space="0" w:color="000000"/>
              <w:right w:val="single" w:sz="8" w:space="0" w:color="000000"/>
            </w:tcBorders>
            <w:shd w:val="clear" w:color="auto" w:fill="CFE2F3"/>
            <w:tcMar>
              <w:top w:w="100" w:type="dxa"/>
              <w:left w:w="80" w:type="dxa"/>
              <w:bottom w:w="100" w:type="dxa"/>
              <w:right w:w="80" w:type="dxa"/>
            </w:tcMar>
            <w:vAlign w:val="center"/>
          </w:tcPr>
          <w:p w:rsidR="00B202A2" w:rsidRDefault="00295E06">
            <w:pPr>
              <w:spacing w:before="240"/>
              <w:jc w:val="center"/>
              <w:rPr>
                <w:rFonts w:ascii="Arial" w:eastAsia="Arial" w:hAnsi="Arial" w:cs="Arial"/>
                <w:b/>
                <w:sz w:val="22"/>
                <w:szCs w:val="22"/>
              </w:rPr>
            </w:pPr>
            <w:r>
              <w:rPr>
                <w:rFonts w:ascii="Arial" w:eastAsia="Arial" w:hAnsi="Arial" w:cs="Arial"/>
                <w:b/>
                <w:sz w:val="22"/>
                <w:szCs w:val="22"/>
              </w:rPr>
              <w:t>Periodos</w:t>
            </w:r>
          </w:p>
        </w:tc>
        <w:tc>
          <w:tcPr>
            <w:tcW w:w="2610" w:type="dxa"/>
            <w:gridSpan w:val="2"/>
            <w:tcBorders>
              <w:top w:val="single" w:sz="8" w:space="0" w:color="000000"/>
              <w:left w:val="nil"/>
              <w:bottom w:val="single" w:sz="8" w:space="0" w:color="000000"/>
              <w:right w:val="single" w:sz="8" w:space="0" w:color="000000"/>
            </w:tcBorders>
            <w:shd w:val="clear" w:color="auto" w:fill="CFE2F3"/>
            <w:tcMar>
              <w:top w:w="100" w:type="dxa"/>
              <w:left w:w="80" w:type="dxa"/>
              <w:bottom w:w="100" w:type="dxa"/>
              <w:right w:w="80" w:type="dxa"/>
            </w:tcMar>
            <w:vAlign w:val="center"/>
          </w:tcPr>
          <w:p w:rsidR="00B202A2" w:rsidRDefault="00295E06">
            <w:pPr>
              <w:spacing w:before="240"/>
              <w:jc w:val="center"/>
              <w:rPr>
                <w:rFonts w:ascii="Arial" w:eastAsia="Arial" w:hAnsi="Arial" w:cs="Arial"/>
                <w:b/>
                <w:sz w:val="22"/>
                <w:szCs w:val="22"/>
              </w:rPr>
            </w:pPr>
            <w:r>
              <w:rPr>
                <w:rFonts w:ascii="Arial" w:eastAsia="Arial" w:hAnsi="Arial" w:cs="Arial"/>
                <w:b/>
                <w:sz w:val="22"/>
                <w:szCs w:val="22"/>
              </w:rPr>
              <w:t>Variaciones</w:t>
            </w:r>
          </w:p>
        </w:tc>
      </w:tr>
      <w:tr w:rsidR="00B202A2">
        <w:trPr>
          <w:trHeight w:val="565"/>
        </w:trPr>
        <w:tc>
          <w:tcPr>
            <w:tcW w:w="3015" w:type="dxa"/>
            <w:vMerge/>
            <w:tcBorders>
              <w:top w:val="single" w:sz="8" w:space="0" w:color="000000"/>
              <w:left w:val="single" w:sz="8" w:space="0" w:color="000000"/>
              <w:bottom w:val="single" w:sz="8" w:space="0" w:color="000000"/>
              <w:right w:val="single" w:sz="8" w:space="0" w:color="000000"/>
            </w:tcBorders>
            <w:shd w:val="clear" w:color="auto" w:fill="CFE2F3"/>
            <w:tcMar>
              <w:top w:w="100" w:type="dxa"/>
              <w:left w:w="80" w:type="dxa"/>
              <w:bottom w:w="100" w:type="dxa"/>
              <w:right w:w="80" w:type="dxa"/>
            </w:tcMar>
            <w:vAlign w:val="center"/>
          </w:tcPr>
          <w:p w:rsidR="00B202A2" w:rsidRDefault="00B202A2">
            <w:pPr>
              <w:widowControl w:val="0"/>
              <w:pBdr>
                <w:top w:val="nil"/>
                <w:left w:val="nil"/>
                <w:bottom w:val="nil"/>
                <w:right w:val="nil"/>
                <w:between w:val="nil"/>
              </w:pBdr>
              <w:spacing w:line="276" w:lineRule="auto"/>
              <w:rPr>
                <w:rFonts w:ascii="Arial" w:eastAsia="Arial" w:hAnsi="Arial" w:cs="Arial"/>
                <w:b/>
                <w:color w:val="FFFFFF"/>
                <w:sz w:val="22"/>
                <w:szCs w:val="22"/>
              </w:rPr>
            </w:pPr>
          </w:p>
        </w:tc>
        <w:tc>
          <w:tcPr>
            <w:tcW w:w="1620" w:type="dxa"/>
            <w:tcBorders>
              <w:top w:val="nil"/>
              <w:left w:val="nil"/>
              <w:bottom w:val="nil"/>
              <w:right w:val="single" w:sz="8" w:space="0" w:color="000000"/>
            </w:tcBorders>
            <w:shd w:val="clear" w:color="auto" w:fill="CFE2F3"/>
            <w:tcMar>
              <w:top w:w="100" w:type="dxa"/>
              <w:left w:w="80" w:type="dxa"/>
              <w:bottom w:w="100" w:type="dxa"/>
              <w:right w:w="80" w:type="dxa"/>
            </w:tcMar>
            <w:vAlign w:val="center"/>
          </w:tcPr>
          <w:p w:rsidR="00B202A2" w:rsidRDefault="00295E06">
            <w:pPr>
              <w:spacing w:before="240"/>
              <w:jc w:val="center"/>
              <w:rPr>
                <w:rFonts w:ascii="Arial" w:eastAsia="Arial" w:hAnsi="Arial" w:cs="Arial"/>
                <w:b/>
                <w:sz w:val="22"/>
                <w:szCs w:val="22"/>
              </w:rPr>
            </w:pPr>
            <w:r>
              <w:rPr>
                <w:rFonts w:ascii="Arial" w:eastAsia="Arial" w:hAnsi="Arial" w:cs="Arial"/>
                <w:b/>
                <w:sz w:val="22"/>
                <w:szCs w:val="22"/>
              </w:rPr>
              <w:t>Sep 30 2019</w:t>
            </w:r>
          </w:p>
        </w:tc>
        <w:tc>
          <w:tcPr>
            <w:tcW w:w="1635" w:type="dxa"/>
            <w:tcBorders>
              <w:top w:val="nil"/>
              <w:left w:val="nil"/>
              <w:bottom w:val="nil"/>
              <w:right w:val="single" w:sz="8" w:space="0" w:color="000000"/>
            </w:tcBorders>
            <w:shd w:val="clear" w:color="auto" w:fill="CFE2F3"/>
            <w:tcMar>
              <w:top w:w="100" w:type="dxa"/>
              <w:left w:w="80" w:type="dxa"/>
              <w:bottom w:w="100" w:type="dxa"/>
              <w:right w:w="80" w:type="dxa"/>
            </w:tcMar>
            <w:vAlign w:val="center"/>
          </w:tcPr>
          <w:p w:rsidR="00B202A2" w:rsidRDefault="00295E06">
            <w:pPr>
              <w:spacing w:before="240"/>
              <w:jc w:val="center"/>
              <w:rPr>
                <w:rFonts w:ascii="Arial" w:eastAsia="Arial" w:hAnsi="Arial" w:cs="Arial"/>
                <w:b/>
                <w:sz w:val="22"/>
                <w:szCs w:val="22"/>
              </w:rPr>
            </w:pPr>
            <w:r>
              <w:rPr>
                <w:rFonts w:ascii="Arial" w:eastAsia="Arial" w:hAnsi="Arial" w:cs="Arial"/>
                <w:b/>
                <w:sz w:val="22"/>
                <w:szCs w:val="22"/>
              </w:rPr>
              <w:t>Sep 30 2019</w:t>
            </w:r>
          </w:p>
        </w:tc>
        <w:tc>
          <w:tcPr>
            <w:tcW w:w="1365" w:type="dxa"/>
            <w:tcBorders>
              <w:top w:val="nil"/>
              <w:left w:val="nil"/>
              <w:bottom w:val="nil"/>
              <w:right w:val="single" w:sz="8" w:space="0" w:color="000000"/>
            </w:tcBorders>
            <w:shd w:val="clear" w:color="auto" w:fill="CFE2F3"/>
            <w:tcMar>
              <w:top w:w="100" w:type="dxa"/>
              <w:left w:w="80" w:type="dxa"/>
              <w:bottom w:w="100" w:type="dxa"/>
              <w:right w:w="80" w:type="dxa"/>
            </w:tcMar>
            <w:vAlign w:val="center"/>
          </w:tcPr>
          <w:p w:rsidR="00B202A2" w:rsidRDefault="00295E06">
            <w:pPr>
              <w:spacing w:before="240"/>
              <w:jc w:val="center"/>
              <w:rPr>
                <w:rFonts w:ascii="Arial" w:eastAsia="Arial" w:hAnsi="Arial" w:cs="Arial"/>
                <w:b/>
                <w:sz w:val="22"/>
                <w:szCs w:val="22"/>
              </w:rPr>
            </w:pPr>
            <w:r>
              <w:rPr>
                <w:rFonts w:ascii="Arial" w:eastAsia="Arial" w:hAnsi="Arial" w:cs="Arial"/>
                <w:b/>
                <w:sz w:val="22"/>
                <w:szCs w:val="22"/>
              </w:rPr>
              <w:t>Absoluta</w:t>
            </w:r>
          </w:p>
        </w:tc>
        <w:tc>
          <w:tcPr>
            <w:tcW w:w="1245" w:type="dxa"/>
            <w:tcBorders>
              <w:top w:val="nil"/>
              <w:left w:val="nil"/>
              <w:bottom w:val="nil"/>
              <w:right w:val="single" w:sz="8" w:space="0" w:color="000000"/>
            </w:tcBorders>
            <w:shd w:val="clear" w:color="auto" w:fill="CFE2F3"/>
            <w:tcMar>
              <w:top w:w="100" w:type="dxa"/>
              <w:left w:w="80" w:type="dxa"/>
              <w:bottom w:w="100" w:type="dxa"/>
              <w:right w:w="80" w:type="dxa"/>
            </w:tcMar>
            <w:vAlign w:val="center"/>
          </w:tcPr>
          <w:p w:rsidR="00B202A2" w:rsidRDefault="00295E06">
            <w:pPr>
              <w:spacing w:before="240"/>
              <w:jc w:val="center"/>
              <w:rPr>
                <w:rFonts w:ascii="Arial" w:eastAsia="Arial" w:hAnsi="Arial" w:cs="Arial"/>
                <w:b/>
                <w:sz w:val="22"/>
                <w:szCs w:val="22"/>
              </w:rPr>
            </w:pPr>
            <w:r>
              <w:rPr>
                <w:rFonts w:ascii="Arial" w:eastAsia="Arial" w:hAnsi="Arial" w:cs="Arial"/>
                <w:b/>
                <w:sz w:val="22"/>
                <w:szCs w:val="22"/>
              </w:rPr>
              <w:t>Relativa (%)</w:t>
            </w:r>
          </w:p>
        </w:tc>
      </w:tr>
      <w:tr w:rsidR="00B202A2">
        <w:trPr>
          <w:trHeight w:val="437"/>
        </w:trPr>
        <w:tc>
          <w:tcPr>
            <w:tcW w:w="301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rPr>
                <w:rFonts w:ascii="Arial" w:eastAsia="Arial" w:hAnsi="Arial" w:cs="Arial"/>
                <w:b/>
                <w:sz w:val="22"/>
                <w:szCs w:val="22"/>
              </w:rPr>
            </w:pPr>
            <w:r>
              <w:rPr>
                <w:rFonts w:ascii="Arial" w:eastAsia="Arial" w:hAnsi="Arial" w:cs="Arial"/>
                <w:b/>
                <w:sz w:val="22"/>
                <w:szCs w:val="22"/>
              </w:rPr>
              <w:t>Resultado de periodo</w:t>
            </w:r>
          </w:p>
        </w:tc>
        <w:tc>
          <w:tcPr>
            <w:tcW w:w="1620"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B202A2">
            <w:pPr>
              <w:ind w:left="-20"/>
              <w:jc w:val="both"/>
              <w:rPr>
                <w:rFonts w:ascii="Arial" w:eastAsia="Arial" w:hAnsi="Arial" w:cs="Arial"/>
                <w:sz w:val="22"/>
                <w:szCs w:val="22"/>
              </w:rPr>
            </w:pPr>
          </w:p>
        </w:tc>
        <w:tc>
          <w:tcPr>
            <w:tcW w:w="163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B202A2">
            <w:pPr>
              <w:ind w:left="-20"/>
              <w:jc w:val="both"/>
              <w:rPr>
                <w:rFonts w:ascii="Arial" w:eastAsia="Arial" w:hAnsi="Arial" w:cs="Arial"/>
                <w:sz w:val="22"/>
                <w:szCs w:val="22"/>
              </w:rPr>
            </w:pPr>
          </w:p>
        </w:tc>
        <w:tc>
          <w:tcPr>
            <w:tcW w:w="136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B202A2">
            <w:pPr>
              <w:ind w:left="-20"/>
              <w:jc w:val="both"/>
              <w:rPr>
                <w:rFonts w:ascii="Arial" w:eastAsia="Arial" w:hAnsi="Arial" w:cs="Arial"/>
                <w:sz w:val="22"/>
                <w:szCs w:val="22"/>
              </w:rPr>
            </w:pPr>
          </w:p>
        </w:tc>
        <w:tc>
          <w:tcPr>
            <w:tcW w:w="124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B202A2">
            <w:pPr>
              <w:ind w:left="-20"/>
              <w:jc w:val="both"/>
              <w:rPr>
                <w:rFonts w:ascii="Arial" w:eastAsia="Arial" w:hAnsi="Arial" w:cs="Arial"/>
                <w:sz w:val="22"/>
                <w:szCs w:val="22"/>
              </w:rPr>
            </w:pPr>
          </w:p>
        </w:tc>
      </w:tr>
      <w:tr w:rsidR="00B202A2">
        <w:trPr>
          <w:trHeight w:val="515"/>
        </w:trPr>
        <w:tc>
          <w:tcPr>
            <w:tcW w:w="301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rPr>
                <w:rFonts w:ascii="Arial" w:eastAsia="Arial" w:hAnsi="Arial" w:cs="Arial"/>
                <w:sz w:val="22"/>
                <w:szCs w:val="22"/>
              </w:rPr>
            </w:pPr>
            <w:r>
              <w:rPr>
                <w:rFonts w:ascii="Arial" w:eastAsia="Arial" w:hAnsi="Arial" w:cs="Arial"/>
                <w:sz w:val="22"/>
                <w:szCs w:val="22"/>
              </w:rPr>
              <w:t>Ingresos sin contraprestación</w:t>
            </w:r>
          </w:p>
        </w:tc>
        <w:tc>
          <w:tcPr>
            <w:tcW w:w="162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$13.830.814</w:t>
            </w:r>
          </w:p>
        </w:tc>
        <w:tc>
          <w:tcPr>
            <w:tcW w:w="163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$14.216.301</w:t>
            </w:r>
          </w:p>
        </w:tc>
        <w:tc>
          <w:tcPr>
            <w:tcW w:w="136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-$385.487</w:t>
            </w:r>
          </w:p>
        </w:tc>
        <w:tc>
          <w:tcPr>
            <w:tcW w:w="12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-2,71%</w:t>
            </w:r>
          </w:p>
        </w:tc>
      </w:tr>
      <w:tr w:rsidR="00B202A2">
        <w:trPr>
          <w:trHeight w:val="515"/>
        </w:trPr>
        <w:tc>
          <w:tcPr>
            <w:tcW w:w="301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rPr>
                <w:rFonts w:ascii="Arial" w:eastAsia="Arial" w:hAnsi="Arial" w:cs="Arial"/>
                <w:sz w:val="22"/>
                <w:szCs w:val="22"/>
              </w:rPr>
            </w:pPr>
            <w:r>
              <w:rPr>
                <w:rFonts w:ascii="Arial" w:eastAsia="Arial" w:hAnsi="Arial" w:cs="Arial"/>
                <w:sz w:val="22"/>
                <w:szCs w:val="22"/>
              </w:rPr>
              <w:t>Gasto de administración</w:t>
            </w:r>
          </w:p>
        </w:tc>
        <w:tc>
          <w:tcPr>
            <w:tcW w:w="162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$9.562.708</w:t>
            </w:r>
          </w:p>
        </w:tc>
        <w:tc>
          <w:tcPr>
            <w:tcW w:w="163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$9.263.588</w:t>
            </w:r>
          </w:p>
        </w:tc>
        <w:tc>
          <w:tcPr>
            <w:tcW w:w="136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$299.120</w:t>
            </w:r>
          </w:p>
        </w:tc>
        <w:tc>
          <w:tcPr>
            <w:tcW w:w="12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3,23%</w:t>
            </w:r>
          </w:p>
        </w:tc>
      </w:tr>
      <w:tr w:rsidR="00B202A2">
        <w:trPr>
          <w:trHeight w:val="515"/>
        </w:trPr>
        <w:tc>
          <w:tcPr>
            <w:tcW w:w="301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rPr>
                <w:rFonts w:ascii="Arial" w:eastAsia="Arial" w:hAnsi="Arial" w:cs="Arial"/>
                <w:sz w:val="22"/>
                <w:szCs w:val="22"/>
              </w:rPr>
            </w:pPr>
            <w:r>
              <w:rPr>
                <w:rFonts w:ascii="Arial" w:eastAsia="Arial" w:hAnsi="Arial" w:cs="Arial"/>
                <w:sz w:val="22"/>
                <w:szCs w:val="22"/>
              </w:rPr>
              <w:t>Gasto de Generales y Diversos</w:t>
            </w:r>
          </w:p>
        </w:tc>
        <w:tc>
          <w:tcPr>
            <w:tcW w:w="162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$2.774.555</w:t>
            </w:r>
          </w:p>
        </w:tc>
        <w:tc>
          <w:tcPr>
            <w:tcW w:w="163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$5.349.204</w:t>
            </w:r>
          </w:p>
        </w:tc>
        <w:tc>
          <w:tcPr>
            <w:tcW w:w="136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-$2.574.649</w:t>
            </w:r>
          </w:p>
        </w:tc>
        <w:tc>
          <w:tcPr>
            <w:tcW w:w="12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-48,13%</w:t>
            </w:r>
          </w:p>
        </w:tc>
      </w:tr>
      <w:tr w:rsidR="00B202A2">
        <w:trPr>
          <w:trHeight w:val="515"/>
        </w:trPr>
        <w:tc>
          <w:tcPr>
            <w:tcW w:w="301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rPr>
                <w:rFonts w:ascii="Arial" w:eastAsia="Arial" w:hAnsi="Arial" w:cs="Arial"/>
                <w:sz w:val="22"/>
                <w:szCs w:val="22"/>
              </w:rPr>
            </w:pPr>
            <w:r>
              <w:rPr>
                <w:rFonts w:ascii="Arial" w:eastAsia="Arial" w:hAnsi="Arial" w:cs="Arial"/>
                <w:sz w:val="22"/>
                <w:szCs w:val="22"/>
              </w:rPr>
              <w:t>Gasto de Depreciaciones/Amortizaciones</w:t>
            </w:r>
          </w:p>
        </w:tc>
        <w:tc>
          <w:tcPr>
            <w:tcW w:w="162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$1.460.216</w:t>
            </w:r>
          </w:p>
        </w:tc>
        <w:tc>
          <w:tcPr>
            <w:tcW w:w="163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$1.375.259</w:t>
            </w:r>
          </w:p>
        </w:tc>
        <w:tc>
          <w:tcPr>
            <w:tcW w:w="136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$84.957</w:t>
            </w:r>
          </w:p>
        </w:tc>
        <w:tc>
          <w:tcPr>
            <w:tcW w:w="12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6,18%</w:t>
            </w:r>
          </w:p>
        </w:tc>
      </w:tr>
      <w:tr w:rsidR="00B202A2">
        <w:trPr>
          <w:trHeight w:val="515"/>
        </w:trPr>
        <w:tc>
          <w:tcPr>
            <w:tcW w:w="301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rPr>
                <w:rFonts w:ascii="Arial" w:eastAsia="Arial" w:hAnsi="Arial" w:cs="Arial"/>
                <w:sz w:val="22"/>
                <w:szCs w:val="22"/>
              </w:rPr>
            </w:pPr>
            <w:r>
              <w:rPr>
                <w:rFonts w:ascii="Arial" w:eastAsia="Arial" w:hAnsi="Arial" w:cs="Arial"/>
                <w:sz w:val="22"/>
                <w:szCs w:val="22"/>
              </w:rPr>
              <w:t>Gastos de Impuestos, contribuciones y tasas</w:t>
            </w:r>
          </w:p>
        </w:tc>
        <w:tc>
          <w:tcPr>
            <w:tcW w:w="162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$122.969</w:t>
            </w:r>
          </w:p>
        </w:tc>
        <w:tc>
          <w:tcPr>
            <w:tcW w:w="163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$144.351</w:t>
            </w:r>
          </w:p>
        </w:tc>
        <w:tc>
          <w:tcPr>
            <w:tcW w:w="136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-$21.382</w:t>
            </w:r>
          </w:p>
        </w:tc>
        <w:tc>
          <w:tcPr>
            <w:tcW w:w="12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-14,81%</w:t>
            </w:r>
          </w:p>
        </w:tc>
      </w:tr>
      <w:tr w:rsidR="00B202A2">
        <w:trPr>
          <w:trHeight w:val="515"/>
        </w:trPr>
        <w:tc>
          <w:tcPr>
            <w:tcW w:w="301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rPr>
                <w:rFonts w:ascii="Arial" w:eastAsia="Arial" w:hAnsi="Arial" w:cs="Arial"/>
                <w:sz w:val="22"/>
                <w:szCs w:val="22"/>
              </w:rPr>
            </w:pPr>
            <w:r>
              <w:rPr>
                <w:rFonts w:ascii="Arial" w:eastAsia="Arial" w:hAnsi="Arial" w:cs="Arial"/>
                <w:sz w:val="22"/>
                <w:szCs w:val="22"/>
              </w:rPr>
              <w:t>Gastos Financieros</w:t>
            </w:r>
          </w:p>
        </w:tc>
        <w:tc>
          <w:tcPr>
            <w:tcW w:w="162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$25</w:t>
            </w:r>
          </w:p>
        </w:tc>
        <w:tc>
          <w:tcPr>
            <w:tcW w:w="163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$108.465</w:t>
            </w:r>
          </w:p>
        </w:tc>
        <w:tc>
          <w:tcPr>
            <w:tcW w:w="136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-$108.440</w:t>
            </w:r>
          </w:p>
        </w:tc>
        <w:tc>
          <w:tcPr>
            <w:tcW w:w="12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99,98%</w:t>
            </w:r>
          </w:p>
        </w:tc>
      </w:tr>
      <w:tr w:rsidR="00B202A2">
        <w:trPr>
          <w:trHeight w:val="515"/>
        </w:trPr>
        <w:tc>
          <w:tcPr>
            <w:tcW w:w="301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rPr>
                <w:rFonts w:ascii="Arial" w:eastAsia="Arial" w:hAnsi="Arial" w:cs="Arial"/>
                <w:sz w:val="22"/>
                <w:szCs w:val="22"/>
              </w:rPr>
            </w:pPr>
            <w:r>
              <w:rPr>
                <w:rFonts w:ascii="Arial" w:eastAsia="Arial" w:hAnsi="Arial" w:cs="Arial"/>
                <w:sz w:val="22"/>
                <w:szCs w:val="22"/>
              </w:rPr>
              <w:t>Gasto de Provisiones y Litigios</w:t>
            </w:r>
          </w:p>
        </w:tc>
        <w:tc>
          <w:tcPr>
            <w:tcW w:w="162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$33.587</w:t>
            </w:r>
          </w:p>
        </w:tc>
        <w:tc>
          <w:tcPr>
            <w:tcW w:w="163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$0</w:t>
            </w:r>
          </w:p>
        </w:tc>
        <w:tc>
          <w:tcPr>
            <w:tcW w:w="136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$33.587</w:t>
            </w:r>
          </w:p>
        </w:tc>
        <w:tc>
          <w:tcPr>
            <w:tcW w:w="12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100%</w:t>
            </w:r>
          </w:p>
        </w:tc>
      </w:tr>
      <w:tr w:rsidR="00B202A2">
        <w:trPr>
          <w:trHeight w:val="515"/>
        </w:trPr>
        <w:tc>
          <w:tcPr>
            <w:tcW w:w="301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rPr>
                <w:rFonts w:ascii="Arial" w:eastAsia="Arial" w:hAnsi="Arial" w:cs="Arial"/>
                <w:sz w:val="22"/>
                <w:szCs w:val="22"/>
              </w:rPr>
            </w:pPr>
            <w:r>
              <w:rPr>
                <w:rFonts w:ascii="Arial" w:eastAsia="Arial" w:hAnsi="Arial" w:cs="Arial"/>
                <w:sz w:val="22"/>
                <w:szCs w:val="22"/>
              </w:rPr>
              <w:lastRenderedPageBreak/>
              <w:t>Otros Ingresos</w:t>
            </w:r>
          </w:p>
        </w:tc>
        <w:tc>
          <w:tcPr>
            <w:tcW w:w="162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$620.695</w:t>
            </w:r>
          </w:p>
        </w:tc>
        <w:tc>
          <w:tcPr>
            <w:tcW w:w="163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$349.719</w:t>
            </w:r>
          </w:p>
        </w:tc>
        <w:tc>
          <w:tcPr>
            <w:tcW w:w="136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$270.976</w:t>
            </w:r>
          </w:p>
        </w:tc>
        <w:tc>
          <w:tcPr>
            <w:tcW w:w="12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77,48%</w:t>
            </w:r>
          </w:p>
        </w:tc>
      </w:tr>
      <w:tr w:rsidR="00B202A2">
        <w:trPr>
          <w:trHeight w:val="515"/>
        </w:trPr>
        <w:tc>
          <w:tcPr>
            <w:tcW w:w="301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rPr>
                <w:rFonts w:ascii="Arial" w:eastAsia="Arial" w:hAnsi="Arial" w:cs="Arial"/>
                <w:sz w:val="22"/>
                <w:szCs w:val="22"/>
              </w:rPr>
            </w:pPr>
            <w:r>
              <w:rPr>
                <w:rFonts w:ascii="Arial" w:eastAsia="Arial" w:hAnsi="Arial" w:cs="Arial"/>
                <w:sz w:val="22"/>
                <w:szCs w:val="22"/>
              </w:rPr>
              <w:t>Otros Gastos</w:t>
            </w:r>
          </w:p>
        </w:tc>
        <w:tc>
          <w:tcPr>
            <w:tcW w:w="162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$0</w:t>
            </w:r>
          </w:p>
        </w:tc>
        <w:tc>
          <w:tcPr>
            <w:tcW w:w="163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$618</w:t>
            </w:r>
          </w:p>
        </w:tc>
        <w:tc>
          <w:tcPr>
            <w:tcW w:w="136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-$618</w:t>
            </w:r>
          </w:p>
        </w:tc>
        <w:tc>
          <w:tcPr>
            <w:tcW w:w="12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jc w:val="center"/>
              <w:rPr>
                <w:rFonts w:ascii="Arial" w:eastAsia="Arial" w:hAnsi="Arial" w:cs="Arial"/>
                <w:sz w:val="22"/>
                <w:szCs w:val="22"/>
              </w:rPr>
            </w:pPr>
            <w:r>
              <w:rPr>
                <w:rFonts w:ascii="Arial" w:eastAsia="Arial" w:hAnsi="Arial" w:cs="Arial"/>
                <w:sz w:val="22"/>
                <w:szCs w:val="22"/>
              </w:rPr>
              <w:t>100%</w:t>
            </w:r>
          </w:p>
        </w:tc>
      </w:tr>
      <w:tr w:rsidR="00B202A2">
        <w:trPr>
          <w:trHeight w:val="515"/>
        </w:trPr>
        <w:tc>
          <w:tcPr>
            <w:tcW w:w="301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rPr>
                <w:rFonts w:ascii="Arial" w:eastAsia="Arial" w:hAnsi="Arial" w:cs="Arial"/>
                <w:b/>
                <w:sz w:val="22"/>
                <w:szCs w:val="22"/>
              </w:rPr>
            </w:pPr>
            <w:r>
              <w:rPr>
                <w:rFonts w:ascii="Arial" w:eastAsia="Arial" w:hAnsi="Arial" w:cs="Arial"/>
                <w:b/>
                <w:sz w:val="22"/>
                <w:szCs w:val="22"/>
              </w:rPr>
              <w:t>Ganancia (pérdida) por actividades de operación</w:t>
            </w:r>
          </w:p>
        </w:tc>
        <w:tc>
          <w:tcPr>
            <w:tcW w:w="162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jc w:val="center"/>
              <w:rPr>
                <w:rFonts w:ascii="Arial" w:eastAsia="Arial" w:hAnsi="Arial" w:cs="Arial"/>
                <w:b/>
                <w:sz w:val="22"/>
                <w:szCs w:val="22"/>
              </w:rPr>
            </w:pPr>
            <w:r>
              <w:rPr>
                <w:rFonts w:ascii="Arial" w:eastAsia="Arial" w:hAnsi="Arial" w:cs="Arial"/>
                <w:b/>
                <w:sz w:val="22"/>
                <w:szCs w:val="22"/>
              </w:rPr>
              <w:t>$497.449</w:t>
            </w:r>
          </w:p>
        </w:tc>
        <w:tc>
          <w:tcPr>
            <w:tcW w:w="163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jc w:val="center"/>
              <w:rPr>
                <w:rFonts w:ascii="Arial" w:eastAsia="Arial" w:hAnsi="Arial" w:cs="Arial"/>
                <w:b/>
                <w:sz w:val="22"/>
                <w:szCs w:val="22"/>
              </w:rPr>
            </w:pPr>
            <w:r>
              <w:rPr>
                <w:rFonts w:ascii="Arial" w:eastAsia="Arial" w:hAnsi="Arial" w:cs="Arial"/>
                <w:b/>
                <w:sz w:val="22"/>
                <w:szCs w:val="22"/>
              </w:rPr>
              <w:t>-$1.675.465</w:t>
            </w:r>
          </w:p>
        </w:tc>
        <w:tc>
          <w:tcPr>
            <w:tcW w:w="136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jc w:val="center"/>
              <w:rPr>
                <w:rFonts w:ascii="Arial" w:eastAsia="Arial" w:hAnsi="Arial" w:cs="Arial"/>
                <w:b/>
                <w:sz w:val="22"/>
                <w:szCs w:val="22"/>
              </w:rPr>
            </w:pPr>
            <w:r>
              <w:rPr>
                <w:rFonts w:ascii="Arial" w:eastAsia="Arial" w:hAnsi="Arial" w:cs="Arial"/>
                <w:b/>
                <w:sz w:val="22"/>
                <w:szCs w:val="22"/>
              </w:rPr>
              <w:t>$2.172.914</w:t>
            </w:r>
          </w:p>
        </w:tc>
        <w:tc>
          <w:tcPr>
            <w:tcW w:w="12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rsidR="00B202A2" w:rsidRDefault="00295E06">
            <w:pPr>
              <w:spacing w:before="240"/>
              <w:jc w:val="center"/>
              <w:rPr>
                <w:rFonts w:ascii="Arial" w:eastAsia="Arial" w:hAnsi="Arial" w:cs="Arial"/>
                <w:b/>
                <w:sz w:val="22"/>
                <w:szCs w:val="22"/>
              </w:rPr>
            </w:pPr>
            <w:r>
              <w:rPr>
                <w:rFonts w:ascii="Arial" w:eastAsia="Arial" w:hAnsi="Arial" w:cs="Arial"/>
                <w:b/>
                <w:sz w:val="22"/>
                <w:szCs w:val="22"/>
              </w:rPr>
              <w:t>129,7%</w:t>
            </w:r>
          </w:p>
        </w:tc>
      </w:tr>
    </w:tbl>
    <w:p w:rsidR="00B202A2" w:rsidRDefault="00295E06">
      <w:pPr>
        <w:spacing w:before="240"/>
        <w:rPr>
          <w:rFonts w:ascii="Arial" w:eastAsia="Arial" w:hAnsi="Arial" w:cs="Arial"/>
          <w:sz w:val="22"/>
          <w:szCs w:val="22"/>
        </w:rPr>
      </w:pPr>
      <w:r>
        <w:rPr>
          <w:rFonts w:ascii="Arial" w:eastAsia="Arial" w:hAnsi="Arial" w:cs="Arial"/>
          <w:b/>
          <w:sz w:val="22"/>
          <w:szCs w:val="22"/>
        </w:rPr>
        <w:t xml:space="preserve">Nota: </w:t>
      </w:r>
      <w:r>
        <w:rPr>
          <w:rFonts w:ascii="Arial" w:eastAsia="Arial" w:hAnsi="Arial" w:cs="Arial"/>
          <w:sz w:val="22"/>
          <w:szCs w:val="22"/>
        </w:rPr>
        <w:t>Se presenta comparativo debido a la entrada en vigencia del Marco Normativo de Res. 533-2015.</w:t>
      </w:r>
    </w:p>
    <w:p w:rsidR="00B202A2" w:rsidRDefault="00B202A2">
      <w:pPr>
        <w:spacing w:before="240"/>
        <w:jc w:val="both"/>
        <w:rPr>
          <w:rFonts w:ascii="Arial" w:eastAsia="Arial" w:hAnsi="Arial" w:cs="Arial"/>
          <w:sz w:val="22"/>
          <w:szCs w:val="22"/>
          <w:highlight w:val="yellow"/>
        </w:rPr>
      </w:pPr>
    </w:p>
    <w:p w:rsidR="00B202A2" w:rsidRDefault="00295E06">
      <w:pPr>
        <w:jc w:val="both"/>
        <w:rPr>
          <w:rFonts w:ascii="Arial" w:eastAsia="Arial" w:hAnsi="Arial" w:cs="Arial"/>
          <w:sz w:val="22"/>
          <w:szCs w:val="22"/>
        </w:rPr>
      </w:pPr>
      <w:r>
        <w:rPr>
          <w:rFonts w:ascii="Arial" w:eastAsia="Arial" w:hAnsi="Arial" w:cs="Arial"/>
          <w:sz w:val="22"/>
          <w:szCs w:val="22"/>
          <w:u w:val="single"/>
        </w:rPr>
        <w:t>Ingresos</w:t>
      </w:r>
      <w:r>
        <w:rPr>
          <w:rFonts w:ascii="Arial" w:eastAsia="Arial" w:hAnsi="Arial" w:cs="Arial"/>
          <w:sz w:val="22"/>
          <w:szCs w:val="22"/>
        </w:rPr>
        <w:t>: para la vigencia 2020 se mantuvieron los aportantes: ISA, ECOPETROL, Ministerio de Minas y Energía y ANM, con un aporte del 25% proporcional por $9.021,6 millones de pesos cada uno; los demás ingresos corresponden a recursos propios de capital.</w:t>
      </w:r>
    </w:p>
    <w:p w:rsidR="00B202A2" w:rsidRDefault="00295E06">
      <w:pPr>
        <w:ind w:left="-20"/>
        <w:jc w:val="both"/>
        <w:rPr>
          <w:rFonts w:ascii="Arial" w:eastAsia="Arial" w:hAnsi="Arial" w:cs="Arial"/>
          <w:sz w:val="22"/>
          <w:szCs w:val="22"/>
          <w:highlight w:val="yellow"/>
        </w:rPr>
      </w:pPr>
      <w:r>
        <w:rPr>
          <w:rFonts w:ascii="Arial" w:eastAsia="Arial" w:hAnsi="Arial" w:cs="Arial"/>
          <w:sz w:val="22"/>
          <w:szCs w:val="22"/>
          <w:highlight w:val="yellow"/>
        </w:rPr>
        <w:t xml:space="preserve"> </w:t>
      </w:r>
    </w:p>
    <w:p w:rsidR="00B202A2" w:rsidRDefault="00295E06">
      <w:pPr>
        <w:jc w:val="both"/>
        <w:rPr>
          <w:rFonts w:ascii="Arial" w:eastAsia="Arial" w:hAnsi="Arial" w:cs="Arial"/>
          <w:sz w:val="22"/>
          <w:szCs w:val="22"/>
        </w:rPr>
      </w:pPr>
      <w:r>
        <w:rPr>
          <w:rFonts w:ascii="Arial" w:eastAsia="Arial" w:hAnsi="Arial" w:cs="Arial"/>
          <w:sz w:val="22"/>
          <w:szCs w:val="22"/>
        </w:rPr>
        <w:t xml:space="preserve">En cuanto a los </w:t>
      </w:r>
      <w:r>
        <w:rPr>
          <w:rFonts w:ascii="Arial" w:eastAsia="Arial" w:hAnsi="Arial" w:cs="Arial"/>
          <w:sz w:val="22"/>
          <w:szCs w:val="22"/>
          <w:u w:val="single"/>
        </w:rPr>
        <w:t>Gastos</w:t>
      </w:r>
      <w:r>
        <w:rPr>
          <w:rFonts w:ascii="Arial" w:eastAsia="Arial" w:hAnsi="Arial" w:cs="Arial"/>
          <w:sz w:val="22"/>
          <w:szCs w:val="22"/>
        </w:rPr>
        <w:t>: se reflejan partidas por administración y gastos generales de la sede de la entidad en la operación y funcionamiento, pagos de impuestos, gastos financieros, provisiones y amortizaciones.</w:t>
      </w:r>
    </w:p>
    <w:p w:rsidR="00B202A2" w:rsidRDefault="00295E06">
      <w:pPr>
        <w:jc w:val="both"/>
        <w:rPr>
          <w:rFonts w:ascii="Arial" w:eastAsia="Arial" w:hAnsi="Arial" w:cs="Arial"/>
          <w:sz w:val="22"/>
          <w:szCs w:val="22"/>
        </w:rPr>
      </w:pPr>
      <w:r>
        <w:rPr>
          <w:rFonts w:ascii="Arial" w:eastAsia="Arial" w:hAnsi="Arial" w:cs="Arial"/>
          <w:sz w:val="22"/>
          <w:szCs w:val="22"/>
        </w:rPr>
        <w:t xml:space="preserve"> </w:t>
      </w:r>
    </w:p>
    <w:p w:rsidR="00B202A2" w:rsidRDefault="00295E06">
      <w:pPr>
        <w:jc w:val="both"/>
        <w:rPr>
          <w:rFonts w:ascii="Arial" w:eastAsia="Arial" w:hAnsi="Arial" w:cs="Arial"/>
          <w:sz w:val="22"/>
          <w:szCs w:val="22"/>
        </w:rPr>
      </w:pPr>
      <w:r>
        <w:rPr>
          <w:rFonts w:ascii="Arial" w:eastAsia="Arial" w:hAnsi="Arial" w:cs="Arial"/>
          <w:sz w:val="22"/>
          <w:szCs w:val="22"/>
        </w:rPr>
        <w:t>Al cierre de este periodo se observa un ex</w:t>
      </w:r>
      <w:r>
        <w:rPr>
          <w:rFonts w:ascii="Arial" w:eastAsia="Arial" w:hAnsi="Arial" w:cs="Arial"/>
          <w:sz w:val="22"/>
          <w:szCs w:val="22"/>
        </w:rPr>
        <w:t>cedente de $497,4 millones de pesos, reflejando un incremento del 129,7% comparado con la vigencia 2019.</w:t>
      </w:r>
    </w:p>
    <w:p w:rsidR="00B202A2" w:rsidRDefault="00B202A2">
      <w:pPr>
        <w:jc w:val="both"/>
        <w:rPr>
          <w:rFonts w:ascii="Arial" w:eastAsia="Arial" w:hAnsi="Arial" w:cs="Arial"/>
          <w:sz w:val="22"/>
          <w:szCs w:val="22"/>
        </w:rPr>
      </w:pPr>
    </w:p>
    <w:p w:rsidR="00B202A2" w:rsidRDefault="00B202A2">
      <w:pPr>
        <w:jc w:val="both"/>
        <w:rPr>
          <w:rFonts w:ascii="Arial" w:eastAsia="Arial" w:hAnsi="Arial" w:cs="Arial"/>
          <w:sz w:val="22"/>
          <w:szCs w:val="22"/>
        </w:rPr>
      </w:pPr>
    </w:p>
    <w:p w:rsidR="00B202A2" w:rsidRDefault="00295E06">
      <w:pPr>
        <w:ind w:left="-20"/>
        <w:jc w:val="both"/>
        <w:rPr>
          <w:rFonts w:ascii="Arial" w:eastAsia="Arial" w:hAnsi="Arial" w:cs="Arial"/>
          <w:b/>
          <w:sz w:val="22"/>
          <w:szCs w:val="22"/>
        </w:rPr>
      </w:pPr>
      <w:r>
        <w:rPr>
          <w:rFonts w:ascii="Arial" w:eastAsia="Arial" w:hAnsi="Arial" w:cs="Arial"/>
          <w:b/>
          <w:sz w:val="22"/>
          <w:szCs w:val="22"/>
        </w:rPr>
        <w:t>Resumen de los Hechos Financieros Relevantes 2019-2020</w:t>
      </w:r>
    </w:p>
    <w:p w:rsidR="00B202A2" w:rsidRDefault="00295E06">
      <w:pPr>
        <w:ind w:left="-20"/>
        <w:jc w:val="both"/>
        <w:rPr>
          <w:rFonts w:ascii="Arial" w:eastAsia="Arial" w:hAnsi="Arial" w:cs="Arial"/>
          <w:b/>
          <w:sz w:val="22"/>
          <w:szCs w:val="22"/>
        </w:rPr>
      </w:pPr>
      <w:r>
        <w:rPr>
          <w:rFonts w:ascii="Arial" w:eastAsia="Arial" w:hAnsi="Arial" w:cs="Arial"/>
          <w:b/>
          <w:sz w:val="22"/>
          <w:szCs w:val="22"/>
        </w:rPr>
        <w:t xml:space="preserve"> </w:t>
      </w:r>
    </w:p>
    <w:p w:rsidR="00B202A2" w:rsidRDefault="00295E06">
      <w:pPr>
        <w:numPr>
          <w:ilvl w:val="0"/>
          <w:numId w:val="6"/>
        </w:numPr>
        <w:jc w:val="both"/>
        <w:rPr>
          <w:rFonts w:ascii="Arial" w:eastAsia="Arial" w:hAnsi="Arial" w:cs="Arial"/>
          <w:sz w:val="22"/>
          <w:szCs w:val="22"/>
        </w:rPr>
      </w:pPr>
      <w:r>
        <w:rPr>
          <w:rFonts w:ascii="Arial" w:eastAsia="Arial" w:hAnsi="Arial" w:cs="Arial"/>
          <w:sz w:val="22"/>
          <w:szCs w:val="22"/>
        </w:rPr>
        <w:t>En la vigencia 2020 con la Resolución 057 de 2020, se actualizó el Manual de Políticas Conta</w:t>
      </w:r>
      <w:r>
        <w:rPr>
          <w:rFonts w:ascii="Arial" w:eastAsia="Arial" w:hAnsi="Arial" w:cs="Arial"/>
          <w:sz w:val="22"/>
          <w:szCs w:val="22"/>
        </w:rPr>
        <w:t>bles de la UPME adoptado mediante la Resolución 464 de 2018 la cual se encuentra incorporada en el Sistema de Gestión de Calidad de la entidad, debidamente publicada; en esta actualización se incorporaron algunas mejoras en la cadena de la información de l</w:t>
      </w:r>
      <w:r>
        <w:rPr>
          <w:rFonts w:ascii="Arial" w:eastAsia="Arial" w:hAnsi="Arial" w:cs="Arial"/>
          <w:sz w:val="22"/>
          <w:szCs w:val="22"/>
        </w:rPr>
        <w:t>as diferentes áreas generadoras de información financiera, estableciendo responsabilidades, tiempos y modo de respuesta, a fin de dar alcance a las disposiciones legales en materia contable.</w:t>
      </w:r>
    </w:p>
    <w:p w:rsidR="00B202A2" w:rsidRDefault="00B202A2">
      <w:pPr>
        <w:ind w:left="700"/>
        <w:jc w:val="both"/>
        <w:rPr>
          <w:rFonts w:ascii="Arial" w:eastAsia="Arial" w:hAnsi="Arial" w:cs="Arial"/>
          <w:sz w:val="22"/>
          <w:szCs w:val="22"/>
        </w:rPr>
      </w:pPr>
    </w:p>
    <w:p w:rsidR="00B202A2" w:rsidRDefault="00295E06">
      <w:pPr>
        <w:ind w:left="700"/>
        <w:jc w:val="both"/>
        <w:rPr>
          <w:rFonts w:ascii="Arial" w:eastAsia="Arial" w:hAnsi="Arial" w:cs="Arial"/>
          <w:color w:val="1155CC"/>
          <w:sz w:val="22"/>
          <w:szCs w:val="22"/>
          <w:u w:val="single"/>
        </w:rPr>
      </w:pPr>
      <w:r>
        <w:rPr>
          <w:rFonts w:ascii="Arial" w:eastAsia="Arial" w:hAnsi="Arial" w:cs="Arial"/>
          <w:sz w:val="22"/>
          <w:szCs w:val="22"/>
        </w:rPr>
        <w:t xml:space="preserve">Se prevé en la norma que al Grupo Interno de Trabajo de Gestión </w:t>
      </w:r>
      <w:r>
        <w:rPr>
          <w:rFonts w:ascii="Arial" w:eastAsia="Arial" w:hAnsi="Arial" w:cs="Arial"/>
          <w:sz w:val="22"/>
          <w:szCs w:val="22"/>
        </w:rPr>
        <w:t>Financiera de la Secretaria General, le corresponde revisar y proponer las actualizaciones del Manual de Políticas Contables cuando se evidencien cambios normativos aplicables o se justifique la necesidad del ajuste; para complementar su comprensión y deta</w:t>
      </w:r>
      <w:r>
        <w:rPr>
          <w:rFonts w:ascii="Arial" w:eastAsia="Arial" w:hAnsi="Arial" w:cs="Arial"/>
          <w:sz w:val="22"/>
          <w:szCs w:val="22"/>
        </w:rPr>
        <w:t>lle, las Políticas Contables de la UPME se pueden consultar en la página web en el link:</w:t>
      </w:r>
      <w:hyperlink r:id="rId25">
        <w:r>
          <w:rPr>
            <w:rFonts w:ascii="Arial" w:eastAsia="Arial" w:hAnsi="Arial" w:cs="Arial"/>
            <w:sz w:val="22"/>
            <w:szCs w:val="22"/>
          </w:rPr>
          <w:t xml:space="preserve"> </w:t>
        </w:r>
      </w:hyperlink>
      <w:hyperlink r:id="rId26">
        <w:r>
          <w:rPr>
            <w:rFonts w:ascii="Arial" w:eastAsia="Arial" w:hAnsi="Arial" w:cs="Arial"/>
            <w:color w:val="1155CC"/>
            <w:sz w:val="22"/>
            <w:szCs w:val="22"/>
            <w:u w:val="single"/>
          </w:rPr>
          <w:t>https://www1.upme.gov.co/No</w:t>
        </w:r>
        <w:r>
          <w:rPr>
            <w:rFonts w:ascii="Arial" w:eastAsia="Arial" w:hAnsi="Arial" w:cs="Arial"/>
            <w:color w:val="1155CC"/>
            <w:sz w:val="22"/>
            <w:szCs w:val="22"/>
            <w:u w:val="single"/>
          </w:rPr>
          <w:t>rmatividad/057-2020.pdf</w:t>
        </w:r>
      </w:hyperlink>
    </w:p>
    <w:p w:rsidR="00B202A2" w:rsidRDefault="00B202A2">
      <w:pPr>
        <w:spacing w:before="240" w:after="240"/>
        <w:ind w:left="720"/>
        <w:jc w:val="both"/>
        <w:rPr>
          <w:rFonts w:ascii="Arial" w:eastAsia="Arial" w:hAnsi="Arial" w:cs="Arial"/>
          <w:sz w:val="22"/>
          <w:szCs w:val="22"/>
        </w:rPr>
      </w:pPr>
    </w:p>
    <w:p w:rsidR="00B202A2" w:rsidRDefault="00295E06">
      <w:pPr>
        <w:numPr>
          <w:ilvl w:val="0"/>
          <w:numId w:val="13"/>
        </w:numPr>
        <w:spacing w:before="240" w:after="240"/>
        <w:jc w:val="both"/>
        <w:rPr>
          <w:rFonts w:ascii="Arial" w:eastAsia="Arial" w:hAnsi="Arial" w:cs="Arial"/>
          <w:sz w:val="22"/>
          <w:szCs w:val="22"/>
        </w:rPr>
      </w:pPr>
      <w:r>
        <w:rPr>
          <w:rFonts w:ascii="Arial" w:eastAsia="Arial" w:hAnsi="Arial" w:cs="Arial"/>
          <w:sz w:val="22"/>
          <w:szCs w:val="22"/>
        </w:rPr>
        <w:t>Es importante manifestar que la Unidad Administrativa Especial de Planeación Minero Energética – UPME creada mediante el Decreto 2119 de 1992 y regulada a través de la Ley 143 de 1994 y los Decretos 1258 y 1259 de 17 de junio de 20</w:t>
      </w:r>
      <w:r>
        <w:rPr>
          <w:rFonts w:ascii="Arial" w:eastAsia="Arial" w:hAnsi="Arial" w:cs="Arial"/>
          <w:sz w:val="22"/>
          <w:szCs w:val="22"/>
        </w:rPr>
        <w:t>13, ingresó desde noviembre de 2019 al Sistema de Cuenta Única Nacional –</w:t>
      </w:r>
      <w:r>
        <w:rPr>
          <w:rFonts w:ascii="Arial" w:eastAsia="Arial" w:hAnsi="Arial" w:cs="Arial"/>
          <w:sz w:val="22"/>
          <w:szCs w:val="22"/>
        </w:rPr>
        <w:lastRenderedPageBreak/>
        <w:t>SCUN, del Ministerio de Hacienda y Crédito Público y del Tesoro Nacional, en cumplimiento a los dispuesto en el artículo 261 de la Ley 1450 de 2011, en el Decreto 2785 de noviembre 28</w:t>
      </w:r>
      <w:r>
        <w:rPr>
          <w:rFonts w:ascii="Arial" w:eastAsia="Arial" w:hAnsi="Arial" w:cs="Arial"/>
          <w:sz w:val="22"/>
          <w:szCs w:val="22"/>
        </w:rPr>
        <w:t xml:space="preserve"> de 2013 y en el parágrafo primero del artículo 149 de la Ley 1753 de junio 9 de 2015 del Plan Nacional de Desarrollo 2014-2018; asumiendo la gestión tesoral y operando en el Sistema de Información Financiera - SIIF Nación.</w:t>
      </w:r>
    </w:p>
    <w:p w:rsidR="00B202A2" w:rsidRDefault="00295E06">
      <w:pPr>
        <w:ind w:left="700"/>
        <w:jc w:val="both"/>
        <w:rPr>
          <w:rFonts w:ascii="Arial" w:eastAsia="Arial" w:hAnsi="Arial" w:cs="Arial"/>
          <w:sz w:val="22"/>
          <w:szCs w:val="22"/>
        </w:rPr>
      </w:pPr>
      <w:r>
        <w:rPr>
          <w:rFonts w:ascii="Arial" w:eastAsia="Arial" w:hAnsi="Arial" w:cs="Arial"/>
          <w:sz w:val="22"/>
          <w:szCs w:val="22"/>
        </w:rPr>
        <w:t xml:space="preserve"> </w:t>
      </w:r>
    </w:p>
    <w:p w:rsidR="00B202A2" w:rsidRDefault="00295E06">
      <w:pPr>
        <w:ind w:left="700"/>
        <w:jc w:val="both"/>
        <w:rPr>
          <w:rFonts w:ascii="Arial" w:eastAsia="Arial" w:hAnsi="Arial" w:cs="Arial"/>
          <w:sz w:val="22"/>
          <w:szCs w:val="22"/>
        </w:rPr>
      </w:pPr>
      <w:r>
        <w:rPr>
          <w:rFonts w:ascii="Arial" w:eastAsia="Arial" w:hAnsi="Arial" w:cs="Arial"/>
          <w:sz w:val="22"/>
          <w:szCs w:val="22"/>
        </w:rPr>
        <w:t>Lo anterior, fue un avance pos</w:t>
      </w:r>
      <w:r>
        <w:rPr>
          <w:rFonts w:ascii="Arial" w:eastAsia="Arial" w:hAnsi="Arial" w:cs="Arial"/>
          <w:sz w:val="22"/>
          <w:szCs w:val="22"/>
        </w:rPr>
        <w:t>itivo por el cambio en la dinámica y la gestión de los recursos de la Nación, los cambios al interior del Grupo Interno de Trabajo de Gestión Financiera han sido de gran relevancia y se ha mejorado la capacidad operativa con los apoyos externos de personal</w:t>
      </w:r>
      <w:r>
        <w:rPr>
          <w:rFonts w:ascii="Arial" w:eastAsia="Arial" w:hAnsi="Arial" w:cs="Arial"/>
          <w:sz w:val="22"/>
          <w:szCs w:val="22"/>
        </w:rPr>
        <w:t>, llevado a cabo las funciones tesorales y de apoyo especializado en materia presupuestal, contable y tributaria a las que está sometida la entidad producto del traslado de sus recursos al SCUN, actuando en tiempo real, con información depurada y confiable</w:t>
      </w:r>
      <w:r>
        <w:rPr>
          <w:rFonts w:ascii="Arial" w:eastAsia="Arial" w:hAnsi="Arial" w:cs="Arial"/>
          <w:sz w:val="22"/>
          <w:szCs w:val="22"/>
        </w:rPr>
        <w:t xml:space="preserve"> y finalmente contribuyendo con el propósito de centralizar los recursos financieros del Estado en la Cuenta Única Nacional.</w:t>
      </w:r>
    </w:p>
    <w:p w:rsidR="00B202A2" w:rsidRDefault="00295E06">
      <w:pPr>
        <w:ind w:left="700"/>
        <w:jc w:val="both"/>
        <w:rPr>
          <w:rFonts w:ascii="Arial" w:eastAsia="Arial" w:hAnsi="Arial" w:cs="Arial"/>
          <w:sz w:val="22"/>
          <w:szCs w:val="22"/>
        </w:rPr>
      </w:pPr>
      <w:r>
        <w:rPr>
          <w:rFonts w:ascii="Arial" w:eastAsia="Arial" w:hAnsi="Arial" w:cs="Arial"/>
          <w:sz w:val="22"/>
          <w:szCs w:val="22"/>
        </w:rPr>
        <w:t xml:space="preserve"> </w:t>
      </w:r>
    </w:p>
    <w:p w:rsidR="00B202A2" w:rsidRDefault="00295E06">
      <w:pPr>
        <w:numPr>
          <w:ilvl w:val="0"/>
          <w:numId w:val="23"/>
        </w:numPr>
        <w:jc w:val="both"/>
        <w:rPr>
          <w:rFonts w:ascii="Arial" w:eastAsia="Arial" w:hAnsi="Arial" w:cs="Arial"/>
          <w:sz w:val="22"/>
          <w:szCs w:val="22"/>
        </w:rPr>
      </w:pPr>
      <w:r>
        <w:rPr>
          <w:rFonts w:ascii="Arial" w:eastAsia="Arial" w:hAnsi="Arial" w:cs="Arial"/>
          <w:sz w:val="22"/>
          <w:szCs w:val="22"/>
        </w:rPr>
        <w:t>Por lo anterior, en la Gestión Transversal del Proceso Financiero se resumen los siguientes avances:</w:t>
      </w:r>
    </w:p>
    <w:p w:rsidR="00B202A2" w:rsidRDefault="00295E06">
      <w:pPr>
        <w:ind w:left="700"/>
        <w:jc w:val="both"/>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noProof/>
          <w:sz w:val="22"/>
          <w:szCs w:val="22"/>
          <w:lang w:val="en-US"/>
        </w:rPr>
        <w:drawing>
          <wp:inline distT="114300" distB="114300" distL="114300" distR="114300" wp14:anchorId="5E6CC0C2" wp14:editId="0D2BB948">
            <wp:extent cx="5248275" cy="4780680"/>
            <wp:effectExtent l="0" t="0" r="0" b="0"/>
            <wp:docPr id="148"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27"/>
                    <a:srcRect/>
                    <a:stretch>
                      <a:fillRect/>
                    </a:stretch>
                  </pic:blipFill>
                  <pic:spPr>
                    <a:xfrm>
                      <a:off x="0" y="0"/>
                      <a:ext cx="5248275" cy="4780680"/>
                    </a:xfrm>
                    <a:prstGeom prst="rect">
                      <a:avLst/>
                    </a:prstGeom>
                    <a:ln/>
                  </pic:spPr>
                </pic:pic>
              </a:graphicData>
            </a:graphic>
          </wp:inline>
        </w:drawing>
      </w:r>
    </w:p>
    <w:p w:rsidR="00B202A2" w:rsidRDefault="00295E06">
      <w:pPr>
        <w:ind w:left="700"/>
        <w:jc w:val="both"/>
        <w:rPr>
          <w:rFonts w:ascii="Arial" w:eastAsia="Arial" w:hAnsi="Arial" w:cs="Arial"/>
          <w:sz w:val="22"/>
          <w:szCs w:val="22"/>
        </w:rPr>
      </w:pPr>
      <w:r>
        <w:rPr>
          <w:rFonts w:ascii="Arial" w:eastAsia="Arial" w:hAnsi="Arial" w:cs="Arial"/>
          <w:sz w:val="22"/>
          <w:szCs w:val="22"/>
        </w:rPr>
        <w:lastRenderedPageBreak/>
        <w:t xml:space="preserve"> </w:t>
      </w:r>
    </w:p>
    <w:p w:rsidR="00B202A2" w:rsidRDefault="00B202A2">
      <w:pPr>
        <w:spacing w:after="240"/>
        <w:jc w:val="both"/>
        <w:rPr>
          <w:rFonts w:ascii="Arial" w:eastAsia="Arial" w:hAnsi="Arial" w:cs="Arial"/>
          <w:b/>
          <w:color w:val="2E74B5"/>
          <w:sz w:val="22"/>
          <w:szCs w:val="22"/>
        </w:rPr>
      </w:pPr>
    </w:p>
    <w:p w:rsidR="00B202A2" w:rsidRDefault="00295E06">
      <w:pPr>
        <w:pStyle w:val="Ttulo3"/>
        <w:rPr>
          <w:rFonts w:ascii="Arial" w:eastAsia="Arial" w:hAnsi="Arial" w:cs="Arial"/>
          <w:color w:val="2F5496"/>
          <w:sz w:val="22"/>
          <w:szCs w:val="22"/>
        </w:rPr>
      </w:pPr>
      <w:bookmarkStart w:id="75" w:name="_Toc55494300"/>
      <w:r>
        <w:rPr>
          <w:rFonts w:ascii="Arial" w:eastAsia="Arial" w:hAnsi="Arial" w:cs="Arial"/>
          <w:color w:val="2F5496"/>
          <w:sz w:val="22"/>
          <w:szCs w:val="22"/>
        </w:rPr>
        <w:t>2.7.4. GIT de Talento Humano</w:t>
      </w:r>
      <w:bookmarkEnd w:id="75"/>
    </w:p>
    <w:p w:rsidR="00B202A2" w:rsidRDefault="00B202A2">
      <w:pPr>
        <w:rPr>
          <w:rFonts w:ascii="Arial" w:eastAsia="Arial" w:hAnsi="Arial" w:cs="Arial"/>
          <w:sz w:val="22"/>
          <w:szCs w:val="22"/>
        </w:rPr>
      </w:pPr>
    </w:p>
    <w:p w:rsidR="00B202A2" w:rsidRDefault="00295E06">
      <w:pPr>
        <w:spacing w:after="240"/>
        <w:jc w:val="both"/>
        <w:rPr>
          <w:rFonts w:ascii="Arial" w:eastAsia="Arial" w:hAnsi="Arial" w:cs="Arial"/>
          <w:sz w:val="22"/>
          <w:szCs w:val="22"/>
        </w:rPr>
      </w:pPr>
      <w:r>
        <w:rPr>
          <w:rFonts w:ascii="Arial" w:eastAsia="Arial" w:hAnsi="Arial" w:cs="Arial"/>
          <w:sz w:val="22"/>
          <w:szCs w:val="22"/>
        </w:rPr>
        <w:t>La Unidad de Planeación Minero Energética, considera al Talento Humano de la entidad como eje central para el cumplimiento de la misión y visión de la misma, y por ello se ha propuesto ofrecer las mejores condiciones laborales, el desarrollo integral de lo</w:t>
      </w:r>
      <w:r>
        <w:rPr>
          <w:rFonts w:ascii="Arial" w:eastAsia="Arial" w:hAnsi="Arial" w:cs="Arial"/>
          <w:sz w:val="22"/>
          <w:szCs w:val="22"/>
        </w:rPr>
        <w:t>s servidores públicos, el fortalecimiento de sus competencias comportamentales y los valores institucionales ante la ciudadanía que espera el mejor servicio por parte de la UPME, a través de la estructuración de sus planes como son: Plan Institucional de C</w:t>
      </w:r>
      <w:r>
        <w:rPr>
          <w:rFonts w:ascii="Arial" w:eastAsia="Arial" w:hAnsi="Arial" w:cs="Arial"/>
          <w:sz w:val="22"/>
          <w:szCs w:val="22"/>
        </w:rPr>
        <w:t>apacitación, Plan de Bienestar, Estímulos e Incentivos, Plan de Trabajo Anual en Seguridad y Salud en el Trabajo  SG-SST, Plan Anual de Vacantes, Plan de Previsión de Recursos Humanos, Plan Estratégico de Talento Humano, Plan Anticorrupción y Atención al C</w:t>
      </w:r>
      <w:r>
        <w:rPr>
          <w:rFonts w:ascii="Arial" w:eastAsia="Arial" w:hAnsi="Arial" w:cs="Arial"/>
          <w:sz w:val="22"/>
          <w:szCs w:val="22"/>
        </w:rPr>
        <w:t>iudadano.</w:t>
      </w:r>
    </w:p>
    <w:p w:rsidR="00B202A2" w:rsidRDefault="00295E06">
      <w:pPr>
        <w:jc w:val="both"/>
        <w:rPr>
          <w:rFonts w:ascii="Arial" w:eastAsia="Arial" w:hAnsi="Arial" w:cs="Arial"/>
          <w:sz w:val="22"/>
          <w:szCs w:val="22"/>
        </w:rPr>
      </w:pPr>
      <w:r>
        <w:rPr>
          <w:rFonts w:ascii="Arial" w:eastAsia="Arial" w:hAnsi="Arial" w:cs="Arial"/>
          <w:sz w:val="22"/>
          <w:szCs w:val="22"/>
        </w:rPr>
        <w:t>Las actuaciones para el desarrollo del Talento Humano, como núcleo del Modelo Integrado de Planeación y Gestión MIPG, se desarrollan a partir del derrotero de la transparencia, eficacia y efectividad, que con calidez brinda apoyo y soporte al que</w:t>
      </w:r>
      <w:r>
        <w:rPr>
          <w:rFonts w:ascii="Arial" w:eastAsia="Arial" w:hAnsi="Arial" w:cs="Arial"/>
          <w:sz w:val="22"/>
          <w:szCs w:val="22"/>
        </w:rPr>
        <w:t>hacer estratégico de la organización, el cumplimiento de la misión, la visión y objetivos de la UPME</w:t>
      </w:r>
    </w:p>
    <w:p w:rsidR="00B202A2" w:rsidRDefault="00295E06">
      <w:pPr>
        <w:jc w:val="both"/>
        <w:rPr>
          <w:rFonts w:ascii="Arial" w:eastAsia="Arial" w:hAnsi="Arial" w:cs="Arial"/>
          <w:sz w:val="22"/>
          <w:szCs w:val="22"/>
        </w:rPr>
      </w:pPr>
      <w:r>
        <w:rPr>
          <w:rFonts w:ascii="Arial" w:eastAsia="Arial" w:hAnsi="Arial" w:cs="Arial"/>
          <w:sz w:val="22"/>
          <w:szCs w:val="22"/>
        </w:rPr>
        <w:t xml:space="preserve"> </w:t>
      </w:r>
    </w:p>
    <w:p w:rsidR="00B202A2" w:rsidRDefault="00295E06">
      <w:pPr>
        <w:jc w:val="both"/>
        <w:rPr>
          <w:rFonts w:ascii="Arial" w:eastAsia="Arial" w:hAnsi="Arial" w:cs="Arial"/>
          <w:sz w:val="22"/>
          <w:szCs w:val="22"/>
        </w:rPr>
      </w:pPr>
      <w:r>
        <w:rPr>
          <w:rFonts w:ascii="Arial" w:eastAsia="Arial" w:hAnsi="Arial" w:cs="Arial"/>
          <w:sz w:val="22"/>
          <w:szCs w:val="22"/>
        </w:rPr>
        <w:t xml:space="preserve">A través del presente informe de gestión se destacan los aspectos más relevantes de la gestión de la dependencia, resaltando que todos los resultados se </w:t>
      </w:r>
      <w:r>
        <w:rPr>
          <w:rFonts w:ascii="Arial" w:eastAsia="Arial" w:hAnsi="Arial" w:cs="Arial"/>
          <w:sz w:val="22"/>
          <w:szCs w:val="22"/>
        </w:rPr>
        <w:t>deben al equipo humano que ejerce su servicio público con dedicación y compromiso.</w:t>
      </w:r>
    </w:p>
    <w:p w:rsidR="00B202A2" w:rsidRDefault="00295E06">
      <w:pPr>
        <w:jc w:val="both"/>
        <w:rPr>
          <w:rFonts w:ascii="Arial" w:eastAsia="Arial" w:hAnsi="Arial" w:cs="Arial"/>
          <w:sz w:val="22"/>
          <w:szCs w:val="22"/>
        </w:rPr>
      </w:pPr>
      <w:r>
        <w:rPr>
          <w:rFonts w:ascii="Arial" w:eastAsia="Arial" w:hAnsi="Arial" w:cs="Arial"/>
          <w:sz w:val="22"/>
          <w:szCs w:val="22"/>
        </w:rPr>
        <w:t xml:space="preserve"> </w:t>
      </w:r>
    </w:p>
    <w:p w:rsidR="00B202A2" w:rsidRDefault="00295E06">
      <w:pPr>
        <w:spacing w:after="160"/>
        <w:jc w:val="both"/>
        <w:rPr>
          <w:rFonts w:ascii="Arial" w:eastAsia="Arial" w:hAnsi="Arial" w:cs="Arial"/>
          <w:sz w:val="22"/>
          <w:szCs w:val="22"/>
        </w:rPr>
      </w:pPr>
      <w:r>
        <w:rPr>
          <w:rFonts w:ascii="Arial" w:eastAsia="Arial" w:hAnsi="Arial" w:cs="Arial"/>
          <w:sz w:val="22"/>
          <w:szCs w:val="22"/>
        </w:rPr>
        <w:t>La Unidad Administrativa Especial de Planeación Minero Energética – UPME creada mediante el Decreto 2119 de 1992</w:t>
      </w:r>
      <w:r>
        <w:rPr>
          <w:rFonts w:ascii="Arial" w:eastAsia="Arial" w:hAnsi="Arial" w:cs="Arial"/>
          <w:sz w:val="22"/>
          <w:szCs w:val="22"/>
          <w:vertAlign w:val="superscript"/>
        </w:rPr>
        <w:t>[1]</w:t>
      </w:r>
      <w:r>
        <w:rPr>
          <w:rFonts w:ascii="Arial" w:eastAsia="Arial" w:hAnsi="Arial" w:cs="Arial"/>
          <w:sz w:val="22"/>
          <w:szCs w:val="22"/>
        </w:rPr>
        <w:t>, se encuentra regulada a través de la Ley 143 de 1994</w:t>
      </w:r>
      <w:r>
        <w:rPr>
          <w:rFonts w:ascii="Arial" w:eastAsia="Arial" w:hAnsi="Arial" w:cs="Arial"/>
          <w:sz w:val="22"/>
          <w:szCs w:val="22"/>
          <w:vertAlign w:val="superscript"/>
        </w:rPr>
        <w:t>[2</w:t>
      </w:r>
      <w:r>
        <w:rPr>
          <w:rFonts w:ascii="Arial" w:eastAsia="Arial" w:hAnsi="Arial" w:cs="Arial"/>
          <w:sz w:val="22"/>
          <w:szCs w:val="22"/>
          <w:vertAlign w:val="superscript"/>
        </w:rPr>
        <w:t>]</w:t>
      </w:r>
      <w:r>
        <w:rPr>
          <w:rFonts w:ascii="Arial" w:eastAsia="Arial" w:hAnsi="Arial" w:cs="Arial"/>
          <w:sz w:val="22"/>
          <w:szCs w:val="22"/>
        </w:rPr>
        <w:t xml:space="preserve"> y los Decretos 1258</w:t>
      </w:r>
      <w:r>
        <w:rPr>
          <w:rFonts w:ascii="Arial" w:eastAsia="Arial" w:hAnsi="Arial" w:cs="Arial"/>
          <w:sz w:val="22"/>
          <w:szCs w:val="22"/>
          <w:vertAlign w:val="superscript"/>
        </w:rPr>
        <w:t>[3]</w:t>
      </w:r>
      <w:r>
        <w:rPr>
          <w:rFonts w:ascii="Arial" w:eastAsia="Arial" w:hAnsi="Arial" w:cs="Arial"/>
          <w:sz w:val="22"/>
          <w:szCs w:val="22"/>
        </w:rPr>
        <w:t xml:space="preserve"> y 1259</w:t>
      </w:r>
      <w:r>
        <w:rPr>
          <w:rFonts w:ascii="Arial" w:eastAsia="Arial" w:hAnsi="Arial" w:cs="Arial"/>
          <w:sz w:val="22"/>
          <w:szCs w:val="22"/>
          <w:vertAlign w:val="superscript"/>
        </w:rPr>
        <w:t>[4]</w:t>
      </w:r>
      <w:r>
        <w:rPr>
          <w:rFonts w:ascii="Arial" w:eastAsia="Arial" w:hAnsi="Arial" w:cs="Arial"/>
          <w:sz w:val="22"/>
          <w:szCs w:val="22"/>
        </w:rPr>
        <w:t xml:space="preserve"> de 17 de junio de 2013, a través de los cuales se modificó su estructura orgánica y planta de personal, respectivamente.</w:t>
      </w:r>
    </w:p>
    <w:p w:rsidR="00B202A2" w:rsidRDefault="00295E06">
      <w:pPr>
        <w:spacing w:after="160"/>
        <w:jc w:val="both"/>
        <w:rPr>
          <w:rFonts w:ascii="Arial" w:eastAsia="Arial" w:hAnsi="Arial" w:cs="Arial"/>
          <w:sz w:val="22"/>
          <w:szCs w:val="22"/>
        </w:rPr>
      </w:pPr>
      <w:r>
        <w:rPr>
          <w:rFonts w:ascii="Arial" w:eastAsia="Arial" w:hAnsi="Arial" w:cs="Arial"/>
          <w:sz w:val="22"/>
          <w:szCs w:val="22"/>
        </w:rPr>
        <w:t>Actualmente, la UPME cuenta con una planta de personal compuesta por 126 servidores públicos, distri</w:t>
      </w:r>
      <w:r>
        <w:rPr>
          <w:rFonts w:ascii="Arial" w:eastAsia="Arial" w:hAnsi="Arial" w:cs="Arial"/>
          <w:sz w:val="22"/>
          <w:szCs w:val="22"/>
        </w:rPr>
        <w:t>buidos en 8 dependencias que a su turno cuentan con 10 Grupos Internos de Trabajo, como se resume en la siguiente ilustración:</w:t>
      </w:r>
    </w:p>
    <w:p w:rsidR="00B202A2" w:rsidRDefault="00295E06">
      <w:pPr>
        <w:spacing w:after="160"/>
        <w:jc w:val="both"/>
        <w:rPr>
          <w:rFonts w:ascii="Arial" w:eastAsia="Arial" w:hAnsi="Arial" w:cs="Arial"/>
          <w:sz w:val="22"/>
          <w:szCs w:val="22"/>
        </w:rPr>
      </w:pPr>
      <w:r>
        <w:rPr>
          <w:rFonts w:ascii="Arial" w:eastAsia="Arial" w:hAnsi="Arial" w:cs="Arial"/>
          <w:sz w:val="22"/>
          <w:szCs w:val="22"/>
        </w:rPr>
        <w:t xml:space="preserve">Los 126 servidores enunciados se encuentran distribuidos así: 8 se encuentran en el nivel directivo, 8 en el nivel asesor, 97 en </w:t>
      </w:r>
      <w:r>
        <w:rPr>
          <w:rFonts w:ascii="Arial" w:eastAsia="Arial" w:hAnsi="Arial" w:cs="Arial"/>
          <w:sz w:val="22"/>
          <w:szCs w:val="22"/>
        </w:rPr>
        <w:t>el nivel profesional, 4 en el nivel técnico y 9 en el nivel asistencial. De esta manera, el 87,3% de los empleos de la planta de personal son de carrera administrativa (nivel profesional, técnico y asistencial), mientras que el 12,7% son de libre nombramie</w:t>
      </w:r>
      <w:r>
        <w:rPr>
          <w:rFonts w:ascii="Arial" w:eastAsia="Arial" w:hAnsi="Arial" w:cs="Arial"/>
          <w:sz w:val="22"/>
          <w:szCs w:val="22"/>
        </w:rPr>
        <w:t>nto y remoción (nivel directivo y asesor).</w:t>
      </w:r>
    </w:p>
    <w:p w:rsidR="00B202A2" w:rsidRDefault="00295E06">
      <w:pPr>
        <w:spacing w:after="160"/>
        <w:jc w:val="both"/>
        <w:rPr>
          <w:rFonts w:ascii="Arial" w:eastAsia="Arial" w:hAnsi="Arial" w:cs="Arial"/>
          <w:sz w:val="22"/>
          <w:szCs w:val="22"/>
        </w:rPr>
      </w:pPr>
      <w:r>
        <w:rPr>
          <w:rFonts w:ascii="Arial" w:eastAsia="Arial" w:hAnsi="Arial" w:cs="Arial"/>
          <w:sz w:val="22"/>
          <w:szCs w:val="22"/>
        </w:rPr>
        <w:t>Con corte de 31 de octubre de 2020, esta es la situación en materia de provisión de la planta:</w:t>
      </w:r>
      <w:r>
        <w:br w:type="page"/>
      </w:r>
    </w:p>
    <w:p w:rsidR="00B202A2" w:rsidRDefault="00B202A2">
      <w:pPr>
        <w:spacing w:after="160"/>
        <w:jc w:val="both"/>
        <w:rPr>
          <w:rFonts w:ascii="Arial" w:eastAsia="Arial" w:hAnsi="Arial" w:cs="Arial"/>
          <w:sz w:val="22"/>
          <w:szCs w:val="22"/>
        </w:rPr>
      </w:pPr>
    </w:p>
    <w:p w:rsidR="00B202A2" w:rsidRDefault="00295E06">
      <w:pPr>
        <w:spacing w:after="160"/>
        <w:jc w:val="center"/>
        <w:rPr>
          <w:rFonts w:ascii="Arial" w:eastAsia="Arial" w:hAnsi="Arial" w:cs="Arial"/>
          <w:b/>
          <w:sz w:val="22"/>
          <w:szCs w:val="22"/>
          <w:u w:val="single"/>
        </w:rPr>
      </w:pPr>
      <w:bookmarkStart w:id="76" w:name="_heading=h.1egqt2p" w:colFirst="0" w:colLast="0"/>
      <w:bookmarkEnd w:id="76"/>
      <w:r>
        <w:rPr>
          <w:rFonts w:ascii="Arial" w:eastAsia="Arial" w:hAnsi="Arial" w:cs="Arial"/>
          <w:b/>
          <w:sz w:val="22"/>
          <w:szCs w:val="22"/>
          <w:u w:val="single"/>
        </w:rPr>
        <w:t>Tabla 20. Empleos y planta de personal con corte a 9 de octubre de 2020</w:t>
      </w:r>
    </w:p>
    <w:tbl>
      <w:tblPr>
        <w:tblStyle w:val="afff5"/>
        <w:tblW w:w="89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40"/>
        <w:gridCol w:w="1305"/>
        <w:gridCol w:w="1350"/>
        <w:gridCol w:w="1380"/>
        <w:gridCol w:w="1440"/>
        <w:gridCol w:w="1755"/>
      </w:tblGrid>
      <w:tr w:rsidR="00B202A2">
        <w:trPr>
          <w:trHeight w:val="326"/>
        </w:trPr>
        <w:tc>
          <w:tcPr>
            <w:tcW w:w="8970" w:type="dxa"/>
            <w:gridSpan w:val="6"/>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B202A2" w:rsidRDefault="00295E06">
            <w:pPr>
              <w:spacing w:after="120"/>
              <w:ind w:left="100" w:right="100"/>
              <w:jc w:val="center"/>
              <w:rPr>
                <w:rFonts w:ascii="Arial" w:eastAsia="Arial" w:hAnsi="Arial" w:cs="Arial"/>
                <w:b/>
                <w:sz w:val="22"/>
                <w:szCs w:val="22"/>
              </w:rPr>
            </w:pPr>
            <w:r>
              <w:rPr>
                <w:rFonts w:ascii="Arial" w:eastAsia="Arial" w:hAnsi="Arial" w:cs="Arial"/>
                <w:b/>
                <w:sz w:val="22"/>
                <w:szCs w:val="22"/>
              </w:rPr>
              <w:t>Situación administrativa de los empleos de la planta de personal</w:t>
            </w:r>
          </w:p>
        </w:tc>
      </w:tr>
      <w:tr w:rsidR="00B202A2">
        <w:trPr>
          <w:trHeight w:val="737"/>
        </w:trPr>
        <w:tc>
          <w:tcPr>
            <w:tcW w:w="174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B202A2" w:rsidRDefault="00295E06">
            <w:pPr>
              <w:spacing w:after="120"/>
              <w:ind w:left="100" w:right="100"/>
              <w:jc w:val="center"/>
              <w:rPr>
                <w:rFonts w:ascii="Arial" w:eastAsia="Arial" w:hAnsi="Arial" w:cs="Arial"/>
                <w:b/>
                <w:sz w:val="20"/>
                <w:szCs w:val="20"/>
              </w:rPr>
            </w:pPr>
            <w:r>
              <w:rPr>
                <w:rFonts w:ascii="Arial" w:eastAsia="Arial" w:hAnsi="Arial" w:cs="Arial"/>
                <w:b/>
                <w:sz w:val="20"/>
                <w:szCs w:val="20"/>
              </w:rPr>
              <w:t>Clase de Empleo</w:t>
            </w:r>
          </w:p>
        </w:tc>
        <w:tc>
          <w:tcPr>
            <w:tcW w:w="130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B202A2" w:rsidRDefault="00295E06">
            <w:pPr>
              <w:spacing w:after="120"/>
              <w:ind w:left="100" w:right="100"/>
              <w:jc w:val="center"/>
              <w:rPr>
                <w:rFonts w:ascii="Arial" w:eastAsia="Arial" w:hAnsi="Arial" w:cs="Arial"/>
                <w:b/>
                <w:sz w:val="20"/>
                <w:szCs w:val="20"/>
              </w:rPr>
            </w:pPr>
            <w:r>
              <w:rPr>
                <w:rFonts w:ascii="Arial" w:eastAsia="Arial" w:hAnsi="Arial" w:cs="Arial"/>
                <w:b/>
                <w:sz w:val="20"/>
                <w:szCs w:val="20"/>
              </w:rPr>
              <w:t>Total Empleos</w:t>
            </w:r>
          </w:p>
        </w:tc>
        <w:tc>
          <w:tcPr>
            <w:tcW w:w="135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B202A2" w:rsidRDefault="00295E06">
            <w:pPr>
              <w:spacing w:after="120"/>
              <w:ind w:left="100" w:right="100"/>
              <w:jc w:val="center"/>
              <w:rPr>
                <w:rFonts w:ascii="Arial" w:eastAsia="Arial" w:hAnsi="Arial" w:cs="Arial"/>
                <w:b/>
                <w:sz w:val="20"/>
                <w:szCs w:val="20"/>
              </w:rPr>
            </w:pPr>
            <w:r>
              <w:rPr>
                <w:rFonts w:ascii="Arial" w:eastAsia="Arial" w:hAnsi="Arial" w:cs="Arial"/>
                <w:b/>
                <w:sz w:val="20"/>
                <w:szCs w:val="20"/>
              </w:rPr>
              <w:t>Provistos</w:t>
            </w:r>
          </w:p>
        </w:tc>
        <w:tc>
          <w:tcPr>
            <w:tcW w:w="138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B202A2" w:rsidRDefault="00295E06">
            <w:pPr>
              <w:spacing w:after="120"/>
              <w:ind w:left="100" w:right="100"/>
              <w:jc w:val="center"/>
              <w:rPr>
                <w:rFonts w:ascii="Arial" w:eastAsia="Arial" w:hAnsi="Arial" w:cs="Arial"/>
                <w:b/>
                <w:sz w:val="20"/>
                <w:szCs w:val="20"/>
              </w:rPr>
            </w:pPr>
            <w:r>
              <w:rPr>
                <w:rFonts w:ascii="Arial" w:eastAsia="Arial" w:hAnsi="Arial" w:cs="Arial"/>
                <w:b/>
                <w:sz w:val="20"/>
                <w:szCs w:val="20"/>
              </w:rPr>
              <w:t>Vacantes</w:t>
            </w:r>
          </w:p>
        </w:tc>
        <w:tc>
          <w:tcPr>
            <w:tcW w:w="144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B202A2" w:rsidRDefault="00295E06">
            <w:pPr>
              <w:spacing w:after="120"/>
              <w:ind w:left="100" w:right="100"/>
              <w:jc w:val="center"/>
              <w:rPr>
                <w:rFonts w:ascii="Arial" w:eastAsia="Arial" w:hAnsi="Arial" w:cs="Arial"/>
                <w:b/>
                <w:sz w:val="20"/>
                <w:szCs w:val="20"/>
              </w:rPr>
            </w:pPr>
            <w:r>
              <w:rPr>
                <w:rFonts w:ascii="Arial" w:eastAsia="Arial" w:hAnsi="Arial" w:cs="Arial"/>
                <w:b/>
                <w:sz w:val="20"/>
                <w:szCs w:val="20"/>
              </w:rPr>
              <w:t>Con derechos de carrera</w:t>
            </w:r>
          </w:p>
        </w:tc>
        <w:tc>
          <w:tcPr>
            <w:tcW w:w="175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B202A2" w:rsidRDefault="00295E06">
            <w:pPr>
              <w:spacing w:after="120"/>
              <w:ind w:left="100" w:right="100"/>
              <w:jc w:val="center"/>
              <w:rPr>
                <w:rFonts w:ascii="Arial" w:eastAsia="Arial" w:hAnsi="Arial" w:cs="Arial"/>
                <w:b/>
                <w:sz w:val="20"/>
                <w:szCs w:val="20"/>
              </w:rPr>
            </w:pPr>
            <w:r>
              <w:rPr>
                <w:rFonts w:ascii="Arial" w:eastAsia="Arial" w:hAnsi="Arial" w:cs="Arial"/>
                <w:b/>
                <w:sz w:val="20"/>
                <w:szCs w:val="20"/>
              </w:rPr>
              <w:t>Provisionales</w:t>
            </w:r>
          </w:p>
        </w:tc>
      </w:tr>
      <w:tr w:rsidR="00B202A2">
        <w:trPr>
          <w:trHeight w:val="1355"/>
        </w:trPr>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spacing w:after="120"/>
              <w:ind w:left="100" w:right="100"/>
              <w:rPr>
                <w:rFonts w:ascii="Arial" w:eastAsia="Arial" w:hAnsi="Arial" w:cs="Arial"/>
                <w:sz w:val="20"/>
                <w:szCs w:val="20"/>
              </w:rPr>
            </w:pPr>
            <w:r>
              <w:rPr>
                <w:rFonts w:ascii="Arial" w:eastAsia="Arial" w:hAnsi="Arial" w:cs="Arial"/>
                <w:sz w:val="20"/>
                <w:szCs w:val="20"/>
              </w:rPr>
              <w:t>Libre Nombramiento y Remoción</w:t>
            </w: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spacing w:after="120"/>
              <w:ind w:left="100" w:right="100"/>
              <w:jc w:val="center"/>
              <w:rPr>
                <w:rFonts w:ascii="Arial" w:eastAsia="Arial" w:hAnsi="Arial" w:cs="Arial"/>
                <w:sz w:val="22"/>
                <w:szCs w:val="22"/>
              </w:rPr>
            </w:pPr>
            <w:r>
              <w:rPr>
                <w:rFonts w:ascii="Arial" w:eastAsia="Arial" w:hAnsi="Arial" w:cs="Arial"/>
                <w:sz w:val="22"/>
                <w:szCs w:val="22"/>
              </w:rPr>
              <w:t>16</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spacing w:after="120"/>
              <w:ind w:left="100" w:right="100"/>
              <w:jc w:val="center"/>
              <w:rPr>
                <w:rFonts w:ascii="Arial" w:eastAsia="Arial" w:hAnsi="Arial" w:cs="Arial"/>
                <w:sz w:val="22"/>
                <w:szCs w:val="22"/>
              </w:rPr>
            </w:pPr>
            <w:r>
              <w:rPr>
                <w:rFonts w:ascii="Arial" w:eastAsia="Arial" w:hAnsi="Arial" w:cs="Arial"/>
                <w:sz w:val="22"/>
                <w:szCs w:val="22"/>
              </w:rPr>
              <w:t>15</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spacing w:after="120"/>
              <w:ind w:left="100" w:right="100"/>
              <w:jc w:val="center"/>
              <w:rPr>
                <w:rFonts w:ascii="Arial" w:eastAsia="Arial" w:hAnsi="Arial" w:cs="Arial"/>
                <w:sz w:val="22"/>
                <w:szCs w:val="22"/>
              </w:rPr>
            </w:pPr>
            <w:r>
              <w:rPr>
                <w:rFonts w:ascii="Arial" w:eastAsia="Arial" w:hAnsi="Arial" w:cs="Arial"/>
                <w:sz w:val="22"/>
                <w:szCs w:val="22"/>
              </w:rPr>
              <w:t>1</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spacing w:after="120"/>
              <w:ind w:left="100" w:right="100"/>
              <w:jc w:val="center"/>
              <w:rPr>
                <w:rFonts w:ascii="Arial" w:eastAsia="Arial" w:hAnsi="Arial" w:cs="Arial"/>
                <w:sz w:val="22"/>
                <w:szCs w:val="22"/>
              </w:rPr>
            </w:pPr>
            <w:r>
              <w:rPr>
                <w:rFonts w:ascii="Arial" w:eastAsia="Arial" w:hAnsi="Arial" w:cs="Arial"/>
                <w:sz w:val="22"/>
                <w:szCs w:val="22"/>
              </w:rPr>
              <w:t>2</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spacing w:after="120"/>
              <w:ind w:left="100" w:right="100"/>
              <w:jc w:val="center"/>
              <w:rPr>
                <w:rFonts w:ascii="Arial" w:eastAsia="Arial" w:hAnsi="Arial" w:cs="Arial"/>
                <w:sz w:val="22"/>
                <w:szCs w:val="22"/>
              </w:rPr>
            </w:pPr>
            <w:r>
              <w:rPr>
                <w:rFonts w:ascii="Arial" w:eastAsia="Arial" w:hAnsi="Arial" w:cs="Arial"/>
                <w:sz w:val="22"/>
                <w:szCs w:val="22"/>
              </w:rPr>
              <w:t>0</w:t>
            </w:r>
          </w:p>
        </w:tc>
      </w:tr>
      <w:tr w:rsidR="00B202A2">
        <w:trPr>
          <w:trHeight w:val="1025"/>
        </w:trPr>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spacing w:after="120"/>
              <w:ind w:left="100" w:right="100"/>
              <w:rPr>
                <w:rFonts w:ascii="Arial" w:eastAsia="Arial" w:hAnsi="Arial" w:cs="Arial"/>
                <w:sz w:val="20"/>
                <w:szCs w:val="20"/>
              </w:rPr>
            </w:pPr>
            <w:r>
              <w:rPr>
                <w:rFonts w:ascii="Arial" w:eastAsia="Arial" w:hAnsi="Arial" w:cs="Arial"/>
                <w:sz w:val="20"/>
                <w:szCs w:val="20"/>
              </w:rPr>
              <w:t>Carrera Administrativa</w:t>
            </w: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spacing w:after="120"/>
              <w:ind w:left="100" w:right="100"/>
              <w:jc w:val="center"/>
              <w:rPr>
                <w:rFonts w:ascii="Arial" w:eastAsia="Arial" w:hAnsi="Arial" w:cs="Arial"/>
                <w:sz w:val="22"/>
                <w:szCs w:val="22"/>
              </w:rPr>
            </w:pPr>
            <w:r>
              <w:rPr>
                <w:rFonts w:ascii="Arial" w:eastAsia="Arial" w:hAnsi="Arial" w:cs="Arial"/>
                <w:sz w:val="22"/>
                <w:szCs w:val="22"/>
              </w:rPr>
              <w:t>110</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spacing w:after="120"/>
              <w:ind w:left="100" w:right="100"/>
              <w:jc w:val="center"/>
              <w:rPr>
                <w:rFonts w:ascii="Arial" w:eastAsia="Arial" w:hAnsi="Arial" w:cs="Arial"/>
                <w:sz w:val="22"/>
                <w:szCs w:val="22"/>
              </w:rPr>
            </w:pPr>
            <w:r>
              <w:rPr>
                <w:rFonts w:ascii="Arial" w:eastAsia="Arial" w:hAnsi="Arial" w:cs="Arial"/>
                <w:sz w:val="22"/>
                <w:szCs w:val="22"/>
              </w:rPr>
              <w:t>100</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spacing w:after="120"/>
              <w:ind w:left="100" w:right="100"/>
              <w:jc w:val="center"/>
              <w:rPr>
                <w:rFonts w:ascii="Arial" w:eastAsia="Arial" w:hAnsi="Arial" w:cs="Arial"/>
                <w:sz w:val="22"/>
                <w:szCs w:val="22"/>
              </w:rPr>
            </w:pPr>
            <w:r>
              <w:rPr>
                <w:rFonts w:ascii="Arial" w:eastAsia="Arial" w:hAnsi="Arial" w:cs="Arial"/>
                <w:sz w:val="22"/>
                <w:szCs w:val="22"/>
              </w:rPr>
              <w:t>10</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spacing w:after="120"/>
              <w:ind w:left="100" w:right="100"/>
              <w:jc w:val="center"/>
              <w:rPr>
                <w:rFonts w:ascii="Arial" w:eastAsia="Arial" w:hAnsi="Arial" w:cs="Arial"/>
                <w:sz w:val="22"/>
                <w:szCs w:val="22"/>
              </w:rPr>
            </w:pPr>
            <w:r>
              <w:rPr>
                <w:rFonts w:ascii="Arial" w:eastAsia="Arial" w:hAnsi="Arial" w:cs="Arial"/>
                <w:sz w:val="22"/>
                <w:szCs w:val="22"/>
              </w:rPr>
              <w:t>18</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spacing w:after="120"/>
              <w:ind w:left="100" w:right="100"/>
              <w:jc w:val="center"/>
              <w:rPr>
                <w:rFonts w:ascii="Arial" w:eastAsia="Arial" w:hAnsi="Arial" w:cs="Arial"/>
                <w:sz w:val="22"/>
                <w:szCs w:val="22"/>
              </w:rPr>
            </w:pPr>
            <w:r>
              <w:rPr>
                <w:rFonts w:ascii="Arial" w:eastAsia="Arial" w:hAnsi="Arial" w:cs="Arial"/>
                <w:sz w:val="22"/>
                <w:szCs w:val="22"/>
              </w:rPr>
              <w:t>77</w:t>
            </w:r>
          </w:p>
        </w:tc>
      </w:tr>
      <w:tr w:rsidR="00B202A2">
        <w:trPr>
          <w:trHeight w:val="830"/>
        </w:trPr>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spacing w:after="120"/>
              <w:ind w:left="100" w:right="100"/>
              <w:jc w:val="center"/>
              <w:rPr>
                <w:rFonts w:ascii="Arial" w:eastAsia="Arial" w:hAnsi="Arial" w:cs="Arial"/>
                <w:b/>
                <w:sz w:val="22"/>
                <w:szCs w:val="22"/>
              </w:rPr>
            </w:pPr>
            <w:r>
              <w:rPr>
                <w:rFonts w:ascii="Arial" w:eastAsia="Arial" w:hAnsi="Arial" w:cs="Arial"/>
                <w:b/>
                <w:sz w:val="22"/>
                <w:szCs w:val="22"/>
              </w:rPr>
              <w:t>TOTALES</w:t>
            </w: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spacing w:after="120"/>
              <w:ind w:left="100" w:right="100"/>
              <w:jc w:val="center"/>
              <w:rPr>
                <w:rFonts w:ascii="Arial" w:eastAsia="Arial" w:hAnsi="Arial" w:cs="Arial"/>
                <w:b/>
                <w:sz w:val="22"/>
                <w:szCs w:val="22"/>
              </w:rPr>
            </w:pPr>
            <w:r>
              <w:rPr>
                <w:rFonts w:ascii="Arial" w:eastAsia="Arial" w:hAnsi="Arial" w:cs="Arial"/>
                <w:b/>
                <w:sz w:val="22"/>
                <w:szCs w:val="22"/>
              </w:rPr>
              <w:t>126</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spacing w:after="120"/>
              <w:ind w:left="100" w:right="100"/>
              <w:jc w:val="center"/>
              <w:rPr>
                <w:rFonts w:ascii="Arial" w:eastAsia="Arial" w:hAnsi="Arial" w:cs="Arial"/>
                <w:b/>
                <w:sz w:val="22"/>
                <w:szCs w:val="22"/>
              </w:rPr>
            </w:pPr>
            <w:r>
              <w:rPr>
                <w:rFonts w:ascii="Arial" w:eastAsia="Arial" w:hAnsi="Arial" w:cs="Arial"/>
                <w:b/>
                <w:sz w:val="22"/>
                <w:szCs w:val="22"/>
              </w:rPr>
              <w:t>115</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spacing w:after="120"/>
              <w:ind w:left="100" w:right="100"/>
              <w:jc w:val="center"/>
              <w:rPr>
                <w:rFonts w:ascii="Arial" w:eastAsia="Arial" w:hAnsi="Arial" w:cs="Arial"/>
                <w:b/>
                <w:sz w:val="22"/>
                <w:szCs w:val="22"/>
              </w:rPr>
            </w:pPr>
            <w:r>
              <w:rPr>
                <w:rFonts w:ascii="Arial" w:eastAsia="Arial" w:hAnsi="Arial" w:cs="Arial"/>
                <w:b/>
                <w:sz w:val="22"/>
                <w:szCs w:val="22"/>
              </w:rPr>
              <w:t>11</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spacing w:after="120"/>
              <w:ind w:left="100" w:right="100"/>
              <w:jc w:val="center"/>
              <w:rPr>
                <w:rFonts w:ascii="Arial" w:eastAsia="Arial" w:hAnsi="Arial" w:cs="Arial"/>
                <w:b/>
                <w:sz w:val="22"/>
                <w:szCs w:val="22"/>
              </w:rPr>
            </w:pPr>
            <w:r>
              <w:rPr>
                <w:rFonts w:ascii="Arial" w:eastAsia="Arial" w:hAnsi="Arial" w:cs="Arial"/>
                <w:b/>
                <w:sz w:val="22"/>
                <w:szCs w:val="22"/>
              </w:rPr>
              <w:t>20</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spacing w:after="120"/>
              <w:ind w:left="100" w:right="100"/>
              <w:jc w:val="center"/>
              <w:rPr>
                <w:rFonts w:ascii="Arial" w:eastAsia="Arial" w:hAnsi="Arial" w:cs="Arial"/>
                <w:b/>
                <w:sz w:val="22"/>
                <w:szCs w:val="22"/>
              </w:rPr>
            </w:pPr>
            <w:r>
              <w:rPr>
                <w:rFonts w:ascii="Arial" w:eastAsia="Arial" w:hAnsi="Arial" w:cs="Arial"/>
                <w:b/>
                <w:sz w:val="22"/>
                <w:szCs w:val="22"/>
              </w:rPr>
              <w:t>77</w:t>
            </w:r>
          </w:p>
        </w:tc>
      </w:tr>
    </w:tbl>
    <w:p w:rsidR="00B202A2" w:rsidRDefault="00295E06">
      <w:pPr>
        <w:spacing w:after="160"/>
        <w:jc w:val="both"/>
        <w:rPr>
          <w:rFonts w:ascii="Arial" w:eastAsia="Arial" w:hAnsi="Arial" w:cs="Arial"/>
          <w:sz w:val="22"/>
          <w:szCs w:val="22"/>
        </w:rPr>
      </w:pPr>
      <w:r>
        <w:rPr>
          <w:rFonts w:ascii="Arial" w:eastAsia="Arial" w:hAnsi="Arial" w:cs="Arial"/>
          <w:sz w:val="22"/>
          <w:szCs w:val="22"/>
        </w:rPr>
        <w:t xml:space="preserve"> </w:t>
      </w:r>
    </w:p>
    <w:p w:rsidR="00B202A2" w:rsidRDefault="00295E06">
      <w:pPr>
        <w:spacing w:after="160"/>
        <w:jc w:val="both"/>
        <w:rPr>
          <w:rFonts w:ascii="Arial" w:eastAsia="Arial" w:hAnsi="Arial" w:cs="Arial"/>
          <w:sz w:val="22"/>
          <w:szCs w:val="22"/>
        </w:rPr>
      </w:pPr>
      <w:r>
        <w:rPr>
          <w:rFonts w:ascii="Arial" w:eastAsia="Arial" w:hAnsi="Arial" w:cs="Arial"/>
          <w:sz w:val="22"/>
          <w:szCs w:val="22"/>
        </w:rPr>
        <w:t>En cuanto a los empleos de Libre Nombramiento y Remoción se encuentran provistos 15 cargos y hay uno vacante. Es importante anotar que en la actualidad dos (2) servidores públicos de carrera administrativa se encuentran desempeñando cargos de Libre Nombram</w:t>
      </w:r>
      <w:r>
        <w:rPr>
          <w:rFonts w:ascii="Arial" w:eastAsia="Arial" w:hAnsi="Arial" w:cs="Arial"/>
          <w:sz w:val="22"/>
          <w:szCs w:val="22"/>
        </w:rPr>
        <w:t>iento y Remoción, mediante la figura de encargo; Asesor 1020-16 y Jefe de Oficina de Proyectos de Fondos 0137-19.</w:t>
      </w:r>
    </w:p>
    <w:p w:rsidR="00B202A2" w:rsidRDefault="00295E06">
      <w:pPr>
        <w:ind w:right="40"/>
        <w:jc w:val="both"/>
        <w:rPr>
          <w:rFonts w:ascii="Arial" w:eastAsia="Arial" w:hAnsi="Arial" w:cs="Arial"/>
          <w:sz w:val="22"/>
          <w:szCs w:val="22"/>
        </w:rPr>
      </w:pPr>
      <w:r>
        <w:rPr>
          <w:rFonts w:ascii="Arial" w:eastAsia="Arial" w:hAnsi="Arial" w:cs="Arial"/>
          <w:sz w:val="22"/>
          <w:szCs w:val="22"/>
        </w:rPr>
        <w:t>Los Ciento quince (115) empleos de Carrera Administrativa a la fecha del presente informe se encuentran cien (100) provistos, once (11) vacant</w:t>
      </w:r>
      <w:r>
        <w:rPr>
          <w:rFonts w:ascii="Arial" w:eastAsia="Arial" w:hAnsi="Arial" w:cs="Arial"/>
          <w:sz w:val="22"/>
          <w:szCs w:val="22"/>
        </w:rPr>
        <w:t>es, veinte (20) con derechos de Carrera y setenta y siete (77) Provisionales.</w:t>
      </w:r>
    </w:p>
    <w:p w:rsidR="00B202A2" w:rsidRDefault="00295E06">
      <w:pPr>
        <w:ind w:right="1500"/>
        <w:jc w:val="both"/>
        <w:rPr>
          <w:rFonts w:ascii="Arial" w:eastAsia="Arial" w:hAnsi="Arial" w:cs="Arial"/>
          <w:sz w:val="22"/>
          <w:szCs w:val="22"/>
        </w:rPr>
      </w:pPr>
      <w:r>
        <w:rPr>
          <w:rFonts w:ascii="Arial" w:eastAsia="Arial" w:hAnsi="Arial" w:cs="Arial"/>
          <w:sz w:val="22"/>
          <w:szCs w:val="22"/>
        </w:rPr>
        <w:t xml:space="preserve"> </w:t>
      </w:r>
    </w:p>
    <w:p w:rsidR="00B202A2" w:rsidRDefault="00295E06">
      <w:pPr>
        <w:spacing w:after="160"/>
        <w:jc w:val="both"/>
        <w:rPr>
          <w:rFonts w:ascii="Arial" w:eastAsia="Arial" w:hAnsi="Arial" w:cs="Arial"/>
          <w:sz w:val="22"/>
          <w:szCs w:val="22"/>
        </w:rPr>
      </w:pPr>
      <w:r>
        <w:rPr>
          <w:rFonts w:ascii="Arial" w:eastAsia="Arial" w:hAnsi="Arial" w:cs="Arial"/>
          <w:sz w:val="22"/>
          <w:szCs w:val="22"/>
        </w:rPr>
        <w:t xml:space="preserve">De los empleos mencionados, la planta de personal de la UPME tenía 115 empleos provistos equivalentes al 89,68% del total, de los cuales 106 son profesionales, equivalentes al </w:t>
      </w:r>
      <w:r>
        <w:rPr>
          <w:rFonts w:ascii="Arial" w:eastAsia="Arial" w:hAnsi="Arial" w:cs="Arial"/>
          <w:sz w:val="22"/>
          <w:szCs w:val="22"/>
        </w:rPr>
        <w:t>92,04 % de la planta provista; asimismo, de dichos empleos profesionales 43 tienen especialización equivalentes al 38,05%, 27 cuentan con maestría equivalentes al 23,89% y 1 con doctorado equivalente al 0,88% de los servidores públicos profesionales, desta</w:t>
      </w:r>
      <w:r>
        <w:rPr>
          <w:rFonts w:ascii="Arial" w:eastAsia="Arial" w:hAnsi="Arial" w:cs="Arial"/>
          <w:sz w:val="22"/>
          <w:szCs w:val="22"/>
        </w:rPr>
        <w:t>cándose así el alto perfil académico del talento humano de la entidad.</w:t>
      </w:r>
    </w:p>
    <w:p w:rsidR="00B202A2" w:rsidRDefault="00295E06">
      <w:pPr>
        <w:spacing w:after="160"/>
        <w:jc w:val="both"/>
        <w:rPr>
          <w:rFonts w:ascii="Arial" w:eastAsia="Arial" w:hAnsi="Arial" w:cs="Arial"/>
          <w:sz w:val="22"/>
          <w:szCs w:val="22"/>
        </w:rPr>
      </w:pPr>
      <w:r>
        <w:br w:type="page"/>
      </w:r>
    </w:p>
    <w:p w:rsidR="00B202A2" w:rsidRDefault="00B202A2">
      <w:pPr>
        <w:spacing w:after="160"/>
        <w:jc w:val="both"/>
        <w:rPr>
          <w:rFonts w:ascii="Arial" w:eastAsia="Arial" w:hAnsi="Arial" w:cs="Arial"/>
          <w:sz w:val="22"/>
          <w:szCs w:val="22"/>
        </w:rPr>
      </w:pPr>
    </w:p>
    <w:p w:rsidR="00B202A2" w:rsidRDefault="00295E06">
      <w:pPr>
        <w:spacing w:after="160"/>
        <w:jc w:val="center"/>
        <w:rPr>
          <w:rFonts w:ascii="Arial" w:eastAsia="Arial" w:hAnsi="Arial" w:cs="Arial"/>
          <w:b/>
          <w:sz w:val="22"/>
          <w:szCs w:val="22"/>
          <w:u w:val="single"/>
        </w:rPr>
      </w:pPr>
      <w:bookmarkStart w:id="77" w:name="_heading=h.3ygebqi" w:colFirst="0" w:colLast="0"/>
      <w:bookmarkEnd w:id="77"/>
      <w:r>
        <w:rPr>
          <w:rFonts w:ascii="Arial" w:eastAsia="Arial" w:hAnsi="Arial" w:cs="Arial"/>
          <w:b/>
          <w:sz w:val="22"/>
          <w:szCs w:val="22"/>
          <w:u w:val="single"/>
        </w:rPr>
        <w:t>Tabla 21. Nivel profesional de la planta de personal</w:t>
      </w:r>
    </w:p>
    <w:p w:rsidR="00B202A2" w:rsidRDefault="00B202A2">
      <w:pPr>
        <w:spacing w:after="160"/>
        <w:jc w:val="center"/>
        <w:rPr>
          <w:rFonts w:ascii="Arial" w:eastAsia="Arial" w:hAnsi="Arial" w:cs="Arial"/>
          <w:b/>
          <w:sz w:val="22"/>
          <w:szCs w:val="22"/>
        </w:rPr>
      </w:pPr>
    </w:p>
    <w:tbl>
      <w:tblPr>
        <w:tblStyle w:val="afff6"/>
        <w:tblW w:w="8503"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244"/>
        <w:gridCol w:w="4259"/>
      </w:tblGrid>
      <w:tr w:rsidR="00B202A2">
        <w:trPr>
          <w:trHeight w:val="570"/>
        </w:trPr>
        <w:tc>
          <w:tcPr>
            <w:tcW w:w="8503" w:type="dxa"/>
            <w:gridSpan w:val="2"/>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B202A2" w:rsidRDefault="00295E06">
            <w:pPr>
              <w:spacing w:after="160"/>
              <w:jc w:val="center"/>
              <w:rPr>
                <w:rFonts w:ascii="Arial" w:eastAsia="Arial" w:hAnsi="Arial" w:cs="Arial"/>
                <w:b/>
                <w:sz w:val="22"/>
                <w:szCs w:val="22"/>
              </w:rPr>
            </w:pPr>
            <w:r>
              <w:rPr>
                <w:rFonts w:ascii="Arial" w:eastAsia="Arial" w:hAnsi="Arial" w:cs="Arial"/>
                <w:b/>
                <w:sz w:val="22"/>
                <w:szCs w:val="22"/>
              </w:rPr>
              <w:t>Nivel profesional de la planta de personal</w:t>
            </w:r>
          </w:p>
        </w:tc>
      </w:tr>
      <w:tr w:rsidR="00B202A2">
        <w:trPr>
          <w:trHeight w:val="232"/>
        </w:trPr>
        <w:tc>
          <w:tcPr>
            <w:tcW w:w="424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02A2" w:rsidRDefault="00295E06">
            <w:pPr>
              <w:jc w:val="center"/>
              <w:rPr>
                <w:rFonts w:ascii="Arial" w:eastAsia="Arial" w:hAnsi="Arial" w:cs="Arial"/>
                <w:sz w:val="22"/>
                <w:szCs w:val="22"/>
              </w:rPr>
            </w:pPr>
            <w:r>
              <w:rPr>
                <w:rFonts w:ascii="Arial" w:eastAsia="Arial" w:hAnsi="Arial" w:cs="Arial"/>
                <w:sz w:val="22"/>
                <w:szCs w:val="22"/>
              </w:rPr>
              <w:t>Profesionales</w:t>
            </w:r>
          </w:p>
        </w:tc>
        <w:tc>
          <w:tcPr>
            <w:tcW w:w="42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202A2" w:rsidRDefault="00295E06">
            <w:pPr>
              <w:jc w:val="center"/>
              <w:rPr>
                <w:rFonts w:ascii="Arial" w:eastAsia="Arial" w:hAnsi="Arial" w:cs="Arial"/>
                <w:sz w:val="22"/>
                <w:szCs w:val="22"/>
              </w:rPr>
            </w:pPr>
            <w:r>
              <w:rPr>
                <w:rFonts w:ascii="Arial" w:eastAsia="Arial" w:hAnsi="Arial" w:cs="Arial"/>
                <w:sz w:val="22"/>
                <w:szCs w:val="22"/>
              </w:rPr>
              <w:t>104</w:t>
            </w:r>
          </w:p>
        </w:tc>
      </w:tr>
      <w:tr w:rsidR="00B202A2">
        <w:trPr>
          <w:trHeight w:val="181"/>
        </w:trPr>
        <w:tc>
          <w:tcPr>
            <w:tcW w:w="424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02A2" w:rsidRDefault="00295E06">
            <w:pPr>
              <w:jc w:val="center"/>
              <w:rPr>
                <w:rFonts w:ascii="Arial" w:eastAsia="Arial" w:hAnsi="Arial" w:cs="Arial"/>
                <w:sz w:val="22"/>
                <w:szCs w:val="22"/>
              </w:rPr>
            </w:pPr>
            <w:r>
              <w:rPr>
                <w:rFonts w:ascii="Arial" w:eastAsia="Arial" w:hAnsi="Arial" w:cs="Arial"/>
                <w:sz w:val="22"/>
                <w:szCs w:val="22"/>
              </w:rPr>
              <w:t>Con Especialización</w:t>
            </w:r>
          </w:p>
        </w:tc>
        <w:tc>
          <w:tcPr>
            <w:tcW w:w="42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202A2" w:rsidRDefault="00295E06">
            <w:pPr>
              <w:jc w:val="center"/>
              <w:rPr>
                <w:rFonts w:ascii="Arial" w:eastAsia="Arial" w:hAnsi="Arial" w:cs="Arial"/>
                <w:sz w:val="22"/>
                <w:szCs w:val="22"/>
              </w:rPr>
            </w:pPr>
            <w:r>
              <w:rPr>
                <w:rFonts w:ascii="Arial" w:eastAsia="Arial" w:hAnsi="Arial" w:cs="Arial"/>
                <w:sz w:val="22"/>
                <w:szCs w:val="22"/>
              </w:rPr>
              <w:t>43</w:t>
            </w:r>
          </w:p>
        </w:tc>
      </w:tr>
      <w:tr w:rsidR="00B202A2">
        <w:trPr>
          <w:trHeight w:val="301"/>
        </w:trPr>
        <w:tc>
          <w:tcPr>
            <w:tcW w:w="424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02A2" w:rsidRDefault="00295E06">
            <w:pPr>
              <w:jc w:val="center"/>
              <w:rPr>
                <w:rFonts w:ascii="Arial" w:eastAsia="Arial" w:hAnsi="Arial" w:cs="Arial"/>
                <w:sz w:val="22"/>
                <w:szCs w:val="22"/>
              </w:rPr>
            </w:pPr>
            <w:r>
              <w:rPr>
                <w:rFonts w:ascii="Arial" w:eastAsia="Arial" w:hAnsi="Arial" w:cs="Arial"/>
                <w:sz w:val="22"/>
                <w:szCs w:val="22"/>
              </w:rPr>
              <w:t>Con Maestría</w:t>
            </w:r>
          </w:p>
        </w:tc>
        <w:tc>
          <w:tcPr>
            <w:tcW w:w="42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202A2" w:rsidRDefault="00295E06">
            <w:pPr>
              <w:jc w:val="center"/>
              <w:rPr>
                <w:rFonts w:ascii="Arial" w:eastAsia="Arial" w:hAnsi="Arial" w:cs="Arial"/>
                <w:sz w:val="22"/>
                <w:szCs w:val="22"/>
              </w:rPr>
            </w:pPr>
            <w:r>
              <w:rPr>
                <w:rFonts w:ascii="Arial" w:eastAsia="Arial" w:hAnsi="Arial" w:cs="Arial"/>
                <w:sz w:val="22"/>
                <w:szCs w:val="22"/>
              </w:rPr>
              <w:t>27</w:t>
            </w:r>
          </w:p>
        </w:tc>
      </w:tr>
      <w:tr w:rsidR="00B202A2">
        <w:trPr>
          <w:trHeight w:val="279"/>
        </w:trPr>
        <w:tc>
          <w:tcPr>
            <w:tcW w:w="424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02A2" w:rsidRDefault="00295E06">
            <w:pPr>
              <w:jc w:val="center"/>
              <w:rPr>
                <w:rFonts w:ascii="Arial" w:eastAsia="Arial" w:hAnsi="Arial" w:cs="Arial"/>
                <w:sz w:val="22"/>
                <w:szCs w:val="22"/>
              </w:rPr>
            </w:pPr>
            <w:r>
              <w:rPr>
                <w:rFonts w:ascii="Arial" w:eastAsia="Arial" w:hAnsi="Arial" w:cs="Arial"/>
                <w:sz w:val="22"/>
                <w:szCs w:val="22"/>
              </w:rPr>
              <w:t>Con Doctorado</w:t>
            </w:r>
          </w:p>
        </w:tc>
        <w:tc>
          <w:tcPr>
            <w:tcW w:w="42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202A2" w:rsidRDefault="00295E06">
            <w:pPr>
              <w:jc w:val="center"/>
              <w:rPr>
                <w:rFonts w:ascii="Arial" w:eastAsia="Arial" w:hAnsi="Arial" w:cs="Arial"/>
                <w:sz w:val="22"/>
                <w:szCs w:val="22"/>
              </w:rPr>
            </w:pPr>
            <w:r>
              <w:rPr>
                <w:rFonts w:ascii="Arial" w:eastAsia="Arial" w:hAnsi="Arial" w:cs="Arial"/>
                <w:sz w:val="22"/>
                <w:szCs w:val="22"/>
              </w:rPr>
              <w:t>1</w:t>
            </w:r>
          </w:p>
        </w:tc>
      </w:tr>
    </w:tbl>
    <w:p w:rsidR="00B202A2" w:rsidRDefault="00295E06">
      <w:pPr>
        <w:jc w:val="center"/>
        <w:rPr>
          <w:rFonts w:ascii="Arial" w:eastAsia="Arial" w:hAnsi="Arial" w:cs="Arial"/>
          <w:sz w:val="22"/>
          <w:szCs w:val="22"/>
        </w:rPr>
      </w:pPr>
      <w:r>
        <w:rPr>
          <w:rFonts w:ascii="Arial" w:eastAsia="Arial" w:hAnsi="Arial" w:cs="Arial"/>
          <w:sz w:val="22"/>
          <w:szCs w:val="22"/>
        </w:rPr>
        <w:t xml:space="preserve"> </w:t>
      </w:r>
    </w:p>
    <w:p w:rsidR="00B202A2" w:rsidRDefault="00295E06">
      <w:pPr>
        <w:spacing w:after="160"/>
        <w:jc w:val="both"/>
        <w:rPr>
          <w:rFonts w:ascii="Arial" w:eastAsia="Arial" w:hAnsi="Arial" w:cs="Arial"/>
          <w:sz w:val="22"/>
          <w:szCs w:val="22"/>
        </w:rPr>
      </w:pPr>
      <w:r>
        <w:rPr>
          <w:rFonts w:ascii="Arial" w:eastAsia="Arial" w:hAnsi="Arial" w:cs="Arial"/>
          <w:sz w:val="22"/>
          <w:szCs w:val="22"/>
        </w:rPr>
        <w:t>Por otra parte, la conformación de la planta de personal revela que en la Unidad predominan trabajadores del género masculino que corresponde al 59% con 68 servidores en total.</w:t>
      </w:r>
    </w:p>
    <w:p w:rsidR="00B202A2" w:rsidRDefault="00B202A2">
      <w:pPr>
        <w:spacing w:after="160"/>
        <w:jc w:val="both"/>
        <w:rPr>
          <w:rFonts w:ascii="Arial" w:eastAsia="Arial" w:hAnsi="Arial" w:cs="Arial"/>
          <w:sz w:val="22"/>
          <w:szCs w:val="22"/>
        </w:rPr>
      </w:pPr>
    </w:p>
    <w:p w:rsidR="00B202A2" w:rsidRDefault="00295E06">
      <w:pPr>
        <w:spacing w:after="160"/>
        <w:jc w:val="center"/>
        <w:rPr>
          <w:rFonts w:ascii="Arial" w:eastAsia="Arial" w:hAnsi="Arial" w:cs="Arial"/>
          <w:b/>
          <w:sz w:val="22"/>
          <w:szCs w:val="22"/>
          <w:u w:val="single"/>
        </w:rPr>
      </w:pPr>
      <w:bookmarkStart w:id="78" w:name="_heading=h.2dlolyb" w:colFirst="0" w:colLast="0"/>
      <w:bookmarkEnd w:id="78"/>
      <w:r>
        <w:rPr>
          <w:rFonts w:ascii="Arial" w:eastAsia="Arial" w:hAnsi="Arial" w:cs="Arial"/>
          <w:b/>
          <w:sz w:val="22"/>
          <w:szCs w:val="22"/>
          <w:u w:val="single"/>
        </w:rPr>
        <w:t>Tabla 22. Situación administrativa de los empleos de la planta de personal por</w:t>
      </w:r>
      <w:r>
        <w:rPr>
          <w:rFonts w:ascii="Arial" w:eastAsia="Arial" w:hAnsi="Arial" w:cs="Arial"/>
          <w:b/>
          <w:sz w:val="22"/>
          <w:szCs w:val="22"/>
          <w:u w:val="single"/>
        </w:rPr>
        <w:t xml:space="preserve"> sexo</w:t>
      </w:r>
    </w:p>
    <w:tbl>
      <w:tblPr>
        <w:tblStyle w:val="afff7"/>
        <w:tblW w:w="8503"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3"/>
      </w:tblGrid>
      <w:tr w:rsidR="00B202A2">
        <w:trPr>
          <w:trHeight w:val="3015"/>
        </w:trPr>
        <w:tc>
          <w:tcPr>
            <w:tcW w:w="8503" w:type="dxa"/>
            <w:tcBorders>
              <w:top w:val="nil"/>
              <w:left w:val="nil"/>
              <w:bottom w:val="nil"/>
              <w:right w:val="nil"/>
            </w:tcBorders>
            <w:shd w:val="clear" w:color="auto" w:fill="auto"/>
            <w:tcMar>
              <w:top w:w="20" w:type="dxa"/>
              <w:left w:w="20" w:type="dxa"/>
              <w:bottom w:w="100" w:type="dxa"/>
              <w:right w:w="20" w:type="dxa"/>
            </w:tcMar>
            <w:vAlign w:val="bottom"/>
          </w:tcPr>
          <w:p w:rsidR="00B202A2" w:rsidRDefault="00B202A2">
            <w:pPr>
              <w:spacing w:after="160"/>
              <w:jc w:val="both"/>
              <w:rPr>
                <w:rFonts w:ascii="Arial" w:eastAsia="Arial" w:hAnsi="Arial" w:cs="Arial"/>
                <w:sz w:val="22"/>
                <w:szCs w:val="22"/>
              </w:rPr>
            </w:pPr>
          </w:p>
          <w:tbl>
            <w:tblPr>
              <w:tblStyle w:val="afff8"/>
              <w:tblW w:w="831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205"/>
              <w:gridCol w:w="1740"/>
              <w:gridCol w:w="1935"/>
              <w:gridCol w:w="2430"/>
            </w:tblGrid>
            <w:tr w:rsidR="00B202A2">
              <w:trPr>
                <w:trHeight w:val="360"/>
              </w:trPr>
              <w:tc>
                <w:tcPr>
                  <w:tcW w:w="2205" w:type="dxa"/>
                  <w:vMerge w:val="restart"/>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Nivel</w:t>
                  </w:r>
                </w:p>
              </w:tc>
              <w:tc>
                <w:tcPr>
                  <w:tcW w:w="3675" w:type="dxa"/>
                  <w:gridSpan w:val="2"/>
                  <w:tcBorders>
                    <w:top w:val="single" w:sz="8" w:space="0" w:color="000000"/>
                    <w:left w:val="nil"/>
                    <w:bottom w:val="single" w:sz="8" w:space="0" w:color="000000"/>
                    <w:right w:val="single" w:sz="8" w:space="0" w:color="000000"/>
                  </w:tcBorders>
                  <w:shd w:val="clear" w:color="auto" w:fill="CFE2F3"/>
                  <w:tcMar>
                    <w:top w:w="100" w:type="dxa"/>
                    <w:left w:w="100" w:type="dxa"/>
                    <w:bottom w:w="100" w:type="dxa"/>
                    <w:right w:w="10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Sexo</w:t>
                  </w:r>
                </w:p>
              </w:tc>
              <w:tc>
                <w:tcPr>
                  <w:tcW w:w="2430" w:type="dxa"/>
                  <w:vMerge w:val="restart"/>
                  <w:tcBorders>
                    <w:top w:val="single" w:sz="8" w:space="0" w:color="000000"/>
                    <w:left w:val="nil"/>
                    <w:bottom w:val="single" w:sz="8" w:space="0" w:color="000000"/>
                    <w:right w:val="single" w:sz="8" w:space="0" w:color="000000"/>
                  </w:tcBorders>
                  <w:shd w:val="clear" w:color="auto" w:fill="CFE2F3"/>
                  <w:tcMar>
                    <w:top w:w="100" w:type="dxa"/>
                    <w:left w:w="100" w:type="dxa"/>
                    <w:bottom w:w="100" w:type="dxa"/>
                    <w:right w:w="10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Nro Personas</w:t>
                  </w:r>
                </w:p>
              </w:tc>
            </w:tr>
            <w:tr w:rsidR="00B202A2">
              <w:trPr>
                <w:trHeight w:val="360"/>
              </w:trPr>
              <w:tc>
                <w:tcPr>
                  <w:tcW w:w="2205" w:type="dxa"/>
                  <w:vMerge/>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B202A2" w:rsidRDefault="00B202A2">
                  <w:pPr>
                    <w:widowControl w:val="0"/>
                    <w:pBdr>
                      <w:top w:val="nil"/>
                      <w:left w:val="nil"/>
                      <w:bottom w:val="nil"/>
                      <w:right w:val="nil"/>
                      <w:between w:val="nil"/>
                    </w:pBdr>
                    <w:spacing w:line="276" w:lineRule="auto"/>
                    <w:rPr>
                      <w:rFonts w:ascii="Arial" w:eastAsia="Arial" w:hAnsi="Arial" w:cs="Arial"/>
                      <w:color w:val="FFFFFF"/>
                      <w:sz w:val="22"/>
                      <w:szCs w:val="22"/>
                    </w:rPr>
                  </w:pPr>
                </w:p>
              </w:tc>
              <w:tc>
                <w:tcPr>
                  <w:tcW w:w="1740" w:type="dxa"/>
                  <w:tcBorders>
                    <w:top w:val="nil"/>
                    <w:left w:val="nil"/>
                    <w:bottom w:val="single" w:sz="8" w:space="0" w:color="000000"/>
                    <w:right w:val="single" w:sz="8" w:space="0" w:color="000000"/>
                  </w:tcBorders>
                  <w:shd w:val="clear" w:color="auto" w:fill="CFE2F3"/>
                  <w:tcMar>
                    <w:top w:w="100" w:type="dxa"/>
                    <w:left w:w="100" w:type="dxa"/>
                    <w:bottom w:w="100" w:type="dxa"/>
                    <w:right w:w="10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Femenino</w:t>
                  </w:r>
                </w:p>
              </w:tc>
              <w:tc>
                <w:tcPr>
                  <w:tcW w:w="1935" w:type="dxa"/>
                  <w:tcBorders>
                    <w:top w:val="nil"/>
                    <w:left w:val="nil"/>
                    <w:bottom w:val="single" w:sz="8" w:space="0" w:color="000000"/>
                    <w:right w:val="single" w:sz="8" w:space="0" w:color="000000"/>
                  </w:tcBorders>
                  <w:shd w:val="clear" w:color="auto" w:fill="CFE2F3"/>
                  <w:tcMar>
                    <w:top w:w="100" w:type="dxa"/>
                    <w:left w:w="100" w:type="dxa"/>
                    <w:bottom w:w="100" w:type="dxa"/>
                    <w:right w:w="10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Masculino</w:t>
                  </w:r>
                </w:p>
              </w:tc>
              <w:tc>
                <w:tcPr>
                  <w:tcW w:w="2430" w:type="dxa"/>
                  <w:vMerge/>
                  <w:tcBorders>
                    <w:top w:val="single" w:sz="8" w:space="0" w:color="000000"/>
                    <w:left w:val="nil"/>
                    <w:bottom w:val="single" w:sz="8" w:space="0" w:color="000000"/>
                    <w:right w:val="single" w:sz="8" w:space="0" w:color="000000"/>
                  </w:tcBorders>
                  <w:shd w:val="clear" w:color="auto" w:fill="CFE2F3"/>
                  <w:tcMar>
                    <w:top w:w="100" w:type="dxa"/>
                    <w:left w:w="100" w:type="dxa"/>
                    <w:bottom w:w="100" w:type="dxa"/>
                    <w:right w:w="100" w:type="dxa"/>
                  </w:tcMar>
                  <w:vAlign w:val="center"/>
                </w:tcPr>
                <w:p w:rsidR="00B202A2" w:rsidRDefault="00B202A2">
                  <w:pPr>
                    <w:widowControl w:val="0"/>
                    <w:pBdr>
                      <w:top w:val="nil"/>
                      <w:left w:val="nil"/>
                      <w:bottom w:val="nil"/>
                      <w:right w:val="nil"/>
                      <w:between w:val="nil"/>
                    </w:pBdr>
                    <w:spacing w:line="276" w:lineRule="auto"/>
                    <w:rPr>
                      <w:rFonts w:ascii="Arial" w:eastAsia="Arial" w:hAnsi="Arial" w:cs="Arial"/>
                      <w:b/>
                      <w:color w:val="FFFFFF"/>
                      <w:sz w:val="22"/>
                      <w:szCs w:val="22"/>
                    </w:rPr>
                  </w:pPr>
                </w:p>
              </w:tc>
            </w:tr>
            <w:tr w:rsidR="00B202A2">
              <w:trPr>
                <w:trHeight w:val="360"/>
              </w:trPr>
              <w:tc>
                <w:tcPr>
                  <w:tcW w:w="22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Directivo</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4</w:t>
                  </w:r>
                </w:p>
              </w:tc>
              <w:tc>
                <w:tcPr>
                  <w:tcW w:w="1935"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4</w:t>
                  </w:r>
                </w:p>
              </w:tc>
              <w:tc>
                <w:tcPr>
                  <w:tcW w:w="2430"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8</w:t>
                  </w:r>
                </w:p>
              </w:tc>
            </w:tr>
            <w:tr w:rsidR="00B202A2">
              <w:trPr>
                <w:trHeight w:val="360"/>
              </w:trPr>
              <w:tc>
                <w:tcPr>
                  <w:tcW w:w="22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Asesor</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6</w:t>
                  </w:r>
                </w:p>
              </w:tc>
              <w:tc>
                <w:tcPr>
                  <w:tcW w:w="1935"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1</w:t>
                  </w:r>
                </w:p>
              </w:tc>
              <w:tc>
                <w:tcPr>
                  <w:tcW w:w="2430"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7</w:t>
                  </w:r>
                </w:p>
              </w:tc>
            </w:tr>
            <w:tr w:rsidR="00B202A2">
              <w:trPr>
                <w:trHeight w:val="360"/>
              </w:trPr>
              <w:tc>
                <w:tcPr>
                  <w:tcW w:w="22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Profesional</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31</w:t>
                  </w:r>
                </w:p>
              </w:tc>
              <w:tc>
                <w:tcPr>
                  <w:tcW w:w="1935"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57</w:t>
                  </w:r>
                </w:p>
              </w:tc>
              <w:tc>
                <w:tcPr>
                  <w:tcW w:w="2430"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88</w:t>
                  </w:r>
                </w:p>
              </w:tc>
            </w:tr>
            <w:tr w:rsidR="00B202A2">
              <w:trPr>
                <w:trHeight w:val="360"/>
              </w:trPr>
              <w:tc>
                <w:tcPr>
                  <w:tcW w:w="22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Tecnico</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1</w:t>
                  </w:r>
                </w:p>
              </w:tc>
              <w:tc>
                <w:tcPr>
                  <w:tcW w:w="1935"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2</w:t>
                  </w:r>
                </w:p>
              </w:tc>
              <w:tc>
                <w:tcPr>
                  <w:tcW w:w="2430"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3</w:t>
                  </w:r>
                </w:p>
              </w:tc>
            </w:tr>
            <w:tr w:rsidR="00B202A2">
              <w:trPr>
                <w:trHeight w:val="360"/>
              </w:trPr>
              <w:tc>
                <w:tcPr>
                  <w:tcW w:w="22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Asistencial</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5</w:t>
                  </w:r>
                </w:p>
              </w:tc>
              <w:tc>
                <w:tcPr>
                  <w:tcW w:w="1935"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jc w:val="center"/>
                    <w:rPr>
                      <w:rFonts w:ascii="Arial" w:eastAsia="Arial" w:hAnsi="Arial" w:cs="Arial"/>
                      <w:sz w:val="22"/>
                      <w:szCs w:val="22"/>
                    </w:rPr>
                  </w:pPr>
                  <w:r>
                    <w:rPr>
                      <w:rFonts w:ascii="Arial" w:eastAsia="Arial" w:hAnsi="Arial" w:cs="Arial"/>
                      <w:sz w:val="22"/>
                      <w:szCs w:val="22"/>
                    </w:rPr>
                    <w:t>4</w:t>
                  </w:r>
                </w:p>
              </w:tc>
              <w:tc>
                <w:tcPr>
                  <w:tcW w:w="2430"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9</w:t>
                  </w:r>
                </w:p>
              </w:tc>
            </w:tr>
            <w:tr w:rsidR="00B202A2">
              <w:trPr>
                <w:trHeight w:val="360"/>
              </w:trPr>
              <w:tc>
                <w:tcPr>
                  <w:tcW w:w="22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Total</w:t>
                  </w:r>
                </w:p>
              </w:tc>
              <w:tc>
                <w:tcPr>
                  <w:tcW w:w="1740"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47</w:t>
                  </w:r>
                </w:p>
              </w:tc>
              <w:tc>
                <w:tcPr>
                  <w:tcW w:w="1935"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68</w:t>
                  </w:r>
                </w:p>
              </w:tc>
              <w:tc>
                <w:tcPr>
                  <w:tcW w:w="2430"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t>115</w:t>
                  </w:r>
                </w:p>
              </w:tc>
            </w:tr>
          </w:tbl>
          <w:p w:rsidR="00B202A2" w:rsidRDefault="00B202A2">
            <w:pPr>
              <w:spacing w:after="160"/>
              <w:jc w:val="both"/>
              <w:rPr>
                <w:rFonts w:ascii="Arial" w:eastAsia="Arial" w:hAnsi="Arial" w:cs="Arial"/>
                <w:sz w:val="22"/>
                <w:szCs w:val="22"/>
              </w:rPr>
            </w:pPr>
          </w:p>
        </w:tc>
      </w:tr>
    </w:tbl>
    <w:p w:rsidR="00B202A2" w:rsidRDefault="00295E06">
      <w:pPr>
        <w:jc w:val="both"/>
        <w:rPr>
          <w:rFonts w:ascii="Arial" w:eastAsia="Arial" w:hAnsi="Arial" w:cs="Arial"/>
          <w:sz w:val="22"/>
          <w:szCs w:val="22"/>
        </w:rPr>
      </w:pPr>
      <w:r>
        <w:rPr>
          <w:rFonts w:ascii="Arial" w:eastAsia="Arial" w:hAnsi="Arial" w:cs="Arial"/>
          <w:sz w:val="22"/>
          <w:szCs w:val="22"/>
        </w:rPr>
        <w:t xml:space="preserve"> </w:t>
      </w:r>
    </w:p>
    <w:p w:rsidR="00B202A2" w:rsidRDefault="00295E06">
      <w:pPr>
        <w:jc w:val="both"/>
        <w:rPr>
          <w:rFonts w:ascii="Arial" w:eastAsia="Arial" w:hAnsi="Arial" w:cs="Arial"/>
          <w:sz w:val="22"/>
          <w:szCs w:val="22"/>
        </w:rPr>
      </w:pPr>
      <w:r>
        <w:rPr>
          <w:rFonts w:ascii="Arial" w:eastAsia="Arial" w:hAnsi="Arial" w:cs="Arial"/>
          <w:sz w:val="22"/>
          <w:szCs w:val="22"/>
        </w:rPr>
        <w:t xml:space="preserve">En el siguiente cuadro se evidencia que, a nivel de formación; la profesión con mayor presencia entre los funcionarios UPME, es la Ingeniería electrónica con un 29,20% de participación, seguida de economía con un 7,97%, y finalmente la Contaduría Pública, </w:t>
      </w:r>
      <w:r>
        <w:rPr>
          <w:rFonts w:ascii="Arial" w:eastAsia="Arial" w:hAnsi="Arial" w:cs="Arial"/>
          <w:sz w:val="22"/>
          <w:szCs w:val="22"/>
        </w:rPr>
        <w:t>Administración de Empresas y Derecho, con una participación del 6,19% cada una respectivamente.</w:t>
      </w:r>
    </w:p>
    <w:p w:rsidR="00B202A2" w:rsidRDefault="00295E06">
      <w:pPr>
        <w:jc w:val="both"/>
        <w:rPr>
          <w:rFonts w:ascii="Arial" w:eastAsia="Arial" w:hAnsi="Arial" w:cs="Arial"/>
          <w:sz w:val="22"/>
          <w:szCs w:val="22"/>
        </w:rPr>
      </w:pPr>
      <w:r>
        <w:lastRenderedPageBreak/>
        <w:br w:type="page"/>
      </w:r>
    </w:p>
    <w:p w:rsidR="00B202A2" w:rsidRDefault="00B202A2">
      <w:pPr>
        <w:jc w:val="both"/>
        <w:rPr>
          <w:rFonts w:ascii="Arial" w:eastAsia="Arial" w:hAnsi="Arial" w:cs="Arial"/>
          <w:sz w:val="22"/>
          <w:szCs w:val="22"/>
        </w:rPr>
      </w:pPr>
    </w:p>
    <w:p w:rsidR="00B202A2" w:rsidRDefault="00295E06">
      <w:pPr>
        <w:spacing w:after="160"/>
        <w:jc w:val="center"/>
        <w:rPr>
          <w:rFonts w:ascii="Arial" w:eastAsia="Arial" w:hAnsi="Arial" w:cs="Arial"/>
          <w:b/>
          <w:sz w:val="22"/>
          <w:szCs w:val="22"/>
          <w:u w:val="single"/>
        </w:rPr>
      </w:pPr>
      <w:bookmarkStart w:id="79" w:name="_heading=h.sqyw64" w:colFirst="0" w:colLast="0"/>
      <w:bookmarkEnd w:id="79"/>
      <w:r>
        <w:rPr>
          <w:rFonts w:ascii="Arial" w:eastAsia="Arial" w:hAnsi="Arial" w:cs="Arial"/>
          <w:b/>
          <w:sz w:val="22"/>
          <w:szCs w:val="22"/>
          <w:u w:val="single"/>
        </w:rPr>
        <w:t>Tabla 23. Distribución según ramas profesionales en la planta de personal</w:t>
      </w:r>
    </w:p>
    <w:p w:rsidR="00B202A2" w:rsidRDefault="00B202A2">
      <w:pPr>
        <w:jc w:val="both"/>
        <w:rPr>
          <w:rFonts w:ascii="Arial" w:eastAsia="Arial" w:hAnsi="Arial" w:cs="Arial"/>
          <w:sz w:val="22"/>
          <w:szCs w:val="22"/>
        </w:rPr>
      </w:pPr>
    </w:p>
    <w:tbl>
      <w:tblPr>
        <w:tblStyle w:val="afff9"/>
        <w:tblW w:w="8503"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548"/>
        <w:gridCol w:w="1463"/>
        <w:gridCol w:w="1492"/>
      </w:tblGrid>
      <w:tr w:rsidR="00B202A2">
        <w:trPr>
          <w:trHeight w:val="905"/>
        </w:trPr>
        <w:tc>
          <w:tcPr>
            <w:tcW w:w="8503" w:type="dxa"/>
            <w:gridSpan w:val="3"/>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B202A2" w:rsidRDefault="00295E06">
            <w:pPr>
              <w:ind w:left="140"/>
              <w:jc w:val="center"/>
              <w:rPr>
                <w:rFonts w:ascii="Arial" w:eastAsia="Arial" w:hAnsi="Arial" w:cs="Arial"/>
                <w:b/>
                <w:sz w:val="22"/>
                <w:szCs w:val="22"/>
              </w:rPr>
            </w:pPr>
            <w:r>
              <w:rPr>
                <w:rFonts w:ascii="Arial" w:eastAsia="Arial" w:hAnsi="Arial" w:cs="Arial"/>
                <w:b/>
                <w:sz w:val="22"/>
                <w:szCs w:val="22"/>
              </w:rPr>
              <w:t>Distribución Según Ramas Profesionales En La Planta De Personal</w:t>
            </w:r>
          </w:p>
        </w:tc>
      </w:tr>
      <w:tr w:rsidR="00B202A2">
        <w:trPr>
          <w:trHeight w:val="560"/>
        </w:trPr>
        <w:tc>
          <w:tcPr>
            <w:tcW w:w="554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both"/>
              <w:rPr>
                <w:rFonts w:ascii="Arial" w:eastAsia="Arial" w:hAnsi="Arial" w:cs="Arial"/>
                <w:sz w:val="22"/>
                <w:szCs w:val="22"/>
              </w:rPr>
            </w:pPr>
            <w:r>
              <w:rPr>
                <w:rFonts w:ascii="Arial" w:eastAsia="Arial" w:hAnsi="Arial" w:cs="Arial"/>
                <w:sz w:val="22"/>
                <w:szCs w:val="22"/>
              </w:rPr>
              <w:t>Abogados</w:t>
            </w:r>
          </w:p>
        </w:tc>
        <w:tc>
          <w:tcPr>
            <w:tcW w:w="1463"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center"/>
              <w:rPr>
                <w:rFonts w:ascii="Arial" w:eastAsia="Arial" w:hAnsi="Arial" w:cs="Arial"/>
                <w:sz w:val="22"/>
                <w:szCs w:val="22"/>
              </w:rPr>
            </w:pPr>
            <w:r>
              <w:rPr>
                <w:rFonts w:ascii="Arial" w:eastAsia="Arial" w:hAnsi="Arial" w:cs="Arial"/>
                <w:sz w:val="22"/>
                <w:szCs w:val="22"/>
              </w:rPr>
              <w:t>7</w:t>
            </w:r>
          </w:p>
        </w:tc>
        <w:tc>
          <w:tcPr>
            <w:tcW w:w="149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right"/>
              <w:rPr>
                <w:rFonts w:ascii="Arial" w:eastAsia="Arial" w:hAnsi="Arial" w:cs="Arial"/>
                <w:sz w:val="22"/>
                <w:szCs w:val="22"/>
              </w:rPr>
            </w:pPr>
            <w:r>
              <w:rPr>
                <w:rFonts w:ascii="Arial" w:eastAsia="Arial" w:hAnsi="Arial" w:cs="Arial"/>
                <w:sz w:val="22"/>
                <w:szCs w:val="22"/>
              </w:rPr>
              <w:t>6,19%</w:t>
            </w:r>
          </w:p>
        </w:tc>
      </w:tr>
      <w:tr w:rsidR="00B202A2">
        <w:trPr>
          <w:trHeight w:val="560"/>
        </w:trPr>
        <w:tc>
          <w:tcPr>
            <w:tcW w:w="554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both"/>
              <w:rPr>
                <w:rFonts w:ascii="Arial" w:eastAsia="Arial" w:hAnsi="Arial" w:cs="Arial"/>
                <w:sz w:val="22"/>
                <w:szCs w:val="22"/>
              </w:rPr>
            </w:pPr>
            <w:r>
              <w:rPr>
                <w:rFonts w:ascii="Arial" w:eastAsia="Arial" w:hAnsi="Arial" w:cs="Arial"/>
                <w:sz w:val="22"/>
                <w:szCs w:val="22"/>
              </w:rPr>
              <w:t>Administradores de Empresas</w:t>
            </w:r>
          </w:p>
        </w:tc>
        <w:tc>
          <w:tcPr>
            <w:tcW w:w="1463"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center"/>
              <w:rPr>
                <w:rFonts w:ascii="Arial" w:eastAsia="Arial" w:hAnsi="Arial" w:cs="Arial"/>
                <w:sz w:val="22"/>
                <w:szCs w:val="22"/>
              </w:rPr>
            </w:pPr>
            <w:r>
              <w:rPr>
                <w:rFonts w:ascii="Arial" w:eastAsia="Arial" w:hAnsi="Arial" w:cs="Arial"/>
                <w:sz w:val="22"/>
                <w:szCs w:val="22"/>
              </w:rPr>
              <w:t>8</w:t>
            </w:r>
          </w:p>
        </w:tc>
        <w:tc>
          <w:tcPr>
            <w:tcW w:w="149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right"/>
              <w:rPr>
                <w:rFonts w:ascii="Arial" w:eastAsia="Arial" w:hAnsi="Arial" w:cs="Arial"/>
                <w:sz w:val="22"/>
                <w:szCs w:val="22"/>
              </w:rPr>
            </w:pPr>
            <w:r>
              <w:rPr>
                <w:rFonts w:ascii="Arial" w:eastAsia="Arial" w:hAnsi="Arial" w:cs="Arial"/>
                <w:sz w:val="22"/>
                <w:szCs w:val="22"/>
              </w:rPr>
              <w:t>6,19%</w:t>
            </w:r>
          </w:p>
        </w:tc>
      </w:tr>
      <w:tr w:rsidR="00B202A2">
        <w:trPr>
          <w:trHeight w:val="560"/>
        </w:trPr>
        <w:tc>
          <w:tcPr>
            <w:tcW w:w="554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both"/>
              <w:rPr>
                <w:rFonts w:ascii="Arial" w:eastAsia="Arial" w:hAnsi="Arial" w:cs="Arial"/>
                <w:sz w:val="22"/>
                <w:szCs w:val="22"/>
              </w:rPr>
            </w:pPr>
            <w:r>
              <w:rPr>
                <w:rFonts w:ascii="Arial" w:eastAsia="Arial" w:hAnsi="Arial" w:cs="Arial"/>
                <w:sz w:val="22"/>
                <w:szCs w:val="22"/>
              </w:rPr>
              <w:t>Administrador de Informática</w:t>
            </w:r>
          </w:p>
        </w:tc>
        <w:tc>
          <w:tcPr>
            <w:tcW w:w="1463"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center"/>
              <w:rPr>
                <w:rFonts w:ascii="Arial" w:eastAsia="Arial" w:hAnsi="Arial" w:cs="Arial"/>
                <w:sz w:val="22"/>
                <w:szCs w:val="22"/>
              </w:rPr>
            </w:pPr>
            <w:r>
              <w:rPr>
                <w:rFonts w:ascii="Arial" w:eastAsia="Arial" w:hAnsi="Arial" w:cs="Arial"/>
                <w:sz w:val="22"/>
                <w:szCs w:val="22"/>
              </w:rPr>
              <w:t>1</w:t>
            </w:r>
          </w:p>
        </w:tc>
        <w:tc>
          <w:tcPr>
            <w:tcW w:w="149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right"/>
              <w:rPr>
                <w:rFonts w:ascii="Arial" w:eastAsia="Arial" w:hAnsi="Arial" w:cs="Arial"/>
                <w:sz w:val="22"/>
                <w:szCs w:val="22"/>
              </w:rPr>
            </w:pPr>
            <w:r>
              <w:rPr>
                <w:rFonts w:ascii="Arial" w:eastAsia="Arial" w:hAnsi="Arial" w:cs="Arial"/>
                <w:sz w:val="22"/>
                <w:szCs w:val="22"/>
              </w:rPr>
              <w:t>0,88%</w:t>
            </w:r>
          </w:p>
        </w:tc>
      </w:tr>
      <w:tr w:rsidR="00B202A2">
        <w:trPr>
          <w:trHeight w:val="560"/>
        </w:trPr>
        <w:tc>
          <w:tcPr>
            <w:tcW w:w="554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both"/>
              <w:rPr>
                <w:rFonts w:ascii="Arial" w:eastAsia="Arial" w:hAnsi="Arial" w:cs="Arial"/>
                <w:sz w:val="22"/>
                <w:szCs w:val="22"/>
              </w:rPr>
            </w:pPr>
            <w:r>
              <w:rPr>
                <w:rFonts w:ascii="Arial" w:eastAsia="Arial" w:hAnsi="Arial" w:cs="Arial"/>
                <w:sz w:val="22"/>
                <w:szCs w:val="22"/>
              </w:rPr>
              <w:t>Administrador de Sistemas de Información</w:t>
            </w:r>
          </w:p>
        </w:tc>
        <w:tc>
          <w:tcPr>
            <w:tcW w:w="1463"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center"/>
              <w:rPr>
                <w:rFonts w:ascii="Arial" w:eastAsia="Arial" w:hAnsi="Arial" w:cs="Arial"/>
                <w:sz w:val="22"/>
                <w:szCs w:val="22"/>
              </w:rPr>
            </w:pPr>
            <w:r>
              <w:rPr>
                <w:rFonts w:ascii="Arial" w:eastAsia="Arial" w:hAnsi="Arial" w:cs="Arial"/>
                <w:sz w:val="22"/>
                <w:szCs w:val="22"/>
              </w:rPr>
              <w:t>1</w:t>
            </w:r>
          </w:p>
        </w:tc>
        <w:tc>
          <w:tcPr>
            <w:tcW w:w="149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right"/>
              <w:rPr>
                <w:rFonts w:ascii="Arial" w:eastAsia="Arial" w:hAnsi="Arial" w:cs="Arial"/>
                <w:sz w:val="22"/>
                <w:szCs w:val="22"/>
              </w:rPr>
            </w:pPr>
            <w:r>
              <w:rPr>
                <w:rFonts w:ascii="Arial" w:eastAsia="Arial" w:hAnsi="Arial" w:cs="Arial"/>
                <w:sz w:val="22"/>
                <w:szCs w:val="22"/>
              </w:rPr>
              <w:t>0,88%</w:t>
            </w:r>
          </w:p>
        </w:tc>
      </w:tr>
      <w:tr w:rsidR="00B202A2">
        <w:trPr>
          <w:trHeight w:val="560"/>
        </w:trPr>
        <w:tc>
          <w:tcPr>
            <w:tcW w:w="554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both"/>
              <w:rPr>
                <w:rFonts w:ascii="Arial" w:eastAsia="Arial" w:hAnsi="Arial" w:cs="Arial"/>
                <w:sz w:val="22"/>
                <w:szCs w:val="22"/>
              </w:rPr>
            </w:pPr>
            <w:r>
              <w:rPr>
                <w:rFonts w:ascii="Arial" w:eastAsia="Arial" w:hAnsi="Arial" w:cs="Arial"/>
                <w:sz w:val="22"/>
                <w:szCs w:val="22"/>
              </w:rPr>
              <w:t>Administración Pública</w:t>
            </w:r>
          </w:p>
        </w:tc>
        <w:tc>
          <w:tcPr>
            <w:tcW w:w="1463"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center"/>
              <w:rPr>
                <w:rFonts w:ascii="Arial" w:eastAsia="Arial" w:hAnsi="Arial" w:cs="Arial"/>
                <w:sz w:val="22"/>
                <w:szCs w:val="22"/>
              </w:rPr>
            </w:pPr>
            <w:r>
              <w:rPr>
                <w:rFonts w:ascii="Arial" w:eastAsia="Arial" w:hAnsi="Arial" w:cs="Arial"/>
                <w:sz w:val="22"/>
                <w:szCs w:val="22"/>
              </w:rPr>
              <w:t>2</w:t>
            </w:r>
          </w:p>
        </w:tc>
        <w:tc>
          <w:tcPr>
            <w:tcW w:w="149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right"/>
              <w:rPr>
                <w:rFonts w:ascii="Arial" w:eastAsia="Arial" w:hAnsi="Arial" w:cs="Arial"/>
                <w:sz w:val="22"/>
                <w:szCs w:val="22"/>
              </w:rPr>
            </w:pPr>
            <w:r>
              <w:rPr>
                <w:rFonts w:ascii="Arial" w:eastAsia="Arial" w:hAnsi="Arial" w:cs="Arial"/>
                <w:sz w:val="22"/>
                <w:szCs w:val="22"/>
              </w:rPr>
              <w:t>1,77%</w:t>
            </w:r>
          </w:p>
        </w:tc>
      </w:tr>
      <w:tr w:rsidR="00B202A2">
        <w:trPr>
          <w:trHeight w:val="560"/>
        </w:trPr>
        <w:tc>
          <w:tcPr>
            <w:tcW w:w="554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both"/>
              <w:rPr>
                <w:rFonts w:ascii="Arial" w:eastAsia="Arial" w:hAnsi="Arial" w:cs="Arial"/>
                <w:sz w:val="22"/>
                <w:szCs w:val="22"/>
              </w:rPr>
            </w:pPr>
            <w:r>
              <w:rPr>
                <w:rFonts w:ascii="Arial" w:eastAsia="Arial" w:hAnsi="Arial" w:cs="Arial"/>
                <w:sz w:val="22"/>
                <w:szCs w:val="22"/>
              </w:rPr>
              <w:t>Bibliotecología y Archivística</w:t>
            </w:r>
          </w:p>
        </w:tc>
        <w:tc>
          <w:tcPr>
            <w:tcW w:w="1463"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center"/>
              <w:rPr>
                <w:rFonts w:ascii="Arial" w:eastAsia="Arial" w:hAnsi="Arial" w:cs="Arial"/>
                <w:sz w:val="22"/>
                <w:szCs w:val="22"/>
              </w:rPr>
            </w:pPr>
            <w:r>
              <w:rPr>
                <w:rFonts w:ascii="Arial" w:eastAsia="Arial" w:hAnsi="Arial" w:cs="Arial"/>
                <w:sz w:val="22"/>
                <w:szCs w:val="22"/>
              </w:rPr>
              <w:t>2</w:t>
            </w:r>
          </w:p>
        </w:tc>
        <w:tc>
          <w:tcPr>
            <w:tcW w:w="149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right"/>
              <w:rPr>
                <w:rFonts w:ascii="Arial" w:eastAsia="Arial" w:hAnsi="Arial" w:cs="Arial"/>
                <w:sz w:val="22"/>
                <w:szCs w:val="22"/>
              </w:rPr>
            </w:pPr>
            <w:r>
              <w:rPr>
                <w:rFonts w:ascii="Arial" w:eastAsia="Arial" w:hAnsi="Arial" w:cs="Arial"/>
                <w:sz w:val="22"/>
                <w:szCs w:val="22"/>
              </w:rPr>
              <w:t>1,77%</w:t>
            </w:r>
          </w:p>
        </w:tc>
      </w:tr>
      <w:tr w:rsidR="00B202A2">
        <w:trPr>
          <w:trHeight w:val="560"/>
        </w:trPr>
        <w:tc>
          <w:tcPr>
            <w:tcW w:w="554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both"/>
              <w:rPr>
                <w:rFonts w:ascii="Arial" w:eastAsia="Arial" w:hAnsi="Arial" w:cs="Arial"/>
                <w:sz w:val="22"/>
                <w:szCs w:val="22"/>
              </w:rPr>
            </w:pPr>
            <w:r>
              <w:rPr>
                <w:rFonts w:ascii="Arial" w:eastAsia="Arial" w:hAnsi="Arial" w:cs="Arial"/>
                <w:sz w:val="22"/>
                <w:szCs w:val="22"/>
              </w:rPr>
              <w:t>Bióloga</w:t>
            </w:r>
          </w:p>
        </w:tc>
        <w:tc>
          <w:tcPr>
            <w:tcW w:w="1463"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center"/>
              <w:rPr>
                <w:rFonts w:ascii="Arial" w:eastAsia="Arial" w:hAnsi="Arial" w:cs="Arial"/>
                <w:sz w:val="22"/>
                <w:szCs w:val="22"/>
              </w:rPr>
            </w:pPr>
            <w:r>
              <w:rPr>
                <w:rFonts w:ascii="Arial" w:eastAsia="Arial" w:hAnsi="Arial" w:cs="Arial"/>
                <w:sz w:val="22"/>
                <w:szCs w:val="22"/>
              </w:rPr>
              <w:t>1</w:t>
            </w:r>
          </w:p>
        </w:tc>
        <w:tc>
          <w:tcPr>
            <w:tcW w:w="149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right"/>
              <w:rPr>
                <w:rFonts w:ascii="Arial" w:eastAsia="Arial" w:hAnsi="Arial" w:cs="Arial"/>
                <w:sz w:val="22"/>
                <w:szCs w:val="22"/>
              </w:rPr>
            </w:pPr>
            <w:r>
              <w:rPr>
                <w:rFonts w:ascii="Arial" w:eastAsia="Arial" w:hAnsi="Arial" w:cs="Arial"/>
                <w:sz w:val="22"/>
                <w:szCs w:val="22"/>
              </w:rPr>
              <w:t>0,88%</w:t>
            </w:r>
          </w:p>
        </w:tc>
      </w:tr>
      <w:tr w:rsidR="00B202A2">
        <w:trPr>
          <w:trHeight w:val="560"/>
        </w:trPr>
        <w:tc>
          <w:tcPr>
            <w:tcW w:w="554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both"/>
              <w:rPr>
                <w:rFonts w:ascii="Arial" w:eastAsia="Arial" w:hAnsi="Arial" w:cs="Arial"/>
                <w:sz w:val="22"/>
                <w:szCs w:val="22"/>
              </w:rPr>
            </w:pPr>
            <w:r>
              <w:rPr>
                <w:rFonts w:ascii="Arial" w:eastAsia="Arial" w:hAnsi="Arial" w:cs="Arial"/>
                <w:sz w:val="22"/>
                <w:szCs w:val="22"/>
              </w:rPr>
              <w:t>Comunicación Social</w:t>
            </w:r>
          </w:p>
        </w:tc>
        <w:tc>
          <w:tcPr>
            <w:tcW w:w="1463"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center"/>
              <w:rPr>
                <w:rFonts w:ascii="Arial" w:eastAsia="Arial" w:hAnsi="Arial" w:cs="Arial"/>
                <w:sz w:val="22"/>
                <w:szCs w:val="22"/>
              </w:rPr>
            </w:pPr>
            <w:r>
              <w:rPr>
                <w:rFonts w:ascii="Arial" w:eastAsia="Arial" w:hAnsi="Arial" w:cs="Arial"/>
                <w:sz w:val="22"/>
                <w:szCs w:val="22"/>
              </w:rPr>
              <w:t>2</w:t>
            </w:r>
          </w:p>
        </w:tc>
        <w:tc>
          <w:tcPr>
            <w:tcW w:w="149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right"/>
              <w:rPr>
                <w:rFonts w:ascii="Arial" w:eastAsia="Arial" w:hAnsi="Arial" w:cs="Arial"/>
                <w:sz w:val="22"/>
                <w:szCs w:val="22"/>
              </w:rPr>
            </w:pPr>
            <w:r>
              <w:rPr>
                <w:rFonts w:ascii="Arial" w:eastAsia="Arial" w:hAnsi="Arial" w:cs="Arial"/>
                <w:sz w:val="22"/>
                <w:szCs w:val="22"/>
              </w:rPr>
              <w:t>1,77%</w:t>
            </w:r>
          </w:p>
        </w:tc>
      </w:tr>
      <w:tr w:rsidR="00B202A2">
        <w:trPr>
          <w:trHeight w:val="560"/>
        </w:trPr>
        <w:tc>
          <w:tcPr>
            <w:tcW w:w="554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both"/>
              <w:rPr>
                <w:rFonts w:ascii="Arial" w:eastAsia="Arial" w:hAnsi="Arial" w:cs="Arial"/>
                <w:sz w:val="22"/>
                <w:szCs w:val="22"/>
              </w:rPr>
            </w:pPr>
            <w:r>
              <w:rPr>
                <w:rFonts w:ascii="Arial" w:eastAsia="Arial" w:hAnsi="Arial" w:cs="Arial"/>
                <w:sz w:val="22"/>
                <w:szCs w:val="22"/>
              </w:rPr>
              <w:t>Contador Público</w:t>
            </w:r>
          </w:p>
        </w:tc>
        <w:tc>
          <w:tcPr>
            <w:tcW w:w="1463"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center"/>
              <w:rPr>
                <w:rFonts w:ascii="Arial" w:eastAsia="Arial" w:hAnsi="Arial" w:cs="Arial"/>
                <w:sz w:val="22"/>
                <w:szCs w:val="22"/>
              </w:rPr>
            </w:pPr>
            <w:r>
              <w:rPr>
                <w:rFonts w:ascii="Arial" w:eastAsia="Arial" w:hAnsi="Arial" w:cs="Arial"/>
                <w:sz w:val="22"/>
                <w:szCs w:val="22"/>
              </w:rPr>
              <w:t>7</w:t>
            </w:r>
          </w:p>
        </w:tc>
        <w:tc>
          <w:tcPr>
            <w:tcW w:w="149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right"/>
              <w:rPr>
                <w:rFonts w:ascii="Arial" w:eastAsia="Arial" w:hAnsi="Arial" w:cs="Arial"/>
                <w:sz w:val="22"/>
                <w:szCs w:val="22"/>
              </w:rPr>
            </w:pPr>
            <w:r>
              <w:rPr>
                <w:rFonts w:ascii="Arial" w:eastAsia="Arial" w:hAnsi="Arial" w:cs="Arial"/>
                <w:sz w:val="22"/>
                <w:szCs w:val="22"/>
              </w:rPr>
              <w:t>6,19%</w:t>
            </w:r>
          </w:p>
        </w:tc>
      </w:tr>
      <w:tr w:rsidR="00B202A2">
        <w:trPr>
          <w:trHeight w:val="575"/>
        </w:trPr>
        <w:tc>
          <w:tcPr>
            <w:tcW w:w="554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both"/>
              <w:rPr>
                <w:rFonts w:ascii="Arial" w:eastAsia="Arial" w:hAnsi="Arial" w:cs="Arial"/>
                <w:sz w:val="22"/>
                <w:szCs w:val="22"/>
              </w:rPr>
            </w:pPr>
            <w:r>
              <w:rPr>
                <w:rFonts w:ascii="Arial" w:eastAsia="Arial" w:hAnsi="Arial" w:cs="Arial"/>
                <w:sz w:val="22"/>
                <w:szCs w:val="22"/>
              </w:rPr>
              <w:t>Economía</w:t>
            </w:r>
          </w:p>
        </w:tc>
        <w:tc>
          <w:tcPr>
            <w:tcW w:w="1463"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center"/>
              <w:rPr>
                <w:rFonts w:ascii="Arial" w:eastAsia="Arial" w:hAnsi="Arial" w:cs="Arial"/>
                <w:sz w:val="22"/>
                <w:szCs w:val="22"/>
              </w:rPr>
            </w:pPr>
            <w:r>
              <w:rPr>
                <w:rFonts w:ascii="Arial" w:eastAsia="Arial" w:hAnsi="Arial" w:cs="Arial"/>
                <w:sz w:val="22"/>
                <w:szCs w:val="22"/>
              </w:rPr>
              <w:t>11</w:t>
            </w:r>
          </w:p>
        </w:tc>
        <w:tc>
          <w:tcPr>
            <w:tcW w:w="149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right"/>
              <w:rPr>
                <w:rFonts w:ascii="Arial" w:eastAsia="Arial" w:hAnsi="Arial" w:cs="Arial"/>
                <w:sz w:val="22"/>
                <w:szCs w:val="22"/>
              </w:rPr>
            </w:pPr>
            <w:r>
              <w:rPr>
                <w:rFonts w:ascii="Arial" w:eastAsia="Arial" w:hAnsi="Arial" w:cs="Arial"/>
                <w:sz w:val="22"/>
                <w:szCs w:val="22"/>
              </w:rPr>
              <w:t>7,97%</w:t>
            </w:r>
          </w:p>
        </w:tc>
      </w:tr>
      <w:tr w:rsidR="00B202A2">
        <w:trPr>
          <w:trHeight w:val="560"/>
        </w:trPr>
        <w:tc>
          <w:tcPr>
            <w:tcW w:w="554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both"/>
              <w:rPr>
                <w:rFonts w:ascii="Arial" w:eastAsia="Arial" w:hAnsi="Arial" w:cs="Arial"/>
                <w:sz w:val="22"/>
                <w:szCs w:val="22"/>
              </w:rPr>
            </w:pPr>
            <w:r>
              <w:rPr>
                <w:rFonts w:ascii="Arial" w:eastAsia="Arial" w:hAnsi="Arial" w:cs="Arial"/>
                <w:sz w:val="22"/>
                <w:szCs w:val="22"/>
              </w:rPr>
              <w:t>Finanzas y Relaciones Internacionales</w:t>
            </w:r>
          </w:p>
        </w:tc>
        <w:tc>
          <w:tcPr>
            <w:tcW w:w="1463"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center"/>
              <w:rPr>
                <w:rFonts w:ascii="Arial" w:eastAsia="Arial" w:hAnsi="Arial" w:cs="Arial"/>
                <w:sz w:val="22"/>
                <w:szCs w:val="22"/>
              </w:rPr>
            </w:pPr>
            <w:r>
              <w:rPr>
                <w:rFonts w:ascii="Arial" w:eastAsia="Arial" w:hAnsi="Arial" w:cs="Arial"/>
                <w:sz w:val="22"/>
                <w:szCs w:val="22"/>
              </w:rPr>
              <w:t>1</w:t>
            </w:r>
          </w:p>
        </w:tc>
        <w:tc>
          <w:tcPr>
            <w:tcW w:w="149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right"/>
              <w:rPr>
                <w:rFonts w:ascii="Arial" w:eastAsia="Arial" w:hAnsi="Arial" w:cs="Arial"/>
                <w:sz w:val="22"/>
                <w:szCs w:val="22"/>
              </w:rPr>
            </w:pPr>
            <w:r>
              <w:rPr>
                <w:rFonts w:ascii="Arial" w:eastAsia="Arial" w:hAnsi="Arial" w:cs="Arial"/>
                <w:sz w:val="22"/>
                <w:szCs w:val="22"/>
              </w:rPr>
              <w:t>0,88%</w:t>
            </w:r>
          </w:p>
        </w:tc>
      </w:tr>
      <w:tr w:rsidR="00B202A2">
        <w:trPr>
          <w:trHeight w:val="560"/>
        </w:trPr>
        <w:tc>
          <w:tcPr>
            <w:tcW w:w="554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both"/>
              <w:rPr>
                <w:rFonts w:ascii="Arial" w:eastAsia="Arial" w:hAnsi="Arial" w:cs="Arial"/>
                <w:sz w:val="22"/>
                <w:szCs w:val="22"/>
              </w:rPr>
            </w:pPr>
            <w:r>
              <w:rPr>
                <w:rFonts w:ascii="Arial" w:eastAsia="Arial" w:hAnsi="Arial" w:cs="Arial"/>
                <w:sz w:val="22"/>
                <w:szCs w:val="22"/>
              </w:rPr>
              <w:t>Físico</w:t>
            </w:r>
          </w:p>
        </w:tc>
        <w:tc>
          <w:tcPr>
            <w:tcW w:w="1463"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center"/>
              <w:rPr>
                <w:rFonts w:ascii="Arial" w:eastAsia="Arial" w:hAnsi="Arial" w:cs="Arial"/>
                <w:sz w:val="22"/>
                <w:szCs w:val="22"/>
              </w:rPr>
            </w:pPr>
            <w:r>
              <w:rPr>
                <w:rFonts w:ascii="Arial" w:eastAsia="Arial" w:hAnsi="Arial" w:cs="Arial"/>
                <w:sz w:val="22"/>
                <w:szCs w:val="22"/>
              </w:rPr>
              <w:t>1</w:t>
            </w:r>
          </w:p>
        </w:tc>
        <w:tc>
          <w:tcPr>
            <w:tcW w:w="149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right"/>
              <w:rPr>
                <w:rFonts w:ascii="Arial" w:eastAsia="Arial" w:hAnsi="Arial" w:cs="Arial"/>
                <w:sz w:val="22"/>
                <w:szCs w:val="22"/>
              </w:rPr>
            </w:pPr>
            <w:r>
              <w:rPr>
                <w:rFonts w:ascii="Arial" w:eastAsia="Arial" w:hAnsi="Arial" w:cs="Arial"/>
                <w:sz w:val="22"/>
                <w:szCs w:val="22"/>
              </w:rPr>
              <w:t>0,88%</w:t>
            </w:r>
          </w:p>
        </w:tc>
      </w:tr>
      <w:tr w:rsidR="00B202A2">
        <w:trPr>
          <w:trHeight w:val="560"/>
        </w:trPr>
        <w:tc>
          <w:tcPr>
            <w:tcW w:w="554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both"/>
              <w:rPr>
                <w:rFonts w:ascii="Arial" w:eastAsia="Arial" w:hAnsi="Arial" w:cs="Arial"/>
                <w:sz w:val="22"/>
                <w:szCs w:val="22"/>
              </w:rPr>
            </w:pPr>
            <w:r>
              <w:rPr>
                <w:rFonts w:ascii="Arial" w:eastAsia="Arial" w:hAnsi="Arial" w:cs="Arial"/>
                <w:sz w:val="22"/>
                <w:szCs w:val="22"/>
              </w:rPr>
              <w:t>Ingeniera Ambiental</w:t>
            </w:r>
          </w:p>
        </w:tc>
        <w:tc>
          <w:tcPr>
            <w:tcW w:w="1463"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center"/>
              <w:rPr>
                <w:rFonts w:ascii="Arial" w:eastAsia="Arial" w:hAnsi="Arial" w:cs="Arial"/>
                <w:sz w:val="22"/>
                <w:szCs w:val="22"/>
              </w:rPr>
            </w:pPr>
            <w:r>
              <w:rPr>
                <w:rFonts w:ascii="Arial" w:eastAsia="Arial" w:hAnsi="Arial" w:cs="Arial"/>
                <w:sz w:val="22"/>
                <w:szCs w:val="22"/>
              </w:rPr>
              <w:t>2</w:t>
            </w:r>
          </w:p>
        </w:tc>
        <w:tc>
          <w:tcPr>
            <w:tcW w:w="149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right"/>
              <w:rPr>
                <w:rFonts w:ascii="Arial" w:eastAsia="Arial" w:hAnsi="Arial" w:cs="Arial"/>
                <w:sz w:val="22"/>
                <w:szCs w:val="22"/>
              </w:rPr>
            </w:pPr>
            <w:r>
              <w:rPr>
                <w:rFonts w:ascii="Arial" w:eastAsia="Arial" w:hAnsi="Arial" w:cs="Arial"/>
                <w:sz w:val="22"/>
                <w:szCs w:val="22"/>
              </w:rPr>
              <w:t>1,77%</w:t>
            </w:r>
          </w:p>
        </w:tc>
      </w:tr>
      <w:tr w:rsidR="00B202A2">
        <w:trPr>
          <w:trHeight w:val="560"/>
        </w:trPr>
        <w:tc>
          <w:tcPr>
            <w:tcW w:w="554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both"/>
              <w:rPr>
                <w:rFonts w:ascii="Arial" w:eastAsia="Arial" w:hAnsi="Arial" w:cs="Arial"/>
                <w:sz w:val="22"/>
                <w:szCs w:val="22"/>
              </w:rPr>
            </w:pPr>
            <w:r>
              <w:rPr>
                <w:rFonts w:ascii="Arial" w:eastAsia="Arial" w:hAnsi="Arial" w:cs="Arial"/>
                <w:sz w:val="22"/>
                <w:szCs w:val="22"/>
              </w:rPr>
              <w:t>Ingeniero Geólogo</w:t>
            </w:r>
          </w:p>
        </w:tc>
        <w:tc>
          <w:tcPr>
            <w:tcW w:w="1463"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center"/>
              <w:rPr>
                <w:rFonts w:ascii="Arial" w:eastAsia="Arial" w:hAnsi="Arial" w:cs="Arial"/>
                <w:sz w:val="22"/>
                <w:szCs w:val="22"/>
              </w:rPr>
            </w:pPr>
            <w:r>
              <w:rPr>
                <w:rFonts w:ascii="Arial" w:eastAsia="Arial" w:hAnsi="Arial" w:cs="Arial"/>
                <w:sz w:val="22"/>
                <w:szCs w:val="22"/>
              </w:rPr>
              <w:t>2</w:t>
            </w:r>
          </w:p>
        </w:tc>
        <w:tc>
          <w:tcPr>
            <w:tcW w:w="149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right"/>
              <w:rPr>
                <w:rFonts w:ascii="Arial" w:eastAsia="Arial" w:hAnsi="Arial" w:cs="Arial"/>
                <w:sz w:val="22"/>
                <w:szCs w:val="22"/>
              </w:rPr>
            </w:pPr>
            <w:r>
              <w:rPr>
                <w:rFonts w:ascii="Arial" w:eastAsia="Arial" w:hAnsi="Arial" w:cs="Arial"/>
                <w:sz w:val="22"/>
                <w:szCs w:val="22"/>
              </w:rPr>
              <w:t>1,77%</w:t>
            </w:r>
          </w:p>
        </w:tc>
      </w:tr>
      <w:tr w:rsidR="00B202A2">
        <w:trPr>
          <w:trHeight w:val="560"/>
        </w:trPr>
        <w:tc>
          <w:tcPr>
            <w:tcW w:w="554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both"/>
              <w:rPr>
                <w:rFonts w:ascii="Arial" w:eastAsia="Arial" w:hAnsi="Arial" w:cs="Arial"/>
                <w:sz w:val="22"/>
                <w:szCs w:val="22"/>
              </w:rPr>
            </w:pPr>
            <w:r>
              <w:rPr>
                <w:rFonts w:ascii="Arial" w:eastAsia="Arial" w:hAnsi="Arial" w:cs="Arial"/>
                <w:sz w:val="22"/>
                <w:szCs w:val="22"/>
              </w:rPr>
              <w:lastRenderedPageBreak/>
              <w:t>Ingeniero Catastral y Geodesta</w:t>
            </w:r>
          </w:p>
        </w:tc>
        <w:tc>
          <w:tcPr>
            <w:tcW w:w="1463"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center"/>
              <w:rPr>
                <w:rFonts w:ascii="Arial" w:eastAsia="Arial" w:hAnsi="Arial" w:cs="Arial"/>
                <w:sz w:val="22"/>
                <w:szCs w:val="22"/>
              </w:rPr>
            </w:pPr>
            <w:r>
              <w:rPr>
                <w:rFonts w:ascii="Arial" w:eastAsia="Arial" w:hAnsi="Arial" w:cs="Arial"/>
                <w:sz w:val="22"/>
                <w:szCs w:val="22"/>
              </w:rPr>
              <w:t>1</w:t>
            </w:r>
          </w:p>
        </w:tc>
        <w:tc>
          <w:tcPr>
            <w:tcW w:w="149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right"/>
              <w:rPr>
                <w:rFonts w:ascii="Arial" w:eastAsia="Arial" w:hAnsi="Arial" w:cs="Arial"/>
                <w:sz w:val="22"/>
                <w:szCs w:val="22"/>
              </w:rPr>
            </w:pPr>
            <w:r>
              <w:rPr>
                <w:rFonts w:ascii="Arial" w:eastAsia="Arial" w:hAnsi="Arial" w:cs="Arial"/>
                <w:sz w:val="22"/>
                <w:szCs w:val="22"/>
              </w:rPr>
              <w:t>0,88%</w:t>
            </w:r>
          </w:p>
        </w:tc>
      </w:tr>
      <w:tr w:rsidR="00B202A2">
        <w:trPr>
          <w:trHeight w:val="560"/>
        </w:trPr>
        <w:tc>
          <w:tcPr>
            <w:tcW w:w="554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both"/>
              <w:rPr>
                <w:rFonts w:ascii="Arial" w:eastAsia="Arial" w:hAnsi="Arial" w:cs="Arial"/>
                <w:sz w:val="22"/>
                <w:szCs w:val="22"/>
              </w:rPr>
            </w:pPr>
            <w:r>
              <w:rPr>
                <w:rFonts w:ascii="Arial" w:eastAsia="Arial" w:hAnsi="Arial" w:cs="Arial"/>
                <w:sz w:val="22"/>
                <w:szCs w:val="22"/>
              </w:rPr>
              <w:t>Ingeniero Civil</w:t>
            </w:r>
          </w:p>
        </w:tc>
        <w:tc>
          <w:tcPr>
            <w:tcW w:w="1463"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center"/>
              <w:rPr>
                <w:rFonts w:ascii="Arial" w:eastAsia="Arial" w:hAnsi="Arial" w:cs="Arial"/>
                <w:sz w:val="22"/>
                <w:szCs w:val="22"/>
              </w:rPr>
            </w:pPr>
            <w:r>
              <w:rPr>
                <w:rFonts w:ascii="Arial" w:eastAsia="Arial" w:hAnsi="Arial" w:cs="Arial"/>
                <w:sz w:val="22"/>
                <w:szCs w:val="22"/>
              </w:rPr>
              <w:t>1</w:t>
            </w:r>
          </w:p>
        </w:tc>
        <w:tc>
          <w:tcPr>
            <w:tcW w:w="149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right"/>
              <w:rPr>
                <w:rFonts w:ascii="Arial" w:eastAsia="Arial" w:hAnsi="Arial" w:cs="Arial"/>
                <w:sz w:val="22"/>
                <w:szCs w:val="22"/>
              </w:rPr>
            </w:pPr>
            <w:r>
              <w:rPr>
                <w:rFonts w:ascii="Arial" w:eastAsia="Arial" w:hAnsi="Arial" w:cs="Arial"/>
                <w:sz w:val="22"/>
                <w:szCs w:val="22"/>
              </w:rPr>
              <w:t>0,88%</w:t>
            </w:r>
          </w:p>
        </w:tc>
      </w:tr>
      <w:tr w:rsidR="00B202A2">
        <w:trPr>
          <w:trHeight w:val="560"/>
        </w:trPr>
        <w:tc>
          <w:tcPr>
            <w:tcW w:w="554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both"/>
              <w:rPr>
                <w:rFonts w:ascii="Arial" w:eastAsia="Arial" w:hAnsi="Arial" w:cs="Arial"/>
                <w:sz w:val="22"/>
                <w:szCs w:val="22"/>
              </w:rPr>
            </w:pPr>
            <w:r>
              <w:rPr>
                <w:rFonts w:ascii="Arial" w:eastAsia="Arial" w:hAnsi="Arial" w:cs="Arial"/>
                <w:sz w:val="22"/>
                <w:szCs w:val="22"/>
              </w:rPr>
              <w:t>Ingeniera de Diseño y Automatización</w:t>
            </w:r>
          </w:p>
        </w:tc>
        <w:tc>
          <w:tcPr>
            <w:tcW w:w="1463"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center"/>
              <w:rPr>
                <w:rFonts w:ascii="Arial" w:eastAsia="Arial" w:hAnsi="Arial" w:cs="Arial"/>
                <w:sz w:val="22"/>
                <w:szCs w:val="22"/>
              </w:rPr>
            </w:pPr>
            <w:r>
              <w:rPr>
                <w:rFonts w:ascii="Arial" w:eastAsia="Arial" w:hAnsi="Arial" w:cs="Arial"/>
                <w:sz w:val="22"/>
                <w:szCs w:val="22"/>
              </w:rPr>
              <w:t>1</w:t>
            </w:r>
          </w:p>
        </w:tc>
        <w:tc>
          <w:tcPr>
            <w:tcW w:w="149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right"/>
              <w:rPr>
                <w:rFonts w:ascii="Arial" w:eastAsia="Arial" w:hAnsi="Arial" w:cs="Arial"/>
                <w:sz w:val="22"/>
                <w:szCs w:val="22"/>
              </w:rPr>
            </w:pPr>
            <w:r>
              <w:rPr>
                <w:rFonts w:ascii="Arial" w:eastAsia="Arial" w:hAnsi="Arial" w:cs="Arial"/>
                <w:sz w:val="22"/>
                <w:szCs w:val="22"/>
              </w:rPr>
              <w:t>0,88%</w:t>
            </w:r>
          </w:p>
        </w:tc>
      </w:tr>
      <w:tr w:rsidR="00B202A2">
        <w:trPr>
          <w:trHeight w:val="560"/>
        </w:trPr>
        <w:tc>
          <w:tcPr>
            <w:tcW w:w="554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both"/>
              <w:rPr>
                <w:rFonts w:ascii="Arial" w:eastAsia="Arial" w:hAnsi="Arial" w:cs="Arial"/>
                <w:sz w:val="22"/>
                <w:szCs w:val="22"/>
              </w:rPr>
            </w:pPr>
            <w:r>
              <w:rPr>
                <w:rFonts w:ascii="Arial" w:eastAsia="Arial" w:hAnsi="Arial" w:cs="Arial"/>
                <w:sz w:val="22"/>
                <w:szCs w:val="22"/>
              </w:rPr>
              <w:t>Ingeniero de Minas</w:t>
            </w:r>
          </w:p>
        </w:tc>
        <w:tc>
          <w:tcPr>
            <w:tcW w:w="1463"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center"/>
              <w:rPr>
                <w:rFonts w:ascii="Arial" w:eastAsia="Arial" w:hAnsi="Arial" w:cs="Arial"/>
                <w:sz w:val="22"/>
                <w:szCs w:val="22"/>
              </w:rPr>
            </w:pPr>
            <w:r>
              <w:rPr>
                <w:rFonts w:ascii="Arial" w:eastAsia="Arial" w:hAnsi="Arial" w:cs="Arial"/>
                <w:sz w:val="22"/>
                <w:szCs w:val="22"/>
              </w:rPr>
              <w:t>2</w:t>
            </w:r>
          </w:p>
        </w:tc>
        <w:tc>
          <w:tcPr>
            <w:tcW w:w="149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right"/>
              <w:rPr>
                <w:rFonts w:ascii="Arial" w:eastAsia="Arial" w:hAnsi="Arial" w:cs="Arial"/>
                <w:sz w:val="22"/>
                <w:szCs w:val="22"/>
              </w:rPr>
            </w:pPr>
            <w:r>
              <w:rPr>
                <w:rFonts w:ascii="Arial" w:eastAsia="Arial" w:hAnsi="Arial" w:cs="Arial"/>
                <w:sz w:val="22"/>
                <w:szCs w:val="22"/>
              </w:rPr>
              <w:t>1,77%</w:t>
            </w:r>
          </w:p>
        </w:tc>
      </w:tr>
      <w:tr w:rsidR="00B202A2">
        <w:trPr>
          <w:trHeight w:val="560"/>
        </w:trPr>
        <w:tc>
          <w:tcPr>
            <w:tcW w:w="554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both"/>
              <w:rPr>
                <w:rFonts w:ascii="Arial" w:eastAsia="Arial" w:hAnsi="Arial" w:cs="Arial"/>
                <w:sz w:val="22"/>
                <w:szCs w:val="22"/>
              </w:rPr>
            </w:pPr>
            <w:r>
              <w:rPr>
                <w:rFonts w:ascii="Arial" w:eastAsia="Arial" w:hAnsi="Arial" w:cs="Arial"/>
                <w:sz w:val="22"/>
                <w:szCs w:val="22"/>
              </w:rPr>
              <w:t>Ingeniería de Minas y Metalurgia</w:t>
            </w:r>
          </w:p>
        </w:tc>
        <w:tc>
          <w:tcPr>
            <w:tcW w:w="1463"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center"/>
              <w:rPr>
                <w:rFonts w:ascii="Arial" w:eastAsia="Arial" w:hAnsi="Arial" w:cs="Arial"/>
                <w:sz w:val="22"/>
                <w:szCs w:val="22"/>
              </w:rPr>
            </w:pPr>
            <w:r>
              <w:rPr>
                <w:rFonts w:ascii="Arial" w:eastAsia="Arial" w:hAnsi="Arial" w:cs="Arial"/>
                <w:sz w:val="22"/>
                <w:szCs w:val="22"/>
              </w:rPr>
              <w:t>2</w:t>
            </w:r>
          </w:p>
        </w:tc>
        <w:tc>
          <w:tcPr>
            <w:tcW w:w="149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right"/>
              <w:rPr>
                <w:rFonts w:ascii="Arial" w:eastAsia="Arial" w:hAnsi="Arial" w:cs="Arial"/>
                <w:sz w:val="22"/>
                <w:szCs w:val="22"/>
              </w:rPr>
            </w:pPr>
            <w:r>
              <w:rPr>
                <w:rFonts w:ascii="Arial" w:eastAsia="Arial" w:hAnsi="Arial" w:cs="Arial"/>
                <w:sz w:val="22"/>
                <w:szCs w:val="22"/>
              </w:rPr>
              <w:t>1,78%</w:t>
            </w:r>
          </w:p>
        </w:tc>
      </w:tr>
      <w:tr w:rsidR="00B202A2">
        <w:trPr>
          <w:trHeight w:val="560"/>
        </w:trPr>
        <w:tc>
          <w:tcPr>
            <w:tcW w:w="554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both"/>
              <w:rPr>
                <w:rFonts w:ascii="Arial" w:eastAsia="Arial" w:hAnsi="Arial" w:cs="Arial"/>
                <w:sz w:val="22"/>
                <w:szCs w:val="22"/>
              </w:rPr>
            </w:pPr>
            <w:r>
              <w:rPr>
                <w:rFonts w:ascii="Arial" w:eastAsia="Arial" w:hAnsi="Arial" w:cs="Arial"/>
                <w:sz w:val="22"/>
                <w:szCs w:val="22"/>
              </w:rPr>
              <w:t>Ingeniería de Petróleos</w:t>
            </w:r>
          </w:p>
        </w:tc>
        <w:tc>
          <w:tcPr>
            <w:tcW w:w="1463"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center"/>
              <w:rPr>
                <w:rFonts w:ascii="Arial" w:eastAsia="Arial" w:hAnsi="Arial" w:cs="Arial"/>
                <w:sz w:val="22"/>
                <w:szCs w:val="22"/>
              </w:rPr>
            </w:pPr>
            <w:r>
              <w:rPr>
                <w:rFonts w:ascii="Arial" w:eastAsia="Arial" w:hAnsi="Arial" w:cs="Arial"/>
                <w:sz w:val="22"/>
                <w:szCs w:val="22"/>
              </w:rPr>
              <w:t>4</w:t>
            </w:r>
          </w:p>
        </w:tc>
        <w:tc>
          <w:tcPr>
            <w:tcW w:w="149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right"/>
              <w:rPr>
                <w:rFonts w:ascii="Arial" w:eastAsia="Arial" w:hAnsi="Arial" w:cs="Arial"/>
                <w:sz w:val="22"/>
                <w:szCs w:val="22"/>
              </w:rPr>
            </w:pPr>
            <w:r>
              <w:rPr>
                <w:rFonts w:ascii="Arial" w:eastAsia="Arial" w:hAnsi="Arial" w:cs="Arial"/>
                <w:sz w:val="22"/>
                <w:szCs w:val="22"/>
              </w:rPr>
              <w:t>3,54%</w:t>
            </w:r>
          </w:p>
        </w:tc>
      </w:tr>
      <w:tr w:rsidR="00B202A2">
        <w:trPr>
          <w:trHeight w:val="560"/>
        </w:trPr>
        <w:tc>
          <w:tcPr>
            <w:tcW w:w="554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both"/>
              <w:rPr>
                <w:rFonts w:ascii="Arial" w:eastAsia="Arial" w:hAnsi="Arial" w:cs="Arial"/>
                <w:sz w:val="22"/>
                <w:szCs w:val="22"/>
              </w:rPr>
            </w:pPr>
            <w:r>
              <w:rPr>
                <w:rFonts w:ascii="Arial" w:eastAsia="Arial" w:hAnsi="Arial" w:cs="Arial"/>
                <w:sz w:val="22"/>
                <w:szCs w:val="22"/>
              </w:rPr>
              <w:t>Ingeniería de Sistemas</w:t>
            </w:r>
          </w:p>
        </w:tc>
        <w:tc>
          <w:tcPr>
            <w:tcW w:w="1463"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center"/>
              <w:rPr>
                <w:rFonts w:ascii="Arial" w:eastAsia="Arial" w:hAnsi="Arial" w:cs="Arial"/>
                <w:sz w:val="22"/>
                <w:szCs w:val="22"/>
              </w:rPr>
            </w:pPr>
            <w:r>
              <w:rPr>
                <w:rFonts w:ascii="Arial" w:eastAsia="Arial" w:hAnsi="Arial" w:cs="Arial"/>
                <w:sz w:val="22"/>
                <w:szCs w:val="22"/>
              </w:rPr>
              <w:t>4</w:t>
            </w:r>
          </w:p>
        </w:tc>
        <w:tc>
          <w:tcPr>
            <w:tcW w:w="149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right"/>
              <w:rPr>
                <w:rFonts w:ascii="Arial" w:eastAsia="Arial" w:hAnsi="Arial" w:cs="Arial"/>
                <w:sz w:val="22"/>
                <w:szCs w:val="22"/>
              </w:rPr>
            </w:pPr>
            <w:r>
              <w:rPr>
                <w:rFonts w:ascii="Arial" w:eastAsia="Arial" w:hAnsi="Arial" w:cs="Arial"/>
                <w:sz w:val="22"/>
                <w:szCs w:val="22"/>
              </w:rPr>
              <w:t>3,54%</w:t>
            </w:r>
          </w:p>
        </w:tc>
      </w:tr>
      <w:tr w:rsidR="00B202A2">
        <w:trPr>
          <w:trHeight w:val="560"/>
        </w:trPr>
        <w:tc>
          <w:tcPr>
            <w:tcW w:w="554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both"/>
              <w:rPr>
                <w:rFonts w:ascii="Arial" w:eastAsia="Arial" w:hAnsi="Arial" w:cs="Arial"/>
                <w:sz w:val="22"/>
                <w:szCs w:val="22"/>
              </w:rPr>
            </w:pPr>
            <w:r>
              <w:rPr>
                <w:rFonts w:ascii="Arial" w:eastAsia="Arial" w:hAnsi="Arial" w:cs="Arial"/>
                <w:sz w:val="22"/>
                <w:szCs w:val="22"/>
              </w:rPr>
              <w:t>Ing. Eléctricos/Electricistas</w:t>
            </w:r>
          </w:p>
        </w:tc>
        <w:tc>
          <w:tcPr>
            <w:tcW w:w="1463"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center"/>
              <w:rPr>
                <w:rFonts w:ascii="Arial" w:eastAsia="Arial" w:hAnsi="Arial" w:cs="Arial"/>
                <w:sz w:val="22"/>
                <w:szCs w:val="22"/>
              </w:rPr>
            </w:pPr>
            <w:r>
              <w:rPr>
                <w:rFonts w:ascii="Arial" w:eastAsia="Arial" w:hAnsi="Arial" w:cs="Arial"/>
                <w:sz w:val="22"/>
                <w:szCs w:val="22"/>
              </w:rPr>
              <w:t>33</w:t>
            </w:r>
          </w:p>
        </w:tc>
        <w:tc>
          <w:tcPr>
            <w:tcW w:w="149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right"/>
              <w:rPr>
                <w:rFonts w:ascii="Arial" w:eastAsia="Arial" w:hAnsi="Arial" w:cs="Arial"/>
                <w:sz w:val="22"/>
                <w:szCs w:val="22"/>
              </w:rPr>
            </w:pPr>
            <w:r>
              <w:rPr>
                <w:rFonts w:ascii="Arial" w:eastAsia="Arial" w:hAnsi="Arial" w:cs="Arial"/>
                <w:sz w:val="22"/>
                <w:szCs w:val="22"/>
              </w:rPr>
              <w:t>29,20%</w:t>
            </w:r>
          </w:p>
        </w:tc>
      </w:tr>
      <w:tr w:rsidR="00B202A2">
        <w:trPr>
          <w:trHeight w:val="560"/>
        </w:trPr>
        <w:tc>
          <w:tcPr>
            <w:tcW w:w="554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both"/>
              <w:rPr>
                <w:rFonts w:ascii="Arial" w:eastAsia="Arial" w:hAnsi="Arial" w:cs="Arial"/>
                <w:sz w:val="22"/>
                <w:szCs w:val="22"/>
              </w:rPr>
            </w:pPr>
            <w:r>
              <w:rPr>
                <w:rFonts w:ascii="Arial" w:eastAsia="Arial" w:hAnsi="Arial" w:cs="Arial"/>
                <w:sz w:val="22"/>
                <w:szCs w:val="22"/>
              </w:rPr>
              <w:t>Ingeniería Electrónica</w:t>
            </w:r>
          </w:p>
        </w:tc>
        <w:tc>
          <w:tcPr>
            <w:tcW w:w="1463"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center"/>
              <w:rPr>
                <w:rFonts w:ascii="Arial" w:eastAsia="Arial" w:hAnsi="Arial" w:cs="Arial"/>
                <w:sz w:val="22"/>
                <w:szCs w:val="22"/>
              </w:rPr>
            </w:pPr>
            <w:r>
              <w:rPr>
                <w:rFonts w:ascii="Arial" w:eastAsia="Arial" w:hAnsi="Arial" w:cs="Arial"/>
                <w:sz w:val="22"/>
                <w:szCs w:val="22"/>
              </w:rPr>
              <w:t>1</w:t>
            </w:r>
          </w:p>
        </w:tc>
        <w:tc>
          <w:tcPr>
            <w:tcW w:w="149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right"/>
              <w:rPr>
                <w:rFonts w:ascii="Arial" w:eastAsia="Arial" w:hAnsi="Arial" w:cs="Arial"/>
                <w:sz w:val="22"/>
                <w:szCs w:val="22"/>
              </w:rPr>
            </w:pPr>
            <w:r>
              <w:rPr>
                <w:rFonts w:ascii="Arial" w:eastAsia="Arial" w:hAnsi="Arial" w:cs="Arial"/>
                <w:sz w:val="22"/>
                <w:szCs w:val="22"/>
              </w:rPr>
              <w:t>0,88%</w:t>
            </w:r>
          </w:p>
        </w:tc>
      </w:tr>
      <w:tr w:rsidR="00B202A2">
        <w:trPr>
          <w:trHeight w:val="590"/>
        </w:trPr>
        <w:tc>
          <w:tcPr>
            <w:tcW w:w="554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both"/>
              <w:rPr>
                <w:rFonts w:ascii="Arial" w:eastAsia="Arial" w:hAnsi="Arial" w:cs="Arial"/>
                <w:sz w:val="22"/>
                <w:szCs w:val="22"/>
              </w:rPr>
            </w:pPr>
            <w:r>
              <w:rPr>
                <w:rFonts w:ascii="Arial" w:eastAsia="Arial" w:hAnsi="Arial" w:cs="Arial"/>
                <w:sz w:val="22"/>
                <w:szCs w:val="22"/>
              </w:rPr>
              <w:t>Ingeniería Industrial</w:t>
            </w:r>
          </w:p>
        </w:tc>
        <w:tc>
          <w:tcPr>
            <w:tcW w:w="1463"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center"/>
              <w:rPr>
                <w:rFonts w:ascii="Arial" w:eastAsia="Arial" w:hAnsi="Arial" w:cs="Arial"/>
                <w:sz w:val="22"/>
                <w:szCs w:val="22"/>
              </w:rPr>
            </w:pPr>
            <w:r>
              <w:rPr>
                <w:rFonts w:ascii="Arial" w:eastAsia="Arial" w:hAnsi="Arial" w:cs="Arial"/>
                <w:sz w:val="22"/>
                <w:szCs w:val="22"/>
              </w:rPr>
              <w:t>2</w:t>
            </w:r>
          </w:p>
        </w:tc>
        <w:tc>
          <w:tcPr>
            <w:tcW w:w="149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right"/>
              <w:rPr>
                <w:rFonts w:ascii="Arial" w:eastAsia="Arial" w:hAnsi="Arial" w:cs="Arial"/>
                <w:sz w:val="22"/>
                <w:szCs w:val="22"/>
              </w:rPr>
            </w:pPr>
            <w:r>
              <w:rPr>
                <w:rFonts w:ascii="Arial" w:eastAsia="Arial" w:hAnsi="Arial" w:cs="Arial"/>
                <w:sz w:val="22"/>
                <w:szCs w:val="22"/>
              </w:rPr>
              <w:t>2,64%</w:t>
            </w:r>
          </w:p>
        </w:tc>
      </w:tr>
      <w:tr w:rsidR="00B202A2">
        <w:trPr>
          <w:trHeight w:val="560"/>
        </w:trPr>
        <w:tc>
          <w:tcPr>
            <w:tcW w:w="554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both"/>
              <w:rPr>
                <w:rFonts w:ascii="Arial" w:eastAsia="Arial" w:hAnsi="Arial" w:cs="Arial"/>
                <w:sz w:val="22"/>
                <w:szCs w:val="22"/>
              </w:rPr>
            </w:pPr>
            <w:r>
              <w:rPr>
                <w:rFonts w:ascii="Arial" w:eastAsia="Arial" w:hAnsi="Arial" w:cs="Arial"/>
                <w:sz w:val="22"/>
                <w:szCs w:val="22"/>
              </w:rPr>
              <w:t>Ingeniería Mecánica</w:t>
            </w:r>
          </w:p>
        </w:tc>
        <w:tc>
          <w:tcPr>
            <w:tcW w:w="1463"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center"/>
              <w:rPr>
                <w:rFonts w:ascii="Arial" w:eastAsia="Arial" w:hAnsi="Arial" w:cs="Arial"/>
                <w:sz w:val="22"/>
                <w:szCs w:val="22"/>
              </w:rPr>
            </w:pPr>
            <w:r>
              <w:rPr>
                <w:rFonts w:ascii="Arial" w:eastAsia="Arial" w:hAnsi="Arial" w:cs="Arial"/>
                <w:sz w:val="22"/>
                <w:szCs w:val="22"/>
              </w:rPr>
              <w:t>3</w:t>
            </w:r>
          </w:p>
        </w:tc>
        <w:tc>
          <w:tcPr>
            <w:tcW w:w="149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right"/>
              <w:rPr>
                <w:rFonts w:ascii="Arial" w:eastAsia="Arial" w:hAnsi="Arial" w:cs="Arial"/>
                <w:sz w:val="22"/>
                <w:szCs w:val="22"/>
              </w:rPr>
            </w:pPr>
            <w:r>
              <w:rPr>
                <w:rFonts w:ascii="Arial" w:eastAsia="Arial" w:hAnsi="Arial" w:cs="Arial"/>
                <w:sz w:val="22"/>
                <w:szCs w:val="22"/>
              </w:rPr>
              <w:t>2,65%</w:t>
            </w:r>
          </w:p>
        </w:tc>
      </w:tr>
      <w:tr w:rsidR="00B202A2">
        <w:trPr>
          <w:trHeight w:val="560"/>
        </w:trPr>
        <w:tc>
          <w:tcPr>
            <w:tcW w:w="554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both"/>
              <w:rPr>
                <w:rFonts w:ascii="Arial" w:eastAsia="Arial" w:hAnsi="Arial" w:cs="Arial"/>
                <w:sz w:val="22"/>
                <w:szCs w:val="22"/>
              </w:rPr>
            </w:pPr>
            <w:r>
              <w:rPr>
                <w:rFonts w:ascii="Arial" w:eastAsia="Arial" w:hAnsi="Arial" w:cs="Arial"/>
                <w:sz w:val="22"/>
                <w:szCs w:val="22"/>
              </w:rPr>
              <w:t>Ingeniería Química</w:t>
            </w:r>
          </w:p>
        </w:tc>
        <w:tc>
          <w:tcPr>
            <w:tcW w:w="1463"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center"/>
              <w:rPr>
                <w:rFonts w:ascii="Arial" w:eastAsia="Arial" w:hAnsi="Arial" w:cs="Arial"/>
                <w:sz w:val="22"/>
                <w:szCs w:val="22"/>
              </w:rPr>
            </w:pPr>
            <w:r>
              <w:rPr>
                <w:rFonts w:ascii="Arial" w:eastAsia="Arial" w:hAnsi="Arial" w:cs="Arial"/>
                <w:sz w:val="22"/>
                <w:szCs w:val="22"/>
              </w:rPr>
              <w:t>3</w:t>
            </w:r>
          </w:p>
        </w:tc>
        <w:tc>
          <w:tcPr>
            <w:tcW w:w="149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right"/>
              <w:rPr>
                <w:rFonts w:ascii="Arial" w:eastAsia="Arial" w:hAnsi="Arial" w:cs="Arial"/>
                <w:sz w:val="22"/>
                <w:szCs w:val="22"/>
              </w:rPr>
            </w:pPr>
            <w:r>
              <w:rPr>
                <w:rFonts w:ascii="Arial" w:eastAsia="Arial" w:hAnsi="Arial" w:cs="Arial"/>
                <w:sz w:val="22"/>
                <w:szCs w:val="22"/>
              </w:rPr>
              <w:t>2,65%</w:t>
            </w:r>
          </w:p>
        </w:tc>
      </w:tr>
      <w:tr w:rsidR="00B202A2">
        <w:trPr>
          <w:trHeight w:val="560"/>
        </w:trPr>
        <w:tc>
          <w:tcPr>
            <w:tcW w:w="554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both"/>
              <w:rPr>
                <w:rFonts w:ascii="Arial" w:eastAsia="Arial" w:hAnsi="Arial" w:cs="Arial"/>
                <w:sz w:val="22"/>
                <w:szCs w:val="22"/>
              </w:rPr>
            </w:pPr>
            <w:r>
              <w:rPr>
                <w:rFonts w:ascii="Arial" w:eastAsia="Arial" w:hAnsi="Arial" w:cs="Arial"/>
                <w:sz w:val="22"/>
                <w:szCs w:val="22"/>
              </w:rPr>
              <w:t>Psicóloga</w:t>
            </w:r>
          </w:p>
        </w:tc>
        <w:tc>
          <w:tcPr>
            <w:tcW w:w="1463"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center"/>
              <w:rPr>
                <w:rFonts w:ascii="Arial" w:eastAsia="Arial" w:hAnsi="Arial" w:cs="Arial"/>
                <w:sz w:val="22"/>
                <w:szCs w:val="22"/>
              </w:rPr>
            </w:pPr>
            <w:r>
              <w:rPr>
                <w:rFonts w:ascii="Arial" w:eastAsia="Arial" w:hAnsi="Arial" w:cs="Arial"/>
                <w:sz w:val="22"/>
                <w:szCs w:val="22"/>
              </w:rPr>
              <w:t>1</w:t>
            </w:r>
          </w:p>
        </w:tc>
        <w:tc>
          <w:tcPr>
            <w:tcW w:w="149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right"/>
              <w:rPr>
                <w:rFonts w:ascii="Arial" w:eastAsia="Arial" w:hAnsi="Arial" w:cs="Arial"/>
                <w:sz w:val="22"/>
                <w:szCs w:val="22"/>
              </w:rPr>
            </w:pPr>
            <w:r>
              <w:rPr>
                <w:rFonts w:ascii="Arial" w:eastAsia="Arial" w:hAnsi="Arial" w:cs="Arial"/>
                <w:sz w:val="22"/>
                <w:szCs w:val="22"/>
              </w:rPr>
              <w:t>0,88%</w:t>
            </w:r>
          </w:p>
        </w:tc>
      </w:tr>
      <w:tr w:rsidR="00B202A2">
        <w:trPr>
          <w:trHeight w:val="560"/>
        </w:trPr>
        <w:tc>
          <w:tcPr>
            <w:tcW w:w="554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both"/>
              <w:rPr>
                <w:rFonts w:ascii="Arial" w:eastAsia="Arial" w:hAnsi="Arial" w:cs="Arial"/>
                <w:sz w:val="22"/>
                <w:szCs w:val="22"/>
              </w:rPr>
            </w:pPr>
            <w:r>
              <w:rPr>
                <w:rFonts w:ascii="Arial" w:eastAsia="Arial" w:hAnsi="Arial" w:cs="Arial"/>
                <w:sz w:val="22"/>
                <w:szCs w:val="22"/>
              </w:rPr>
              <w:t>Técnicos</w:t>
            </w:r>
          </w:p>
        </w:tc>
        <w:tc>
          <w:tcPr>
            <w:tcW w:w="1463"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center"/>
              <w:rPr>
                <w:rFonts w:ascii="Arial" w:eastAsia="Arial" w:hAnsi="Arial" w:cs="Arial"/>
                <w:sz w:val="22"/>
                <w:szCs w:val="22"/>
              </w:rPr>
            </w:pPr>
            <w:r>
              <w:rPr>
                <w:rFonts w:ascii="Arial" w:eastAsia="Arial" w:hAnsi="Arial" w:cs="Arial"/>
                <w:sz w:val="22"/>
                <w:szCs w:val="22"/>
              </w:rPr>
              <w:t>3</w:t>
            </w:r>
          </w:p>
        </w:tc>
        <w:tc>
          <w:tcPr>
            <w:tcW w:w="149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right"/>
              <w:rPr>
                <w:rFonts w:ascii="Arial" w:eastAsia="Arial" w:hAnsi="Arial" w:cs="Arial"/>
                <w:sz w:val="22"/>
                <w:szCs w:val="22"/>
              </w:rPr>
            </w:pPr>
            <w:r>
              <w:rPr>
                <w:rFonts w:ascii="Arial" w:eastAsia="Arial" w:hAnsi="Arial" w:cs="Arial"/>
                <w:sz w:val="22"/>
                <w:szCs w:val="22"/>
              </w:rPr>
              <w:t>2,65%</w:t>
            </w:r>
          </w:p>
        </w:tc>
      </w:tr>
      <w:tr w:rsidR="00B202A2">
        <w:trPr>
          <w:trHeight w:val="575"/>
        </w:trPr>
        <w:tc>
          <w:tcPr>
            <w:tcW w:w="554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both"/>
              <w:rPr>
                <w:rFonts w:ascii="Arial" w:eastAsia="Arial" w:hAnsi="Arial" w:cs="Arial"/>
                <w:sz w:val="22"/>
                <w:szCs w:val="22"/>
              </w:rPr>
            </w:pPr>
            <w:r>
              <w:rPr>
                <w:rFonts w:ascii="Arial" w:eastAsia="Arial" w:hAnsi="Arial" w:cs="Arial"/>
                <w:sz w:val="22"/>
                <w:szCs w:val="22"/>
              </w:rPr>
              <w:t>Tecnólogos</w:t>
            </w:r>
          </w:p>
        </w:tc>
        <w:tc>
          <w:tcPr>
            <w:tcW w:w="1463"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center"/>
              <w:rPr>
                <w:rFonts w:ascii="Arial" w:eastAsia="Arial" w:hAnsi="Arial" w:cs="Arial"/>
                <w:sz w:val="22"/>
                <w:szCs w:val="22"/>
              </w:rPr>
            </w:pPr>
            <w:r>
              <w:rPr>
                <w:rFonts w:ascii="Arial" w:eastAsia="Arial" w:hAnsi="Arial" w:cs="Arial"/>
                <w:sz w:val="22"/>
                <w:szCs w:val="22"/>
              </w:rPr>
              <w:t>1</w:t>
            </w:r>
          </w:p>
        </w:tc>
        <w:tc>
          <w:tcPr>
            <w:tcW w:w="149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right"/>
              <w:rPr>
                <w:rFonts w:ascii="Arial" w:eastAsia="Arial" w:hAnsi="Arial" w:cs="Arial"/>
                <w:sz w:val="22"/>
                <w:szCs w:val="22"/>
              </w:rPr>
            </w:pPr>
            <w:r>
              <w:rPr>
                <w:rFonts w:ascii="Arial" w:eastAsia="Arial" w:hAnsi="Arial" w:cs="Arial"/>
                <w:sz w:val="22"/>
                <w:szCs w:val="22"/>
              </w:rPr>
              <w:t>0,85%</w:t>
            </w:r>
          </w:p>
        </w:tc>
      </w:tr>
      <w:tr w:rsidR="00B202A2">
        <w:trPr>
          <w:trHeight w:val="560"/>
        </w:trPr>
        <w:tc>
          <w:tcPr>
            <w:tcW w:w="554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both"/>
              <w:rPr>
                <w:rFonts w:ascii="Arial" w:eastAsia="Arial" w:hAnsi="Arial" w:cs="Arial"/>
                <w:sz w:val="22"/>
                <w:szCs w:val="22"/>
              </w:rPr>
            </w:pPr>
            <w:r>
              <w:rPr>
                <w:rFonts w:ascii="Arial" w:eastAsia="Arial" w:hAnsi="Arial" w:cs="Arial"/>
                <w:sz w:val="22"/>
                <w:szCs w:val="22"/>
              </w:rPr>
              <w:t>Bachiller</w:t>
            </w:r>
          </w:p>
        </w:tc>
        <w:tc>
          <w:tcPr>
            <w:tcW w:w="1463"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center"/>
              <w:rPr>
                <w:rFonts w:ascii="Arial" w:eastAsia="Arial" w:hAnsi="Arial" w:cs="Arial"/>
                <w:sz w:val="22"/>
                <w:szCs w:val="22"/>
              </w:rPr>
            </w:pPr>
            <w:r>
              <w:rPr>
                <w:rFonts w:ascii="Arial" w:eastAsia="Arial" w:hAnsi="Arial" w:cs="Arial"/>
                <w:sz w:val="22"/>
                <w:szCs w:val="22"/>
              </w:rPr>
              <w:t>5</w:t>
            </w:r>
          </w:p>
        </w:tc>
        <w:tc>
          <w:tcPr>
            <w:tcW w:w="149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right"/>
              <w:rPr>
                <w:rFonts w:ascii="Arial" w:eastAsia="Arial" w:hAnsi="Arial" w:cs="Arial"/>
                <w:sz w:val="22"/>
                <w:szCs w:val="22"/>
              </w:rPr>
            </w:pPr>
            <w:r>
              <w:rPr>
                <w:rFonts w:ascii="Arial" w:eastAsia="Arial" w:hAnsi="Arial" w:cs="Arial"/>
                <w:sz w:val="22"/>
                <w:szCs w:val="22"/>
              </w:rPr>
              <w:t>4,41%</w:t>
            </w:r>
          </w:p>
        </w:tc>
      </w:tr>
      <w:tr w:rsidR="00B202A2">
        <w:trPr>
          <w:trHeight w:val="560"/>
        </w:trPr>
        <w:tc>
          <w:tcPr>
            <w:tcW w:w="554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center"/>
              <w:rPr>
                <w:rFonts w:ascii="Arial" w:eastAsia="Arial" w:hAnsi="Arial" w:cs="Arial"/>
                <w:b/>
                <w:sz w:val="22"/>
                <w:szCs w:val="22"/>
              </w:rPr>
            </w:pPr>
            <w:r>
              <w:rPr>
                <w:rFonts w:ascii="Arial" w:eastAsia="Arial" w:hAnsi="Arial" w:cs="Arial"/>
                <w:b/>
                <w:sz w:val="22"/>
                <w:szCs w:val="22"/>
              </w:rPr>
              <w:t>TOTALES</w:t>
            </w:r>
          </w:p>
        </w:tc>
        <w:tc>
          <w:tcPr>
            <w:tcW w:w="1463"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center"/>
              <w:rPr>
                <w:rFonts w:ascii="Arial" w:eastAsia="Arial" w:hAnsi="Arial" w:cs="Arial"/>
                <w:b/>
                <w:sz w:val="22"/>
                <w:szCs w:val="22"/>
              </w:rPr>
            </w:pPr>
            <w:r>
              <w:rPr>
                <w:rFonts w:ascii="Arial" w:eastAsia="Arial" w:hAnsi="Arial" w:cs="Arial"/>
                <w:b/>
                <w:sz w:val="22"/>
                <w:szCs w:val="22"/>
              </w:rPr>
              <w:t>115</w:t>
            </w:r>
          </w:p>
        </w:tc>
        <w:tc>
          <w:tcPr>
            <w:tcW w:w="149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B202A2" w:rsidRDefault="00295E06">
            <w:pPr>
              <w:ind w:left="140"/>
              <w:jc w:val="center"/>
              <w:rPr>
                <w:rFonts w:ascii="Arial" w:eastAsia="Arial" w:hAnsi="Arial" w:cs="Arial"/>
                <w:b/>
                <w:sz w:val="22"/>
                <w:szCs w:val="22"/>
              </w:rPr>
            </w:pPr>
            <w:r>
              <w:rPr>
                <w:rFonts w:ascii="Arial" w:eastAsia="Arial" w:hAnsi="Arial" w:cs="Arial"/>
                <w:b/>
                <w:sz w:val="22"/>
                <w:szCs w:val="22"/>
              </w:rPr>
              <w:t>100</w:t>
            </w:r>
          </w:p>
        </w:tc>
      </w:tr>
    </w:tbl>
    <w:p w:rsidR="00B202A2" w:rsidRDefault="00295E06">
      <w:pPr>
        <w:jc w:val="center"/>
        <w:rPr>
          <w:rFonts w:ascii="Arial" w:eastAsia="Arial" w:hAnsi="Arial" w:cs="Arial"/>
          <w:sz w:val="22"/>
          <w:szCs w:val="22"/>
        </w:rPr>
      </w:pPr>
      <w:r>
        <w:rPr>
          <w:rFonts w:ascii="Arial" w:eastAsia="Arial" w:hAnsi="Arial" w:cs="Arial"/>
          <w:sz w:val="22"/>
          <w:szCs w:val="22"/>
        </w:rPr>
        <w:lastRenderedPageBreak/>
        <w:t xml:space="preserve"> </w:t>
      </w:r>
    </w:p>
    <w:p w:rsidR="00B202A2" w:rsidRDefault="00295E06">
      <w:pPr>
        <w:spacing w:after="160"/>
        <w:jc w:val="both"/>
        <w:rPr>
          <w:rFonts w:ascii="Arial" w:eastAsia="Arial" w:hAnsi="Arial" w:cs="Arial"/>
          <w:sz w:val="22"/>
          <w:szCs w:val="22"/>
        </w:rPr>
      </w:pPr>
      <w:r>
        <w:rPr>
          <w:rFonts w:ascii="Arial" w:eastAsia="Arial" w:hAnsi="Arial" w:cs="Arial"/>
          <w:sz w:val="22"/>
          <w:szCs w:val="22"/>
        </w:rPr>
        <w:t>Para la gestión del Talento Humano de la entidad se implementó el aplicativo para Permisos, incapacidades, Ausencias y Licencias - PIAL en la intranet, el cual permite unificar y organizar los diferentes tipos de novedades para asegurar una gestión eficien</w:t>
      </w:r>
      <w:r>
        <w:rPr>
          <w:rFonts w:ascii="Arial" w:eastAsia="Arial" w:hAnsi="Arial" w:cs="Arial"/>
          <w:sz w:val="22"/>
          <w:szCs w:val="22"/>
        </w:rPr>
        <w:t>te de la información que puede influir en la nómina de los servidores.</w:t>
      </w:r>
    </w:p>
    <w:p w:rsidR="00B202A2" w:rsidRDefault="00295E06">
      <w:pPr>
        <w:spacing w:before="240"/>
        <w:jc w:val="both"/>
        <w:rPr>
          <w:rFonts w:ascii="Arial" w:eastAsia="Arial" w:hAnsi="Arial" w:cs="Arial"/>
          <w:sz w:val="22"/>
          <w:szCs w:val="22"/>
        </w:rPr>
      </w:pPr>
      <w:r>
        <w:rPr>
          <w:rFonts w:ascii="Arial" w:eastAsia="Arial" w:hAnsi="Arial" w:cs="Arial"/>
          <w:sz w:val="22"/>
          <w:szCs w:val="22"/>
        </w:rPr>
        <w:t>Actualmente, nos encontramos en la migración de información a un nuevo aplicativo que permitirá la modernización del programa de la nómina, asegurando una gestión más ágil y la disminuc</w:t>
      </w:r>
      <w:r>
        <w:rPr>
          <w:rFonts w:ascii="Arial" w:eastAsia="Arial" w:hAnsi="Arial" w:cs="Arial"/>
          <w:sz w:val="22"/>
          <w:szCs w:val="22"/>
        </w:rPr>
        <w:t>ión de posibles errores.</w:t>
      </w:r>
    </w:p>
    <w:p w:rsidR="00B202A2" w:rsidRDefault="00B202A2">
      <w:pPr>
        <w:spacing w:before="240"/>
        <w:jc w:val="both"/>
        <w:rPr>
          <w:rFonts w:ascii="Arial" w:eastAsia="Arial" w:hAnsi="Arial" w:cs="Arial"/>
          <w:sz w:val="22"/>
          <w:szCs w:val="22"/>
        </w:rPr>
      </w:pPr>
    </w:p>
    <w:sdt>
      <w:sdtPr>
        <w:tag w:val="goog_rdk_8"/>
        <w:id w:val="111947510"/>
      </w:sdtPr>
      <w:sdtEndPr/>
      <w:sdtContent>
        <w:p w:rsidR="00B202A2" w:rsidRDefault="00295E06">
          <w:pPr>
            <w:spacing w:after="160"/>
            <w:jc w:val="both"/>
            <w:rPr>
              <w:rFonts w:ascii="Arial" w:eastAsia="Arial" w:hAnsi="Arial" w:cs="Arial"/>
              <w:b/>
              <w:sz w:val="22"/>
              <w:szCs w:val="22"/>
            </w:rPr>
          </w:pPr>
          <w:r>
            <w:rPr>
              <w:rFonts w:ascii="Arial" w:eastAsia="Arial" w:hAnsi="Arial" w:cs="Arial"/>
              <w:b/>
              <w:sz w:val="22"/>
              <w:szCs w:val="22"/>
            </w:rPr>
            <w:t>ACTIVIDADES REALIZADAS</w:t>
          </w:r>
        </w:p>
      </w:sdtContent>
    </w:sdt>
    <w:p w:rsidR="00B202A2" w:rsidRDefault="00295E06">
      <w:pPr>
        <w:spacing w:after="160"/>
        <w:jc w:val="both"/>
        <w:rPr>
          <w:rFonts w:ascii="Arial" w:eastAsia="Arial" w:hAnsi="Arial" w:cs="Arial"/>
          <w:sz w:val="22"/>
          <w:szCs w:val="22"/>
        </w:rPr>
      </w:pPr>
      <w:r>
        <w:rPr>
          <w:rFonts w:ascii="Arial" w:eastAsia="Arial" w:hAnsi="Arial" w:cs="Arial"/>
          <w:sz w:val="22"/>
          <w:szCs w:val="22"/>
        </w:rPr>
        <w:t>La Secretaría General, desarrolló las siguientes actividades en cumplimiento de las acciones contenidas en el Plan Estratégico de Talento Humano, Plan de Bienestar e Incentivos, Plan Institucional de Capac</w:t>
      </w:r>
      <w:r>
        <w:rPr>
          <w:rFonts w:ascii="Arial" w:eastAsia="Arial" w:hAnsi="Arial" w:cs="Arial"/>
          <w:sz w:val="22"/>
          <w:szCs w:val="22"/>
        </w:rPr>
        <w:t>itación y Plan de Seguridad y Salud en el Trabajo SG-SST.</w:t>
      </w:r>
    </w:p>
    <w:p w:rsidR="00B202A2" w:rsidRDefault="00295E06">
      <w:pPr>
        <w:spacing w:after="160"/>
        <w:jc w:val="both"/>
        <w:rPr>
          <w:rFonts w:ascii="Arial" w:eastAsia="Arial" w:hAnsi="Arial" w:cs="Arial"/>
          <w:sz w:val="22"/>
          <w:szCs w:val="22"/>
        </w:rPr>
      </w:pPr>
      <w:r>
        <w:rPr>
          <w:rFonts w:ascii="Arial" w:eastAsia="Arial" w:hAnsi="Arial" w:cs="Arial"/>
          <w:sz w:val="22"/>
          <w:szCs w:val="22"/>
        </w:rPr>
        <w:t xml:space="preserve"> </w:t>
      </w:r>
    </w:p>
    <w:p w:rsidR="00B202A2" w:rsidRDefault="00295E06">
      <w:pPr>
        <w:spacing w:after="160"/>
        <w:jc w:val="both"/>
        <w:rPr>
          <w:rFonts w:ascii="Arial" w:eastAsia="Arial" w:hAnsi="Arial" w:cs="Arial"/>
          <w:b/>
          <w:sz w:val="22"/>
          <w:szCs w:val="22"/>
        </w:rPr>
      </w:pPr>
      <w:r>
        <w:rPr>
          <w:rFonts w:ascii="Arial" w:eastAsia="Arial" w:hAnsi="Arial" w:cs="Arial"/>
          <w:b/>
          <w:sz w:val="22"/>
          <w:szCs w:val="22"/>
        </w:rPr>
        <w:t>Actividades Plan de Bienestar</w:t>
      </w:r>
    </w:p>
    <w:p w:rsidR="00B202A2" w:rsidRDefault="00295E06">
      <w:pPr>
        <w:spacing w:after="160"/>
        <w:jc w:val="both"/>
        <w:rPr>
          <w:rFonts w:ascii="Arial" w:eastAsia="Arial" w:hAnsi="Arial" w:cs="Arial"/>
          <w:sz w:val="22"/>
          <w:szCs w:val="22"/>
        </w:rPr>
      </w:pPr>
      <w:r>
        <w:rPr>
          <w:rFonts w:ascii="Arial" w:eastAsia="Arial" w:hAnsi="Arial" w:cs="Arial"/>
          <w:sz w:val="22"/>
          <w:szCs w:val="22"/>
        </w:rPr>
        <w:t>El Bienestar Social de los empleados al servicio del Estado deberá entenderse ante todo como la búsqueda de calidad de vida de los funcionarios, en correspondencia de su dignidad humana y el mejoramiento en su desempeño laboral y deberá causar efectos posi</w:t>
      </w:r>
      <w:r>
        <w:rPr>
          <w:rFonts w:ascii="Arial" w:eastAsia="Arial" w:hAnsi="Arial" w:cs="Arial"/>
          <w:sz w:val="22"/>
          <w:szCs w:val="22"/>
        </w:rPr>
        <w:t>tivos para fortalecer su motivación y redireccionarla hacia el trabajo bien diseñado que se refleje tanto en la organización como en cada uno de ellos, un sentido de pertenencia hacia sus funciones y hacia la entidad donde presta sus servicios. Para el des</w:t>
      </w:r>
      <w:r>
        <w:rPr>
          <w:rFonts w:ascii="Arial" w:eastAsia="Arial" w:hAnsi="Arial" w:cs="Arial"/>
          <w:sz w:val="22"/>
          <w:szCs w:val="22"/>
        </w:rPr>
        <w:t xml:space="preserve">arrollo de este fin, la entidad implementó la estrategia organizacional </w:t>
      </w:r>
      <w:r>
        <w:rPr>
          <w:rFonts w:ascii="Arial" w:eastAsia="Arial" w:hAnsi="Arial" w:cs="Arial"/>
          <w:i/>
          <w:sz w:val="22"/>
          <w:szCs w:val="22"/>
        </w:rPr>
        <w:t>Yo Vivo UPME</w:t>
      </w:r>
      <w:r>
        <w:rPr>
          <w:rFonts w:ascii="Arial" w:eastAsia="Arial" w:hAnsi="Arial" w:cs="Arial"/>
          <w:sz w:val="22"/>
          <w:szCs w:val="22"/>
        </w:rPr>
        <w:t xml:space="preserve">, buscando generar condiciones favorables para sus servidores públicos, en donde las dinámicas laborales se articulen con su tiempo libre y con sus relaciones familiares y </w:t>
      </w:r>
      <w:r>
        <w:rPr>
          <w:rFonts w:ascii="Arial" w:eastAsia="Arial" w:hAnsi="Arial" w:cs="Arial"/>
          <w:sz w:val="22"/>
          <w:szCs w:val="22"/>
        </w:rPr>
        <w:t>sociales. En el marco de esta, se han desarrollado las siguientes actividades de cara a su planta de personal:</w:t>
      </w:r>
    </w:p>
    <w:p w:rsidR="00B202A2" w:rsidRDefault="00295E06">
      <w:pPr>
        <w:numPr>
          <w:ilvl w:val="0"/>
          <w:numId w:val="8"/>
        </w:numPr>
        <w:spacing w:before="240"/>
        <w:jc w:val="both"/>
        <w:rPr>
          <w:rFonts w:ascii="Arial" w:eastAsia="Arial" w:hAnsi="Arial" w:cs="Arial"/>
          <w:sz w:val="22"/>
          <w:szCs w:val="22"/>
        </w:rPr>
      </w:pPr>
      <w:r>
        <w:rPr>
          <w:rFonts w:ascii="Arial" w:eastAsia="Arial" w:hAnsi="Arial" w:cs="Arial"/>
          <w:sz w:val="22"/>
          <w:szCs w:val="22"/>
        </w:rPr>
        <w:t>Desarrollo de conferencia Construyendo Vida, para motivar a los servidores sobre su gestión pública y resaltar los resultados obtenidos por la en</w:t>
      </w:r>
      <w:r>
        <w:rPr>
          <w:rFonts w:ascii="Arial" w:eastAsia="Arial" w:hAnsi="Arial" w:cs="Arial"/>
          <w:sz w:val="22"/>
          <w:szCs w:val="22"/>
        </w:rPr>
        <w:t>tidad en el Formulario Único de Reporte de Avances de la Gestión – FURAG.</w:t>
      </w:r>
      <w:r>
        <w:rPr>
          <w:rFonts w:ascii="Arial" w:eastAsia="Arial" w:hAnsi="Arial" w:cs="Arial"/>
          <w:sz w:val="22"/>
          <w:szCs w:val="22"/>
        </w:rPr>
        <w:br/>
      </w:r>
      <w:r>
        <w:rPr>
          <w:rFonts w:ascii="Arial" w:eastAsia="Arial" w:hAnsi="Arial" w:cs="Arial"/>
          <w:sz w:val="22"/>
          <w:szCs w:val="22"/>
        </w:rPr>
        <w:br/>
      </w:r>
      <w:r>
        <w:rPr>
          <w:rFonts w:ascii="Arial" w:eastAsia="Arial" w:hAnsi="Arial" w:cs="Arial"/>
          <w:sz w:val="22"/>
          <w:szCs w:val="22"/>
        </w:rPr>
        <w:lastRenderedPageBreak/>
        <w:t xml:space="preserve">  </w:t>
      </w:r>
      <w:r>
        <w:rPr>
          <w:rFonts w:ascii="Arial" w:eastAsia="Arial" w:hAnsi="Arial" w:cs="Arial"/>
          <w:noProof/>
          <w:sz w:val="22"/>
          <w:szCs w:val="22"/>
          <w:lang w:val="en-US"/>
        </w:rPr>
        <w:drawing>
          <wp:inline distT="114300" distB="114300" distL="114300" distR="114300" wp14:anchorId="616FBAB9" wp14:editId="165B348F">
            <wp:extent cx="1981200" cy="2657475"/>
            <wp:effectExtent l="0" t="0" r="0" b="0"/>
            <wp:docPr id="149"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28"/>
                    <a:srcRect/>
                    <a:stretch>
                      <a:fillRect/>
                    </a:stretch>
                  </pic:blipFill>
                  <pic:spPr>
                    <a:xfrm>
                      <a:off x="0" y="0"/>
                      <a:ext cx="1981200" cy="2657475"/>
                    </a:xfrm>
                    <a:prstGeom prst="rect">
                      <a:avLst/>
                    </a:prstGeom>
                    <a:ln/>
                  </pic:spPr>
                </pic:pic>
              </a:graphicData>
            </a:graphic>
          </wp:inline>
        </w:drawing>
      </w:r>
      <w:r>
        <w:rPr>
          <w:rFonts w:ascii="Arial" w:eastAsia="Arial" w:hAnsi="Arial" w:cs="Arial"/>
          <w:sz w:val="22"/>
          <w:szCs w:val="22"/>
        </w:rPr>
        <w:br/>
        <w:t xml:space="preserve"> </w:t>
      </w:r>
    </w:p>
    <w:p w:rsidR="00B202A2" w:rsidRDefault="00295E06">
      <w:pPr>
        <w:numPr>
          <w:ilvl w:val="0"/>
          <w:numId w:val="8"/>
        </w:numPr>
        <w:spacing w:after="240"/>
        <w:jc w:val="both"/>
        <w:rPr>
          <w:rFonts w:ascii="Arial" w:eastAsia="Arial" w:hAnsi="Arial" w:cs="Arial"/>
          <w:sz w:val="22"/>
          <w:szCs w:val="22"/>
        </w:rPr>
      </w:pPr>
      <w:r>
        <w:rPr>
          <w:rFonts w:ascii="Arial" w:eastAsia="Arial" w:hAnsi="Arial" w:cs="Arial"/>
          <w:sz w:val="22"/>
          <w:szCs w:val="22"/>
        </w:rPr>
        <w:t>Realización de talleres específicos con Coach certificado, con el fin de brindar herramientas para poner en práctica en la vida personal y laboral de los servidores.</w:t>
      </w:r>
    </w:p>
    <w:p w:rsidR="00B202A2" w:rsidRDefault="00295E06">
      <w:pPr>
        <w:jc w:val="both"/>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2"/>
          <w:szCs w:val="22"/>
        </w:rPr>
        <w:tab/>
        <w:t xml:space="preserve"> </w:t>
      </w:r>
      <w:r>
        <w:rPr>
          <w:rFonts w:ascii="Arial" w:eastAsia="Arial" w:hAnsi="Arial" w:cs="Arial"/>
          <w:sz w:val="22"/>
          <w:szCs w:val="22"/>
        </w:rPr>
        <w:t xml:space="preserve">   </w:t>
      </w:r>
    </w:p>
    <w:p w:rsidR="00B202A2" w:rsidRDefault="00295E06">
      <w:pPr>
        <w:jc w:val="both"/>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noProof/>
          <w:sz w:val="22"/>
          <w:szCs w:val="22"/>
          <w:lang w:val="en-US"/>
        </w:rPr>
        <w:drawing>
          <wp:inline distT="114300" distB="114300" distL="114300" distR="114300" wp14:anchorId="43FC1443" wp14:editId="38A21EAA">
            <wp:extent cx="2419350" cy="1809750"/>
            <wp:effectExtent l="0" t="0" r="0" b="0"/>
            <wp:docPr id="150"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29"/>
                    <a:srcRect/>
                    <a:stretch>
                      <a:fillRect/>
                    </a:stretch>
                  </pic:blipFill>
                  <pic:spPr>
                    <a:xfrm>
                      <a:off x="0" y="0"/>
                      <a:ext cx="2419350" cy="1809750"/>
                    </a:xfrm>
                    <a:prstGeom prst="rect">
                      <a:avLst/>
                    </a:prstGeom>
                    <a:ln/>
                  </pic:spPr>
                </pic:pic>
              </a:graphicData>
            </a:graphic>
          </wp:inline>
        </w:drawing>
      </w:r>
      <w:r>
        <w:rPr>
          <w:rFonts w:ascii="Arial" w:eastAsia="Arial" w:hAnsi="Arial" w:cs="Arial"/>
          <w:noProof/>
          <w:sz w:val="22"/>
          <w:szCs w:val="22"/>
          <w:lang w:val="en-US"/>
        </w:rPr>
        <w:drawing>
          <wp:inline distT="114300" distB="114300" distL="114300" distR="114300" wp14:anchorId="3E7F2ECF" wp14:editId="303386E1">
            <wp:extent cx="2419350" cy="1819275"/>
            <wp:effectExtent l="0" t="0" r="0" b="0"/>
            <wp:docPr id="151"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30"/>
                    <a:srcRect/>
                    <a:stretch>
                      <a:fillRect/>
                    </a:stretch>
                  </pic:blipFill>
                  <pic:spPr>
                    <a:xfrm>
                      <a:off x="0" y="0"/>
                      <a:ext cx="2419350" cy="1819275"/>
                    </a:xfrm>
                    <a:prstGeom prst="rect">
                      <a:avLst/>
                    </a:prstGeom>
                    <a:ln/>
                  </pic:spPr>
                </pic:pic>
              </a:graphicData>
            </a:graphic>
          </wp:inline>
        </w:drawing>
      </w:r>
    </w:p>
    <w:p w:rsidR="00B202A2" w:rsidRDefault="00295E06">
      <w:pPr>
        <w:jc w:val="both"/>
        <w:rPr>
          <w:rFonts w:ascii="Arial" w:eastAsia="Arial" w:hAnsi="Arial" w:cs="Arial"/>
          <w:sz w:val="22"/>
          <w:szCs w:val="22"/>
        </w:rPr>
      </w:pPr>
      <w:r>
        <w:rPr>
          <w:rFonts w:ascii="Arial" w:eastAsia="Arial" w:hAnsi="Arial" w:cs="Arial"/>
          <w:sz w:val="22"/>
          <w:szCs w:val="22"/>
        </w:rPr>
        <w:t xml:space="preserve">  </w:t>
      </w:r>
    </w:p>
    <w:p w:rsidR="00B202A2" w:rsidRDefault="00295E06">
      <w:pPr>
        <w:numPr>
          <w:ilvl w:val="0"/>
          <w:numId w:val="18"/>
        </w:numPr>
        <w:spacing w:before="240" w:after="400"/>
        <w:rPr>
          <w:rFonts w:ascii="Arial" w:eastAsia="Arial" w:hAnsi="Arial" w:cs="Arial"/>
          <w:sz w:val="22"/>
          <w:szCs w:val="22"/>
        </w:rPr>
      </w:pPr>
      <w:r>
        <w:rPr>
          <w:rFonts w:ascii="Arial" w:eastAsia="Arial" w:hAnsi="Arial" w:cs="Arial"/>
          <w:sz w:val="22"/>
          <w:szCs w:val="22"/>
        </w:rPr>
        <w:lastRenderedPageBreak/>
        <w:t xml:space="preserve">Celebraciones virtuales (debido al confinamiento), de fechas especiales como cumpleaños, día de la(el) secretaria(o), amor y amistad entre otras.                                                             </w:t>
      </w:r>
      <w:r>
        <w:rPr>
          <w:rFonts w:ascii="Arial" w:eastAsia="Arial" w:hAnsi="Arial" w:cs="Arial"/>
          <w:sz w:val="22"/>
          <w:szCs w:val="22"/>
        </w:rPr>
        <w:br/>
      </w:r>
      <w:r>
        <w:rPr>
          <w:rFonts w:ascii="Arial" w:eastAsia="Arial" w:hAnsi="Arial" w:cs="Arial"/>
          <w:noProof/>
          <w:sz w:val="22"/>
          <w:szCs w:val="22"/>
          <w:lang w:val="en-US"/>
        </w:rPr>
        <w:drawing>
          <wp:inline distT="114300" distB="114300" distL="114300" distR="114300" wp14:anchorId="43CA2ABF" wp14:editId="3DD6C664">
            <wp:extent cx="2181225" cy="2943225"/>
            <wp:effectExtent l="0" t="0" r="0" b="0"/>
            <wp:docPr id="152"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31"/>
                    <a:srcRect/>
                    <a:stretch>
                      <a:fillRect/>
                    </a:stretch>
                  </pic:blipFill>
                  <pic:spPr>
                    <a:xfrm>
                      <a:off x="0" y="0"/>
                      <a:ext cx="2181225" cy="2943225"/>
                    </a:xfrm>
                    <a:prstGeom prst="rect">
                      <a:avLst/>
                    </a:prstGeom>
                    <a:ln/>
                  </pic:spPr>
                </pic:pic>
              </a:graphicData>
            </a:graphic>
          </wp:inline>
        </w:drawing>
      </w:r>
      <w:r>
        <w:rPr>
          <w:rFonts w:ascii="Arial" w:eastAsia="Arial" w:hAnsi="Arial" w:cs="Arial"/>
          <w:sz w:val="22"/>
          <w:szCs w:val="22"/>
        </w:rPr>
        <w:t xml:space="preserve"> </w:t>
      </w:r>
      <w:r>
        <w:rPr>
          <w:rFonts w:ascii="Arial" w:eastAsia="Arial" w:hAnsi="Arial" w:cs="Arial"/>
          <w:sz w:val="22"/>
          <w:szCs w:val="22"/>
        </w:rPr>
        <w:tab/>
      </w:r>
      <w:r>
        <w:rPr>
          <w:rFonts w:ascii="Arial" w:eastAsia="Arial" w:hAnsi="Arial" w:cs="Arial"/>
          <w:noProof/>
          <w:sz w:val="22"/>
          <w:szCs w:val="22"/>
          <w:lang w:val="en-US"/>
        </w:rPr>
        <w:drawing>
          <wp:inline distT="114300" distB="114300" distL="114300" distR="114300" wp14:anchorId="7385BE78" wp14:editId="6CE9011F">
            <wp:extent cx="2438400" cy="2962275"/>
            <wp:effectExtent l="0" t="0" r="0" b="0"/>
            <wp:docPr id="153"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32"/>
                    <a:srcRect/>
                    <a:stretch>
                      <a:fillRect/>
                    </a:stretch>
                  </pic:blipFill>
                  <pic:spPr>
                    <a:xfrm>
                      <a:off x="0" y="0"/>
                      <a:ext cx="2438400" cy="2962275"/>
                    </a:xfrm>
                    <a:prstGeom prst="rect">
                      <a:avLst/>
                    </a:prstGeom>
                    <a:ln/>
                  </pic:spPr>
                </pic:pic>
              </a:graphicData>
            </a:graphic>
          </wp:inline>
        </w:drawing>
      </w:r>
    </w:p>
    <w:p w:rsidR="00B202A2" w:rsidRDefault="00295E06">
      <w:pPr>
        <w:spacing w:before="240" w:after="400"/>
        <w:ind w:left="720"/>
        <w:rPr>
          <w:rFonts w:ascii="Arial" w:eastAsia="Arial" w:hAnsi="Arial" w:cs="Arial"/>
          <w:sz w:val="22"/>
          <w:szCs w:val="22"/>
        </w:rPr>
      </w:pPr>
      <w:r>
        <w:rPr>
          <w:rFonts w:ascii="Arial" w:eastAsia="Arial" w:hAnsi="Arial" w:cs="Arial"/>
          <w:noProof/>
          <w:sz w:val="22"/>
          <w:szCs w:val="22"/>
          <w:lang w:val="en-US"/>
        </w:rPr>
        <w:drawing>
          <wp:inline distT="114300" distB="114300" distL="114300" distR="114300" wp14:anchorId="41DCE218" wp14:editId="51DA98D8">
            <wp:extent cx="1885950" cy="2686050"/>
            <wp:effectExtent l="0" t="0" r="0" b="0"/>
            <wp:docPr id="133"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3"/>
                    <a:srcRect/>
                    <a:stretch>
                      <a:fillRect/>
                    </a:stretch>
                  </pic:blipFill>
                  <pic:spPr>
                    <a:xfrm>
                      <a:off x="0" y="0"/>
                      <a:ext cx="1885950" cy="2686050"/>
                    </a:xfrm>
                    <a:prstGeom prst="rect">
                      <a:avLst/>
                    </a:prstGeom>
                    <a:ln/>
                  </pic:spPr>
                </pic:pic>
              </a:graphicData>
            </a:graphic>
          </wp:inline>
        </w:drawing>
      </w:r>
      <w:r>
        <w:rPr>
          <w:rFonts w:ascii="Arial" w:eastAsia="Arial" w:hAnsi="Arial" w:cs="Arial"/>
          <w:noProof/>
          <w:sz w:val="22"/>
          <w:szCs w:val="22"/>
          <w:lang w:val="en-US"/>
        </w:rPr>
        <w:drawing>
          <wp:inline distT="114300" distB="114300" distL="114300" distR="114300" wp14:anchorId="4A268669" wp14:editId="42FF5238">
            <wp:extent cx="2638425" cy="2667000"/>
            <wp:effectExtent l="0" t="0" r="0" b="0"/>
            <wp:docPr id="134"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34"/>
                    <a:srcRect/>
                    <a:stretch>
                      <a:fillRect/>
                    </a:stretch>
                  </pic:blipFill>
                  <pic:spPr>
                    <a:xfrm>
                      <a:off x="0" y="0"/>
                      <a:ext cx="2638425" cy="2667000"/>
                    </a:xfrm>
                    <a:prstGeom prst="rect">
                      <a:avLst/>
                    </a:prstGeom>
                    <a:ln/>
                  </pic:spPr>
                </pic:pic>
              </a:graphicData>
            </a:graphic>
          </wp:inline>
        </w:drawing>
      </w:r>
    </w:p>
    <w:p w:rsidR="00B202A2" w:rsidRDefault="00295E06">
      <w:pPr>
        <w:spacing w:before="240" w:after="240"/>
        <w:ind w:left="720"/>
        <w:rPr>
          <w:rFonts w:ascii="Arial" w:eastAsia="Arial" w:hAnsi="Arial" w:cs="Arial"/>
          <w:sz w:val="22"/>
          <w:szCs w:val="22"/>
        </w:rPr>
      </w:pPr>
      <w:r>
        <w:br w:type="page"/>
      </w:r>
    </w:p>
    <w:p w:rsidR="00B202A2" w:rsidRDefault="00B202A2">
      <w:pPr>
        <w:spacing w:before="240" w:after="240"/>
        <w:ind w:left="720"/>
        <w:rPr>
          <w:rFonts w:ascii="Arial" w:eastAsia="Arial" w:hAnsi="Arial" w:cs="Arial"/>
          <w:sz w:val="22"/>
          <w:szCs w:val="22"/>
        </w:rPr>
      </w:pPr>
    </w:p>
    <w:p w:rsidR="00B202A2" w:rsidRDefault="00295E06">
      <w:pPr>
        <w:numPr>
          <w:ilvl w:val="0"/>
          <w:numId w:val="10"/>
        </w:numPr>
        <w:spacing w:before="240" w:after="240"/>
        <w:rPr>
          <w:rFonts w:ascii="Arial" w:eastAsia="Arial" w:hAnsi="Arial" w:cs="Arial"/>
          <w:sz w:val="22"/>
          <w:szCs w:val="22"/>
        </w:rPr>
      </w:pPr>
      <w:r>
        <w:rPr>
          <w:rFonts w:ascii="Arial" w:eastAsia="Arial" w:hAnsi="Arial" w:cs="Arial"/>
          <w:sz w:val="22"/>
          <w:szCs w:val="22"/>
        </w:rPr>
        <w:t>Envío de obsequio ins</w:t>
      </w:r>
      <w:r>
        <w:rPr>
          <w:rFonts w:ascii="Arial" w:eastAsia="Arial" w:hAnsi="Arial" w:cs="Arial"/>
          <w:sz w:val="22"/>
          <w:szCs w:val="22"/>
        </w:rPr>
        <w:t>titucional a los hogares de los servidores con ocasión al día del servidor público</w:t>
      </w:r>
    </w:p>
    <w:p w:rsidR="00B202A2" w:rsidRDefault="00295E06">
      <w:pPr>
        <w:spacing w:before="240" w:after="240"/>
        <w:ind w:left="720"/>
        <w:rPr>
          <w:rFonts w:ascii="Arial" w:eastAsia="Arial" w:hAnsi="Arial" w:cs="Arial"/>
          <w:sz w:val="22"/>
          <w:szCs w:val="22"/>
        </w:rPr>
      </w:pPr>
      <w:r>
        <w:rPr>
          <w:rFonts w:ascii="Arial" w:eastAsia="Arial" w:hAnsi="Arial" w:cs="Arial"/>
          <w:noProof/>
          <w:sz w:val="22"/>
          <w:szCs w:val="22"/>
          <w:lang w:val="en-US"/>
        </w:rPr>
        <w:drawing>
          <wp:inline distT="114300" distB="114300" distL="114300" distR="114300" wp14:anchorId="580213A5" wp14:editId="62B890F5">
            <wp:extent cx="1876425" cy="2488001"/>
            <wp:effectExtent l="0" t="0" r="0" b="0"/>
            <wp:docPr id="135"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35"/>
                    <a:srcRect/>
                    <a:stretch>
                      <a:fillRect/>
                    </a:stretch>
                  </pic:blipFill>
                  <pic:spPr>
                    <a:xfrm>
                      <a:off x="0" y="0"/>
                      <a:ext cx="1876425" cy="2488001"/>
                    </a:xfrm>
                    <a:prstGeom prst="rect">
                      <a:avLst/>
                    </a:prstGeom>
                    <a:ln/>
                  </pic:spPr>
                </pic:pic>
              </a:graphicData>
            </a:graphic>
          </wp:inline>
        </w:drawing>
      </w:r>
      <w:r>
        <w:rPr>
          <w:rFonts w:ascii="Arial" w:eastAsia="Arial" w:hAnsi="Arial" w:cs="Arial"/>
          <w:noProof/>
          <w:sz w:val="22"/>
          <w:szCs w:val="22"/>
          <w:lang w:val="en-US"/>
        </w:rPr>
        <w:drawing>
          <wp:inline distT="114300" distB="114300" distL="114300" distR="114300" wp14:anchorId="5D9DF60C" wp14:editId="0FF50B8B">
            <wp:extent cx="1828800" cy="2495550"/>
            <wp:effectExtent l="0" t="0" r="0" b="0"/>
            <wp:docPr id="136"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36"/>
                    <a:srcRect/>
                    <a:stretch>
                      <a:fillRect/>
                    </a:stretch>
                  </pic:blipFill>
                  <pic:spPr>
                    <a:xfrm>
                      <a:off x="0" y="0"/>
                      <a:ext cx="1828800" cy="2495550"/>
                    </a:xfrm>
                    <a:prstGeom prst="rect">
                      <a:avLst/>
                    </a:prstGeom>
                    <a:ln/>
                  </pic:spPr>
                </pic:pic>
              </a:graphicData>
            </a:graphic>
          </wp:inline>
        </w:drawing>
      </w:r>
    </w:p>
    <w:p w:rsidR="00B202A2" w:rsidRDefault="00295E06">
      <w:pPr>
        <w:numPr>
          <w:ilvl w:val="0"/>
          <w:numId w:val="5"/>
        </w:numPr>
        <w:spacing w:before="240" w:after="240"/>
        <w:rPr>
          <w:rFonts w:ascii="Arial" w:eastAsia="Arial" w:hAnsi="Arial" w:cs="Arial"/>
          <w:sz w:val="22"/>
          <w:szCs w:val="22"/>
        </w:rPr>
      </w:pPr>
      <w:r>
        <w:rPr>
          <w:rFonts w:ascii="Arial" w:eastAsia="Arial" w:hAnsi="Arial" w:cs="Arial"/>
          <w:sz w:val="22"/>
          <w:szCs w:val="22"/>
        </w:rPr>
        <w:t>Realización de actividades recreativas para los hijos de nuestros servidores.</w:t>
      </w:r>
    </w:p>
    <w:p w:rsidR="00B202A2" w:rsidRDefault="00295E06">
      <w:pPr>
        <w:spacing w:before="240" w:after="240"/>
        <w:ind w:left="720"/>
        <w:jc w:val="center"/>
        <w:rPr>
          <w:rFonts w:ascii="Arial" w:eastAsia="Arial" w:hAnsi="Arial" w:cs="Arial"/>
          <w:sz w:val="22"/>
          <w:szCs w:val="22"/>
        </w:rPr>
      </w:pPr>
      <w:r>
        <w:rPr>
          <w:rFonts w:ascii="Arial" w:eastAsia="Arial" w:hAnsi="Arial" w:cs="Arial"/>
          <w:noProof/>
          <w:sz w:val="22"/>
          <w:szCs w:val="22"/>
          <w:lang w:val="en-US"/>
        </w:rPr>
        <w:drawing>
          <wp:inline distT="114300" distB="114300" distL="114300" distR="114300" wp14:anchorId="46C89D86" wp14:editId="19500934">
            <wp:extent cx="2305050" cy="2981325"/>
            <wp:effectExtent l="0" t="0" r="0" b="0"/>
            <wp:docPr id="137"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37"/>
                    <a:srcRect/>
                    <a:stretch>
                      <a:fillRect/>
                    </a:stretch>
                  </pic:blipFill>
                  <pic:spPr>
                    <a:xfrm>
                      <a:off x="0" y="0"/>
                      <a:ext cx="2305050" cy="2981325"/>
                    </a:xfrm>
                    <a:prstGeom prst="rect">
                      <a:avLst/>
                    </a:prstGeom>
                    <a:ln/>
                  </pic:spPr>
                </pic:pic>
              </a:graphicData>
            </a:graphic>
          </wp:inline>
        </w:drawing>
      </w:r>
      <w:r>
        <w:br w:type="page"/>
      </w:r>
    </w:p>
    <w:p w:rsidR="00B202A2" w:rsidRDefault="00B202A2">
      <w:pPr>
        <w:spacing w:before="240" w:after="240"/>
        <w:ind w:left="720"/>
        <w:jc w:val="center"/>
        <w:rPr>
          <w:rFonts w:ascii="Arial" w:eastAsia="Arial" w:hAnsi="Arial" w:cs="Arial"/>
          <w:sz w:val="22"/>
          <w:szCs w:val="22"/>
        </w:rPr>
      </w:pPr>
    </w:p>
    <w:p w:rsidR="00B202A2" w:rsidRDefault="00295E06">
      <w:pPr>
        <w:numPr>
          <w:ilvl w:val="0"/>
          <w:numId w:val="7"/>
        </w:numPr>
        <w:pBdr>
          <w:top w:val="nil"/>
          <w:left w:val="nil"/>
          <w:bottom w:val="nil"/>
          <w:right w:val="nil"/>
          <w:between w:val="nil"/>
        </w:pBdr>
        <w:spacing w:before="240" w:after="240" w:line="259" w:lineRule="auto"/>
        <w:rPr>
          <w:rFonts w:ascii="Arial" w:eastAsia="Arial" w:hAnsi="Arial" w:cs="Arial"/>
          <w:color w:val="000000"/>
          <w:sz w:val="22"/>
          <w:szCs w:val="22"/>
        </w:rPr>
      </w:pPr>
      <w:r>
        <w:rPr>
          <w:rFonts w:ascii="Arial" w:eastAsia="Arial" w:hAnsi="Arial" w:cs="Arial"/>
          <w:color w:val="000000"/>
          <w:sz w:val="22"/>
          <w:szCs w:val="22"/>
        </w:rPr>
        <w:t>Desarrollo de actividades artísticas con el objetivo de afianzar nuevas habilidades personales diferentes a las laborales.</w:t>
      </w:r>
    </w:p>
    <w:p w:rsidR="00B202A2" w:rsidRDefault="00295E06">
      <w:pPr>
        <w:spacing w:before="240" w:after="240"/>
        <w:jc w:val="center"/>
        <w:rPr>
          <w:rFonts w:ascii="Arial" w:eastAsia="Arial" w:hAnsi="Arial" w:cs="Arial"/>
          <w:sz w:val="22"/>
          <w:szCs w:val="22"/>
        </w:rPr>
      </w:pPr>
      <w:r>
        <w:rPr>
          <w:rFonts w:ascii="Arial" w:eastAsia="Arial" w:hAnsi="Arial" w:cs="Arial"/>
          <w:noProof/>
          <w:sz w:val="22"/>
          <w:szCs w:val="22"/>
          <w:lang w:val="en-US"/>
        </w:rPr>
        <w:drawing>
          <wp:inline distT="114300" distB="114300" distL="114300" distR="114300" wp14:anchorId="2E7DDC78" wp14:editId="2D7FB37F">
            <wp:extent cx="2705100" cy="2709725"/>
            <wp:effectExtent l="0" t="0" r="0" b="0"/>
            <wp:docPr id="138"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38"/>
                    <a:srcRect/>
                    <a:stretch>
                      <a:fillRect/>
                    </a:stretch>
                  </pic:blipFill>
                  <pic:spPr>
                    <a:xfrm>
                      <a:off x="0" y="0"/>
                      <a:ext cx="2705100" cy="2709725"/>
                    </a:xfrm>
                    <a:prstGeom prst="rect">
                      <a:avLst/>
                    </a:prstGeom>
                    <a:ln/>
                  </pic:spPr>
                </pic:pic>
              </a:graphicData>
            </a:graphic>
          </wp:inline>
        </w:drawing>
      </w:r>
    </w:p>
    <w:p w:rsidR="00B202A2" w:rsidRDefault="00295E06">
      <w:pPr>
        <w:numPr>
          <w:ilvl w:val="0"/>
          <w:numId w:val="9"/>
        </w:numPr>
        <w:spacing w:before="240"/>
        <w:rPr>
          <w:rFonts w:ascii="Arial" w:eastAsia="Arial" w:hAnsi="Arial" w:cs="Arial"/>
          <w:sz w:val="22"/>
          <w:szCs w:val="22"/>
        </w:rPr>
      </w:pPr>
      <w:r>
        <w:rPr>
          <w:rFonts w:ascii="Arial" w:eastAsia="Arial" w:hAnsi="Arial" w:cs="Arial"/>
          <w:sz w:val="22"/>
          <w:szCs w:val="22"/>
        </w:rPr>
        <w:t>Desarrollo de actividades deportivas, para el mejoramiento de la calidad de vida con acompañamiento de expertos en la materia.</w:t>
      </w:r>
      <w:r>
        <w:rPr>
          <w:rFonts w:ascii="Arial" w:eastAsia="Arial" w:hAnsi="Arial" w:cs="Arial"/>
          <w:sz w:val="22"/>
          <w:szCs w:val="22"/>
        </w:rPr>
        <w:br/>
        <w:t xml:space="preserve"> </w:t>
      </w:r>
      <w:r>
        <w:rPr>
          <w:rFonts w:ascii="Arial" w:eastAsia="Arial" w:hAnsi="Arial" w:cs="Arial"/>
          <w:sz w:val="22"/>
          <w:szCs w:val="22"/>
        </w:rPr>
        <w:br/>
      </w:r>
      <w:r>
        <w:rPr>
          <w:rFonts w:ascii="Arial" w:eastAsia="Arial" w:hAnsi="Arial" w:cs="Arial"/>
          <w:sz w:val="22"/>
          <w:szCs w:val="22"/>
        </w:rPr>
        <w:lastRenderedPageBreak/>
        <w:t xml:space="preserve"> </w:t>
      </w:r>
      <w:r>
        <w:rPr>
          <w:rFonts w:ascii="Arial" w:eastAsia="Arial" w:hAnsi="Arial" w:cs="Arial"/>
          <w:noProof/>
          <w:sz w:val="22"/>
          <w:szCs w:val="22"/>
          <w:lang w:val="en-US"/>
        </w:rPr>
        <w:drawing>
          <wp:inline distT="114300" distB="114300" distL="114300" distR="114300" wp14:anchorId="1715E90E" wp14:editId="3E9A705D">
            <wp:extent cx="2305050" cy="1847850"/>
            <wp:effectExtent l="0" t="0" r="0" b="0"/>
            <wp:docPr id="139"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39"/>
                    <a:srcRect/>
                    <a:stretch>
                      <a:fillRect/>
                    </a:stretch>
                  </pic:blipFill>
                  <pic:spPr>
                    <a:xfrm>
                      <a:off x="0" y="0"/>
                      <a:ext cx="2305050" cy="1847850"/>
                    </a:xfrm>
                    <a:prstGeom prst="rect">
                      <a:avLst/>
                    </a:prstGeom>
                    <a:ln/>
                  </pic:spPr>
                </pic:pic>
              </a:graphicData>
            </a:graphic>
          </wp:inline>
        </w:drawing>
      </w:r>
      <w:r>
        <w:rPr>
          <w:rFonts w:ascii="Arial" w:eastAsia="Arial" w:hAnsi="Arial" w:cs="Arial"/>
          <w:sz w:val="22"/>
          <w:szCs w:val="22"/>
        </w:rPr>
        <w:t xml:space="preserve">  </w:t>
      </w:r>
      <w:r>
        <w:rPr>
          <w:rFonts w:ascii="Arial" w:eastAsia="Arial" w:hAnsi="Arial" w:cs="Arial"/>
          <w:noProof/>
          <w:sz w:val="22"/>
          <w:szCs w:val="22"/>
          <w:lang w:val="en-US"/>
        </w:rPr>
        <w:drawing>
          <wp:inline distT="114300" distB="114300" distL="114300" distR="114300" wp14:anchorId="45D5750E" wp14:editId="28F868B0">
            <wp:extent cx="2400300" cy="1857375"/>
            <wp:effectExtent l="0" t="0" r="0" b="0"/>
            <wp:docPr id="140"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40"/>
                    <a:srcRect/>
                    <a:stretch>
                      <a:fillRect/>
                    </a:stretch>
                  </pic:blipFill>
                  <pic:spPr>
                    <a:xfrm>
                      <a:off x="0" y="0"/>
                      <a:ext cx="2400300" cy="1857375"/>
                    </a:xfrm>
                    <a:prstGeom prst="rect">
                      <a:avLst/>
                    </a:prstGeom>
                    <a:ln/>
                  </pic:spPr>
                </pic:pic>
              </a:graphicData>
            </a:graphic>
          </wp:inline>
        </w:drawing>
      </w:r>
      <w:r>
        <w:rPr>
          <w:rFonts w:ascii="Arial" w:eastAsia="Arial" w:hAnsi="Arial" w:cs="Arial"/>
          <w:sz w:val="22"/>
          <w:szCs w:val="22"/>
        </w:rPr>
        <w:br/>
      </w:r>
      <w:r>
        <w:rPr>
          <w:rFonts w:ascii="Arial" w:eastAsia="Arial" w:hAnsi="Arial" w:cs="Arial"/>
          <w:noProof/>
          <w:sz w:val="22"/>
          <w:szCs w:val="22"/>
          <w:lang w:val="en-US"/>
        </w:rPr>
        <w:drawing>
          <wp:inline distT="114300" distB="114300" distL="114300" distR="114300" wp14:anchorId="5CD4F02B" wp14:editId="700E7F5B">
            <wp:extent cx="2486025" cy="2266950"/>
            <wp:effectExtent l="0" t="0" r="0" b="0"/>
            <wp:docPr id="141"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41"/>
                    <a:srcRect/>
                    <a:stretch>
                      <a:fillRect/>
                    </a:stretch>
                  </pic:blipFill>
                  <pic:spPr>
                    <a:xfrm>
                      <a:off x="0" y="0"/>
                      <a:ext cx="2486025" cy="2266950"/>
                    </a:xfrm>
                    <a:prstGeom prst="rect">
                      <a:avLst/>
                    </a:prstGeom>
                    <a:ln/>
                  </pic:spPr>
                </pic:pic>
              </a:graphicData>
            </a:graphic>
          </wp:inline>
        </w:drawing>
      </w:r>
    </w:p>
    <w:p w:rsidR="00B202A2" w:rsidRDefault="00B202A2">
      <w:pPr>
        <w:spacing w:before="240"/>
        <w:ind w:left="720"/>
        <w:rPr>
          <w:rFonts w:ascii="Arial" w:eastAsia="Arial" w:hAnsi="Arial" w:cs="Arial"/>
          <w:sz w:val="22"/>
          <w:szCs w:val="22"/>
        </w:rPr>
      </w:pPr>
    </w:p>
    <w:p w:rsidR="00B202A2" w:rsidRDefault="00295E06">
      <w:pPr>
        <w:numPr>
          <w:ilvl w:val="0"/>
          <w:numId w:val="9"/>
        </w:numPr>
        <w:spacing w:after="240"/>
        <w:rPr>
          <w:rFonts w:ascii="Arial" w:eastAsia="Arial" w:hAnsi="Arial" w:cs="Arial"/>
          <w:sz w:val="22"/>
          <w:szCs w:val="22"/>
        </w:rPr>
      </w:pPr>
      <w:r>
        <w:rPr>
          <w:rFonts w:ascii="Arial" w:eastAsia="Arial" w:hAnsi="Arial" w:cs="Arial"/>
          <w:sz w:val="22"/>
          <w:szCs w:val="22"/>
        </w:rPr>
        <w:t>Jornadas de pausas activas periódicas para todo el personal, con el objetivo de asegurar un espacio de relajación y distensión durante las labores diarias.</w:t>
      </w:r>
    </w:p>
    <w:p w:rsidR="00B202A2" w:rsidRDefault="00B202A2">
      <w:pPr>
        <w:spacing w:after="240"/>
        <w:ind w:left="720"/>
        <w:rPr>
          <w:rFonts w:ascii="Arial" w:eastAsia="Arial" w:hAnsi="Arial" w:cs="Arial"/>
          <w:sz w:val="22"/>
          <w:szCs w:val="22"/>
        </w:rPr>
      </w:pPr>
    </w:p>
    <w:p w:rsidR="00B202A2" w:rsidRDefault="00295E06">
      <w:pPr>
        <w:spacing w:after="240"/>
        <w:ind w:left="720"/>
        <w:rPr>
          <w:rFonts w:ascii="Arial" w:eastAsia="Arial" w:hAnsi="Arial" w:cs="Arial"/>
          <w:sz w:val="22"/>
          <w:szCs w:val="22"/>
        </w:rPr>
      </w:pPr>
      <w:r>
        <w:rPr>
          <w:rFonts w:ascii="Arial" w:eastAsia="Arial" w:hAnsi="Arial" w:cs="Arial"/>
          <w:sz w:val="22"/>
          <w:szCs w:val="22"/>
        </w:rPr>
        <w:br/>
        <w:t xml:space="preserve"> </w:t>
      </w:r>
      <w:r>
        <w:rPr>
          <w:rFonts w:ascii="Arial" w:eastAsia="Arial" w:hAnsi="Arial" w:cs="Arial"/>
          <w:noProof/>
          <w:sz w:val="22"/>
          <w:szCs w:val="22"/>
          <w:lang w:val="en-US"/>
        </w:rPr>
        <w:drawing>
          <wp:inline distT="114300" distB="114300" distL="114300" distR="114300" wp14:anchorId="7738A8D0" wp14:editId="53B11CFC">
            <wp:extent cx="2381250" cy="2156560"/>
            <wp:effectExtent l="0" t="0" r="0" b="0"/>
            <wp:docPr id="142"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42"/>
                    <a:srcRect/>
                    <a:stretch>
                      <a:fillRect/>
                    </a:stretch>
                  </pic:blipFill>
                  <pic:spPr>
                    <a:xfrm>
                      <a:off x="0" y="0"/>
                      <a:ext cx="2381250" cy="2156560"/>
                    </a:xfrm>
                    <a:prstGeom prst="rect">
                      <a:avLst/>
                    </a:prstGeom>
                    <a:ln/>
                  </pic:spPr>
                </pic:pic>
              </a:graphicData>
            </a:graphic>
          </wp:inline>
        </w:drawing>
      </w:r>
      <w:r>
        <w:rPr>
          <w:rFonts w:ascii="Arial" w:eastAsia="Arial" w:hAnsi="Arial" w:cs="Arial"/>
          <w:noProof/>
          <w:sz w:val="22"/>
          <w:szCs w:val="22"/>
          <w:lang w:val="en-US"/>
        </w:rPr>
        <w:drawing>
          <wp:inline distT="114300" distB="114300" distL="114300" distR="114300" wp14:anchorId="4CB1DF44" wp14:editId="5ECF06DF">
            <wp:extent cx="2171922" cy="2190750"/>
            <wp:effectExtent l="0" t="0" r="0" b="0"/>
            <wp:docPr id="10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3"/>
                    <a:srcRect/>
                    <a:stretch>
                      <a:fillRect/>
                    </a:stretch>
                  </pic:blipFill>
                  <pic:spPr>
                    <a:xfrm>
                      <a:off x="0" y="0"/>
                      <a:ext cx="2171922" cy="2190750"/>
                    </a:xfrm>
                    <a:prstGeom prst="rect">
                      <a:avLst/>
                    </a:prstGeom>
                    <a:ln/>
                  </pic:spPr>
                </pic:pic>
              </a:graphicData>
            </a:graphic>
          </wp:inline>
        </w:drawing>
      </w:r>
    </w:p>
    <w:p w:rsidR="00B202A2" w:rsidRDefault="00295E06">
      <w:pPr>
        <w:jc w:val="both"/>
        <w:rPr>
          <w:rFonts w:ascii="Arial" w:eastAsia="Arial" w:hAnsi="Arial" w:cs="Arial"/>
          <w:sz w:val="22"/>
          <w:szCs w:val="22"/>
        </w:rPr>
      </w:pPr>
      <w:r>
        <w:rPr>
          <w:rFonts w:ascii="Arial" w:eastAsia="Arial" w:hAnsi="Arial" w:cs="Arial"/>
          <w:sz w:val="22"/>
          <w:szCs w:val="22"/>
        </w:rPr>
        <w:t xml:space="preserve">  </w:t>
      </w:r>
    </w:p>
    <w:p w:rsidR="00B202A2" w:rsidRDefault="00295E06">
      <w:pPr>
        <w:numPr>
          <w:ilvl w:val="0"/>
          <w:numId w:val="11"/>
        </w:numPr>
        <w:spacing w:before="240" w:after="240"/>
        <w:rPr>
          <w:rFonts w:ascii="Arial" w:eastAsia="Arial" w:hAnsi="Arial" w:cs="Arial"/>
          <w:sz w:val="22"/>
          <w:szCs w:val="22"/>
        </w:rPr>
      </w:pPr>
      <w:r>
        <w:rPr>
          <w:rFonts w:ascii="Arial" w:eastAsia="Arial" w:hAnsi="Arial" w:cs="Arial"/>
          <w:sz w:val="22"/>
          <w:szCs w:val="22"/>
        </w:rPr>
        <w:lastRenderedPageBreak/>
        <w:t>Intervención del clima laboral a través de la estrategia de gestión del cambio.</w:t>
      </w:r>
      <w:r>
        <w:rPr>
          <w:rFonts w:ascii="Arial" w:eastAsia="Arial" w:hAnsi="Arial" w:cs="Arial"/>
          <w:sz w:val="22"/>
          <w:szCs w:val="22"/>
        </w:rPr>
        <w:br/>
      </w:r>
      <w:r>
        <w:rPr>
          <w:rFonts w:ascii="Arial" w:eastAsia="Arial" w:hAnsi="Arial" w:cs="Arial"/>
          <w:noProof/>
          <w:sz w:val="22"/>
          <w:szCs w:val="22"/>
          <w:lang w:val="en-US"/>
        </w:rPr>
        <w:drawing>
          <wp:inline distT="114300" distB="114300" distL="114300" distR="114300" wp14:anchorId="47478AAE" wp14:editId="1E9FFDBE">
            <wp:extent cx="3324225" cy="2533650"/>
            <wp:effectExtent l="0" t="0" r="0" b="0"/>
            <wp:docPr id="10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4"/>
                    <a:srcRect/>
                    <a:stretch>
                      <a:fillRect/>
                    </a:stretch>
                  </pic:blipFill>
                  <pic:spPr>
                    <a:xfrm>
                      <a:off x="0" y="0"/>
                      <a:ext cx="3324225" cy="2533650"/>
                    </a:xfrm>
                    <a:prstGeom prst="rect">
                      <a:avLst/>
                    </a:prstGeom>
                    <a:ln/>
                  </pic:spPr>
                </pic:pic>
              </a:graphicData>
            </a:graphic>
          </wp:inline>
        </w:drawing>
      </w:r>
    </w:p>
    <w:p w:rsidR="00B202A2" w:rsidRDefault="00B202A2">
      <w:pPr>
        <w:spacing w:before="240" w:after="240"/>
        <w:ind w:left="720"/>
        <w:rPr>
          <w:rFonts w:ascii="Arial" w:eastAsia="Arial" w:hAnsi="Arial" w:cs="Arial"/>
          <w:sz w:val="22"/>
          <w:szCs w:val="22"/>
        </w:rPr>
      </w:pPr>
    </w:p>
    <w:p w:rsidR="00B202A2" w:rsidRDefault="00295E06">
      <w:pPr>
        <w:spacing w:before="240" w:after="240"/>
        <w:jc w:val="both"/>
        <w:rPr>
          <w:rFonts w:ascii="Arial" w:eastAsia="Arial" w:hAnsi="Arial" w:cs="Arial"/>
          <w:b/>
          <w:sz w:val="22"/>
          <w:szCs w:val="22"/>
        </w:rPr>
      </w:pPr>
      <w:r>
        <w:rPr>
          <w:rFonts w:ascii="Arial" w:eastAsia="Arial" w:hAnsi="Arial" w:cs="Arial"/>
          <w:b/>
          <w:sz w:val="22"/>
          <w:szCs w:val="22"/>
        </w:rPr>
        <w:t>C</w:t>
      </w:r>
      <w:r>
        <w:rPr>
          <w:rFonts w:ascii="Arial" w:eastAsia="Arial" w:hAnsi="Arial" w:cs="Arial"/>
          <w:b/>
          <w:sz w:val="22"/>
          <w:szCs w:val="22"/>
        </w:rPr>
        <w:t>ódigo de Integridad UPME</w:t>
      </w:r>
    </w:p>
    <w:p w:rsidR="00B202A2" w:rsidRDefault="00295E06">
      <w:pPr>
        <w:spacing w:after="160"/>
        <w:jc w:val="both"/>
        <w:rPr>
          <w:rFonts w:ascii="Arial" w:eastAsia="Arial" w:hAnsi="Arial" w:cs="Arial"/>
          <w:sz w:val="22"/>
          <w:szCs w:val="22"/>
        </w:rPr>
      </w:pPr>
      <w:r>
        <w:rPr>
          <w:rFonts w:ascii="Arial" w:eastAsia="Arial" w:hAnsi="Arial" w:cs="Arial"/>
          <w:sz w:val="22"/>
          <w:szCs w:val="22"/>
        </w:rPr>
        <w:t>Comprometidos con la apropiación del Código de Integridad , la UPME para la realización de sus actividades tuvo en cuenta los lineamientos dispuestos en la página del DAFP para apoyar el proceso al interior de las entidades, así co</w:t>
      </w:r>
      <w:r>
        <w:rPr>
          <w:rFonts w:ascii="Arial" w:eastAsia="Arial" w:hAnsi="Arial" w:cs="Arial"/>
          <w:sz w:val="22"/>
          <w:szCs w:val="22"/>
        </w:rPr>
        <w:t>mo las actividades sugeridas en la caja de herramientas; con esta orientación, a inicios del año 2019 se emitió la resolución 021 de 2019 y durante la vigencia del presente informe, se han realizado las siguientes actividades:</w:t>
      </w:r>
    </w:p>
    <w:p w:rsidR="00B202A2" w:rsidRDefault="00295E06">
      <w:pPr>
        <w:numPr>
          <w:ilvl w:val="0"/>
          <w:numId w:val="22"/>
        </w:numPr>
        <w:spacing w:before="240" w:after="240"/>
        <w:rPr>
          <w:rFonts w:ascii="Arial" w:eastAsia="Arial" w:hAnsi="Arial" w:cs="Arial"/>
          <w:sz w:val="22"/>
          <w:szCs w:val="22"/>
        </w:rPr>
      </w:pPr>
      <w:r>
        <w:rPr>
          <w:rFonts w:ascii="Arial" w:eastAsia="Arial" w:hAnsi="Arial" w:cs="Arial"/>
          <w:sz w:val="22"/>
          <w:szCs w:val="22"/>
        </w:rPr>
        <w:t>Creación y difusión de la Cartilla Código de Integridad 2020, en la que adicionamos principios de acción (lo que hago y lo que no hago) a cada uno de los valores establecidos por el DAFP.</w:t>
      </w:r>
    </w:p>
    <w:p w:rsidR="00B202A2" w:rsidRDefault="00295E06">
      <w:pPr>
        <w:pBdr>
          <w:top w:val="nil"/>
          <w:left w:val="nil"/>
          <w:bottom w:val="nil"/>
          <w:right w:val="nil"/>
          <w:between w:val="nil"/>
        </w:pBdr>
        <w:spacing w:after="160" w:line="259" w:lineRule="auto"/>
        <w:ind w:left="720"/>
        <w:jc w:val="both"/>
        <w:rPr>
          <w:rFonts w:ascii="Arial" w:eastAsia="Arial" w:hAnsi="Arial" w:cs="Arial"/>
          <w:color w:val="000000"/>
          <w:sz w:val="22"/>
          <w:szCs w:val="22"/>
        </w:rPr>
      </w:pPr>
      <w:r>
        <w:rPr>
          <w:rFonts w:ascii="Arial" w:eastAsia="Arial" w:hAnsi="Arial" w:cs="Arial"/>
          <w:noProof/>
          <w:color w:val="000000"/>
          <w:sz w:val="22"/>
          <w:szCs w:val="22"/>
          <w:lang w:val="en-US"/>
        </w:rPr>
        <w:drawing>
          <wp:inline distT="114300" distB="114300" distL="114300" distR="114300" wp14:anchorId="7AD63544" wp14:editId="06C66A57">
            <wp:extent cx="4905375" cy="1943100"/>
            <wp:effectExtent l="0" t="0" r="0" b="0"/>
            <wp:docPr id="10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5"/>
                    <a:srcRect/>
                    <a:stretch>
                      <a:fillRect/>
                    </a:stretch>
                  </pic:blipFill>
                  <pic:spPr>
                    <a:xfrm>
                      <a:off x="0" y="0"/>
                      <a:ext cx="4905375" cy="1943100"/>
                    </a:xfrm>
                    <a:prstGeom prst="rect">
                      <a:avLst/>
                    </a:prstGeom>
                    <a:ln/>
                  </pic:spPr>
                </pic:pic>
              </a:graphicData>
            </a:graphic>
          </wp:inline>
        </w:drawing>
      </w:r>
    </w:p>
    <w:p w:rsidR="00B202A2" w:rsidRDefault="00B202A2">
      <w:pPr>
        <w:spacing w:after="160"/>
        <w:ind w:left="720" w:firstLine="60"/>
        <w:jc w:val="both"/>
        <w:rPr>
          <w:rFonts w:ascii="Arial" w:eastAsia="Arial" w:hAnsi="Arial" w:cs="Arial"/>
          <w:sz w:val="22"/>
          <w:szCs w:val="22"/>
        </w:rPr>
      </w:pPr>
    </w:p>
    <w:p w:rsidR="00B202A2" w:rsidRDefault="00B202A2">
      <w:pPr>
        <w:ind w:firstLine="60"/>
        <w:jc w:val="both"/>
        <w:rPr>
          <w:rFonts w:ascii="Arial" w:eastAsia="Arial" w:hAnsi="Arial" w:cs="Arial"/>
          <w:sz w:val="22"/>
          <w:szCs w:val="22"/>
        </w:rPr>
      </w:pPr>
    </w:p>
    <w:p w:rsidR="00B202A2" w:rsidRDefault="00295E06">
      <w:pPr>
        <w:numPr>
          <w:ilvl w:val="0"/>
          <w:numId w:val="22"/>
        </w:numPr>
        <w:spacing w:before="240"/>
        <w:rPr>
          <w:rFonts w:ascii="Arial" w:eastAsia="Arial" w:hAnsi="Arial" w:cs="Arial"/>
          <w:sz w:val="22"/>
          <w:szCs w:val="22"/>
        </w:rPr>
      </w:pPr>
      <w:r>
        <w:rPr>
          <w:rFonts w:ascii="Arial" w:eastAsia="Arial" w:hAnsi="Arial" w:cs="Arial"/>
          <w:sz w:val="22"/>
          <w:szCs w:val="22"/>
        </w:rPr>
        <w:t xml:space="preserve">Realización de la quinta versión de </w:t>
      </w:r>
      <w:r>
        <w:rPr>
          <w:rFonts w:ascii="Arial" w:eastAsia="Arial" w:hAnsi="Arial" w:cs="Arial"/>
          <w:i/>
          <w:sz w:val="22"/>
          <w:szCs w:val="22"/>
        </w:rPr>
        <w:t>Construyendo Vida</w:t>
      </w:r>
      <w:r>
        <w:rPr>
          <w:rFonts w:ascii="Arial" w:eastAsia="Arial" w:hAnsi="Arial" w:cs="Arial"/>
          <w:sz w:val="22"/>
          <w:szCs w:val="22"/>
        </w:rPr>
        <w:t xml:space="preserve"> con el objetivo de apropiar el código de Integridad por medio de la experiencia de vida en el </w:t>
      </w:r>
      <w:r>
        <w:rPr>
          <w:rFonts w:ascii="Arial" w:eastAsia="Arial" w:hAnsi="Arial" w:cs="Arial"/>
          <w:sz w:val="22"/>
          <w:szCs w:val="22"/>
        </w:rPr>
        <w:lastRenderedPageBreak/>
        <w:t>servicio público de Fernando Antonio Grillo Rubiano.</w:t>
      </w:r>
      <w:r>
        <w:rPr>
          <w:rFonts w:ascii="Arial" w:eastAsia="Arial" w:hAnsi="Arial" w:cs="Arial"/>
          <w:sz w:val="22"/>
          <w:szCs w:val="22"/>
        </w:rPr>
        <w:br/>
        <w:t xml:space="preserve"> </w:t>
      </w:r>
    </w:p>
    <w:p w:rsidR="00B202A2" w:rsidRDefault="00295E06">
      <w:pPr>
        <w:numPr>
          <w:ilvl w:val="0"/>
          <w:numId w:val="22"/>
        </w:numPr>
        <w:spacing w:after="240"/>
        <w:rPr>
          <w:rFonts w:ascii="Arial" w:eastAsia="Arial" w:hAnsi="Arial" w:cs="Arial"/>
          <w:sz w:val="22"/>
          <w:szCs w:val="22"/>
        </w:rPr>
      </w:pPr>
      <w:r>
        <w:rPr>
          <w:rFonts w:ascii="Arial" w:eastAsia="Arial" w:hAnsi="Arial" w:cs="Arial"/>
          <w:sz w:val="22"/>
          <w:szCs w:val="22"/>
        </w:rPr>
        <w:t>Implementación de la campaña de comunicación “Viviendo los valores del código de integridad” en busca de v</w:t>
      </w:r>
      <w:r>
        <w:rPr>
          <w:rFonts w:ascii="Arial" w:eastAsia="Arial" w:hAnsi="Arial" w:cs="Arial"/>
          <w:sz w:val="22"/>
          <w:szCs w:val="22"/>
        </w:rPr>
        <w:t>ivenciar la integridad y lograr una mejor apropiación del código; se seleccionaron diferentes servidores públicos que sirvieron de imagen para representar el correcto actuar de cada valor y la importancia de aplicarlos de forma individual y en equipo.</w:t>
      </w:r>
    </w:p>
    <w:p w:rsidR="00B202A2" w:rsidRDefault="00B202A2">
      <w:pPr>
        <w:ind w:firstLine="105"/>
        <w:jc w:val="right"/>
        <w:rPr>
          <w:rFonts w:ascii="Arial" w:eastAsia="Arial" w:hAnsi="Arial" w:cs="Arial"/>
          <w:sz w:val="22"/>
          <w:szCs w:val="22"/>
        </w:rPr>
      </w:pPr>
    </w:p>
    <w:p w:rsidR="00B202A2" w:rsidRDefault="00295E06">
      <w:pPr>
        <w:pBdr>
          <w:top w:val="nil"/>
          <w:left w:val="nil"/>
          <w:bottom w:val="nil"/>
          <w:right w:val="nil"/>
          <w:between w:val="nil"/>
        </w:pBdr>
        <w:spacing w:line="259" w:lineRule="auto"/>
        <w:jc w:val="both"/>
        <w:rPr>
          <w:rFonts w:ascii="Arial" w:eastAsia="Arial" w:hAnsi="Arial" w:cs="Arial"/>
          <w:color w:val="000000"/>
          <w:sz w:val="22"/>
          <w:szCs w:val="22"/>
        </w:rPr>
      </w:pPr>
      <w:r>
        <w:rPr>
          <w:rFonts w:ascii="Arial" w:eastAsia="Arial" w:hAnsi="Arial" w:cs="Arial"/>
          <w:noProof/>
          <w:color w:val="000000"/>
          <w:sz w:val="22"/>
          <w:szCs w:val="22"/>
          <w:lang w:val="en-US"/>
        </w:rPr>
        <w:drawing>
          <wp:inline distT="114300" distB="114300" distL="114300" distR="114300" wp14:anchorId="04EA502B" wp14:editId="2C123CD1">
            <wp:extent cx="2128831" cy="2249007"/>
            <wp:effectExtent l="0" t="0" r="0" b="0"/>
            <wp:docPr id="10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6"/>
                    <a:srcRect/>
                    <a:stretch>
                      <a:fillRect/>
                    </a:stretch>
                  </pic:blipFill>
                  <pic:spPr>
                    <a:xfrm>
                      <a:off x="0" y="0"/>
                      <a:ext cx="2128831" cy="2249007"/>
                    </a:xfrm>
                    <a:prstGeom prst="rect">
                      <a:avLst/>
                    </a:prstGeom>
                    <a:ln/>
                  </pic:spPr>
                </pic:pic>
              </a:graphicData>
            </a:graphic>
          </wp:inline>
        </w:drawing>
      </w:r>
      <w:r>
        <w:rPr>
          <w:rFonts w:ascii="Arial" w:eastAsia="Arial" w:hAnsi="Arial" w:cs="Arial"/>
          <w:noProof/>
          <w:color w:val="000000"/>
          <w:sz w:val="22"/>
          <w:szCs w:val="22"/>
          <w:lang w:val="en-US"/>
        </w:rPr>
        <w:drawing>
          <wp:inline distT="114300" distB="114300" distL="114300" distR="114300" wp14:anchorId="52B3E46F" wp14:editId="5A4F4D3D">
            <wp:extent cx="2088324" cy="2268057"/>
            <wp:effectExtent l="0" t="0" r="0" b="0"/>
            <wp:docPr id="10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7"/>
                    <a:srcRect/>
                    <a:stretch>
                      <a:fillRect/>
                    </a:stretch>
                  </pic:blipFill>
                  <pic:spPr>
                    <a:xfrm>
                      <a:off x="0" y="0"/>
                      <a:ext cx="2088324" cy="2268057"/>
                    </a:xfrm>
                    <a:prstGeom prst="rect">
                      <a:avLst/>
                    </a:prstGeom>
                    <a:ln/>
                  </pic:spPr>
                </pic:pic>
              </a:graphicData>
            </a:graphic>
          </wp:inline>
        </w:drawing>
      </w:r>
    </w:p>
    <w:p w:rsidR="00B202A2" w:rsidRDefault="00295E06">
      <w:pPr>
        <w:pBdr>
          <w:top w:val="nil"/>
          <w:left w:val="nil"/>
          <w:bottom w:val="nil"/>
          <w:right w:val="nil"/>
          <w:between w:val="nil"/>
        </w:pBdr>
        <w:spacing w:line="259" w:lineRule="auto"/>
        <w:rPr>
          <w:rFonts w:ascii="Arial" w:eastAsia="Arial" w:hAnsi="Arial" w:cs="Arial"/>
          <w:color w:val="000000"/>
          <w:sz w:val="22"/>
          <w:szCs w:val="22"/>
        </w:rPr>
      </w:pPr>
      <w:r>
        <w:rPr>
          <w:rFonts w:ascii="Arial" w:eastAsia="Arial" w:hAnsi="Arial" w:cs="Arial"/>
          <w:sz w:val="22"/>
          <w:szCs w:val="22"/>
        </w:rPr>
        <w:t xml:space="preserve"> </w:t>
      </w:r>
      <w:r>
        <w:rPr>
          <w:rFonts w:ascii="Arial" w:eastAsia="Arial" w:hAnsi="Arial" w:cs="Arial"/>
          <w:noProof/>
          <w:color w:val="000000"/>
          <w:sz w:val="22"/>
          <w:szCs w:val="22"/>
          <w:lang w:val="en-US"/>
        </w:rPr>
        <w:drawing>
          <wp:inline distT="114300" distB="114300" distL="114300" distR="114300" wp14:anchorId="2F5311FA" wp14:editId="20E55E1E">
            <wp:extent cx="2083260" cy="2377053"/>
            <wp:effectExtent l="0" t="0" r="0" b="0"/>
            <wp:docPr id="10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8"/>
                    <a:srcRect/>
                    <a:stretch>
                      <a:fillRect/>
                    </a:stretch>
                  </pic:blipFill>
                  <pic:spPr>
                    <a:xfrm>
                      <a:off x="0" y="0"/>
                      <a:ext cx="2083260" cy="2377053"/>
                    </a:xfrm>
                    <a:prstGeom prst="rect">
                      <a:avLst/>
                    </a:prstGeom>
                    <a:ln/>
                  </pic:spPr>
                </pic:pic>
              </a:graphicData>
            </a:graphic>
          </wp:inline>
        </w:drawing>
      </w:r>
      <w:r>
        <w:rPr>
          <w:rFonts w:ascii="Arial" w:eastAsia="Arial" w:hAnsi="Arial" w:cs="Arial"/>
          <w:noProof/>
          <w:color w:val="000000"/>
          <w:sz w:val="22"/>
          <w:szCs w:val="22"/>
          <w:lang w:val="en-US"/>
        </w:rPr>
        <w:drawing>
          <wp:inline distT="114300" distB="114300" distL="114300" distR="114300" wp14:anchorId="1A586484" wp14:editId="4C14D798">
            <wp:extent cx="2114550" cy="2415153"/>
            <wp:effectExtent l="0" t="0" r="0" b="0"/>
            <wp:docPr id="10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9"/>
                    <a:srcRect/>
                    <a:stretch>
                      <a:fillRect/>
                    </a:stretch>
                  </pic:blipFill>
                  <pic:spPr>
                    <a:xfrm>
                      <a:off x="0" y="0"/>
                      <a:ext cx="2114550" cy="2415153"/>
                    </a:xfrm>
                    <a:prstGeom prst="rect">
                      <a:avLst/>
                    </a:prstGeom>
                    <a:ln/>
                  </pic:spPr>
                </pic:pic>
              </a:graphicData>
            </a:graphic>
          </wp:inline>
        </w:drawing>
      </w:r>
    </w:p>
    <w:p w:rsidR="00B202A2" w:rsidRDefault="00295E06">
      <w:pPr>
        <w:pBdr>
          <w:top w:val="nil"/>
          <w:left w:val="nil"/>
          <w:bottom w:val="nil"/>
          <w:right w:val="nil"/>
          <w:between w:val="nil"/>
        </w:pBdr>
        <w:spacing w:after="160" w:line="259" w:lineRule="auto"/>
        <w:ind w:left="720"/>
        <w:jc w:val="both"/>
        <w:rPr>
          <w:rFonts w:ascii="Arial" w:eastAsia="Arial" w:hAnsi="Arial" w:cs="Arial"/>
          <w:color w:val="000000"/>
          <w:sz w:val="22"/>
          <w:szCs w:val="22"/>
        </w:rPr>
      </w:pPr>
      <w:r>
        <w:rPr>
          <w:rFonts w:ascii="Arial" w:eastAsia="Arial" w:hAnsi="Arial" w:cs="Arial"/>
          <w:noProof/>
          <w:color w:val="000000"/>
          <w:sz w:val="22"/>
          <w:szCs w:val="22"/>
          <w:lang w:val="en-US"/>
        </w:rPr>
        <w:lastRenderedPageBreak/>
        <w:drawing>
          <wp:inline distT="114300" distB="114300" distL="114300" distR="114300" wp14:anchorId="569FD289" wp14:editId="4C5CB653">
            <wp:extent cx="2438400" cy="2581275"/>
            <wp:effectExtent l="0" t="0" r="0" b="0"/>
            <wp:docPr id="10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0"/>
                    <a:srcRect/>
                    <a:stretch>
                      <a:fillRect/>
                    </a:stretch>
                  </pic:blipFill>
                  <pic:spPr>
                    <a:xfrm>
                      <a:off x="0" y="0"/>
                      <a:ext cx="2438400" cy="2581275"/>
                    </a:xfrm>
                    <a:prstGeom prst="rect">
                      <a:avLst/>
                    </a:prstGeom>
                    <a:ln/>
                  </pic:spPr>
                </pic:pic>
              </a:graphicData>
            </a:graphic>
          </wp:inline>
        </w:drawing>
      </w:r>
      <w:r>
        <w:rPr>
          <w:rFonts w:ascii="Arial" w:eastAsia="Arial" w:hAnsi="Arial" w:cs="Arial"/>
          <w:noProof/>
          <w:color w:val="000000"/>
          <w:sz w:val="22"/>
          <w:szCs w:val="22"/>
          <w:lang w:val="en-US"/>
        </w:rPr>
        <w:drawing>
          <wp:inline distT="114300" distB="114300" distL="114300" distR="114300" wp14:anchorId="1BCB5EDA" wp14:editId="64029CB9">
            <wp:extent cx="2324100" cy="2581275"/>
            <wp:effectExtent l="0" t="0" r="0" b="0"/>
            <wp:docPr id="1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1"/>
                    <a:srcRect/>
                    <a:stretch>
                      <a:fillRect/>
                    </a:stretch>
                  </pic:blipFill>
                  <pic:spPr>
                    <a:xfrm>
                      <a:off x="0" y="0"/>
                      <a:ext cx="2324100" cy="2581275"/>
                    </a:xfrm>
                    <a:prstGeom prst="rect">
                      <a:avLst/>
                    </a:prstGeom>
                    <a:ln/>
                  </pic:spPr>
                </pic:pic>
              </a:graphicData>
            </a:graphic>
          </wp:inline>
        </w:drawing>
      </w:r>
    </w:p>
    <w:p w:rsidR="00B202A2" w:rsidRDefault="00B202A2">
      <w:pPr>
        <w:ind w:firstLine="720"/>
        <w:jc w:val="both"/>
        <w:rPr>
          <w:rFonts w:ascii="Arial" w:eastAsia="Arial" w:hAnsi="Arial" w:cs="Arial"/>
          <w:sz w:val="22"/>
          <w:szCs w:val="22"/>
        </w:rPr>
      </w:pPr>
    </w:p>
    <w:p w:rsidR="00B202A2" w:rsidRDefault="00295E06">
      <w:pPr>
        <w:numPr>
          <w:ilvl w:val="0"/>
          <w:numId w:val="22"/>
        </w:numPr>
        <w:spacing w:before="240" w:after="240"/>
        <w:rPr>
          <w:rFonts w:ascii="Arial" w:eastAsia="Arial" w:hAnsi="Arial" w:cs="Arial"/>
          <w:sz w:val="22"/>
          <w:szCs w:val="22"/>
        </w:rPr>
      </w:pPr>
      <w:r>
        <w:rPr>
          <w:rFonts w:ascii="Arial" w:eastAsia="Arial" w:hAnsi="Arial" w:cs="Arial"/>
          <w:sz w:val="22"/>
          <w:szCs w:val="22"/>
        </w:rPr>
        <w:t>Publicación de banners en la intranet con temas breves, alusivos a la Cartilla del Código de Integridad UPME, vinculando el acceso al documento completo.</w:t>
      </w:r>
    </w:p>
    <w:p w:rsidR="00B202A2" w:rsidRDefault="00295E06">
      <w:pPr>
        <w:pBdr>
          <w:top w:val="nil"/>
          <w:left w:val="nil"/>
          <w:bottom w:val="nil"/>
          <w:right w:val="nil"/>
          <w:between w:val="nil"/>
        </w:pBdr>
        <w:spacing w:after="160" w:line="259" w:lineRule="auto"/>
        <w:jc w:val="center"/>
        <w:rPr>
          <w:rFonts w:ascii="Arial" w:eastAsia="Arial" w:hAnsi="Arial" w:cs="Arial"/>
          <w:color w:val="000000"/>
          <w:sz w:val="22"/>
          <w:szCs w:val="22"/>
        </w:rPr>
      </w:pPr>
      <w:r>
        <w:rPr>
          <w:rFonts w:ascii="Arial" w:eastAsia="Arial" w:hAnsi="Arial" w:cs="Arial"/>
          <w:noProof/>
          <w:color w:val="000000"/>
          <w:sz w:val="22"/>
          <w:szCs w:val="22"/>
          <w:lang w:val="en-US"/>
        </w:rPr>
        <w:drawing>
          <wp:inline distT="114300" distB="114300" distL="114300" distR="114300" wp14:anchorId="534342A4" wp14:editId="56607AD3">
            <wp:extent cx="4933950" cy="3419475"/>
            <wp:effectExtent l="0" t="0" r="0" b="0"/>
            <wp:docPr id="11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52"/>
                    <a:srcRect/>
                    <a:stretch>
                      <a:fillRect/>
                    </a:stretch>
                  </pic:blipFill>
                  <pic:spPr>
                    <a:xfrm>
                      <a:off x="0" y="0"/>
                      <a:ext cx="4933950" cy="3419475"/>
                    </a:xfrm>
                    <a:prstGeom prst="rect">
                      <a:avLst/>
                    </a:prstGeom>
                    <a:ln/>
                  </pic:spPr>
                </pic:pic>
              </a:graphicData>
            </a:graphic>
          </wp:inline>
        </w:drawing>
      </w:r>
    </w:p>
    <w:p w:rsidR="00B202A2" w:rsidRDefault="00B202A2">
      <w:pPr>
        <w:ind w:firstLine="60"/>
        <w:jc w:val="both"/>
        <w:rPr>
          <w:rFonts w:ascii="Arial" w:eastAsia="Arial" w:hAnsi="Arial" w:cs="Arial"/>
          <w:sz w:val="22"/>
          <w:szCs w:val="22"/>
        </w:rPr>
      </w:pPr>
    </w:p>
    <w:p w:rsidR="00B202A2" w:rsidRDefault="00B202A2">
      <w:pPr>
        <w:ind w:firstLine="60"/>
        <w:jc w:val="both"/>
        <w:rPr>
          <w:rFonts w:ascii="Arial" w:eastAsia="Arial" w:hAnsi="Arial" w:cs="Arial"/>
          <w:sz w:val="22"/>
          <w:szCs w:val="22"/>
        </w:rPr>
      </w:pPr>
    </w:p>
    <w:p w:rsidR="00B202A2" w:rsidRDefault="00295E06">
      <w:pPr>
        <w:ind w:firstLine="60"/>
        <w:jc w:val="both"/>
        <w:rPr>
          <w:rFonts w:ascii="Arial" w:eastAsia="Arial" w:hAnsi="Arial" w:cs="Arial"/>
          <w:sz w:val="22"/>
          <w:szCs w:val="22"/>
        </w:rPr>
      </w:pPr>
      <w:r>
        <w:br w:type="page"/>
      </w:r>
    </w:p>
    <w:p w:rsidR="00B202A2" w:rsidRDefault="00B202A2">
      <w:pPr>
        <w:ind w:firstLine="60"/>
        <w:jc w:val="both"/>
        <w:rPr>
          <w:rFonts w:ascii="Arial" w:eastAsia="Arial" w:hAnsi="Arial" w:cs="Arial"/>
          <w:sz w:val="22"/>
          <w:szCs w:val="22"/>
        </w:rPr>
      </w:pPr>
    </w:p>
    <w:p w:rsidR="00B202A2" w:rsidRDefault="00295E06">
      <w:pPr>
        <w:numPr>
          <w:ilvl w:val="0"/>
          <w:numId w:val="22"/>
        </w:numPr>
        <w:spacing w:before="240" w:after="240"/>
        <w:rPr>
          <w:rFonts w:ascii="Arial" w:eastAsia="Arial" w:hAnsi="Arial" w:cs="Arial"/>
          <w:sz w:val="22"/>
          <w:szCs w:val="22"/>
        </w:rPr>
      </w:pPr>
      <w:r>
        <w:rPr>
          <w:rFonts w:ascii="Arial" w:eastAsia="Arial" w:hAnsi="Arial" w:cs="Arial"/>
          <w:sz w:val="22"/>
          <w:szCs w:val="22"/>
        </w:rPr>
        <w:t>Integración de los valores del código de integridad UPME en el Stand Up Comedy realizado en amor y amistad.</w:t>
      </w:r>
    </w:p>
    <w:p w:rsidR="00B202A2" w:rsidRDefault="00295E06">
      <w:pPr>
        <w:jc w:val="center"/>
        <w:rPr>
          <w:rFonts w:ascii="Arial" w:eastAsia="Arial" w:hAnsi="Arial" w:cs="Arial"/>
          <w:sz w:val="22"/>
          <w:szCs w:val="22"/>
        </w:rPr>
      </w:pPr>
      <w:r>
        <w:rPr>
          <w:rFonts w:ascii="Arial" w:eastAsia="Arial" w:hAnsi="Arial" w:cs="Arial"/>
          <w:sz w:val="22"/>
          <w:szCs w:val="22"/>
        </w:rPr>
        <w:tab/>
      </w:r>
      <w:r>
        <w:rPr>
          <w:rFonts w:ascii="Arial" w:eastAsia="Arial" w:hAnsi="Arial" w:cs="Arial"/>
          <w:noProof/>
          <w:sz w:val="22"/>
          <w:szCs w:val="22"/>
          <w:lang w:val="en-US"/>
        </w:rPr>
        <w:drawing>
          <wp:inline distT="114300" distB="114300" distL="114300" distR="114300" wp14:anchorId="4E54C40C" wp14:editId="24F1E092">
            <wp:extent cx="2705100" cy="2809875"/>
            <wp:effectExtent l="0" t="0" r="0" b="0"/>
            <wp:docPr id="9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3"/>
                    <a:srcRect/>
                    <a:stretch>
                      <a:fillRect/>
                    </a:stretch>
                  </pic:blipFill>
                  <pic:spPr>
                    <a:xfrm>
                      <a:off x="0" y="0"/>
                      <a:ext cx="2705100" cy="2809875"/>
                    </a:xfrm>
                    <a:prstGeom prst="rect">
                      <a:avLst/>
                    </a:prstGeom>
                    <a:ln/>
                  </pic:spPr>
                </pic:pic>
              </a:graphicData>
            </a:graphic>
          </wp:inline>
        </w:drawing>
      </w:r>
    </w:p>
    <w:p w:rsidR="00B202A2" w:rsidRDefault="00295E06">
      <w:pPr>
        <w:spacing w:after="160"/>
        <w:jc w:val="both"/>
        <w:rPr>
          <w:rFonts w:ascii="Arial" w:eastAsia="Arial" w:hAnsi="Arial" w:cs="Arial"/>
          <w:sz w:val="22"/>
          <w:szCs w:val="22"/>
        </w:rPr>
      </w:pPr>
      <w:r>
        <w:rPr>
          <w:rFonts w:ascii="Arial" w:eastAsia="Arial" w:hAnsi="Arial" w:cs="Arial"/>
          <w:sz w:val="22"/>
          <w:szCs w:val="22"/>
        </w:rPr>
        <w:t xml:space="preserve"> </w:t>
      </w:r>
    </w:p>
    <w:p w:rsidR="00B202A2" w:rsidRDefault="00295E06">
      <w:pPr>
        <w:spacing w:after="160"/>
        <w:jc w:val="both"/>
        <w:rPr>
          <w:rFonts w:ascii="Arial" w:eastAsia="Arial" w:hAnsi="Arial" w:cs="Arial"/>
          <w:sz w:val="22"/>
          <w:szCs w:val="22"/>
        </w:rPr>
      </w:pPr>
      <w:r>
        <w:rPr>
          <w:rFonts w:ascii="Arial" w:eastAsia="Arial" w:hAnsi="Arial" w:cs="Arial"/>
          <w:sz w:val="22"/>
          <w:szCs w:val="22"/>
        </w:rPr>
        <w:t>Actualmente, estamos trabajando en la conformación del equipo de Gestores de Integridad como pieza clave en la ejemplificación y fortalecimient</w:t>
      </w:r>
      <w:r>
        <w:rPr>
          <w:rFonts w:ascii="Arial" w:eastAsia="Arial" w:hAnsi="Arial" w:cs="Arial"/>
          <w:sz w:val="22"/>
          <w:szCs w:val="22"/>
        </w:rPr>
        <w:t>o del Código y también, en el diseño de indicadores para medir el impacto de las actividades realizadas.</w:t>
      </w:r>
    </w:p>
    <w:p w:rsidR="00B202A2" w:rsidRDefault="00295E06">
      <w:pPr>
        <w:spacing w:before="240" w:after="240"/>
        <w:jc w:val="both"/>
        <w:rPr>
          <w:rFonts w:ascii="Arial" w:eastAsia="Arial" w:hAnsi="Arial" w:cs="Arial"/>
          <w:b/>
          <w:sz w:val="22"/>
          <w:szCs w:val="22"/>
        </w:rPr>
      </w:pPr>
      <w:r>
        <w:rPr>
          <w:rFonts w:ascii="Arial" w:eastAsia="Arial" w:hAnsi="Arial" w:cs="Arial"/>
          <w:b/>
          <w:sz w:val="22"/>
          <w:szCs w:val="22"/>
        </w:rPr>
        <w:t>Equidad de Género</w:t>
      </w:r>
    </w:p>
    <w:p w:rsidR="00B202A2" w:rsidRDefault="00295E06">
      <w:pPr>
        <w:spacing w:after="160"/>
        <w:jc w:val="both"/>
        <w:rPr>
          <w:rFonts w:ascii="Arial" w:eastAsia="Arial" w:hAnsi="Arial" w:cs="Arial"/>
          <w:sz w:val="22"/>
          <w:szCs w:val="22"/>
        </w:rPr>
      </w:pPr>
      <w:r>
        <w:rPr>
          <w:rFonts w:ascii="Arial" w:eastAsia="Arial" w:hAnsi="Arial" w:cs="Arial"/>
          <w:sz w:val="22"/>
          <w:szCs w:val="22"/>
        </w:rPr>
        <w:t>Para la Unidad de Planeación Minero Energética, las mujeres y los hombres gozan de igualdad de derechos, igualdad de responsabilidade</w:t>
      </w:r>
      <w:r>
        <w:rPr>
          <w:rFonts w:ascii="Arial" w:eastAsia="Arial" w:hAnsi="Arial" w:cs="Arial"/>
          <w:sz w:val="22"/>
          <w:szCs w:val="22"/>
        </w:rPr>
        <w:t xml:space="preserve">s e igualdad de oportunidades y por esto, ha trabajado en varias actividades para lograr un equilibrio y en su búsqueda, se ha planteado como objetivo, informar y empoderar a las mujeres en los diferentes roles y actividades de la entidad y el sector. Por </w:t>
      </w:r>
      <w:r>
        <w:rPr>
          <w:rFonts w:ascii="Arial" w:eastAsia="Arial" w:hAnsi="Arial" w:cs="Arial"/>
          <w:sz w:val="22"/>
          <w:szCs w:val="22"/>
        </w:rPr>
        <w:t xml:space="preserve">esto, tal como se muestra en la tabla de </w:t>
      </w:r>
      <w:r>
        <w:rPr>
          <w:rFonts w:ascii="Arial" w:eastAsia="Arial" w:hAnsi="Arial" w:cs="Arial"/>
          <w:i/>
          <w:sz w:val="22"/>
          <w:szCs w:val="22"/>
        </w:rPr>
        <w:t xml:space="preserve">Situación administrativa de los empleos de la planta de personal por sexo, </w:t>
      </w:r>
      <w:r>
        <w:rPr>
          <w:rFonts w:ascii="Arial" w:eastAsia="Arial" w:hAnsi="Arial" w:cs="Arial"/>
          <w:sz w:val="22"/>
          <w:szCs w:val="22"/>
        </w:rPr>
        <w:t>actualmente el nivel directivo (cargos de decisión), tiene una distribución equitativa entre hombres y mujeres, así como en el total de serv</w:t>
      </w:r>
      <w:r>
        <w:rPr>
          <w:rFonts w:ascii="Arial" w:eastAsia="Arial" w:hAnsi="Arial" w:cs="Arial"/>
          <w:sz w:val="22"/>
          <w:szCs w:val="22"/>
        </w:rPr>
        <w:t>idores distribuidos entre asistencial y técnicos. La UPME se encuentra trabajando en metodologías de equidad de género para implementarlas en todos los procesos que lleva a cabo.</w:t>
      </w:r>
    </w:p>
    <w:p w:rsidR="00B202A2" w:rsidRDefault="00295E06">
      <w:pPr>
        <w:spacing w:after="160"/>
        <w:jc w:val="both"/>
        <w:rPr>
          <w:rFonts w:ascii="Arial" w:eastAsia="Arial" w:hAnsi="Arial" w:cs="Arial"/>
          <w:sz w:val="22"/>
          <w:szCs w:val="22"/>
        </w:rPr>
      </w:pPr>
      <w:r>
        <w:rPr>
          <w:rFonts w:ascii="Arial" w:eastAsia="Arial" w:hAnsi="Arial" w:cs="Arial"/>
          <w:noProof/>
          <w:sz w:val="22"/>
          <w:szCs w:val="22"/>
          <w:lang w:val="en-US"/>
        </w:rPr>
        <w:lastRenderedPageBreak/>
        <w:drawing>
          <wp:inline distT="114300" distB="114300" distL="114300" distR="114300" wp14:anchorId="6E40FD34" wp14:editId="4E3EAE9F">
            <wp:extent cx="2210753" cy="2400300"/>
            <wp:effectExtent l="0" t="0" r="0" b="0"/>
            <wp:docPr id="9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4"/>
                    <a:srcRect/>
                    <a:stretch>
                      <a:fillRect/>
                    </a:stretch>
                  </pic:blipFill>
                  <pic:spPr>
                    <a:xfrm>
                      <a:off x="0" y="0"/>
                      <a:ext cx="2210753" cy="2400300"/>
                    </a:xfrm>
                    <a:prstGeom prst="rect">
                      <a:avLst/>
                    </a:prstGeom>
                    <a:ln/>
                  </pic:spPr>
                </pic:pic>
              </a:graphicData>
            </a:graphic>
          </wp:inline>
        </w:drawing>
      </w:r>
    </w:p>
    <w:p w:rsidR="00B202A2" w:rsidRDefault="00295E06">
      <w:pPr>
        <w:spacing w:after="160"/>
        <w:jc w:val="both"/>
        <w:rPr>
          <w:rFonts w:ascii="Arial" w:eastAsia="Arial" w:hAnsi="Arial" w:cs="Arial"/>
          <w:b/>
          <w:sz w:val="22"/>
          <w:szCs w:val="22"/>
        </w:rPr>
      </w:pPr>
      <w:r>
        <w:rPr>
          <w:rFonts w:ascii="Arial" w:eastAsia="Arial" w:hAnsi="Arial" w:cs="Arial"/>
          <w:sz w:val="22"/>
          <w:szCs w:val="22"/>
        </w:rPr>
        <w:t xml:space="preserve">  </w:t>
      </w:r>
      <w:r>
        <w:rPr>
          <w:rFonts w:ascii="Arial" w:eastAsia="Arial" w:hAnsi="Arial" w:cs="Arial"/>
          <w:b/>
          <w:sz w:val="22"/>
          <w:szCs w:val="22"/>
        </w:rPr>
        <w:t>Teletrabajo</w:t>
      </w:r>
    </w:p>
    <w:p w:rsidR="00B202A2" w:rsidRDefault="00295E06">
      <w:pPr>
        <w:spacing w:after="160"/>
        <w:jc w:val="both"/>
        <w:rPr>
          <w:rFonts w:ascii="Arial" w:eastAsia="Arial" w:hAnsi="Arial" w:cs="Arial"/>
          <w:sz w:val="22"/>
          <w:szCs w:val="22"/>
        </w:rPr>
      </w:pPr>
      <w:r>
        <w:rPr>
          <w:rFonts w:ascii="Arial" w:eastAsia="Arial" w:hAnsi="Arial" w:cs="Arial"/>
          <w:sz w:val="22"/>
          <w:szCs w:val="22"/>
        </w:rPr>
        <w:t>Con el ánimo de brindar beneficios a nuestros Servidores Públicos y de permanecer a la vanguardia en nuestro sector; la entidad demostró su compromiso firmando el Pacto del Teletrabajo y actualmente estamos trabajando en el análisis, diseño e implementació</w:t>
      </w:r>
      <w:r>
        <w:rPr>
          <w:rFonts w:ascii="Arial" w:eastAsia="Arial" w:hAnsi="Arial" w:cs="Arial"/>
          <w:sz w:val="22"/>
          <w:szCs w:val="22"/>
        </w:rPr>
        <w:t xml:space="preserve">n de la modalidad de teletrabajo suplementario en la UPME. Con esto, lograremos que varios de nuestros servidores públicos mejoren su calidad de vida ahorrando tiempo y dinero en desplazamientos, equilibrando su tiempo entre el trabajo y el hogar y siendo </w:t>
      </w:r>
      <w:r>
        <w:rPr>
          <w:rFonts w:ascii="Arial" w:eastAsia="Arial" w:hAnsi="Arial" w:cs="Arial"/>
          <w:sz w:val="22"/>
          <w:szCs w:val="22"/>
        </w:rPr>
        <w:t>productivos desde un ambiente diferente a las oficinas.</w:t>
      </w:r>
    </w:p>
    <w:p w:rsidR="00B202A2" w:rsidRDefault="00295E06">
      <w:pPr>
        <w:spacing w:after="160"/>
        <w:jc w:val="both"/>
        <w:rPr>
          <w:rFonts w:ascii="Arial" w:eastAsia="Arial" w:hAnsi="Arial" w:cs="Arial"/>
          <w:sz w:val="22"/>
          <w:szCs w:val="22"/>
        </w:rPr>
      </w:pPr>
      <w:r>
        <w:rPr>
          <w:rFonts w:ascii="Arial" w:eastAsia="Arial" w:hAnsi="Arial" w:cs="Arial"/>
          <w:noProof/>
          <w:sz w:val="22"/>
          <w:szCs w:val="22"/>
          <w:lang w:val="en-US"/>
        </w:rPr>
        <w:drawing>
          <wp:inline distT="114300" distB="114300" distL="114300" distR="114300" wp14:anchorId="55BDF7FB" wp14:editId="73DF3970">
            <wp:extent cx="4586669" cy="1771570"/>
            <wp:effectExtent l="0" t="0" r="0" b="0"/>
            <wp:docPr id="9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5"/>
                    <a:srcRect/>
                    <a:stretch>
                      <a:fillRect/>
                    </a:stretch>
                  </pic:blipFill>
                  <pic:spPr>
                    <a:xfrm>
                      <a:off x="0" y="0"/>
                      <a:ext cx="4586669" cy="1771570"/>
                    </a:xfrm>
                    <a:prstGeom prst="rect">
                      <a:avLst/>
                    </a:prstGeom>
                    <a:ln/>
                  </pic:spPr>
                </pic:pic>
              </a:graphicData>
            </a:graphic>
          </wp:inline>
        </w:drawing>
      </w:r>
    </w:p>
    <w:p w:rsidR="00B202A2" w:rsidRDefault="00B202A2">
      <w:pPr>
        <w:spacing w:after="160"/>
        <w:jc w:val="both"/>
        <w:rPr>
          <w:rFonts w:ascii="Arial" w:eastAsia="Arial" w:hAnsi="Arial" w:cs="Arial"/>
          <w:sz w:val="22"/>
          <w:szCs w:val="22"/>
        </w:rPr>
      </w:pPr>
    </w:p>
    <w:p w:rsidR="00B202A2" w:rsidRDefault="00295E06">
      <w:pPr>
        <w:spacing w:after="160"/>
        <w:jc w:val="both"/>
        <w:rPr>
          <w:rFonts w:ascii="Arial" w:eastAsia="Arial" w:hAnsi="Arial" w:cs="Arial"/>
          <w:b/>
          <w:sz w:val="22"/>
          <w:szCs w:val="22"/>
        </w:rPr>
      </w:pPr>
      <w:r>
        <w:rPr>
          <w:rFonts w:ascii="Arial" w:eastAsia="Arial" w:hAnsi="Arial" w:cs="Arial"/>
          <w:b/>
          <w:sz w:val="22"/>
          <w:szCs w:val="22"/>
        </w:rPr>
        <w:t>Actividades Plan Institucional de Capacitación</w:t>
      </w:r>
    </w:p>
    <w:p w:rsidR="00B202A2" w:rsidRDefault="00295E06">
      <w:pPr>
        <w:spacing w:after="160"/>
        <w:jc w:val="both"/>
        <w:rPr>
          <w:rFonts w:ascii="Arial" w:eastAsia="Arial" w:hAnsi="Arial" w:cs="Arial"/>
          <w:sz w:val="22"/>
          <w:szCs w:val="22"/>
        </w:rPr>
      </w:pPr>
      <w:r>
        <w:rPr>
          <w:rFonts w:ascii="Arial" w:eastAsia="Arial" w:hAnsi="Arial" w:cs="Arial"/>
          <w:sz w:val="22"/>
          <w:szCs w:val="22"/>
        </w:rPr>
        <w:t>Buscando fortalecer el talento humano de la Unidad de Planeación Minero Energética - UPME-, mediante procesos continuos de formación y capacitación, d</w:t>
      </w:r>
      <w:r>
        <w:rPr>
          <w:rFonts w:ascii="Arial" w:eastAsia="Arial" w:hAnsi="Arial" w:cs="Arial"/>
          <w:sz w:val="22"/>
          <w:szCs w:val="22"/>
        </w:rPr>
        <w:t>esarrollados bajo la modalidad de educación no formal, se lleva a cabo la ejecución del Plan Institucional de Capacitación; Con el fin de potenciar las competencias en los servidores públicos para desempeñar de forma eficiente y eficaz sus funciones y prop</w:t>
      </w:r>
      <w:r>
        <w:rPr>
          <w:rFonts w:ascii="Arial" w:eastAsia="Arial" w:hAnsi="Arial" w:cs="Arial"/>
          <w:sz w:val="22"/>
          <w:szCs w:val="22"/>
        </w:rPr>
        <w:t xml:space="preserve">ósitos misionales en la entidad, integrando los niveles de ética personal y profesional, responsabilidad social promoviendo el desarrollo integral de los servidores públicos así como la humanización del servicio público. Para esto, se han desarrollado las </w:t>
      </w:r>
      <w:r>
        <w:rPr>
          <w:rFonts w:ascii="Arial" w:eastAsia="Arial" w:hAnsi="Arial" w:cs="Arial"/>
          <w:sz w:val="22"/>
          <w:szCs w:val="22"/>
        </w:rPr>
        <w:t>siguientes capacitaciones:</w:t>
      </w:r>
    </w:p>
    <w:p w:rsidR="00B202A2" w:rsidRDefault="00B202A2">
      <w:pPr>
        <w:spacing w:after="160"/>
        <w:jc w:val="both"/>
        <w:rPr>
          <w:rFonts w:ascii="Arial" w:eastAsia="Arial" w:hAnsi="Arial" w:cs="Arial"/>
          <w:sz w:val="22"/>
          <w:szCs w:val="22"/>
        </w:rPr>
      </w:pPr>
    </w:p>
    <w:p w:rsidR="00B202A2" w:rsidRDefault="00295E06">
      <w:pPr>
        <w:spacing w:after="160"/>
        <w:jc w:val="center"/>
        <w:rPr>
          <w:rFonts w:ascii="Arial" w:eastAsia="Arial" w:hAnsi="Arial" w:cs="Arial"/>
          <w:b/>
          <w:sz w:val="22"/>
          <w:szCs w:val="22"/>
        </w:rPr>
      </w:pPr>
      <w:bookmarkStart w:id="80" w:name="_heading=h.3cqmetx" w:colFirst="0" w:colLast="0"/>
      <w:bookmarkEnd w:id="80"/>
      <w:r>
        <w:rPr>
          <w:rFonts w:ascii="Arial" w:eastAsia="Arial" w:hAnsi="Arial" w:cs="Arial"/>
          <w:b/>
          <w:sz w:val="22"/>
          <w:szCs w:val="22"/>
          <w:u w:val="single"/>
        </w:rPr>
        <w:t>Tabla 25. Actividades en el Plan Institucional de Capacitación</w:t>
      </w:r>
    </w:p>
    <w:tbl>
      <w:tblPr>
        <w:tblStyle w:val="afffa"/>
        <w:tblW w:w="850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62"/>
        <w:gridCol w:w="7041"/>
      </w:tblGrid>
      <w:tr w:rsidR="00B202A2">
        <w:trPr>
          <w:trHeight w:val="905"/>
        </w:trPr>
        <w:tc>
          <w:tcPr>
            <w:tcW w:w="1462"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B202A2" w:rsidRDefault="00295E06">
            <w:pPr>
              <w:jc w:val="center"/>
              <w:rPr>
                <w:rFonts w:ascii="Arial" w:eastAsia="Arial" w:hAnsi="Arial" w:cs="Arial"/>
                <w:b/>
                <w:sz w:val="22"/>
                <w:szCs w:val="22"/>
              </w:rPr>
            </w:pPr>
            <w:r>
              <w:rPr>
                <w:rFonts w:ascii="Arial" w:eastAsia="Arial" w:hAnsi="Arial" w:cs="Arial"/>
                <w:b/>
                <w:sz w:val="22"/>
                <w:szCs w:val="22"/>
              </w:rPr>
              <w:lastRenderedPageBreak/>
              <w:t>No.</w:t>
            </w:r>
          </w:p>
        </w:tc>
        <w:tc>
          <w:tcPr>
            <w:tcW w:w="7041"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vAlign w:val="center"/>
          </w:tcPr>
          <w:p w:rsidR="00B202A2" w:rsidRDefault="00295E06">
            <w:pPr>
              <w:jc w:val="center"/>
              <w:rPr>
                <w:rFonts w:ascii="Arial" w:eastAsia="Arial" w:hAnsi="Arial" w:cs="Arial"/>
                <w:b/>
                <w:sz w:val="22"/>
                <w:szCs w:val="22"/>
              </w:rPr>
            </w:pPr>
            <w:bookmarkStart w:id="81" w:name="_GoBack"/>
            <w:bookmarkEnd w:id="81"/>
            <w:r>
              <w:rPr>
                <w:rFonts w:ascii="Arial" w:eastAsia="Arial" w:hAnsi="Arial" w:cs="Arial"/>
                <w:b/>
                <w:sz w:val="22"/>
                <w:szCs w:val="22"/>
              </w:rPr>
              <w:t>Nombre del Curso</w:t>
            </w:r>
          </w:p>
        </w:tc>
      </w:tr>
      <w:tr w:rsidR="00B202A2">
        <w:trPr>
          <w:trHeight w:val="965"/>
        </w:trPr>
        <w:tc>
          <w:tcPr>
            <w:tcW w:w="146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02A2" w:rsidRDefault="00295E06">
            <w:pPr>
              <w:jc w:val="center"/>
              <w:rPr>
                <w:rFonts w:ascii="Arial" w:eastAsia="Arial" w:hAnsi="Arial" w:cs="Arial"/>
                <w:b/>
                <w:sz w:val="22"/>
                <w:szCs w:val="22"/>
              </w:rPr>
            </w:pPr>
            <w:r>
              <w:rPr>
                <w:rFonts w:ascii="Arial" w:eastAsia="Arial" w:hAnsi="Arial" w:cs="Arial"/>
                <w:b/>
                <w:sz w:val="22"/>
                <w:szCs w:val="22"/>
              </w:rPr>
              <w:t>1</w:t>
            </w:r>
          </w:p>
        </w:tc>
        <w:tc>
          <w:tcPr>
            <w:tcW w:w="704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02A2" w:rsidRDefault="00295E06">
            <w:pPr>
              <w:jc w:val="both"/>
              <w:rPr>
                <w:rFonts w:ascii="Arial" w:eastAsia="Arial" w:hAnsi="Arial" w:cs="Arial"/>
                <w:sz w:val="22"/>
                <w:szCs w:val="22"/>
              </w:rPr>
            </w:pPr>
            <w:r>
              <w:rPr>
                <w:rFonts w:ascii="Arial" w:eastAsia="Arial" w:hAnsi="Arial" w:cs="Arial"/>
                <w:sz w:val="22"/>
                <w:szCs w:val="22"/>
              </w:rPr>
              <w:t>Actualización de las funcionalidades del aplicativo EDL - APP y los avances para el desarrollo de las etapas del proceso de evaluación de desempeño laboral</w:t>
            </w:r>
          </w:p>
        </w:tc>
      </w:tr>
      <w:tr w:rsidR="00B202A2">
        <w:trPr>
          <w:trHeight w:val="635"/>
        </w:trPr>
        <w:tc>
          <w:tcPr>
            <w:tcW w:w="146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02A2" w:rsidRDefault="00295E06">
            <w:pPr>
              <w:jc w:val="center"/>
              <w:rPr>
                <w:rFonts w:ascii="Arial" w:eastAsia="Arial" w:hAnsi="Arial" w:cs="Arial"/>
                <w:b/>
                <w:sz w:val="22"/>
                <w:szCs w:val="22"/>
              </w:rPr>
            </w:pPr>
            <w:r>
              <w:rPr>
                <w:rFonts w:ascii="Arial" w:eastAsia="Arial" w:hAnsi="Arial" w:cs="Arial"/>
                <w:b/>
                <w:sz w:val="22"/>
                <w:szCs w:val="22"/>
              </w:rPr>
              <w:t>2</w:t>
            </w:r>
          </w:p>
        </w:tc>
        <w:tc>
          <w:tcPr>
            <w:tcW w:w="704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02A2" w:rsidRDefault="00295E06">
            <w:pPr>
              <w:jc w:val="both"/>
              <w:rPr>
                <w:rFonts w:ascii="Arial" w:eastAsia="Arial" w:hAnsi="Arial" w:cs="Arial"/>
                <w:sz w:val="22"/>
                <w:szCs w:val="22"/>
              </w:rPr>
            </w:pPr>
            <w:r>
              <w:rPr>
                <w:rFonts w:ascii="Arial" w:eastAsia="Arial" w:hAnsi="Arial" w:cs="Arial"/>
                <w:sz w:val="22"/>
                <w:szCs w:val="22"/>
              </w:rPr>
              <w:t>SECOP</w:t>
            </w:r>
          </w:p>
        </w:tc>
      </w:tr>
      <w:tr w:rsidR="00B202A2">
        <w:trPr>
          <w:trHeight w:val="680"/>
        </w:trPr>
        <w:tc>
          <w:tcPr>
            <w:tcW w:w="146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02A2" w:rsidRDefault="00295E06">
            <w:pPr>
              <w:jc w:val="center"/>
              <w:rPr>
                <w:rFonts w:ascii="Arial" w:eastAsia="Arial" w:hAnsi="Arial" w:cs="Arial"/>
                <w:b/>
                <w:sz w:val="22"/>
                <w:szCs w:val="22"/>
              </w:rPr>
            </w:pPr>
            <w:r>
              <w:rPr>
                <w:rFonts w:ascii="Arial" w:eastAsia="Arial" w:hAnsi="Arial" w:cs="Arial"/>
                <w:b/>
                <w:sz w:val="22"/>
                <w:szCs w:val="22"/>
              </w:rPr>
              <w:t>3</w:t>
            </w:r>
          </w:p>
        </w:tc>
        <w:tc>
          <w:tcPr>
            <w:tcW w:w="704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02A2" w:rsidRDefault="00295E06">
            <w:pPr>
              <w:jc w:val="both"/>
              <w:rPr>
                <w:rFonts w:ascii="Arial" w:eastAsia="Arial" w:hAnsi="Arial" w:cs="Arial"/>
                <w:sz w:val="22"/>
                <w:szCs w:val="22"/>
              </w:rPr>
            </w:pPr>
            <w:r>
              <w:rPr>
                <w:rFonts w:ascii="Arial" w:eastAsia="Arial" w:hAnsi="Arial" w:cs="Arial"/>
                <w:sz w:val="22"/>
                <w:szCs w:val="22"/>
              </w:rPr>
              <w:t>Recálculo del % de retención en la fuente</w:t>
            </w:r>
          </w:p>
        </w:tc>
      </w:tr>
      <w:tr w:rsidR="00B202A2">
        <w:trPr>
          <w:trHeight w:val="635"/>
        </w:trPr>
        <w:tc>
          <w:tcPr>
            <w:tcW w:w="146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02A2" w:rsidRDefault="00295E06">
            <w:pPr>
              <w:jc w:val="center"/>
              <w:rPr>
                <w:rFonts w:ascii="Arial" w:eastAsia="Arial" w:hAnsi="Arial" w:cs="Arial"/>
                <w:b/>
                <w:sz w:val="22"/>
                <w:szCs w:val="22"/>
              </w:rPr>
            </w:pPr>
            <w:r>
              <w:rPr>
                <w:rFonts w:ascii="Arial" w:eastAsia="Arial" w:hAnsi="Arial" w:cs="Arial"/>
                <w:b/>
                <w:sz w:val="22"/>
                <w:szCs w:val="22"/>
              </w:rPr>
              <w:t>4</w:t>
            </w:r>
          </w:p>
        </w:tc>
        <w:tc>
          <w:tcPr>
            <w:tcW w:w="704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02A2" w:rsidRDefault="00295E06">
            <w:pPr>
              <w:jc w:val="both"/>
              <w:rPr>
                <w:rFonts w:ascii="Arial" w:eastAsia="Arial" w:hAnsi="Arial" w:cs="Arial"/>
                <w:sz w:val="22"/>
                <w:szCs w:val="22"/>
              </w:rPr>
            </w:pPr>
            <w:r>
              <w:rPr>
                <w:rFonts w:ascii="Arial" w:eastAsia="Arial" w:hAnsi="Arial" w:cs="Arial"/>
                <w:sz w:val="22"/>
                <w:szCs w:val="22"/>
              </w:rPr>
              <w:t>DIAN - Retención en la Fuente de servidores públicos y contratistas</w:t>
            </w:r>
          </w:p>
        </w:tc>
      </w:tr>
      <w:tr w:rsidR="00B202A2">
        <w:trPr>
          <w:trHeight w:val="560"/>
        </w:trPr>
        <w:tc>
          <w:tcPr>
            <w:tcW w:w="146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02A2" w:rsidRDefault="00295E06">
            <w:pPr>
              <w:jc w:val="center"/>
              <w:rPr>
                <w:rFonts w:ascii="Arial" w:eastAsia="Arial" w:hAnsi="Arial" w:cs="Arial"/>
                <w:b/>
                <w:sz w:val="22"/>
                <w:szCs w:val="22"/>
              </w:rPr>
            </w:pPr>
            <w:r>
              <w:rPr>
                <w:rFonts w:ascii="Arial" w:eastAsia="Arial" w:hAnsi="Arial" w:cs="Arial"/>
                <w:b/>
                <w:sz w:val="22"/>
                <w:szCs w:val="22"/>
              </w:rPr>
              <w:t>5</w:t>
            </w:r>
          </w:p>
        </w:tc>
        <w:tc>
          <w:tcPr>
            <w:tcW w:w="704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02A2" w:rsidRDefault="00295E06">
            <w:pPr>
              <w:jc w:val="both"/>
              <w:rPr>
                <w:rFonts w:ascii="Arial" w:eastAsia="Arial" w:hAnsi="Arial" w:cs="Arial"/>
                <w:sz w:val="22"/>
                <w:szCs w:val="22"/>
              </w:rPr>
            </w:pPr>
            <w:r>
              <w:rPr>
                <w:rFonts w:ascii="Arial" w:eastAsia="Arial" w:hAnsi="Arial" w:cs="Arial"/>
                <w:sz w:val="22"/>
                <w:szCs w:val="22"/>
              </w:rPr>
              <w:t>IX Congreso Nacional de Gestión Financiera Pública</w:t>
            </w:r>
          </w:p>
        </w:tc>
      </w:tr>
      <w:tr w:rsidR="00B202A2">
        <w:trPr>
          <w:trHeight w:val="590"/>
        </w:trPr>
        <w:tc>
          <w:tcPr>
            <w:tcW w:w="146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02A2" w:rsidRDefault="00295E06">
            <w:pPr>
              <w:jc w:val="center"/>
              <w:rPr>
                <w:rFonts w:ascii="Arial" w:eastAsia="Arial" w:hAnsi="Arial" w:cs="Arial"/>
                <w:b/>
                <w:sz w:val="22"/>
                <w:szCs w:val="22"/>
              </w:rPr>
            </w:pPr>
            <w:r>
              <w:rPr>
                <w:rFonts w:ascii="Arial" w:eastAsia="Arial" w:hAnsi="Arial" w:cs="Arial"/>
                <w:b/>
                <w:sz w:val="22"/>
                <w:szCs w:val="22"/>
              </w:rPr>
              <w:t>6</w:t>
            </w:r>
          </w:p>
        </w:tc>
        <w:tc>
          <w:tcPr>
            <w:tcW w:w="704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02A2" w:rsidRDefault="00295E06">
            <w:pPr>
              <w:jc w:val="both"/>
              <w:rPr>
                <w:rFonts w:ascii="Arial" w:eastAsia="Arial" w:hAnsi="Arial" w:cs="Arial"/>
                <w:sz w:val="22"/>
                <w:szCs w:val="22"/>
              </w:rPr>
            </w:pPr>
            <w:r>
              <w:rPr>
                <w:rFonts w:ascii="Arial" w:eastAsia="Arial" w:hAnsi="Arial" w:cs="Arial"/>
                <w:sz w:val="22"/>
                <w:szCs w:val="22"/>
              </w:rPr>
              <w:t>Implementación de acciones de prevención de conflicto de intereses</w:t>
            </w:r>
          </w:p>
        </w:tc>
      </w:tr>
      <w:tr w:rsidR="00B202A2">
        <w:trPr>
          <w:trHeight w:val="680"/>
        </w:trPr>
        <w:tc>
          <w:tcPr>
            <w:tcW w:w="146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02A2" w:rsidRDefault="00295E06">
            <w:pPr>
              <w:jc w:val="center"/>
              <w:rPr>
                <w:rFonts w:ascii="Arial" w:eastAsia="Arial" w:hAnsi="Arial" w:cs="Arial"/>
                <w:b/>
                <w:sz w:val="22"/>
                <w:szCs w:val="22"/>
              </w:rPr>
            </w:pPr>
            <w:r>
              <w:rPr>
                <w:rFonts w:ascii="Arial" w:eastAsia="Arial" w:hAnsi="Arial" w:cs="Arial"/>
                <w:b/>
                <w:sz w:val="22"/>
                <w:szCs w:val="22"/>
              </w:rPr>
              <w:t>7</w:t>
            </w:r>
          </w:p>
        </w:tc>
        <w:tc>
          <w:tcPr>
            <w:tcW w:w="704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02A2" w:rsidRDefault="00295E06">
            <w:pPr>
              <w:jc w:val="both"/>
              <w:rPr>
                <w:rFonts w:ascii="Arial" w:eastAsia="Arial" w:hAnsi="Arial" w:cs="Arial"/>
                <w:sz w:val="22"/>
                <w:szCs w:val="22"/>
              </w:rPr>
            </w:pPr>
            <w:r>
              <w:rPr>
                <w:rFonts w:ascii="Arial" w:eastAsia="Arial" w:hAnsi="Arial" w:cs="Arial"/>
                <w:sz w:val="22"/>
                <w:szCs w:val="22"/>
              </w:rPr>
              <w:t>Actualización virtual novedades en nómina de salarios, prestaciones sociales y concursos en el sector público.</w:t>
            </w:r>
          </w:p>
        </w:tc>
      </w:tr>
      <w:tr w:rsidR="00B202A2">
        <w:trPr>
          <w:trHeight w:val="755"/>
        </w:trPr>
        <w:tc>
          <w:tcPr>
            <w:tcW w:w="146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02A2" w:rsidRDefault="00295E06">
            <w:pPr>
              <w:jc w:val="center"/>
              <w:rPr>
                <w:rFonts w:ascii="Arial" w:eastAsia="Arial" w:hAnsi="Arial" w:cs="Arial"/>
                <w:b/>
                <w:sz w:val="22"/>
                <w:szCs w:val="22"/>
              </w:rPr>
            </w:pPr>
            <w:r>
              <w:rPr>
                <w:rFonts w:ascii="Arial" w:eastAsia="Arial" w:hAnsi="Arial" w:cs="Arial"/>
                <w:b/>
                <w:sz w:val="22"/>
                <w:szCs w:val="22"/>
              </w:rPr>
              <w:t>8</w:t>
            </w:r>
          </w:p>
        </w:tc>
        <w:tc>
          <w:tcPr>
            <w:tcW w:w="704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02A2" w:rsidRDefault="00295E06">
            <w:pPr>
              <w:jc w:val="both"/>
              <w:rPr>
                <w:rFonts w:ascii="Arial" w:eastAsia="Arial" w:hAnsi="Arial" w:cs="Arial"/>
                <w:sz w:val="22"/>
                <w:szCs w:val="22"/>
              </w:rPr>
            </w:pPr>
            <w:r>
              <w:rPr>
                <w:rFonts w:ascii="Arial" w:eastAsia="Arial" w:hAnsi="Arial" w:cs="Arial"/>
                <w:sz w:val="22"/>
                <w:szCs w:val="22"/>
              </w:rPr>
              <w:t>Socialización ruta de empleabilidad para la contratación de personas con discapacidad</w:t>
            </w:r>
          </w:p>
        </w:tc>
      </w:tr>
      <w:tr w:rsidR="00B202A2">
        <w:trPr>
          <w:trHeight w:val="620"/>
        </w:trPr>
        <w:tc>
          <w:tcPr>
            <w:tcW w:w="146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02A2" w:rsidRDefault="00295E06">
            <w:pPr>
              <w:jc w:val="center"/>
              <w:rPr>
                <w:rFonts w:ascii="Arial" w:eastAsia="Arial" w:hAnsi="Arial" w:cs="Arial"/>
                <w:b/>
                <w:sz w:val="22"/>
                <w:szCs w:val="22"/>
              </w:rPr>
            </w:pPr>
            <w:r>
              <w:rPr>
                <w:rFonts w:ascii="Arial" w:eastAsia="Arial" w:hAnsi="Arial" w:cs="Arial"/>
                <w:b/>
                <w:sz w:val="22"/>
                <w:szCs w:val="22"/>
              </w:rPr>
              <w:t>9</w:t>
            </w:r>
          </w:p>
        </w:tc>
        <w:tc>
          <w:tcPr>
            <w:tcW w:w="704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02A2" w:rsidRDefault="00295E06">
            <w:pPr>
              <w:jc w:val="both"/>
              <w:rPr>
                <w:rFonts w:ascii="Arial" w:eastAsia="Arial" w:hAnsi="Arial" w:cs="Arial"/>
                <w:sz w:val="22"/>
                <w:szCs w:val="22"/>
              </w:rPr>
            </w:pPr>
            <w:r>
              <w:rPr>
                <w:rFonts w:ascii="Arial" w:eastAsia="Arial" w:hAnsi="Arial" w:cs="Arial"/>
                <w:sz w:val="22"/>
                <w:szCs w:val="22"/>
              </w:rPr>
              <w:t>Capacitación Integridad Transparencia y lucha contra la Corrupción</w:t>
            </w:r>
          </w:p>
        </w:tc>
      </w:tr>
      <w:tr w:rsidR="00B202A2">
        <w:trPr>
          <w:trHeight w:val="620"/>
        </w:trPr>
        <w:tc>
          <w:tcPr>
            <w:tcW w:w="146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02A2" w:rsidRDefault="00295E06">
            <w:pPr>
              <w:jc w:val="center"/>
              <w:rPr>
                <w:rFonts w:ascii="Arial" w:eastAsia="Arial" w:hAnsi="Arial" w:cs="Arial"/>
                <w:b/>
                <w:sz w:val="22"/>
                <w:szCs w:val="22"/>
              </w:rPr>
            </w:pPr>
            <w:r>
              <w:rPr>
                <w:rFonts w:ascii="Arial" w:eastAsia="Arial" w:hAnsi="Arial" w:cs="Arial"/>
                <w:b/>
                <w:sz w:val="22"/>
                <w:szCs w:val="22"/>
              </w:rPr>
              <w:t>10</w:t>
            </w:r>
          </w:p>
        </w:tc>
        <w:tc>
          <w:tcPr>
            <w:tcW w:w="704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02A2" w:rsidRDefault="00295E06">
            <w:pPr>
              <w:jc w:val="both"/>
              <w:rPr>
                <w:rFonts w:ascii="Arial" w:eastAsia="Arial" w:hAnsi="Arial" w:cs="Arial"/>
                <w:sz w:val="22"/>
                <w:szCs w:val="22"/>
              </w:rPr>
            </w:pPr>
            <w:r>
              <w:rPr>
                <w:rFonts w:ascii="Arial" w:eastAsia="Arial" w:hAnsi="Arial" w:cs="Arial"/>
                <w:sz w:val="22"/>
                <w:szCs w:val="22"/>
              </w:rPr>
              <w:t>Capacitación MIPG</w:t>
            </w:r>
          </w:p>
        </w:tc>
      </w:tr>
      <w:tr w:rsidR="00B202A2">
        <w:trPr>
          <w:trHeight w:val="680"/>
        </w:trPr>
        <w:tc>
          <w:tcPr>
            <w:tcW w:w="146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02A2" w:rsidRDefault="00295E06">
            <w:pPr>
              <w:jc w:val="center"/>
              <w:rPr>
                <w:rFonts w:ascii="Arial" w:eastAsia="Arial" w:hAnsi="Arial" w:cs="Arial"/>
                <w:b/>
                <w:sz w:val="22"/>
                <w:szCs w:val="22"/>
              </w:rPr>
            </w:pPr>
            <w:r>
              <w:rPr>
                <w:rFonts w:ascii="Arial" w:eastAsia="Arial" w:hAnsi="Arial" w:cs="Arial"/>
                <w:b/>
                <w:sz w:val="22"/>
                <w:szCs w:val="22"/>
              </w:rPr>
              <w:t>11</w:t>
            </w:r>
          </w:p>
        </w:tc>
        <w:tc>
          <w:tcPr>
            <w:tcW w:w="704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02A2" w:rsidRDefault="00295E06">
            <w:pPr>
              <w:jc w:val="both"/>
              <w:rPr>
                <w:rFonts w:ascii="Arial" w:eastAsia="Arial" w:hAnsi="Arial" w:cs="Arial"/>
                <w:sz w:val="22"/>
                <w:szCs w:val="22"/>
              </w:rPr>
            </w:pPr>
            <w:r>
              <w:rPr>
                <w:rFonts w:ascii="Arial" w:eastAsia="Arial" w:hAnsi="Arial" w:cs="Arial"/>
                <w:sz w:val="22"/>
                <w:szCs w:val="22"/>
              </w:rPr>
              <w:t>Métodos de transmisión, prevención y que hacer en caso de ser positivo para COVID-19</w:t>
            </w:r>
          </w:p>
        </w:tc>
      </w:tr>
      <w:tr w:rsidR="00B202A2">
        <w:trPr>
          <w:trHeight w:val="560"/>
        </w:trPr>
        <w:tc>
          <w:tcPr>
            <w:tcW w:w="146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02A2" w:rsidRDefault="00295E06">
            <w:pPr>
              <w:jc w:val="center"/>
              <w:rPr>
                <w:rFonts w:ascii="Arial" w:eastAsia="Arial" w:hAnsi="Arial" w:cs="Arial"/>
                <w:b/>
                <w:sz w:val="22"/>
                <w:szCs w:val="22"/>
              </w:rPr>
            </w:pPr>
            <w:r>
              <w:rPr>
                <w:rFonts w:ascii="Arial" w:eastAsia="Arial" w:hAnsi="Arial" w:cs="Arial"/>
                <w:b/>
                <w:sz w:val="22"/>
                <w:szCs w:val="22"/>
              </w:rPr>
              <w:t>12</w:t>
            </w:r>
          </w:p>
        </w:tc>
        <w:tc>
          <w:tcPr>
            <w:tcW w:w="704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02A2" w:rsidRDefault="00295E06">
            <w:pPr>
              <w:jc w:val="both"/>
              <w:rPr>
                <w:rFonts w:ascii="Arial" w:eastAsia="Arial" w:hAnsi="Arial" w:cs="Arial"/>
                <w:sz w:val="22"/>
                <w:szCs w:val="22"/>
              </w:rPr>
            </w:pPr>
            <w:r>
              <w:rPr>
                <w:rFonts w:ascii="Arial" w:eastAsia="Arial" w:hAnsi="Arial" w:cs="Arial"/>
                <w:sz w:val="22"/>
                <w:szCs w:val="22"/>
              </w:rPr>
              <w:t>Taller de fortalecimiento de habilidades - Comunicación organizacional</w:t>
            </w:r>
          </w:p>
        </w:tc>
      </w:tr>
      <w:tr w:rsidR="00B202A2">
        <w:trPr>
          <w:trHeight w:val="605"/>
        </w:trPr>
        <w:tc>
          <w:tcPr>
            <w:tcW w:w="146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02A2" w:rsidRDefault="00295E06">
            <w:pPr>
              <w:jc w:val="center"/>
              <w:rPr>
                <w:rFonts w:ascii="Arial" w:eastAsia="Arial" w:hAnsi="Arial" w:cs="Arial"/>
                <w:b/>
                <w:sz w:val="22"/>
                <w:szCs w:val="22"/>
              </w:rPr>
            </w:pPr>
            <w:r>
              <w:rPr>
                <w:rFonts w:ascii="Arial" w:eastAsia="Arial" w:hAnsi="Arial" w:cs="Arial"/>
                <w:b/>
                <w:sz w:val="22"/>
                <w:szCs w:val="22"/>
              </w:rPr>
              <w:t>13</w:t>
            </w:r>
          </w:p>
        </w:tc>
        <w:tc>
          <w:tcPr>
            <w:tcW w:w="704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02A2" w:rsidRDefault="00295E06">
            <w:pPr>
              <w:jc w:val="both"/>
              <w:rPr>
                <w:rFonts w:ascii="Arial" w:eastAsia="Arial" w:hAnsi="Arial" w:cs="Arial"/>
                <w:sz w:val="22"/>
                <w:szCs w:val="22"/>
              </w:rPr>
            </w:pPr>
            <w:r>
              <w:rPr>
                <w:rFonts w:ascii="Arial" w:eastAsia="Arial" w:hAnsi="Arial" w:cs="Arial"/>
                <w:sz w:val="22"/>
                <w:szCs w:val="22"/>
              </w:rPr>
              <w:t>Curso virtual de regulación del mercado mayorista de gas natural</w:t>
            </w:r>
          </w:p>
        </w:tc>
      </w:tr>
      <w:tr w:rsidR="00B202A2">
        <w:trPr>
          <w:trHeight w:val="755"/>
        </w:trPr>
        <w:tc>
          <w:tcPr>
            <w:tcW w:w="146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02A2" w:rsidRDefault="00295E06">
            <w:pPr>
              <w:jc w:val="center"/>
              <w:rPr>
                <w:rFonts w:ascii="Arial" w:eastAsia="Arial" w:hAnsi="Arial" w:cs="Arial"/>
                <w:b/>
                <w:sz w:val="22"/>
                <w:szCs w:val="22"/>
              </w:rPr>
            </w:pPr>
            <w:r>
              <w:rPr>
                <w:rFonts w:ascii="Arial" w:eastAsia="Arial" w:hAnsi="Arial" w:cs="Arial"/>
                <w:b/>
                <w:sz w:val="22"/>
                <w:szCs w:val="22"/>
              </w:rPr>
              <w:lastRenderedPageBreak/>
              <w:t>14</w:t>
            </w:r>
          </w:p>
        </w:tc>
        <w:tc>
          <w:tcPr>
            <w:tcW w:w="704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02A2" w:rsidRDefault="00295E06">
            <w:pPr>
              <w:jc w:val="both"/>
              <w:rPr>
                <w:rFonts w:ascii="Arial" w:eastAsia="Arial" w:hAnsi="Arial" w:cs="Arial"/>
                <w:sz w:val="22"/>
                <w:szCs w:val="22"/>
              </w:rPr>
            </w:pPr>
            <w:r>
              <w:rPr>
                <w:rFonts w:ascii="Arial" w:eastAsia="Arial" w:hAnsi="Arial" w:cs="Arial"/>
                <w:sz w:val="22"/>
                <w:szCs w:val="22"/>
              </w:rPr>
              <w:t>Diseño, análisis, operación e integración de sistemas Híbridos, off grid y micro-redes en el contexto colombiano.</w:t>
            </w:r>
          </w:p>
        </w:tc>
      </w:tr>
      <w:tr w:rsidR="00B202A2">
        <w:trPr>
          <w:trHeight w:val="905"/>
        </w:trPr>
        <w:tc>
          <w:tcPr>
            <w:tcW w:w="146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02A2" w:rsidRDefault="00295E06">
            <w:pPr>
              <w:jc w:val="center"/>
              <w:rPr>
                <w:rFonts w:ascii="Arial" w:eastAsia="Arial" w:hAnsi="Arial" w:cs="Arial"/>
                <w:b/>
                <w:sz w:val="22"/>
                <w:szCs w:val="22"/>
              </w:rPr>
            </w:pPr>
            <w:r>
              <w:rPr>
                <w:rFonts w:ascii="Arial" w:eastAsia="Arial" w:hAnsi="Arial" w:cs="Arial"/>
                <w:b/>
                <w:sz w:val="22"/>
                <w:szCs w:val="22"/>
              </w:rPr>
              <w:t>15</w:t>
            </w:r>
          </w:p>
        </w:tc>
        <w:tc>
          <w:tcPr>
            <w:tcW w:w="704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02A2" w:rsidRDefault="00295E06">
            <w:pPr>
              <w:jc w:val="both"/>
              <w:rPr>
                <w:rFonts w:ascii="Arial" w:eastAsia="Arial" w:hAnsi="Arial" w:cs="Arial"/>
                <w:sz w:val="22"/>
                <w:szCs w:val="22"/>
              </w:rPr>
            </w:pPr>
            <w:r>
              <w:rPr>
                <w:rFonts w:ascii="Arial" w:eastAsia="Arial" w:hAnsi="Arial" w:cs="Arial"/>
                <w:sz w:val="22"/>
                <w:szCs w:val="22"/>
              </w:rPr>
              <w:t>Seminario para la alta dirección en Planeación para la revolución 4.0 + Design Thinking</w:t>
            </w:r>
          </w:p>
        </w:tc>
      </w:tr>
      <w:tr w:rsidR="00B202A2">
        <w:trPr>
          <w:trHeight w:val="755"/>
        </w:trPr>
        <w:tc>
          <w:tcPr>
            <w:tcW w:w="146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02A2" w:rsidRDefault="00295E06">
            <w:pPr>
              <w:jc w:val="center"/>
              <w:rPr>
                <w:rFonts w:ascii="Arial" w:eastAsia="Arial" w:hAnsi="Arial" w:cs="Arial"/>
                <w:b/>
                <w:sz w:val="22"/>
                <w:szCs w:val="22"/>
              </w:rPr>
            </w:pPr>
            <w:r>
              <w:rPr>
                <w:rFonts w:ascii="Arial" w:eastAsia="Arial" w:hAnsi="Arial" w:cs="Arial"/>
                <w:b/>
                <w:sz w:val="22"/>
                <w:szCs w:val="22"/>
              </w:rPr>
              <w:t>16</w:t>
            </w:r>
          </w:p>
        </w:tc>
        <w:tc>
          <w:tcPr>
            <w:tcW w:w="704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02A2" w:rsidRDefault="00295E06">
            <w:pPr>
              <w:jc w:val="both"/>
              <w:rPr>
                <w:rFonts w:ascii="Arial" w:eastAsia="Arial" w:hAnsi="Arial" w:cs="Arial"/>
                <w:sz w:val="22"/>
                <w:szCs w:val="22"/>
              </w:rPr>
            </w:pPr>
            <w:r>
              <w:rPr>
                <w:rFonts w:ascii="Arial" w:eastAsia="Arial" w:hAnsi="Arial" w:cs="Arial"/>
                <w:sz w:val="22"/>
                <w:szCs w:val="22"/>
              </w:rPr>
              <w:t>Capacitación MinTIC Teletrabajo</w:t>
            </w:r>
          </w:p>
        </w:tc>
      </w:tr>
    </w:tbl>
    <w:p w:rsidR="00B202A2" w:rsidRDefault="00295E06">
      <w:pPr>
        <w:spacing w:after="160"/>
        <w:jc w:val="center"/>
        <w:rPr>
          <w:rFonts w:ascii="Arial" w:eastAsia="Arial" w:hAnsi="Arial" w:cs="Arial"/>
          <w:color w:val="FF0000"/>
          <w:sz w:val="22"/>
          <w:szCs w:val="22"/>
        </w:rPr>
      </w:pPr>
      <w:r>
        <w:rPr>
          <w:rFonts w:ascii="Arial" w:eastAsia="Arial" w:hAnsi="Arial" w:cs="Arial"/>
          <w:color w:val="FF0000"/>
          <w:sz w:val="22"/>
          <w:szCs w:val="22"/>
        </w:rPr>
        <w:t xml:space="preserve"> </w:t>
      </w:r>
    </w:p>
    <w:p w:rsidR="00B202A2" w:rsidRDefault="00295E06">
      <w:pPr>
        <w:jc w:val="both"/>
        <w:rPr>
          <w:rFonts w:ascii="Arial" w:eastAsia="Arial" w:hAnsi="Arial" w:cs="Arial"/>
          <w:b/>
          <w:color w:val="2E74B5"/>
          <w:sz w:val="22"/>
          <w:szCs w:val="22"/>
        </w:rPr>
      </w:pPr>
      <w:r>
        <w:rPr>
          <w:rFonts w:ascii="Arial" w:eastAsia="Arial" w:hAnsi="Arial" w:cs="Arial"/>
          <w:b/>
          <w:color w:val="2E74B5"/>
          <w:sz w:val="22"/>
          <w:szCs w:val="22"/>
        </w:rPr>
        <w:t xml:space="preserve"> </w:t>
      </w:r>
    </w:p>
    <w:p w:rsidR="00B202A2" w:rsidRDefault="00295E06">
      <w:pPr>
        <w:jc w:val="both"/>
        <w:rPr>
          <w:rFonts w:ascii="Arial" w:eastAsia="Arial" w:hAnsi="Arial" w:cs="Arial"/>
          <w:b/>
          <w:color w:val="2E74B5"/>
          <w:sz w:val="22"/>
          <w:szCs w:val="22"/>
        </w:rPr>
      </w:pPr>
      <w:r>
        <w:rPr>
          <w:rFonts w:ascii="Arial" w:eastAsia="Arial" w:hAnsi="Arial" w:cs="Arial"/>
          <w:b/>
          <w:color w:val="2E74B5"/>
          <w:sz w:val="22"/>
          <w:szCs w:val="22"/>
        </w:rPr>
        <w:t>Actividades Sistema de Gestión de Seguridad y Salud en el Trabajo SG-SST</w:t>
      </w:r>
    </w:p>
    <w:p w:rsidR="00B202A2" w:rsidRDefault="00295E06">
      <w:pPr>
        <w:jc w:val="both"/>
        <w:rPr>
          <w:rFonts w:ascii="Arial" w:eastAsia="Arial" w:hAnsi="Arial" w:cs="Arial"/>
          <w:sz w:val="22"/>
          <w:szCs w:val="22"/>
        </w:rPr>
      </w:pPr>
      <w:r>
        <w:rPr>
          <w:rFonts w:ascii="Arial" w:eastAsia="Arial" w:hAnsi="Arial" w:cs="Arial"/>
          <w:sz w:val="22"/>
          <w:szCs w:val="22"/>
        </w:rPr>
        <w:t xml:space="preserve"> </w:t>
      </w:r>
    </w:p>
    <w:p w:rsidR="00B202A2" w:rsidRDefault="00295E06">
      <w:pPr>
        <w:jc w:val="both"/>
        <w:rPr>
          <w:rFonts w:ascii="Arial" w:eastAsia="Arial" w:hAnsi="Arial" w:cs="Arial"/>
          <w:sz w:val="22"/>
          <w:szCs w:val="22"/>
        </w:rPr>
      </w:pPr>
      <w:r>
        <w:rPr>
          <w:rFonts w:ascii="Arial" w:eastAsia="Arial" w:hAnsi="Arial" w:cs="Arial"/>
          <w:sz w:val="22"/>
          <w:szCs w:val="22"/>
        </w:rPr>
        <w:t>Producto de la emergencia sanitaria ocasionada por la aparición del nuevo coronavirus SarsCov2 – COVID19, la entidad adoptó diferentes lineamientos y estrategias de intervención de cada riesgo latente en los diferentes procesos, con el objetivo de disminui</w:t>
      </w:r>
      <w:r>
        <w:rPr>
          <w:rFonts w:ascii="Arial" w:eastAsia="Arial" w:hAnsi="Arial" w:cs="Arial"/>
          <w:sz w:val="22"/>
          <w:szCs w:val="22"/>
        </w:rPr>
        <w:t>r en lo posible el impacto generado producto de los cambios laborales presentados.</w:t>
      </w:r>
    </w:p>
    <w:p w:rsidR="00B202A2" w:rsidRDefault="00295E06">
      <w:pPr>
        <w:jc w:val="both"/>
        <w:rPr>
          <w:rFonts w:ascii="Arial" w:eastAsia="Arial" w:hAnsi="Arial" w:cs="Arial"/>
          <w:sz w:val="22"/>
          <w:szCs w:val="22"/>
        </w:rPr>
      </w:pPr>
      <w:r>
        <w:rPr>
          <w:rFonts w:ascii="Arial" w:eastAsia="Arial" w:hAnsi="Arial" w:cs="Arial"/>
          <w:sz w:val="22"/>
          <w:szCs w:val="22"/>
        </w:rPr>
        <w:t xml:space="preserve"> </w:t>
      </w:r>
    </w:p>
    <w:p w:rsidR="00B202A2" w:rsidRDefault="00295E06">
      <w:pPr>
        <w:jc w:val="both"/>
        <w:rPr>
          <w:rFonts w:ascii="Arial" w:eastAsia="Arial" w:hAnsi="Arial" w:cs="Arial"/>
          <w:sz w:val="22"/>
          <w:szCs w:val="22"/>
        </w:rPr>
      </w:pPr>
      <w:r>
        <w:rPr>
          <w:rFonts w:ascii="Arial" w:eastAsia="Arial" w:hAnsi="Arial" w:cs="Arial"/>
          <w:sz w:val="22"/>
          <w:szCs w:val="22"/>
        </w:rPr>
        <w:t>Ante esto, la UPME ha realizado las siguientes acciones:</w:t>
      </w:r>
    </w:p>
    <w:p w:rsidR="00B202A2" w:rsidRDefault="00295E06">
      <w:pPr>
        <w:jc w:val="both"/>
        <w:rPr>
          <w:rFonts w:ascii="Arial" w:eastAsia="Arial" w:hAnsi="Arial" w:cs="Arial"/>
          <w:sz w:val="22"/>
          <w:szCs w:val="22"/>
        </w:rPr>
      </w:pPr>
      <w:r>
        <w:rPr>
          <w:rFonts w:ascii="Arial" w:eastAsia="Arial" w:hAnsi="Arial" w:cs="Arial"/>
          <w:sz w:val="22"/>
          <w:szCs w:val="22"/>
        </w:rPr>
        <w:t xml:space="preserve"> </w:t>
      </w:r>
    </w:p>
    <w:p w:rsidR="00B202A2" w:rsidRDefault="00295E06">
      <w:pPr>
        <w:numPr>
          <w:ilvl w:val="0"/>
          <w:numId w:val="24"/>
        </w:numPr>
        <w:spacing w:before="240"/>
        <w:jc w:val="both"/>
        <w:rPr>
          <w:rFonts w:ascii="Arial" w:eastAsia="Arial" w:hAnsi="Arial" w:cs="Arial"/>
          <w:sz w:val="22"/>
          <w:szCs w:val="22"/>
        </w:rPr>
      </w:pPr>
      <w:r>
        <w:rPr>
          <w:rFonts w:ascii="Arial" w:eastAsia="Arial" w:hAnsi="Arial" w:cs="Arial"/>
          <w:sz w:val="22"/>
          <w:szCs w:val="22"/>
        </w:rPr>
        <w:t>Se estableció como medida de emergencia, la implementación de trabajo en casa o también llamado trabajo remoto p</w:t>
      </w:r>
      <w:r>
        <w:rPr>
          <w:rFonts w:ascii="Arial" w:eastAsia="Arial" w:hAnsi="Arial" w:cs="Arial"/>
          <w:sz w:val="22"/>
          <w:szCs w:val="22"/>
        </w:rPr>
        <w:t>ara toda la comunidad institucional tanto servidores públicos como contratistas UPME.</w:t>
      </w:r>
      <w:r>
        <w:rPr>
          <w:rFonts w:ascii="Arial" w:eastAsia="Arial" w:hAnsi="Arial" w:cs="Arial"/>
          <w:sz w:val="22"/>
          <w:szCs w:val="22"/>
        </w:rPr>
        <w:br/>
        <w:t xml:space="preserve"> </w:t>
      </w:r>
    </w:p>
    <w:p w:rsidR="00B202A2" w:rsidRDefault="00295E06">
      <w:pPr>
        <w:numPr>
          <w:ilvl w:val="0"/>
          <w:numId w:val="24"/>
        </w:numPr>
        <w:jc w:val="both"/>
        <w:rPr>
          <w:rFonts w:ascii="Arial" w:eastAsia="Arial" w:hAnsi="Arial" w:cs="Arial"/>
          <w:sz w:val="22"/>
          <w:szCs w:val="22"/>
        </w:rPr>
      </w:pPr>
      <w:r>
        <w:rPr>
          <w:rFonts w:ascii="Arial" w:eastAsia="Arial" w:hAnsi="Arial" w:cs="Arial"/>
          <w:sz w:val="22"/>
          <w:szCs w:val="22"/>
        </w:rPr>
        <w:t>Derivado a la reactivación económica y al posible reinicio de actividades presenciales en las instalaciones de la UPME, la unidad adoptó el protocolo de bioseguridad de</w:t>
      </w:r>
      <w:r>
        <w:rPr>
          <w:rFonts w:ascii="Arial" w:eastAsia="Arial" w:hAnsi="Arial" w:cs="Arial"/>
          <w:sz w:val="22"/>
          <w:szCs w:val="22"/>
        </w:rPr>
        <w:t xml:space="preserve"> acuerdo a los lineamientos establecidos en la Resolución 666 de 2020 para así establecer las medidas de higiene, limpieza y desinfección en las instalaciones de la entidad, buscando mitigar, controlar y realizar un adecuado manejo frente a la propagación </w:t>
      </w:r>
      <w:r>
        <w:rPr>
          <w:rFonts w:ascii="Arial" w:eastAsia="Arial" w:hAnsi="Arial" w:cs="Arial"/>
          <w:sz w:val="22"/>
          <w:szCs w:val="22"/>
        </w:rPr>
        <w:t>del virus SARS-CoV-2 y así́ preservar la salud de los servidores públicos y contratistas que ingresen a las mismas.</w:t>
      </w:r>
      <w:r>
        <w:rPr>
          <w:rFonts w:ascii="Arial" w:eastAsia="Arial" w:hAnsi="Arial" w:cs="Arial"/>
          <w:sz w:val="22"/>
          <w:szCs w:val="22"/>
        </w:rPr>
        <w:br/>
        <w:t xml:space="preserve"> </w:t>
      </w:r>
    </w:p>
    <w:p w:rsidR="00B202A2" w:rsidRDefault="00295E06">
      <w:pPr>
        <w:numPr>
          <w:ilvl w:val="0"/>
          <w:numId w:val="24"/>
        </w:numPr>
        <w:spacing w:after="240"/>
        <w:jc w:val="both"/>
        <w:rPr>
          <w:rFonts w:ascii="Arial" w:eastAsia="Arial" w:hAnsi="Arial" w:cs="Arial"/>
          <w:sz w:val="22"/>
          <w:szCs w:val="22"/>
        </w:rPr>
      </w:pPr>
      <w:r>
        <w:rPr>
          <w:rFonts w:ascii="Arial" w:eastAsia="Arial" w:hAnsi="Arial" w:cs="Arial"/>
          <w:sz w:val="22"/>
          <w:szCs w:val="22"/>
        </w:rPr>
        <w:t>Se realizó la socialización del protocolo de bioseguridad con la comunidad UPME mediante capacitaciones virtuales, piezas gráficas y campa</w:t>
      </w:r>
      <w:r>
        <w:rPr>
          <w:rFonts w:ascii="Arial" w:eastAsia="Arial" w:hAnsi="Arial" w:cs="Arial"/>
          <w:sz w:val="22"/>
          <w:szCs w:val="22"/>
        </w:rPr>
        <w:t>ñas de mailing didácticos.</w:t>
      </w:r>
    </w:p>
    <w:p w:rsidR="00B202A2" w:rsidRDefault="00295E06">
      <w:pPr>
        <w:ind w:left="360"/>
        <w:jc w:val="both"/>
        <w:rPr>
          <w:rFonts w:ascii="Arial" w:eastAsia="Arial" w:hAnsi="Arial" w:cs="Arial"/>
          <w:sz w:val="22"/>
          <w:szCs w:val="22"/>
        </w:rPr>
      </w:pPr>
      <w:r>
        <w:rPr>
          <w:rFonts w:ascii="Arial" w:eastAsia="Arial" w:hAnsi="Arial" w:cs="Arial"/>
          <w:sz w:val="22"/>
          <w:szCs w:val="22"/>
        </w:rPr>
        <w:lastRenderedPageBreak/>
        <w:t xml:space="preserve">         </w:t>
      </w:r>
      <w:r>
        <w:rPr>
          <w:rFonts w:ascii="Arial" w:eastAsia="Arial" w:hAnsi="Arial" w:cs="Arial"/>
          <w:noProof/>
          <w:sz w:val="22"/>
          <w:szCs w:val="22"/>
          <w:lang w:val="en-US"/>
        </w:rPr>
        <w:drawing>
          <wp:inline distT="114300" distB="114300" distL="114300" distR="114300" wp14:anchorId="55AB750C" wp14:editId="2DB634D6">
            <wp:extent cx="2209800" cy="3105150"/>
            <wp:effectExtent l="0" t="0" r="0" b="0"/>
            <wp:docPr id="9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6"/>
                    <a:srcRect/>
                    <a:stretch>
                      <a:fillRect/>
                    </a:stretch>
                  </pic:blipFill>
                  <pic:spPr>
                    <a:xfrm>
                      <a:off x="0" y="0"/>
                      <a:ext cx="2209800" cy="3105150"/>
                    </a:xfrm>
                    <a:prstGeom prst="rect">
                      <a:avLst/>
                    </a:prstGeom>
                    <a:ln/>
                  </pic:spPr>
                </pic:pic>
              </a:graphicData>
            </a:graphic>
          </wp:inline>
        </w:drawing>
      </w:r>
      <w:r>
        <w:rPr>
          <w:rFonts w:ascii="Arial" w:eastAsia="Arial" w:hAnsi="Arial" w:cs="Arial"/>
          <w:sz w:val="22"/>
          <w:szCs w:val="22"/>
        </w:rPr>
        <w:t xml:space="preserve">  </w:t>
      </w:r>
      <w:r>
        <w:rPr>
          <w:rFonts w:ascii="Arial" w:eastAsia="Arial" w:hAnsi="Arial" w:cs="Arial"/>
          <w:noProof/>
          <w:sz w:val="22"/>
          <w:szCs w:val="22"/>
          <w:lang w:val="en-US"/>
        </w:rPr>
        <w:drawing>
          <wp:inline distT="114300" distB="114300" distL="114300" distR="114300" wp14:anchorId="4215C9A9" wp14:editId="58E64304">
            <wp:extent cx="2343150" cy="3105150"/>
            <wp:effectExtent l="0" t="0" r="0" b="0"/>
            <wp:docPr id="9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7"/>
                    <a:srcRect/>
                    <a:stretch>
                      <a:fillRect/>
                    </a:stretch>
                  </pic:blipFill>
                  <pic:spPr>
                    <a:xfrm>
                      <a:off x="0" y="0"/>
                      <a:ext cx="2343150" cy="3105150"/>
                    </a:xfrm>
                    <a:prstGeom prst="rect">
                      <a:avLst/>
                    </a:prstGeom>
                    <a:ln/>
                  </pic:spPr>
                </pic:pic>
              </a:graphicData>
            </a:graphic>
          </wp:inline>
        </w:drawing>
      </w:r>
    </w:p>
    <w:p w:rsidR="00B202A2" w:rsidRDefault="00295E06">
      <w:pPr>
        <w:ind w:left="360"/>
        <w:jc w:val="both"/>
        <w:rPr>
          <w:rFonts w:ascii="Arial" w:eastAsia="Arial" w:hAnsi="Arial" w:cs="Arial"/>
          <w:sz w:val="22"/>
          <w:szCs w:val="22"/>
        </w:rPr>
      </w:pPr>
      <w:r>
        <w:rPr>
          <w:rFonts w:ascii="Arial" w:eastAsia="Arial" w:hAnsi="Arial" w:cs="Arial"/>
          <w:sz w:val="22"/>
          <w:szCs w:val="22"/>
        </w:rPr>
        <w:t xml:space="preserve">  </w:t>
      </w:r>
    </w:p>
    <w:p w:rsidR="00B202A2" w:rsidRDefault="00295E06">
      <w:pPr>
        <w:numPr>
          <w:ilvl w:val="0"/>
          <w:numId w:val="25"/>
        </w:numPr>
        <w:spacing w:before="240" w:after="240"/>
        <w:jc w:val="both"/>
        <w:rPr>
          <w:rFonts w:ascii="Arial" w:eastAsia="Arial" w:hAnsi="Arial" w:cs="Arial"/>
          <w:sz w:val="22"/>
          <w:szCs w:val="22"/>
        </w:rPr>
      </w:pPr>
      <w:r>
        <w:rPr>
          <w:rFonts w:ascii="Arial" w:eastAsia="Arial" w:hAnsi="Arial" w:cs="Arial"/>
          <w:sz w:val="22"/>
          <w:szCs w:val="22"/>
        </w:rPr>
        <w:t>La UPME cumple directrices en materia de prevención, preparación y respuesta contra el virus COVID-19, teniendo los lineamientos impartidos por la Presidencia de la República, Alcaldía Mayor de Bogotá, Ministerio de Salud y Protección Social, el Ministerio</w:t>
      </w:r>
      <w:r>
        <w:rPr>
          <w:rFonts w:ascii="Arial" w:eastAsia="Arial" w:hAnsi="Arial" w:cs="Arial"/>
          <w:sz w:val="22"/>
          <w:szCs w:val="22"/>
        </w:rPr>
        <w:t xml:space="preserve"> de Trabajo y Departamento Administrativo de la Función Pública; estableció el trabajo en casa para todos los servidores públicos y contratista, horarios flexibles, insumos de bioseguridad, cuenta con biometrico facial, entre otros.</w:t>
      </w:r>
    </w:p>
    <w:p w:rsidR="00B202A2" w:rsidRDefault="00B202A2">
      <w:pPr>
        <w:ind w:firstLine="60"/>
        <w:jc w:val="both"/>
        <w:rPr>
          <w:rFonts w:ascii="Arial" w:eastAsia="Arial" w:hAnsi="Arial" w:cs="Arial"/>
          <w:sz w:val="22"/>
          <w:szCs w:val="22"/>
        </w:rPr>
      </w:pPr>
    </w:p>
    <w:p w:rsidR="00B202A2" w:rsidRDefault="00295E06">
      <w:pPr>
        <w:numPr>
          <w:ilvl w:val="0"/>
          <w:numId w:val="25"/>
        </w:numPr>
        <w:spacing w:before="240"/>
        <w:jc w:val="both"/>
        <w:rPr>
          <w:sz w:val="22"/>
          <w:szCs w:val="22"/>
        </w:rPr>
      </w:pPr>
      <w:r>
        <w:rPr>
          <w:rFonts w:ascii="Arial" w:eastAsia="Arial" w:hAnsi="Arial" w:cs="Arial"/>
          <w:sz w:val="22"/>
          <w:szCs w:val="22"/>
        </w:rPr>
        <w:t>Previo al reinicio a l</w:t>
      </w:r>
      <w:r>
        <w:rPr>
          <w:rFonts w:ascii="Arial" w:eastAsia="Arial" w:hAnsi="Arial" w:cs="Arial"/>
          <w:sz w:val="22"/>
          <w:szCs w:val="22"/>
        </w:rPr>
        <w:t>as actividades presenciales en las instalaciones de la UPME, se realizó una estratificación del riesgo por COVID-19 a través de una encuesta, la cual fue aplicada a un total de 134 colaboradores, los cuales fueron catalogados de la siguiente forma:</w:t>
      </w:r>
      <w:r>
        <w:rPr>
          <w:rFonts w:ascii="Arial" w:eastAsia="Arial" w:hAnsi="Arial" w:cs="Arial"/>
          <w:sz w:val="22"/>
          <w:szCs w:val="22"/>
        </w:rPr>
        <w:br/>
        <w:t xml:space="preserve"> </w:t>
      </w:r>
      <w:r>
        <w:rPr>
          <w:rFonts w:ascii="Arial" w:eastAsia="Arial" w:hAnsi="Arial" w:cs="Arial"/>
          <w:noProof/>
          <w:sz w:val="22"/>
          <w:szCs w:val="22"/>
          <w:lang w:val="en-US"/>
        </w:rPr>
        <w:drawing>
          <wp:inline distT="114300" distB="114300" distL="114300" distR="114300" wp14:anchorId="14A5DC81" wp14:editId="3A08F17E">
            <wp:extent cx="4791075" cy="1781175"/>
            <wp:effectExtent l="0" t="0" r="0" b="0"/>
            <wp:docPr id="9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8"/>
                    <a:srcRect/>
                    <a:stretch>
                      <a:fillRect/>
                    </a:stretch>
                  </pic:blipFill>
                  <pic:spPr>
                    <a:xfrm>
                      <a:off x="0" y="0"/>
                      <a:ext cx="4791075" cy="1781175"/>
                    </a:xfrm>
                    <a:prstGeom prst="rect">
                      <a:avLst/>
                    </a:prstGeom>
                    <a:ln/>
                  </pic:spPr>
                </pic:pic>
              </a:graphicData>
            </a:graphic>
          </wp:inline>
        </w:drawing>
      </w:r>
    </w:p>
    <w:p w:rsidR="00B202A2" w:rsidRDefault="00295E06">
      <w:pPr>
        <w:spacing w:before="240"/>
        <w:ind w:left="720"/>
        <w:jc w:val="both"/>
        <w:rPr>
          <w:rFonts w:ascii="Arial" w:eastAsia="Arial" w:hAnsi="Arial" w:cs="Arial"/>
          <w:b/>
          <w:sz w:val="22"/>
          <w:szCs w:val="22"/>
        </w:rPr>
      </w:pPr>
      <w:r>
        <w:rPr>
          <w:rFonts w:ascii="Arial" w:eastAsia="Arial" w:hAnsi="Arial" w:cs="Arial"/>
          <w:sz w:val="22"/>
          <w:szCs w:val="22"/>
        </w:rPr>
        <w:br/>
      </w:r>
      <w:r>
        <w:rPr>
          <w:rFonts w:ascii="Arial" w:eastAsia="Arial" w:hAnsi="Arial" w:cs="Arial"/>
          <w:b/>
          <w:sz w:val="22"/>
          <w:szCs w:val="22"/>
        </w:rPr>
        <w:t>Cas</w:t>
      </w:r>
      <w:r>
        <w:rPr>
          <w:rFonts w:ascii="Arial" w:eastAsia="Arial" w:hAnsi="Arial" w:cs="Arial"/>
          <w:b/>
          <w:sz w:val="22"/>
          <w:szCs w:val="22"/>
        </w:rPr>
        <w:t>os Covid</w:t>
      </w:r>
    </w:p>
    <w:p w:rsidR="00B202A2" w:rsidRDefault="00B202A2">
      <w:pPr>
        <w:spacing w:before="240"/>
        <w:ind w:left="720"/>
        <w:jc w:val="both"/>
        <w:rPr>
          <w:rFonts w:ascii="Arial" w:eastAsia="Arial" w:hAnsi="Arial" w:cs="Arial"/>
          <w:b/>
          <w:sz w:val="22"/>
          <w:szCs w:val="22"/>
        </w:rPr>
      </w:pPr>
    </w:p>
    <w:p w:rsidR="00B202A2" w:rsidRDefault="00295E06">
      <w:pPr>
        <w:numPr>
          <w:ilvl w:val="0"/>
          <w:numId w:val="25"/>
        </w:numPr>
        <w:spacing w:after="240"/>
        <w:jc w:val="both"/>
        <w:rPr>
          <w:rFonts w:ascii="Arial" w:eastAsia="Arial" w:hAnsi="Arial" w:cs="Arial"/>
          <w:sz w:val="22"/>
          <w:szCs w:val="22"/>
        </w:rPr>
      </w:pPr>
      <w:r>
        <w:rPr>
          <w:rFonts w:ascii="Arial" w:eastAsia="Arial" w:hAnsi="Arial" w:cs="Arial"/>
          <w:sz w:val="22"/>
          <w:szCs w:val="22"/>
        </w:rPr>
        <w:lastRenderedPageBreak/>
        <w:t>A lo largo de la pandemia generada por el COVID-19, al interior de la UPME se han presentado 3 casos confirmados como positivos para COVID-19 y otros 5 casos negativos.</w:t>
      </w:r>
    </w:p>
    <w:p w:rsidR="00B202A2" w:rsidRDefault="00295E06">
      <w:pPr>
        <w:pBdr>
          <w:top w:val="nil"/>
          <w:left w:val="nil"/>
          <w:bottom w:val="nil"/>
          <w:right w:val="nil"/>
          <w:between w:val="nil"/>
        </w:pBdr>
        <w:spacing w:after="160" w:line="259" w:lineRule="auto"/>
        <w:ind w:left="720"/>
        <w:jc w:val="center"/>
        <w:rPr>
          <w:rFonts w:ascii="Arial" w:eastAsia="Arial" w:hAnsi="Arial" w:cs="Arial"/>
          <w:sz w:val="22"/>
          <w:szCs w:val="22"/>
        </w:rPr>
      </w:pPr>
      <w:r>
        <w:rPr>
          <w:rFonts w:ascii="Arial" w:eastAsia="Arial" w:hAnsi="Arial" w:cs="Arial"/>
          <w:noProof/>
          <w:color w:val="000000"/>
          <w:sz w:val="22"/>
          <w:szCs w:val="22"/>
          <w:lang w:val="en-US"/>
        </w:rPr>
        <w:drawing>
          <wp:inline distT="114300" distB="114300" distL="114300" distR="114300" wp14:anchorId="04254432" wp14:editId="24B5E857">
            <wp:extent cx="3990975" cy="1781175"/>
            <wp:effectExtent l="0" t="0" r="0" b="0"/>
            <wp:docPr id="9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9"/>
                    <a:srcRect/>
                    <a:stretch>
                      <a:fillRect/>
                    </a:stretch>
                  </pic:blipFill>
                  <pic:spPr>
                    <a:xfrm>
                      <a:off x="0" y="0"/>
                      <a:ext cx="3990975" cy="1781175"/>
                    </a:xfrm>
                    <a:prstGeom prst="rect">
                      <a:avLst/>
                    </a:prstGeom>
                    <a:ln/>
                  </pic:spPr>
                </pic:pic>
              </a:graphicData>
            </a:graphic>
          </wp:inline>
        </w:drawing>
      </w:r>
    </w:p>
    <w:p w:rsidR="00B202A2" w:rsidRDefault="00295E06">
      <w:pPr>
        <w:numPr>
          <w:ilvl w:val="0"/>
          <w:numId w:val="25"/>
        </w:numPr>
        <w:spacing w:before="240"/>
        <w:jc w:val="both"/>
        <w:rPr>
          <w:rFonts w:ascii="Arial" w:eastAsia="Arial" w:hAnsi="Arial" w:cs="Arial"/>
          <w:sz w:val="22"/>
          <w:szCs w:val="22"/>
        </w:rPr>
      </w:pPr>
      <w:r>
        <w:rPr>
          <w:rFonts w:ascii="Arial" w:eastAsia="Arial" w:hAnsi="Arial" w:cs="Arial"/>
          <w:sz w:val="22"/>
          <w:szCs w:val="22"/>
        </w:rPr>
        <w:t>Desde seguridad y salud en el trabajo y talento humano se le ha realizado el respectivo seguimiento a cada caso.</w:t>
      </w:r>
    </w:p>
    <w:p w:rsidR="00B202A2" w:rsidRDefault="00295E06">
      <w:pPr>
        <w:numPr>
          <w:ilvl w:val="0"/>
          <w:numId w:val="25"/>
        </w:numPr>
        <w:spacing w:after="240"/>
        <w:jc w:val="both"/>
        <w:rPr>
          <w:rFonts w:ascii="Arial" w:eastAsia="Arial" w:hAnsi="Arial" w:cs="Arial"/>
          <w:sz w:val="22"/>
          <w:szCs w:val="22"/>
        </w:rPr>
      </w:pPr>
      <w:r>
        <w:rPr>
          <w:rFonts w:ascii="Arial" w:eastAsia="Arial" w:hAnsi="Arial" w:cs="Arial"/>
          <w:sz w:val="22"/>
          <w:szCs w:val="22"/>
        </w:rPr>
        <w:t>Las personas que resultaron positivo para COVID-19, se recuperaron satisfactoriamente y gozan de buena salud.</w:t>
      </w:r>
      <w:r>
        <w:rPr>
          <w:rFonts w:ascii="Arial" w:eastAsia="Arial" w:hAnsi="Arial" w:cs="Arial"/>
          <w:sz w:val="22"/>
          <w:szCs w:val="22"/>
        </w:rPr>
        <w:br/>
        <w:t xml:space="preserve">  </w:t>
      </w:r>
      <w:r>
        <w:rPr>
          <w:rFonts w:ascii="Arial" w:eastAsia="Arial" w:hAnsi="Arial" w:cs="Arial"/>
          <w:sz w:val="22"/>
          <w:szCs w:val="22"/>
        </w:rPr>
        <w:br/>
        <w:t xml:space="preserve"> </w:t>
      </w:r>
    </w:p>
    <w:p w:rsidR="00B202A2" w:rsidRDefault="00295E06">
      <w:pPr>
        <w:rPr>
          <w:rFonts w:ascii="Arial" w:eastAsia="Arial" w:hAnsi="Arial" w:cs="Arial"/>
          <w:b/>
          <w:sz w:val="22"/>
          <w:szCs w:val="22"/>
        </w:rPr>
      </w:pPr>
      <w:r>
        <w:rPr>
          <w:rFonts w:ascii="Arial" w:eastAsia="Arial" w:hAnsi="Arial" w:cs="Arial"/>
          <w:b/>
          <w:sz w:val="22"/>
          <w:szCs w:val="22"/>
        </w:rPr>
        <w:t>Procesos de formación, socia</w:t>
      </w:r>
      <w:r>
        <w:rPr>
          <w:rFonts w:ascii="Arial" w:eastAsia="Arial" w:hAnsi="Arial" w:cs="Arial"/>
          <w:b/>
          <w:sz w:val="22"/>
          <w:szCs w:val="22"/>
        </w:rPr>
        <w:t>lización y capacitación en COVID-19</w:t>
      </w:r>
    </w:p>
    <w:p w:rsidR="00B202A2" w:rsidRDefault="00295E06">
      <w:pPr>
        <w:ind w:left="360"/>
        <w:jc w:val="both"/>
        <w:rPr>
          <w:rFonts w:ascii="Arial" w:eastAsia="Arial" w:hAnsi="Arial" w:cs="Arial"/>
          <w:b/>
          <w:sz w:val="22"/>
          <w:szCs w:val="22"/>
        </w:rPr>
      </w:pPr>
      <w:r>
        <w:rPr>
          <w:rFonts w:ascii="Arial" w:eastAsia="Arial" w:hAnsi="Arial" w:cs="Arial"/>
          <w:b/>
          <w:sz w:val="22"/>
          <w:szCs w:val="22"/>
        </w:rPr>
        <w:t xml:space="preserve"> </w:t>
      </w:r>
    </w:p>
    <w:p w:rsidR="00B202A2" w:rsidRDefault="00295E06">
      <w:pPr>
        <w:jc w:val="both"/>
        <w:rPr>
          <w:rFonts w:ascii="Arial" w:eastAsia="Arial" w:hAnsi="Arial" w:cs="Arial"/>
          <w:sz w:val="22"/>
          <w:szCs w:val="22"/>
        </w:rPr>
      </w:pPr>
      <w:r>
        <w:rPr>
          <w:rFonts w:ascii="Arial" w:eastAsia="Arial" w:hAnsi="Arial" w:cs="Arial"/>
          <w:sz w:val="22"/>
          <w:szCs w:val="22"/>
        </w:rPr>
        <w:t>En el año 2020 los peligros y riesgos laborales presentes en la UPME fueron diferentes a los habituales. Por lo que, desde el GIT de talento humano y servicio al ciudadano, seguridad y salud en el trabajo, se realizó l</w:t>
      </w:r>
      <w:r>
        <w:rPr>
          <w:rFonts w:ascii="Arial" w:eastAsia="Arial" w:hAnsi="Arial" w:cs="Arial"/>
          <w:sz w:val="22"/>
          <w:szCs w:val="22"/>
        </w:rPr>
        <w:t>a respectiva intervención a cada uno de ellos con el objetivo de que ninguno de estos se transformara en un accidente de trabajo o en el inicio de una enfermedad laboral, o, de que se viera afectada la salud física y mental de nuestros colaboradores.</w:t>
      </w:r>
    </w:p>
    <w:p w:rsidR="00B202A2" w:rsidRDefault="00295E06">
      <w:pPr>
        <w:jc w:val="both"/>
        <w:rPr>
          <w:rFonts w:ascii="Arial" w:eastAsia="Arial" w:hAnsi="Arial" w:cs="Arial"/>
          <w:sz w:val="22"/>
          <w:szCs w:val="22"/>
        </w:rPr>
      </w:pPr>
      <w:r>
        <w:rPr>
          <w:rFonts w:ascii="Arial" w:eastAsia="Arial" w:hAnsi="Arial" w:cs="Arial"/>
          <w:sz w:val="22"/>
          <w:szCs w:val="22"/>
        </w:rPr>
        <w:t xml:space="preserve"> </w:t>
      </w:r>
    </w:p>
    <w:p w:rsidR="00B202A2" w:rsidRDefault="00295E06">
      <w:pPr>
        <w:jc w:val="both"/>
        <w:rPr>
          <w:rFonts w:ascii="Arial" w:eastAsia="Arial" w:hAnsi="Arial" w:cs="Arial"/>
          <w:sz w:val="22"/>
          <w:szCs w:val="22"/>
        </w:rPr>
      </w:pPr>
      <w:r>
        <w:rPr>
          <w:rFonts w:ascii="Arial" w:eastAsia="Arial" w:hAnsi="Arial" w:cs="Arial"/>
          <w:sz w:val="22"/>
          <w:szCs w:val="22"/>
        </w:rPr>
        <w:t>Los</w:t>
      </w:r>
      <w:r>
        <w:rPr>
          <w:rFonts w:ascii="Arial" w:eastAsia="Arial" w:hAnsi="Arial" w:cs="Arial"/>
          <w:sz w:val="22"/>
          <w:szCs w:val="22"/>
        </w:rPr>
        <w:t xml:space="preserve"> peligros intervenidos a través de capacitaciones, charlas, acompañamientos, campañas, fueron los siguientes:</w:t>
      </w:r>
    </w:p>
    <w:p w:rsidR="00B202A2" w:rsidRDefault="00295E06">
      <w:pPr>
        <w:jc w:val="both"/>
        <w:rPr>
          <w:rFonts w:ascii="Arial" w:eastAsia="Arial" w:hAnsi="Arial" w:cs="Arial"/>
          <w:sz w:val="22"/>
          <w:szCs w:val="22"/>
        </w:rPr>
      </w:pPr>
      <w:r>
        <w:rPr>
          <w:rFonts w:ascii="Arial" w:eastAsia="Arial" w:hAnsi="Arial" w:cs="Arial"/>
          <w:sz w:val="22"/>
          <w:szCs w:val="22"/>
        </w:rPr>
        <w:t xml:space="preserve"> </w:t>
      </w:r>
    </w:p>
    <w:p w:rsidR="00B202A2" w:rsidRDefault="00295E06">
      <w:pPr>
        <w:numPr>
          <w:ilvl w:val="0"/>
          <w:numId w:val="12"/>
        </w:numPr>
        <w:jc w:val="both"/>
        <w:rPr>
          <w:rFonts w:ascii="Arial" w:eastAsia="Arial" w:hAnsi="Arial" w:cs="Arial"/>
          <w:sz w:val="22"/>
          <w:szCs w:val="22"/>
        </w:rPr>
      </w:pPr>
      <w:r>
        <w:rPr>
          <w:rFonts w:ascii="Arial" w:eastAsia="Arial" w:hAnsi="Arial" w:cs="Arial"/>
          <w:sz w:val="22"/>
          <w:szCs w:val="22"/>
        </w:rPr>
        <w:t>Biológico: formación y concientización en medidas preventivas del COVID-19.</w:t>
      </w:r>
    </w:p>
    <w:p w:rsidR="00B202A2" w:rsidRDefault="00B202A2">
      <w:pPr>
        <w:jc w:val="both"/>
        <w:rPr>
          <w:rFonts w:ascii="Arial" w:eastAsia="Arial" w:hAnsi="Arial" w:cs="Arial"/>
          <w:sz w:val="22"/>
          <w:szCs w:val="22"/>
        </w:rPr>
      </w:pPr>
    </w:p>
    <w:p w:rsidR="00B202A2" w:rsidRDefault="00295E06">
      <w:pPr>
        <w:jc w:val="both"/>
        <w:rPr>
          <w:rFonts w:ascii="Arial" w:eastAsia="Arial" w:hAnsi="Arial" w:cs="Arial"/>
          <w:sz w:val="22"/>
          <w:szCs w:val="22"/>
        </w:rPr>
      </w:pPr>
      <w:r>
        <w:rPr>
          <w:rFonts w:ascii="Arial" w:eastAsia="Arial" w:hAnsi="Arial" w:cs="Arial"/>
          <w:sz w:val="22"/>
          <w:szCs w:val="22"/>
        </w:rPr>
        <w:lastRenderedPageBreak/>
        <w:t xml:space="preserve"> </w:t>
      </w:r>
      <w:r>
        <w:rPr>
          <w:rFonts w:ascii="Arial" w:eastAsia="Arial" w:hAnsi="Arial" w:cs="Arial"/>
          <w:noProof/>
          <w:sz w:val="22"/>
          <w:szCs w:val="22"/>
          <w:lang w:val="en-US"/>
        </w:rPr>
        <w:drawing>
          <wp:inline distT="114300" distB="114300" distL="114300" distR="114300" wp14:anchorId="719F1197" wp14:editId="7E72D2B3">
            <wp:extent cx="2181670" cy="2394988"/>
            <wp:effectExtent l="0" t="0" r="0" b="0"/>
            <wp:docPr id="9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60"/>
                    <a:srcRect/>
                    <a:stretch>
                      <a:fillRect/>
                    </a:stretch>
                  </pic:blipFill>
                  <pic:spPr>
                    <a:xfrm>
                      <a:off x="0" y="0"/>
                      <a:ext cx="2181670" cy="2394988"/>
                    </a:xfrm>
                    <a:prstGeom prst="rect">
                      <a:avLst/>
                    </a:prstGeom>
                    <a:ln/>
                  </pic:spPr>
                </pic:pic>
              </a:graphicData>
            </a:graphic>
          </wp:inline>
        </w:drawing>
      </w:r>
      <w:r>
        <w:rPr>
          <w:rFonts w:ascii="Arial" w:eastAsia="Arial" w:hAnsi="Arial" w:cs="Arial"/>
          <w:noProof/>
          <w:sz w:val="22"/>
          <w:szCs w:val="22"/>
          <w:lang w:val="en-US"/>
        </w:rPr>
        <w:drawing>
          <wp:inline distT="114300" distB="114300" distL="114300" distR="114300" wp14:anchorId="160A1F2E" wp14:editId="1D5AEED2">
            <wp:extent cx="2190972" cy="2389150"/>
            <wp:effectExtent l="0" t="0" r="0" b="0"/>
            <wp:docPr id="10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1"/>
                    <a:srcRect/>
                    <a:stretch>
                      <a:fillRect/>
                    </a:stretch>
                  </pic:blipFill>
                  <pic:spPr>
                    <a:xfrm>
                      <a:off x="0" y="0"/>
                      <a:ext cx="2190972" cy="2389150"/>
                    </a:xfrm>
                    <a:prstGeom prst="rect">
                      <a:avLst/>
                    </a:prstGeom>
                    <a:ln/>
                  </pic:spPr>
                </pic:pic>
              </a:graphicData>
            </a:graphic>
          </wp:inline>
        </w:drawing>
      </w:r>
    </w:p>
    <w:p w:rsidR="00B202A2" w:rsidRDefault="00B202A2">
      <w:pPr>
        <w:ind w:left="720"/>
        <w:jc w:val="both"/>
        <w:rPr>
          <w:rFonts w:ascii="Arial" w:eastAsia="Arial" w:hAnsi="Arial" w:cs="Arial"/>
          <w:b/>
          <w:sz w:val="22"/>
          <w:szCs w:val="22"/>
        </w:rPr>
      </w:pPr>
    </w:p>
    <w:p w:rsidR="00B202A2" w:rsidRDefault="00295E06">
      <w:pPr>
        <w:ind w:left="720"/>
        <w:jc w:val="both"/>
        <w:rPr>
          <w:rFonts w:ascii="Arial" w:eastAsia="Arial" w:hAnsi="Arial" w:cs="Arial"/>
          <w:b/>
          <w:sz w:val="22"/>
          <w:szCs w:val="22"/>
        </w:rPr>
      </w:pPr>
      <w:r>
        <w:rPr>
          <w:rFonts w:ascii="Arial" w:eastAsia="Arial" w:hAnsi="Arial" w:cs="Arial"/>
          <w:b/>
          <w:sz w:val="22"/>
          <w:szCs w:val="22"/>
        </w:rPr>
        <w:t xml:space="preserve">   </w:t>
      </w:r>
      <w:r>
        <w:rPr>
          <w:rFonts w:ascii="Arial" w:eastAsia="Arial" w:hAnsi="Arial" w:cs="Arial"/>
          <w:b/>
          <w:sz w:val="22"/>
          <w:szCs w:val="22"/>
        </w:rPr>
        <w:tab/>
      </w:r>
    </w:p>
    <w:p w:rsidR="00B202A2" w:rsidRDefault="00295E06">
      <w:pPr>
        <w:spacing w:before="140" w:after="160"/>
        <w:jc w:val="both"/>
        <w:rPr>
          <w:rFonts w:ascii="Arial" w:eastAsia="Arial" w:hAnsi="Arial" w:cs="Arial"/>
          <w:b/>
          <w:sz w:val="22"/>
          <w:szCs w:val="22"/>
        </w:rPr>
      </w:pPr>
      <w:r>
        <w:rPr>
          <w:rFonts w:ascii="Arial" w:eastAsia="Arial" w:hAnsi="Arial" w:cs="Arial"/>
          <w:b/>
          <w:noProof/>
          <w:sz w:val="22"/>
          <w:szCs w:val="22"/>
          <w:lang w:val="en-US"/>
        </w:rPr>
        <w:drawing>
          <wp:inline distT="114300" distB="114300" distL="114300" distR="114300" wp14:anchorId="4488B03A" wp14:editId="4ADD74EA">
            <wp:extent cx="2201228" cy="2455215"/>
            <wp:effectExtent l="0" t="0" r="0" b="0"/>
            <wp:docPr id="10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62"/>
                    <a:srcRect/>
                    <a:stretch>
                      <a:fillRect/>
                    </a:stretch>
                  </pic:blipFill>
                  <pic:spPr>
                    <a:xfrm>
                      <a:off x="0" y="0"/>
                      <a:ext cx="2201228" cy="2455215"/>
                    </a:xfrm>
                    <a:prstGeom prst="rect">
                      <a:avLst/>
                    </a:prstGeom>
                    <a:ln/>
                  </pic:spPr>
                </pic:pic>
              </a:graphicData>
            </a:graphic>
          </wp:inline>
        </w:drawing>
      </w:r>
      <w:r>
        <w:rPr>
          <w:rFonts w:ascii="Arial" w:eastAsia="Arial" w:hAnsi="Arial" w:cs="Arial"/>
          <w:b/>
          <w:noProof/>
          <w:sz w:val="22"/>
          <w:szCs w:val="22"/>
          <w:lang w:val="en-US"/>
        </w:rPr>
        <w:drawing>
          <wp:inline distT="114300" distB="114300" distL="114300" distR="114300" wp14:anchorId="2CDB18AA" wp14:editId="6C4DFB8F">
            <wp:extent cx="2195462" cy="2452492"/>
            <wp:effectExtent l="0" t="0" r="0" b="0"/>
            <wp:docPr id="123"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63"/>
                    <a:srcRect/>
                    <a:stretch>
                      <a:fillRect/>
                    </a:stretch>
                  </pic:blipFill>
                  <pic:spPr>
                    <a:xfrm>
                      <a:off x="0" y="0"/>
                      <a:ext cx="2195462" cy="2452492"/>
                    </a:xfrm>
                    <a:prstGeom prst="rect">
                      <a:avLst/>
                    </a:prstGeom>
                    <a:ln/>
                  </pic:spPr>
                </pic:pic>
              </a:graphicData>
            </a:graphic>
          </wp:inline>
        </w:drawing>
      </w:r>
    </w:p>
    <w:p w:rsidR="00B202A2" w:rsidRDefault="00B202A2">
      <w:pPr>
        <w:spacing w:before="140" w:after="160"/>
        <w:jc w:val="both"/>
        <w:rPr>
          <w:rFonts w:ascii="Arial" w:eastAsia="Arial" w:hAnsi="Arial" w:cs="Arial"/>
          <w:b/>
          <w:sz w:val="22"/>
          <w:szCs w:val="22"/>
        </w:rPr>
      </w:pPr>
    </w:p>
    <w:p w:rsidR="00B202A2" w:rsidRDefault="00295E06">
      <w:pPr>
        <w:numPr>
          <w:ilvl w:val="0"/>
          <w:numId w:val="20"/>
        </w:numPr>
        <w:spacing w:before="140" w:after="160"/>
        <w:jc w:val="both"/>
        <w:rPr>
          <w:rFonts w:ascii="Arial" w:eastAsia="Arial" w:hAnsi="Arial" w:cs="Arial"/>
          <w:sz w:val="22"/>
          <w:szCs w:val="22"/>
        </w:rPr>
      </w:pPr>
      <w:r>
        <w:rPr>
          <w:rFonts w:ascii="Arial" w:eastAsia="Arial" w:hAnsi="Arial" w:cs="Arial"/>
          <w:sz w:val="22"/>
          <w:szCs w:val="22"/>
        </w:rPr>
        <w:t>Psicosocial: formación y acompañamiento en prevención del estrés, fatiga y cansancio emocional.</w:t>
      </w:r>
    </w:p>
    <w:p w:rsidR="00B202A2" w:rsidRDefault="00295E06">
      <w:pPr>
        <w:spacing w:before="140" w:after="160"/>
        <w:jc w:val="both"/>
        <w:rPr>
          <w:rFonts w:ascii="Arial" w:eastAsia="Arial" w:hAnsi="Arial" w:cs="Arial"/>
          <w:sz w:val="22"/>
          <w:szCs w:val="22"/>
        </w:rPr>
      </w:pPr>
      <w:r>
        <w:rPr>
          <w:rFonts w:ascii="Arial" w:eastAsia="Arial" w:hAnsi="Arial" w:cs="Arial"/>
          <w:sz w:val="22"/>
          <w:szCs w:val="22"/>
        </w:rPr>
        <w:t>De la mano con el componente de Bienestar, se realizaron varias actividades con el objetivo de mitigar los riesgos asociados al peligro psicosocial, teniendo en</w:t>
      </w:r>
      <w:r>
        <w:rPr>
          <w:rFonts w:ascii="Arial" w:eastAsia="Arial" w:hAnsi="Arial" w:cs="Arial"/>
          <w:sz w:val="22"/>
          <w:szCs w:val="22"/>
        </w:rPr>
        <w:t xml:space="preserve"> cuenta el cambio de espacio laboral, así como la diferencia en condiciones a las que normalmente se encontraba habituada la planta laboral.</w:t>
      </w:r>
    </w:p>
    <w:p w:rsidR="00B202A2" w:rsidRDefault="00295E06">
      <w:pPr>
        <w:spacing w:before="140" w:after="160"/>
        <w:jc w:val="both"/>
        <w:rPr>
          <w:rFonts w:ascii="Arial" w:eastAsia="Arial" w:hAnsi="Arial" w:cs="Arial"/>
          <w:sz w:val="22"/>
          <w:szCs w:val="22"/>
        </w:rPr>
      </w:pPr>
      <w:r>
        <w:rPr>
          <w:rFonts w:ascii="Arial" w:eastAsia="Arial" w:hAnsi="Arial" w:cs="Arial"/>
          <w:noProof/>
          <w:sz w:val="22"/>
          <w:szCs w:val="22"/>
          <w:lang w:val="en-US"/>
        </w:rPr>
        <w:lastRenderedPageBreak/>
        <w:drawing>
          <wp:inline distT="114300" distB="114300" distL="114300" distR="114300" wp14:anchorId="06B899EF" wp14:editId="72F61866">
            <wp:extent cx="2162175" cy="2514600"/>
            <wp:effectExtent l="0" t="0" r="0" b="0"/>
            <wp:docPr id="12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64"/>
                    <a:srcRect/>
                    <a:stretch>
                      <a:fillRect/>
                    </a:stretch>
                  </pic:blipFill>
                  <pic:spPr>
                    <a:xfrm>
                      <a:off x="0" y="0"/>
                      <a:ext cx="2162175" cy="2514600"/>
                    </a:xfrm>
                    <a:prstGeom prst="rect">
                      <a:avLst/>
                    </a:prstGeom>
                    <a:ln/>
                  </pic:spPr>
                </pic:pic>
              </a:graphicData>
            </a:graphic>
          </wp:inline>
        </w:drawing>
      </w:r>
      <w:r>
        <w:rPr>
          <w:rFonts w:ascii="Arial" w:eastAsia="Arial" w:hAnsi="Arial" w:cs="Arial"/>
          <w:noProof/>
          <w:sz w:val="22"/>
          <w:szCs w:val="22"/>
          <w:lang w:val="en-US"/>
        </w:rPr>
        <w:drawing>
          <wp:inline distT="114300" distB="114300" distL="114300" distR="114300" wp14:anchorId="6612F232" wp14:editId="7FE24CCA">
            <wp:extent cx="2219325" cy="2514600"/>
            <wp:effectExtent l="0" t="0" r="0" b="0"/>
            <wp:docPr id="12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65"/>
                    <a:srcRect/>
                    <a:stretch>
                      <a:fillRect/>
                    </a:stretch>
                  </pic:blipFill>
                  <pic:spPr>
                    <a:xfrm>
                      <a:off x="0" y="0"/>
                      <a:ext cx="2219325" cy="2514600"/>
                    </a:xfrm>
                    <a:prstGeom prst="rect">
                      <a:avLst/>
                    </a:prstGeom>
                    <a:ln/>
                  </pic:spPr>
                </pic:pic>
              </a:graphicData>
            </a:graphic>
          </wp:inline>
        </w:drawing>
      </w:r>
    </w:p>
    <w:p w:rsidR="00B202A2" w:rsidRDefault="00295E06">
      <w:pPr>
        <w:spacing w:before="140" w:after="160"/>
        <w:jc w:val="both"/>
        <w:rPr>
          <w:rFonts w:ascii="Arial" w:eastAsia="Arial" w:hAnsi="Arial" w:cs="Arial"/>
          <w:sz w:val="22"/>
          <w:szCs w:val="22"/>
        </w:rPr>
      </w:pPr>
      <w:r>
        <w:rPr>
          <w:rFonts w:ascii="Arial" w:eastAsia="Arial" w:hAnsi="Arial" w:cs="Arial"/>
          <w:noProof/>
          <w:sz w:val="22"/>
          <w:szCs w:val="22"/>
          <w:lang w:val="en-US"/>
        </w:rPr>
        <w:drawing>
          <wp:inline distT="114300" distB="114300" distL="114300" distR="114300" wp14:anchorId="27A8DF6A" wp14:editId="148FAD11">
            <wp:extent cx="2190750" cy="2381250"/>
            <wp:effectExtent l="0" t="0" r="0" b="0"/>
            <wp:docPr id="12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66"/>
                    <a:srcRect/>
                    <a:stretch>
                      <a:fillRect/>
                    </a:stretch>
                  </pic:blipFill>
                  <pic:spPr>
                    <a:xfrm>
                      <a:off x="0" y="0"/>
                      <a:ext cx="2190750" cy="2381250"/>
                    </a:xfrm>
                    <a:prstGeom prst="rect">
                      <a:avLst/>
                    </a:prstGeom>
                    <a:ln/>
                  </pic:spPr>
                </pic:pic>
              </a:graphicData>
            </a:graphic>
          </wp:inline>
        </w:drawing>
      </w:r>
      <w:r>
        <w:rPr>
          <w:rFonts w:ascii="Arial" w:eastAsia="Arial" w:hAnsi="Arial" w:cs="Arial"/>
          <w:noProof/>
          <w:sz w:val="22"/>
          <w:szCs w:val="22"/>
          <w:lang w:val="en-US"/>
        </w:rPr>
        <w:drawing>
          <wp:inline distT="114300" distB="114300" distL="114300" distR="114300" wp14:anchorId="66EF2A8F" wp14:editId="0040916F">
            <wp:extent cx="2171700" cy="2400300"/>
            <wp:effectExtent l="0" t="0" r="0" b="0"/>
            <wp:docPr id="12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67"/>
                    <a:srcRect/>
                    <a:stretch>
                      <a:fillRect/>
                    </a:stretch>
                  </pic:blipFill>
                  <pic:spPr>
                    <a:xfrm>
                      <a:off x="0" y="0"/>
                      <a:ext cx="2171700" cy="2400300"/>
                    </a:xfrm>
                    <a:prstGeom prst="rect">
                      <a:avLst/>
                    </a:prstGeom>
                    <a:ln/>
                  </pic:spPr>
                </pic:pic>
              </a:graphicData>
            </a:graphic>
          </wp:inline>
        </w:drawing>
      </w:r>
    </w:p>
    <w:p w:rsidR="00B202A2" w:rsidRDefault="00295E06">
      <w:pPr>
        <w:jc w:val="both"/>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noProof/>
          <w:sz w:val="22"/>
          <w:szCs w:val="22"/>
          <w:lang w:val="en-US"/>
        </w:rPr>
        <w:drawing>
          <wp:inline distT="114300" distB="114300" distL="114300" distR="114300" wp14:anchorId="48180EDD" wp14:editId="5DFF0F53">
            <wp:extent cx="2371725" cy="2990850"/>
            <wp:effectExtent l="0" t="0" r="0" b="0"/>
            <wp:docPr id="128"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68"/>
                    <a:srcRect/>
                    <a:stretch>
                      <a:fillRect/>
                    </a:stretch>
                  </pic:blipFill>
                  <pic:spPr>
                    <a:xfrm>
                      <a:off x="0" y="0"/>
                      <a:ext cx="2371725" cy="2990850"/>
                    </a:xfrm>
                    <a:prstGeom prst="rect">
                      <a:avLst/>
                    </a:prstGeom>
                    <a:ln/>
                  </pic:spPr>
                </pic:pic>
              </a:graphicData>
            </a:graphic>
          </wp:inline>
        </w:drawing>
      </w:r>
      <w:r>
        <w:rPr>
          <w:rFonts w:ascii="Arial" w:eastAsia="Arial" w:hAnsi="Arial" w:cs="Arial"/>
          <w:noProof/>
          <w:sz w:val="22"/>
          <w:szCs w:val="22"/>
          <w:lang w:val="en-US"/>
        </w:rPr>
        <w:drawing>
          <wp:inline distT="114300" distB="114300" distL="114300" distR="114300" wp14:anchorId="1CFBBF9E" wp14:editId="00F2C96C">
            <wp:extent cx="2266950" cy="3009900"/>
            <wp:effectExtent l="0" t="0" r="0" b="0"/>
            <wp:docPr id="129"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69"/>
                    <a:srcRect/>
                    <a:stretch>
                      <a:fillRect/>
                    </a:stretch>
                  </pic:blipFill>
                  <pic:spPr>
                    <a:xfrm>
                      <a:off x="0" y="0"/>
                      <a:ext cx="2266950" cy="3009900"/>
                    </a:xfrm>
                    <a:prstGeom prst="rect">
                      <a:avLst/>
                    </a:prstGeom>
                    <a:ln/>
                  </pic:spPr>
                </pic:pic>
              </a:graphicData>
            </a:graphic>
          </wp:inline>
        </w:drawing>
      </w:r>
    </w:p>
    <w:p w:rsidR="00B202A2" w:rsidRDefault="00295E06">
      <w:pPr>
        <w:jc w:val="center"/>
        <w:rPr>
          <w:rFonts w:ascii="Arial" w:eastAsia="Arial" w:hAnsi="Arial" w:cs="Arial"/>
          <w:b/>
          <w:sz w:val="22"/>
          <w:szCs w:val="22"/>
        </w:rPr>
      </w:pPr>
      <w:r>
        <w:rPr>
          <w:rFonts w:ascii="Arial" w:eastAsia="Arial" w:hAnsi="Arial" w:cs="Arial"/>
          <w:b/>
          <w:noProof/>
          <w:sz w:val="22"/>
          <w:szCs w:val="22"/>
          <w:lang w:val="en-US"/>
        </w:rPr>
        <w:lastRenderedPageBreak/>
        <w:drawing>
          <wp:inline distT="114300" distB="114300" distL="114300" distR="114300" wp14:anchorId="7D25F079" wp14:editId="338753A9">
            <wp:extent cx="3724275" cy="2076450"/>
            <wp:effectExtent l="0" t="0" r="0" b="0"/>
            <wp:docPr id="130"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70"/>
                    <a:srcRect/>
                    <a:stretch>
                      <a:fillRect/>
                    </a:stretch>
                  </pic:blipFill>
                  <pic:spPr>
                    <a:xfrm>
                      <a:off x="0" y="0"/>
                      <a:ext cx="3724275" cy="2076450"/>
                    </a:xfrm>
                    <a:prstGeom prst="rect">
                      <a:avLst/>
                    </a:prstGeom>
                    <a:ln/>
                  </pic:spPr>
                </pic:pic>
              </a:graphicData>
            </a:graphic>
          </wp:inline>
        </w:drawing>
      </w:r>
      <w:r>
        <w:rPr>
          <w:rFonts w:ascii="Arial" w:eastAsia="Arial" w:hAnsi="Arial" w:cs="Arial"/>
          <w:b/>
          <w:sz w:val="22"/>
          <w:szCs w:val="22"/>
        </w:rPr>
        <w:t xml:space="preserve"> </w:t>
      </w:r>
    </w:p>
    <w:p w:rsidR="00B202A2" w:rsidRDefault="00295E06">
      <w:pPr>
        <w:ind w:left="720"/>
        <w:jc w:val="both"/>
        <w:rPr>
          <w:rFonts w:ascii="Arial" w:eastAsia="Arial" w:hAnsi="Arial" w:cs="Arial"/>
          <w:sz w:val="22"/>
          <w:szCs w:val="22"/>
        </w:rPr>
      </w:pPr>
      <w:r>
        <w:rPr>
          <w:rFonts w:ascii="Arial" w:eastAsia="Arial" w:hAnsi="Arial" w:cs="Arial"/>
          <w:sz w:val="22"/>
          <w:szCs w:val="22"/>
        </w:rPr>
        <w:t xml:space="preserve">  </w:t>
      </w:r>
    </w:p>
    <w:p w:rsidR="00B202A2" w:rsidRDefault="00295E06">
      <w:pPr>
        <w:ind w:left="720"/>
        <w:jc w:val="both"/>
        <w:rPr>
          <w:rFonts w:ascii="Arial" w:eastAsia="Arial" w:hAnsi="Arial" w:cs="Arial"/>
          <w:sz w:val="22"/>
          <w:szCs w:val="22"/>
        </w:rPr>
      </w:pPr>
      <w:r>
        <w:rPr>
          <w:rFonts w:ascii="Arial" w:eastAsia="Arial" w:hAnsi="Arial" w:cs="Arial"/>
          <w:sz w:val="22"/>
          <w:szCs w:val="22"/>
        </w:rPr>
        <w:t xml:space="preserve"> </w:t>
      </w:r>
    </w:p>
    <w:p w:rsidR="00B202A2" w:rsidRDefault="00295E06">
      <w:pPr>
        <w:numPr>
          <w:ilvl w:val="0"/>
          <w:numId w:val="14"/>
        </w:numPr>
        <w:spacing w:before="140" w:after="160"/>
        <w:jc w:val="both"/>
        <w:rPr>
          <w:rFonts w:ascii="Arial" w:eastAsia="Arial" w:hAnsi="Arial" w:cs="Arial"/>
          <w:sz w:val="22"/>
          <w:szCs w:val="22"/>
        </w:rPr>
      </w:pPr>
      <w:r>
        <w:rPr>
          <w:rFonts w:ascii="Arial" w:eastAsia="Arial" w:hAnsi="Arial" w:cs="Arial"/>
          <w:sz w:val="22"/>
          <w:szCs w:val="22"/>
        </w:rPr>
        <w:t>Biomecánico: Formación en prevención de desórdenes músculo esqueléticos.</w:t>
      </w:r>
    </w:p>
    <w:p w:rsidR="00B202A2" w:rsidRDefault="00295E06">
      <w:pPr>
        <w:spacing w:before="40" w:after="160"/>
        <w:rPr>
          <w:rFonts w:ascii="Arial" w:eastAsia="Arial" w:hAnsi="Arial" w:cs="Arial"/>
          <w:sz w:val="22"/>
          <w:szCs w:val="22"/>
        </w:rPr>
      </w:pPr>
      <w:r>
        <w:rPr>
          <w:rFonts w:ascii="Arial" w:eastAsia="Arial" w:hAnsi="Arial" w:cs="Arial"/>
          <w:noProof/>
          <w:sz w:val="22"/>
          <w:szCs w:val="22"/>
          <w:lang w:val="en-US"/>
        </w:rPr>
        <w:drawing>
          <wp:inline distT="114300" distB="114300" distL="114300" distR="114300" wp14:anchorId="69A14997" wp14:editId="6B9125D5">
            <wp:extent cx="2305050" cy="2276475"/>
            <wp:effectExtent l="0" t="0" r="0" b="0"/>
            <wp:docPr id="131"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71"/>
                    <a:srcRect/>
                    <a:stretch>
                      <a:fillRect/>
                    </a:stretch>
                  </pic:blipFill>
                  <pic:spPr>
                    <a:xfrm>
                      <a:off x="0" y="0"/>
                      <a:ext cx="2305050" cy="2276475"/>
                    </a:xfrm>
                    <a:prstGeom prst="rect">
                      <a:avLst/>
                    </a:prstGeom>
                    <a:ln/>
                  </pic:spPr>
                </pic:pic>
              </a:graphicData>
            </a:graphic>
          </wp:inline>
        </w:drawing>
      </w:r>
      <w:r>
        <w:rPr>
          <w:rFonts w:ascii="Arial" w:eastAsia="Arial" w:hAnsi="Arial" w:cs="Arial"/>
          <w:sz w:val="22"/>
          <w:szCs w:val="22"/>
        </w:rPr>
        <w:t xml:space="preserve"> </w:t>
      </w:r>
      <w:r>
        <w:rPr>
          <w:rFonts w:ascii="Arial" w:eastAsia="Arial" w:hAnsi="Arial" w:cs="Arial"/>
          <w:noProof/>
          <w:sz w:val="22"/>
          <w:szCs w:val="22"/>
          <w:lang w:val="en-US"/>
        </w:rPr>
        <w:drawing>
          <wp:inline distT="114300" distB="114300" distL="114300" distR="114300" wp14:anchorId="3A653F82" wp14:editId="5942440E">
            <wp:extent cx="2752725" cy="2257425"/>
            <wp:effectExtent l="0" t="0" r="0" b="0"/>
            <wp:docPr id="132"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72"/>
                    <a:srcRect/>
                    <a:stretch>
                      <a:fillRect/>
                    </a:stretch>
                  </pic:blipFill>
                  <pic:spPr>
                    <a:xfrm>
                      <a:off x="0" y="0"/>
                      <a:ext cx="2752725" cy="2257425"/>
                    </a:xfrm>
                    <a:prstGeom prst="rect">
                      <a:avLst/>
                    </a:prstGeom>
                    <a:ln/>
                  </pic:spPr>
                </pic:pic>
              </a:graphicData>
            </a:graphic>
          </wp:inline>
        </w:drawing>
      </w:r>
    </w:p>
    <w:p w:rsidR="00B202A2" w:rsidRDefault="00295E06">
      <w:pPr>
        <w:spacing w:before="140"/>
        <w:jc w:val="both"/>
        <w:rPr>
          <w:rFonts w:ascii="Arial" w:eastAsia="Arial" w:hAnsi="Arial" w:cs="Arial"/>
          <w:sz w:val="22"/>
          <w:szCs w:val="22"/>
        </w:rPr>
      </w:pPr>
      <w:r>
        <w:rPr>
          <w:rFonts w:ascii="Arial" w:eastAsia="Arial" w:hAnsi="Arial" w:cs="Arial"/>
          <w:sz w:val="22"/>
          <w:szCs w:val="22"/>
        </w:rPr>
        <w:t xml:space="preserve"> </w:t>
      </w:r>
    </w:p>
    <w:p w:rsidR="00B202A2" w:rsidRDefault="00295E06">
      <w:pPr>
        <w:spacing w:before="140"/>
        <w:jc w:val="both"/>
        <w:rPr>
          <w:rFonts w:ascii="Arial" w:eastAsia="Arial" w:hAnsi="Arial" w:cs="Arial"/>
          <w:sz w:val="22"/>
          <w:szCs w:val="22"/>
        </w:rPr>
      </w:pPr>
      <w:r>
        <w:rPr>
          <w:rFonts w:ascii="Arial" w:eastAsia="Arial" w:hAnsi="Arial" w:cs="Arial"/>
          <w:sz w:val="22"/>
          <w:szCs w:val="22"/>
        </w:rPr>
        <w:t>Adicional a lo anterior, se realizó la promoción de talleres web sobre todo tipo de temáticas en materia de promoción y prevención en el marco del aislamiento decretado por el gobierno nacional dictados por la ARL Positiva y actividades de formación y conc</w:t>
      </w:r>
      <w:r>
        <w:rPr>
          <w:rFonts w:ascii="Arial" w:eastAsia="Arial" w:hAnsi="Arial" w:cs="Arial"/>
          <w:sz w:val="22"/>
          <w:szCs w:val="22"/>
        </w:rPr>
        <w:t>ientización en vida saludable.</w:t>
      </w:r>
    </w:p>
    <w:p w:rsidR="00B202A2" w:rsidRDefault="00295E06">
      <w:pPr>
        <w:spacing w:before="140"/>
        <w:jc w:val="both"/>
        <w:rPr>
          <w:rFonts w:ascii="Arial" w:eastAsia="Arial" w:hAnsi="Arial" w:cs="Arial"/>
          <w:sz w:val="22"/>
          <w:szCs w:val="22"/>
        </w:rPr>
      </w:pPr>
      <w:r>
        <w:rPr>
          <w:rFonts w:ascii="Arial" w:eastAsia="Arial" w:hAnsi="Arial" w:cs="Arial"/>
          <w:noProof/>
          <w:sz w:val="22"/>
          <w:szCs w:val="22"/>
          <w:lang w:val="en-US"/>
        </w:rPr>
        <w:drawing>
          <wp:inline distT="114300" distB="114300" distL="114300" distR="114300" wp14:anchorId="5E39A127" wp14:editId="63E84DBA">
            <wp:extent cx="2638425" cy="2143125"/>
            <wp:effectExtent l="0" t="0" r="0" b="0"/>
            <wp:docPr id="122"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73"/>
                    <a:srcRect/>
                    <a:stretch>
                      <a:fillRect/>
                    </a:stretch>
                  </pic:blipFill>
                  <pic:spPr>
                    <a:xfrm>
                      <a:off x="0" y="0"/>
                      <a:ext cx="2638425" cy="2143125"/>
                    </a:xfrm>
                    <a:prstGeom prst="rect">
                      <a:avLst/>
                    </a:prstGeom>
                    <a:ln/>
                  </pic:spPr>
                </pic:pic>
              </a:graphicData>
            </a:graphic>
          </wp:inline>
        </w:drawing>
      </w:r>
      <w:r>
        <w:rPr>
          <w:rFonts w:ascii="Arial" w:eastAsia="Arial" w:hAnsi="Arial" w:cs="Arial"/>
          <w:noProof/>
          <w:sz w:val="22"/>
          <w:szCs w:val="22"/>
          <w:lang w:val="en-US"/>
        </w:rPr>
        <w:drawing>
          <wp:inline distT="114300" distB="114300" distL="114300" distR="114300" wp14:anchorId="61FABC60" wp14:editId="6B19869D">
            <wp:extent cx="2628900" cy="2143125"/>
            <wp:effectExtent l="0" t="0" r="0" b="0"/>
            <wp:docPr id="11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4"/>
                    <a:srcRect/>
                    <a:stretch>
                      <a:fillRect/>
                    </a:stretch>
                  </pic:blipFill>
                  <pic:spPr>
                    <a:xfrm>
                      <a:off x="0" y="0"/>
                      <a:ext cx="2628900" cy="2143125"/>
                    </a:xfrm>
                    <a:prstGeom prst="rect">
                      <a:avLst/>
                    </a:prstGeom>
                    <a:ln/>
                  </pic:spPr>
                </pic:pic>
              </a:graphicData>
            </a:graphic>
          </wp:inline>
        </w:drawing>
      </w:r>
    </w:p>
    <w:p w:rsidR="00B202A2" w:rsidRDefault="00295E06">
      <w:pPr>
        <w:spacing w:before="140"/>
        <w:jc w:val="right"/>
        <w:rPr>
          <w:rFonts w:ascii="Arial" w:eastAsia="Arial" w:hAnsi="Arial" w:cs="Arial"/>
          <w:sz w:val="22"/>
          <w:szCs w:val="22"/>
        </w:rPr>
      </w:pPr>
      <w:r>
        <w:rPr>
          <w:rFonts w:ascii="Arial" w:eastAsia="Arial" w:hAnsi="Arial" w:cs="Arial"/>
          <w:sz w:val="22"/>
          <w:szCs w:val="22"/>
        </w:rPr>
        <w:lastRenderedPageBreak/>
        <w:t xml:space="preserve"> </w:t>
      </w:r>
    </w:p>
    <w:p w:rsidR="00B202A2" w:rsidRDefault="00295E06">
      <w:pPr>
        <w:jc w:val="center"/>
        <w:rPr>
          <w:rFonts w:ascii="Arial" w:eastAsia="Arial" w:hAnsi="Arial" w:cs="Arial"/>
          <w:sz w:val="22"/>
          <w:szCs w:val="22"/>
        </w:rPr>
      </w:pPr>
      <w:r>
        <w:rPr>
          <w:rFonts w:ascii="Arial" w:eastAsia="Arial" w:hAnsi="Arial" w:cs="Arial"/>
          <w:sz w:val="22"/>
          <w:szCs w:val="22"/>
        </w:rPr>
        <w:t xml:space="preserve"> </w:t>
      </w:r>
    </w:p>
    <w:p w:rsidR="00B202A2" w:rsidRDefault="00295E06">
      <w:pPr>
        <w:jc w:val="center"/>
        <w:rPr>
          <w:rFonts w:ascii="Arial" w:eastAsia="Arial" w:hAnsi="Arial" w:cs="Arial"/>
          <w:b/>
          <w:color w:val="2E74B5"/>
          <w:sz w:val="22"/>
          <w:szCs w:val="22"/>
        </w:rPr>
      </w:pPr>
      <w:r>
        <w:rPr>
          <w:rFonts w:ascii="Arial" w:eastAsia="Arial" w:hAnsi="Arial" w:cs="Arial"/>
          <w:b/>
          <w:color w:val="2E74B5"/>
          <w:sz w:val="22"/>
          <w:szCs w:val="22"/>
        </w:rPr>
        <w:t xml:space="preserve"> </w:t>
      </w:r>
    </w:p>
    <w:p w:rsidR="00B202A2" w:rsidRDefault="00295E06">
      <w:pPr>
        <w:rPr>
          <w:rFonts w:ascii="Arial" w:eastAsia="Arial" w:hAnsi="Arial" w:cs="Arial"/>
          <w:b/>
          <w:color w:val="2E74B5"/>
          <w:sz w:val="22"/>
          <w:szCs w:val="22"/>
        </w:rPr>
      </w:pPr>
      <w:r>
        <w:rPr>
          <w:rFonts w:ascii="Arial" w:eastAsia="Arial" w:hAnsi="Arial" w:cs="Arial"/>
          <w:b/>
          <w:color w:val="2E74B5"/>
          <w:sz w:val="22"/>
          <w:szCs w:val="22"/>
        </w:rPr>
        <w:t>Indicadores De Gestión De SG- SST</w:t>
      </w:r>
    </w:p>
    <w:p w:rsidR="00B202A2" w:rsidRDefault="00295E06">
      <w:pPr>
        <w:jc w:val="center"/>
        <w:rPr>
          <w:rFonts w:ascii="Arial" w:eastAsia="Arial" w:hAnsi="Arial" w:cs="Arial"/>
          <w:b/>
          <w:sz w:val="22"/>
          <w:szCs w:val="22"/>
        </w:rPr>
      </w:pPr>
      <w:r>
        <w:rPr>
          <w:rFonts w:ascii="Arial" w:eastAsia="Arial" w:hAnsi="Arial" w:cs="Arial"/>
          <w:b/>
          <w:sz w:val="22"/>
          <w:szCs w:val="22"/>
        </w:rPr>
        <w:t xml:space="preserve"> </w:t>
      </w:r>
    </w:p>
    <w:p w:rsidR="00B202A2" w:rsidRDefault="00295E06">
      <w:pPr>
        <w:jc w:val="both"/>
        <w:rPr>
          <w:rFonts w:ascii="Arial" w:eastAsia="Arial" w:hAnsi="Arial" w:cs="Arial"/>
          <w:sz w:val="22"/>
          <w:szCs w:val="22"/>
        </w:rPr>
      </w:pPr>
      <w:r>
        <w:rPr>
          <w:rFonts w:ascii="Arial" w:eastAsia="Arial" w:hAnsi="Arial" w:cs="Arial"/>
          <w:sz w:val="22"/>
          <w:szCs w:val="22"/>
        </w:rPr>
        <w:t>Los indicadores de gestión del Sistema de Gestión de la Seguridad y Salud en el Trabajo para el año 2020 al corte del presente informe son:</w:t>
      </w:r>
    </w:p>
    <w:p w:rsidR="00B202A2" w:rsidRDefault="00B202A2">
      <w:pPr>
        <w:jc w:val="both"/>
        <w:rPr>
          <w:rFonts w:ascii="Arial" w:eastAsia="Arial" w:hAnsi="Arial" w:cs="Arial"/>
          <w:sz w:val="22"/>
          <w:szCs w:val="22"/>
        </w:rPr>
      </w:pPr>
    </w:p>
    <w:p w:rsidR="00B202A2" w:rsidRDefault="00295E06">
      <w:pPr>
        <w:jc w:val="center"/>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noProof/>
          <w:sz w:val="22"/>
          <w:szCs w:val="22"/>
          <w:lang w:val="en-US"/>
        </w:rPr>
        <w:drawing>
          <wp:inline distT="114300" distB="114300" distL="114300" distR="114300" wp14:anchorId="4D4E29C6" wp14:editId="4AA56AC5">
            <wp:extent cx="4295775" cy="2590800"/>
            <wp:effectExtent l="0" t="0" r="0" b="0"/>
            <wp:docPr id="11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75"/>
                    <a:srcRect/>
                    <a:stretch>
                      <a:fillRect/>
                    </a:stretch>
                  </pic:blipFill>
                  <pic:spPr>
                    <a:xfrm>
                      <a:off x="0" y="0"/>
                      <a:ext cx="4295775" cy="2590800"/>
                    </a:xfrm>
                    <a:prstGeom prst="rect">
                      <a:avLst/>
                    </a:prstGeom>
                    <a:ln/>
                  </pic:spPr>
                </pic:pic>
              </a:graphicData>
            </a:graphic>
          </wp:inline>
        </w:drawing>
      </w:r>
    </w:p>
    <w:p w:rsidR="00B202A2" w:rsidRDefault="00295E06">
      <w:pPr>
        <w:ind w:left="1000"/>
        <w:jc w:val="both"/>
        <w:rPr>
          <w:rFonts w:ascii="Arial" w:eastAsia="Arial" w:hAnsi="Arial" w:cs="Arial"/>
          <w:sz w:val="22"/>
          <w:szCs w:val="22"/>
        </w:rPr>
      </w:pPr>
      <w:r>
        <w:rPr>
          <w:rFonts w:ascii="Arial" w:eastAsia="Arial" w:hAnsi="Arial" w:cs="Arial"/>
          <w:sz w:val="22"/>
          <w:szCs w:val="22"/>
        </w:rPr>
        <w:t xml:space="preserve"> </w:t>
      </w:r>
    </w:p>
    <w:p w:rsidR="00B202A2" w:rsidRDefault="00295E06">
      <w:pPr>
        <w:ind w:left="1000"/>
        <w:jc w:val="both"/>
        <w:rPr>
          <w:rFonts w:ascii="Arial" w:eastAsia="Arial" w:hAnsi="Arial" w:cs="Arial"/>
          <w:b/>
          <w:sz w:val="22"/>
          <w:szCs w:val="22"/>
        </w:rPr>
      </w:pPr>
      <w:r>
        <w:br w:type="page"/>
      </w:r>
    </w:p>
    <w:p w:rsidR="00B202A2" w:rsidRDefault="00295E06">
      <w:pPr>
        <w:rPr>
          <w:rFonts w:ascii="Arial" w:eastAsia="Arial" w:hAnsi="Arial" w:cs="Arial"/>
          <w:b/>
          <w:sz w:val="22"/>
          <w:szCs w:val="22"/>
        </w:rPr>
      </w:pPr>
      <w:r>
        <w:rPr>
          <w:rFonts w:ascii="Arial" w:eastAsia="Arial" w:hAnsi="Arial" w:cs="Arial"/>
          <w:b/>
          <w:sz w:val="22"/>
          <w:szCs w:val="22"/>
        </w:rPr>
        <w:lastRenderedPageBreak/>
        <w:t>Indicadores de proceso:</w:t>
      </w:r>
    </w:p>
    <w:p w:rsidR="00B202A2" w:rsidRDefault="00295E06">
      <w:pPr>
        <w:ind w:left="1000"/>
        <w:jc w:val="both"/>
        <w:rPr>
          <w:rFonts w:ascii="Arial" w:eastAsia="Arial" w:hAnsi="Arial" w:cs="Arial"/>
          <w:sz w:val="22"/>
          <w:szCs w:val="22"/>
        </w:rPr>
      </w:pPr>
      <w:r>
        <w:rPr>
          <w:rFonts w:ascii="Arial" w:eastAsia="Arial" w:hAnsi="Arial" w:cs="Arial"/>
          <w:sz w:val="22"/>
          <w:szCs w:val="22"/>
        </w:rPr>
        <w:t xml:space="preserve"> </w:t>
      </w:r>
    </w:p>
    <w:p w:rsidR="00B202A2" w:rsidRDefault="00295E06">
      <w:pPr>
        <w:numPr>
          <w:ilvl w:val="0"/>
          <w:numId w:val="15"/>
        </w:numPr>
        <w:pBdr>
          <w:top w:val="nil"/>
          <w:left w:val="nil"/>
          <w:bottom w:val="nil"/>
          <w:right w:val="nil"/>
          <w:between w:val="nil"/>
        </w:pBdr>
        <w:spacing w:before="240" w:line="259" w:lineRule="auto"/>
        <w:rPr>
          <w:rFonts w:ascii="Arial" w:eastAsia="Arial" w:hAnsi="Arial" w:cs="Arial"/>
          <w:color w:val="000000"/>
          <w:sz w:val="22"/>
          <w:szCs w:val="22"/>
        </w:rPr>
      </w:pPr>
      <w:r>
        <w:rPr>
          <w:rFonts w:ascii="Arial" w:eastAsia="Arial" w:hAnsi="Arial" w:cs="Arial"/>
          <w:color w:val="000000"/>
          <w:sz w:val="22"/>
          <w:szCs w:val="22"/>
        </w:rPr>
        <w:t>El COPASST ha realizado todas las reuniones programadas hasta el mes de septiembre en el 2020, así como el correspondiente reporte e investigación de IT y AT.</w:t>
      </w:r>
    </w:p>
    <w:p w:rsidR="00B202A2" w:rsidRDefault="00295E06">
      <w:pPr>
        <w:numPr>
          <w:ilvl w:val="0"/>
          <w:numId w:val="15"/>
        </w:numPr>
        <w:pBdr>
          <w:top w:val="nil"/>
          <w:left w:val="nil"/>
          <w:bottom w:val="nil"/>
          <w:right w:val="nil"/>
          <w:between w:val="nil"/>
        </w:pBdr>
        <w:spacing w:line="259" w:lineRule="auto"/>
        <w:rPr>
          <w:rFonts w:ascii="Arial" w:eastAsia="Arial" w:hAnsi="Arial" w:cs="Arial"/>
          <w:color w:val="000000"/>
          <w:sz w:val="22"/>
          <w:szCs w:val="22"/>
        </w:rPr>
      </w:pPr>
      <w:r>
        <w:rPr>
          <w:rFonts w:ascii="Arial" w:eastAsia="Arial" w:hAnsi="Arial" w:cs="Arial"/>
          <w:color w:val="000000"/>
          <w:sz w:val="22"/>
          <w:szCs w:val="22"/>
        </w:rPr>
        <w:t>Las actividades programadas en el plan anual de trabajo del SG-SST se encuentra en un porcentaje de ejecución del 79% a octubre del 2020.</w:t>
      </w:r>
    </w:p>
    <w:p w:rsidR="00B202A2" w:rsidRDefault="00295E06">
      <w:pPr>
        <w:numPr>
          <w:ilvl w:val="0"/>
          <w:numId w:val="15"/>
        </w:numPr>
        <w:pBdr>
          <w:top w:val="nil"/>
          <w:left w:val="nil"/>
          <w:bottom w:val="nil"/>
          <w:right w:val="nil"/>
          <w:between w:val="nil"/>
        </w:pBdr>
        <w:spacing w:after="160" w:line="259" w:lineRule="auto"/>
        <w:rPr>
          <w:rFonts w:ascii="Arial" w:eastAsia="Arial" w:hAnsi="Arial" w:cs="Arial"/>
          <w:color w:val="000000"/>
          <w:sz w:val="22"/>
          <w:szCs w:val="22"/>
        </w:rPr>
      </w:pPr>
      <w:r>
        <w:rPr>
          <w:rFonts w:ascii="Arial" w:eastAsia="Arial" w:hAnsi="Arial" w:cs="Arial"/>
          <w:color w:val="000000"/>
          <w:sz w:val="22"/>
          <w:szCs w:val="22"/>
        </w:rPr>
        <w:t>El Plan de trabajo con nuestra ARL Positiva se encuentra sobre el 80% de ejecución y se espera dar cumplimiento del 100% a principios de diciembre de 2020.</w:t>
      </w:r>
    </w:p>
    <w:p w:rsidR="00B202A2" w:rsidRDefault="00295E06">
      <w:pPr>
        <w:pBdr>
          <w:top w:val="nil"/>
          <w:left w:val="nil"/>
          <w:bottom w:val="nil"/>
          <w:right w:val="nil"/>
          <w:between w:val="nil"/>
        </w:pBdr>
        <w:spacing w:after="160" w:line="259" w:lineRule="auto"/>
        <w:rPr>
          <w:rFonts w:ascii="Arial" w:eastAsia="Arial" w:hAnsi="Arial" w:cs="Arial"/>
          <w:sz w:val="22"/>
          <w:szCs w:val="22"/>
        </w:rPr>
      </w:pPr>
      <w:r>
        <w:rPr>
          <w:rFonts w:ascii="Arial" w:eastAsia="Arial" w:hAnsi="Arial" w:cs="Arial"/>
          <w:b/>
          <w:sz w:val="22"/>
          <w:szCs w:val="22"/>
        </w:rPr>
        <w:t>Indicadores de resultado:</w:t>
      </w:r>
      <w:r>
        <w:rPr>
          <w:rFonts w:ascii="Arial" w:eastAsia="Arial" w:hAnsi="Arial" w:cs="Arial"/>
          <w:b/>
          <w:sz w:val="22"/>
          <w:szCs w:val="22"/>
        </w:rPr>
        <w:br/>
      </w:r>
      <w:r>
        <w:rPr>
          <w:rFonts w:ascii="Arial" w:eastAsia="Arial" w:hAnsi="Arial" w:cs="Arial"/>
          <w:b/>
          <w:sz w:val="22"/>
          <w:szCs w:val="22"/>
        </w:rPr>
        <w:br/>
        <w:t xml:space="preserve"> </w:t>
      </w:r>
      <w:r>
        <w:rPr>
          <w:rFonts w:ascii="Arial" w:eastAsia="Arial" w:hAnsi="Arial" w:cs="Arial"/>
          <w:b/>
          <w:noProof/>
          <w:sz w:val="22"/>
          <w:szCs w:val="22"/>
          <w:lang w:val="en-US"/>
        </w:rPr>
        <w:drawing>
          <wp:inline distT="114300" distB="114300" distL="114300" distR="114300" wp14:anchorId="46FDD93D" wp14:editId="1383D28D">
            <wp:extent cx="4667250" cy="2238375"/>
            <wp:effectExtent l="0" t="0" r="0" b="0"/>
            <wp:docPr id="11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76"/>
                    <a:srcRect/>
                    <a:stretch>
                      <a:fillRect/>
                    </a:stretch>
                  </pic:blipFill>
                  <pic:spPr>
                    <a:xfrm>
                      <a:off x="0" y="0"/>
                      <a:ext cx="4667250" cy="2238375"/>
                    </a:xfrm>
                    <a:prstGeom prst="rect">
                      <a:avLst/>
                    </a:prstGeom>
                    <a:ln/>
                  </pic:spPr>
                </pic:pic>
              </a:graphicData>
            </a:graphic>
          </wp:inline>
        </w:drawing>
      </w:r>
      <w:r>
        <w:rPr>
          <w:rFonts w:ascii="Arial" w:eastAsia="Arial" w:hAnsi="Arial" w:cs="Arial"/>
          <w:sz w:val="22"/>
          <w:szCs w:val="22"/>
        </w:rPr>
        <w:t xml:space="preserve"> </w:t>
      </w:r>
    </w:p>
    <w:p w:rsidR="00B202A2" w:rsidRDefault="00295E06">
      <w:pPr>
        <w:numPr>
          <w:ilvl w:val="0"/>
          <w:numId w:val="19"/>
        </w:numPr>
        <w:rPr>
          <w:rFonts w:ascii="Arial" w:eastAsia="Arial" w:hAnsi="Arial" w:cs="Arial"/>
          <w:sz w:val="22"/>
          <w:szCs w:val="22"/>
        </w:rPr>
      </w:pPr>
      <w:r>
        <w:rPr>
          <w:rFonts w:ascii="Arial" w:eastAsia="Arial" w:hAnsi="Arial" w:cs="Arial"/>
          <w:sz w:val="22"/>
          <w:szCs w:val="22"/>
        </w:rPr>
        <w:t>En el 2019 se perdió por incapacidad médica el 2,29% de los días prog</w:t>
      </w:r>
      <w:r>
        <w:rPr>
          <w:rFonts w:ascii="Arial" w:eastAsia="Arial" w:hAnsi="Arial" w:cs="Arial"/>
          <w:sz w:val="22"/>
          <w:szCs w:val="22"/>
        </w:rPr>
        <w:t>ramados de trabajo. Estando por debajo de la meta que es el 3% anual. Ahora bien, en el 2020 solo se ha perdido el 0,65% de los días programados de trabajo, demostrando la considerable disminución de ausencias por causas médicas.</w:t>
      </w:r>
      <w:r>
        <w:rPr>
          <w:rFonts w:ascii="Arial" w:eastAsia="Arial" w:hAnsi="Arial" w:cs="Arial"/>
          <w:sz w:val="22"/>
          <w:szCs w:val="22"/>
        </w:rPr>
        <w:br/>
        <w:t xml:space="preserve"> </w:t>
      </w:r>
    </w:p>
    <w:p w:rsidR="00B202A2" w:rsidRDefault="00295E06">
      <w:pPr>
        <w:numPr>
          <w:ilvl w:val="0"/>
          <w:numId w:val="19"/>
        </w:numPr>
        <w:rPr>
          <w:rFonts w:ascii="Arial" w:eastAsia="Arial" w:hAnsi="Arial" w:cs="Arial"/>
          <w:sz w:val="22"/>
          <w:szCs w:val="22"/>
        </w:rPr>
      </w:pPr>
      <w:r>
        <w:rPr>
          <w:rFonts w:ascii="Arial" w:eastAsia="Arial" w:hAnsi="Arial" w:cs="Arial"/>
          <w:sz w:val="22"/>
          <w:szCs w:val="22"/>
        </w:rPr>
        <w:t xml:space="preserve">En el 2019 por cada 100 </w:t>
      </w:r>
      <w:r>
        <w:rPr>
          <w:rFonts w:ascii="Arial" w:eastAsia="Arial" w:hAnsi="Arial" w:cs="Arial"/>
          <w:sz w:val="22"/>
          <w:szCs w:val="22"/>
        </w:rPr>
        <w:t xml:space="preserve">trabajadores se presentaron 0,44 Accidentes de trabajo. Estando por debajo de la meta que es el 1%. En el 2020, por cada 100 trabajadores se han presentado 0,09 accidentes de trabajo. Lo que significa que, a comparación del año anterior, se pasó de sufrir </w:t>
      </w:r>
      <w:r>
        <w:rPr>
          <w:rFonts w:ascii="Arial" w:eastAsia="Arial" w:hAnsi="Arial" w:cs="Arial"/>
          <w:sz w:val="22"/>
          <w:szCs w:val="22"/>
        </w:rPr>
        <w:t>6 accidentes e incidentes a solo tener un accidente de trabajo.</w:t>
      </w:r>
      <w:r>
        <w:rPr>
          <w:rFonts w:ascii="Arial" w:eastAsia="Arial" w:hAnsi="Arial" w:cs="Arial"/>
          <w:sz w:val="22"/>
          <w:szCs w:val="22"/>
        </w:rPr>
        <w:br/>
        <w:t xml:space="preserve"> </w:t>
      </w:r>
    </w:p>
    <w:p w:rsidR="00B202A2" w:rsidRDefault="00295E06">
      <w:pPr>
        <w:numPr>
          <w:ilvl w:val="0"/>
          <w:numId w:val="19"/>
        </w:numPr>
        <w:spacing w:after="240"/>
        <w:rPr>
          <w:rFonts w:ascii="Arial" w:eastAsia="Arial" w:hAnsi="Arial" w:cs="Arial"/>
          <w:sz w:val="22"/>
          <w:szCs w:val="22"/>
        </w:rPr>
      </w:pPr>
      <w:r>
        <w:rPr>
          <w:rFonts w:ascii="Arial" w:eastAsia="Arial" w:hAnsi="Arial" w:cs="Arial"/>
          <w:sz w:val="22"/>
          <w:szCs w:val="22"/>
        </w:rPr>
        <w:t>A la fecha, la unidad sigue sin presentar diagnósticos de enfermedades laborales.</w:t>
      </w:r>
      <w:r>
        <w:br w:type="page"/>
      </w:r>
    </w:p>
    <w:p w:rsidR="00B202A2" w:rsidRDefault="00B202A2">
      <w:pPr>
        <w:spacing w:after="240"/>
        <w:ind w:left="720"/>
        <w:rPr>
          <w:rFonts w:ascii="Arial" w:eastAsia="Arial" w:hAnsi="Arial" w:cs="Arial"/>
          <w:sz w:val="22"/>
          <w:szCs w:val="22"/>
        </w:rPr>
      </w:pPr>
    </w:p>
    <w:p w:rsidR="00B202A2" w:rsidRDefault="00295E06">
      <w:pPr>
        <w:jc w:val="both"/>
        <w:rPr>
          <w:rFonts w:ascii="Arial" w:eastAsia="Arial" w:hAnsi="Arial" w:cs="Arial"/>
          <w:b/>
          <w:color w:val="2F5496"/>
          <w:sz w:val="22"/>
          <w:szCs w:val="22"/>
        </w:rPr>
      </w:pPr>
      <w:r>
        <w:rPr>
          <w:rFonts w:ascii="Arial" w:eastAsia="Arial" w:hAnsi="Arial" w:cs="Arial"/>
          <w:b/>
          <w:color w:val="2F5496"/>
          <w:sz w:val="22"/>
          <w:szCs w:val="22"/>
        </w:rPr>
        <w:t>2.7.5. Atención al Usuario y Servicio al Ciudadano</w:t>
      </w:r>
    </w:p>
    <w:p w:rsidR="00B202A2" w:rsidRDefault="00295E06">
      <w:pPr>
        <w:jc w:val="both"/>
        <w:rPr>
          <w:rFonts w:ascii="Arial" w:eastAsia="Arial" w:hAnsi="Arial" w:cs="Arial"/>
          <w:b/>
          <w:color w:val="2E74B5"/>
          <w:sz w:val="22"/>
          <w:szCs w:val="22"/>
          <w:highlight w:val="green"/>
        </w:rPr>
      </w:pPr>
      <w:r>
        <w:rPr>
          <w:rFonts w:ascii="Arial" w:eastAsia="Arial" w:hAnsi="Arial" w:cs="Arial"/>
          <w:b/>
          <w:color w:val="2E74B5"/>
          <w:sz w:val="22"/>
          <w:szCs w:val="22"/>
          <w:highlight w:val="green"/>
        </w:rPr>
        <w:t xml:space="preserve"> </w:t>
      </w:r>
    </w:p>
    <w:p w:rsidR="00B202A2" w:rsidRDefault="00295E06">
      <w:pPr>
        <w:jc w:val="both"/>
        <w:rPr>
          <w:rFonts w:ascii="Arial" w:eastAsia="Arial" w:hAnsi="Arial" w:cs="Arial"/>
          <w:b/>
          <w:color w:val="2E74B5"/>
          <w:sz w:val="22"/>
          <w:szCs w:val="22"/>
        </w:rPr>
      </w:pPr>
      <w:r>
        <w:rPr>
          <w:rFonts w:ascii="Arial" w:eastAsia="Arial" w:hAnsi="Arial" w:cs="Arial"/>
          <w:b/>
          <w:noProof/>
          <w:color w:val="2E74B5"/>
          <w:sz w:val="22"/>
          <w:szCs w:val="22"/>
          <w:lang w:val="en-US"/>
        </w:rPr>
        <w:drawing>
          <wp:inline distT="114300" distB="114300" distL="114300" distR="114300" wp14:anchorId="43313973" wp14:editId="5275BC87">
            <wp:extent cx="5399730" cy="1917700"/>
            <wp:effectExtent l="0" t="0" r="0" b="0"/>
            <wp:docPr id="11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77"/>
                    <a:srcRect/>
                    <a:stretch>
                      <a:fillRect/>
                    </a:stretch>
                  </pic:blipFill>
                  <pic:spPr>
                    <a:xfrm>
                      <a:off x="0" y="0"/>
                      <a:ext cx="5399730" cy="1917700"/>
                    </a:xfrm>
                    <a:prstGeom prst="rect">
                      <a:avLst/>
                    </a:prstGeom>
                    <a:ln/>
                  </pic:spPr>
                </pic:pic>
              </a:graphicData>
            </a:graphic>
          </wp:inline>
        </w:drawing>
      </w:r>
    </w:p>
    <w:p w:rsidR="00B202A2" w:rsidRDefault="00295E06">
      <w:pPr>
        <w:jc w:val="both"/>
        <w:rPr>
          <w:rFonts w:ascii="Arial" w:eastAsia="Arial" w:hAnsi="Arial" w:cs="Arial"/>
          <w:b/>
          <w:sz w:val="22"/>
          <w:szCs w:val="22"/>
        </w:rPr>
      </w:pPr>
      <w:r>
        <w:rPr>
          <w:rFonts w:ascii="Arial" w:eastAsia="Arial" w:hAnsi="Arial" w:cs="Arial"/>
          <w:b/>
          <w:sz w:val="22"/>
          <w:szCs w:val="22"/>
        </w:rPr>
        <w:t>Audiencia Pública de Rendición de Cuentas</w:t>
      </w:r>
    </w:p>
    <w:p w:rsidR="00B202A2" w:rsidRDefault="00295E06">
      <w:pPr>
        <w:jc w:val="both"/>
        <w:rPr>
          <w:rFonts w:ascii="Arial" w:eastAsia="Arial" w:hAnsi="Arial" w:cs="Arial"/>
          <w:sz w:val="22"/>
          <w:szCs w:val="22"/>
        </w:rPr>
      </w:pPr>
      <w:r>
        <w:rPr>
          <w:rFonts w:ascii="Arial" w:eastAsia="Arial" w:hAnsi="Arial" w:cs="Arial"/>
          <w:sz w:val="22"/>
          <w:szCs w:val="22"/>
        </w:rPr>
        <w:t xml:space="preserve"> </w:t>
      </w:r>
    </w:p>
    <w:p w:rsidR="00B202A2" w:rsidRDefault="00295E06">
      <w:pPr>
        <w:jc w:val="both"/>
        <w:rPr>
          <w:rFonts w:ascii="Arial" w:eastAsia="Arial" w:hAnsi="Arial" w:cs="Arial"/>
          <w:sz w:val="22"/>
          <w:szCs w:val="22"/>
        </w:rPr>
      </w:pPr>
      <w:r>
        <w:rPr>
          <w:rFonts w:ascii="Arial" w:eastAsia="Arial" w:hAnsi="Arial" w:cs="Arial"/>
          <w:sz w:val="22"/>
          <w:szCs w:val="22"/>
        </w:rPr>
        <w:t>La Ley 489 de 1998, el CONPES 3654 de 2010 y la Ley Estatutaria 1757 de 2015 de participación democrática, establecen la Rendición Pública de Cuentas como uno de los mecanismos de participación con el que cuenta la ciudadanía para hacer control social a la</w:t>
      </w:r>
      <w:r>
        <w:rPr>
          <w:rFonts w:ascii="Arial" w:eastAsia="Arial" w:hAnsi="Arial" w:cs="Arial"/>
          <w:sz w:val="22"/>
          <w:szCs w:val="22"/>
        </w:rPr>
        <w:t>s entidades públicas respecto de las acciones y decisiones que éstas toman sobre los asuntos públicos.</w:t>
      </w:r>
    </w:p>
    <w:p w:rsidR="00B202A2" w:rsidRDefault="00295E06">
      <w:pPr>
        <w:jc w:val="both"/>
        <w:rPr>
          <w:rFonts w:ascii="Arial" w:eastAsia="Arial" w:hAnsi="Arial" w:cs="Arial"/>
          <w:sz w:val="22"/>
          <w:szCs w:val="22"/>
        </w:rPr>
      </w:pPr>
      <w:r>
        <w:rPr>
          <w:rFonts w:ascii="Arial" w:eastAsia="Arial" w:hAnsi="Arial" w:cs="Arial"/>
          <w:sz w:val="22"/>
          <w:szCs w:val="22"/>
        </w:rPr>
        <w:t xml:space="preserve"> </w:t>
      </w:r>
    </w:p>
    <w:p w:rsidR="00B202A2" w:rsidRDefault="00295E06">
      <w:pPr>
        <w:jc w:val="both"/>
        <w:rPr>
          <w:rFonts w:ascii="Arial" w:eastAsia="Arial" w:hAnsi="Arial" w:cs="Arial"/>
          <w:sz w:val="22"/>
          <w:szCs w:val="22"/>
        </w:rPr>
      </w:pPr>
      <w:r>
        <w:rPr>
          <w:rFonts w:ascii="Arial" w:eastAsia="Arial" w:hAnsi="Arial" w:cs="Arial"/>
          <w:sz w:val="22"/>
          <w:szCs w:val="22"/>
        </w:rPr>
        <w:t>De conformidad con el artículo 33 de la Ley 489 y el artículo 74 de la Constitución Política de Colombia, por medio de los cuales se reglamenta la crea</w:t>
      </w:r>
      <w:r>
        <w:rPr>
          <w:rFonts w:ascii="Arial" w:eastAsia="Arial" w:hAnsi="Arial" w:cs="Arial"/>
          <w:sz w:val="22"/>
          <w:szCs w:val="22"/>
        </w:rPr>
        <w:t>ción de escenarios para informar a la ciudadanía sobre su gestión, se crean las Audiencias Públicas de rendición de cuentas, como requisito obligatorio para las entidades públicas.</w:t>
      </w:r>
    </w:p>
    <w:p w:rsidR="00B202A2" w:rsidRDefault="00295E06">
      <w:pPr>
        <w:jc w:val="both"/>
        <w:rPr>
          <w:rFonts w:ascii="Arial" w:eastAsia="Arial" w:hAnsi="Arial" w:cs="Arial"/>
          <w:sz w:val="22"/>
          <w:szCs w:val="22"/>
        </w:rPr>
      </w:pPr>
      <w:r>
        <w:rPr>
          <w:rFonts w:ascii="Arial" w:eastAsia="Arial" w:hAnsi="Arial" w:cs="Arial"/>
          <w:sz w:val="22"/>
          <w:szCs w:val="22"/>
        </w:rPr>
        <w:t xml:space="preserve"> </w:t>
      </w:r>
    </w:p>
    <w:p w:rsidR="00B202A2" w:rsidRDefault="00295E06">
      <w:pPr>
        <w:jc w:val="both"/>
        <w:rPr>
          <w:rFonts w:ascii="Arial" w:eastAsia="Arial" w:hAnsi="Arial" w:cs="Arial"/>
          <w:sz w:val="22"/>
          <w:szCs w:val="22"/>
        </w:rPr>
      </w:pPr>
      <w:r>
        <w:rPr>
          <w:rFonts w:ascii="Arial" w:eastAsia="Arial" w:hAnsi="Arial" w:cs="Arial"/>
          <w:sz w:val="22"/>
          <w:szCs w:val="22"/>
        </w:rPr>
        <w:t>En respuesta al proceso de reforma institucional del sector minero energético y con el objetivo de facilitar a la ciudadanía un espacio común, convergente, participativo y con amplio sentido de una institucionalidad sectorial, el 11 de diciembre de 2019 se</w:t>
      </w:r>
      <w:r>
        <w:rPr>
          <w:rFonts w:ascii="Arial" w:eastAsia="Arial" w:hAnsi="Arial" w:cs="Arial"/>
          <w:sz w:val="22"/>
          <w:szCs w:val="22"/>
        </w:rPr>
        <w:t xml:space="preserve"> llevó a cabo la audiencia pública de la Unidad de Planeación Minero Energética-UPME, en el auditorio principal de la escuela de la Dirección de Impuestos y Aduanas Nacionales -DIAN- ubicado en la Avenida El Dorado No. 75 – 60 en Bogotá.</w:t>
      </w:r>
    </w:p>
    <w:p w:rsidR="00B202A2" w:rsidRDefault="00295E06">
      <w:pPr>
        <w:jc w:val="both"/>
        <w:rPr>
          <w:rFonts w:ascii="Arial" w:eastAsia="Arial" w:hAnsi="Arial" w:cs="Arial"/>
          <w:sz w:val="22"/>
          <w:szCs w:val="22"/>
        </w:rPr>
      </w:pPr>
      <w:r>
        <w:rPr>
          <w:rFonts w:ascii="Arial" w:eastAsia="Arial" w:hAnsi="Arial" w:cs="Arial"/>
          <w:sz w:val="22"/>
          <w:szCs w:val="22"/>
        </w:rPr>
        <w:t>La audiencia se di</w:t>
      </w:r>
      <w:r>
        <w:rPr>
          <w:rFonts w:ascii="Arial" w:eastAsia="Arial" w:hAnsi="Arial" w:cs="Arial"/>
          <w:sz w:val="22"/>
          <w:szCs w:val="22"/>
        </w:rPr>
        <w:t>vidió en 8 bloques temáticos a saber:</w:t>
      </w:r>
    </w:p>
    <w:p w:rsidR="00B202A2" w:rsidRDefault="00295E06">
      <w:pPr>
        <w:jc w:val="both"/>
        <w:rPr>
          <w:rFonts w:ascii="Arial" w:eastAsia="Arial" w:hAnsi="Arial" w:cs="Arial"/>
          <w:sz w:val="22"/>
          <w:szCs w:val="22"/>
        </w:rPr>
      </w:pPr>
      <w:r>
        <w:rPr>
          <w:rFonts w:ascii="Arial" w:eastAsia="Arial" w:hAnsi="Arial" w:cs="Arial"/>
          <w:sz w:val="22"/>
          <w:szCs w:val="22"/>
        </w:rPr>
        <w:t xml:space="preserve"> </w:t>
      </w:r>
    </w:p>
    <w:p w:rsidR="00B202A2" w:rsidRDefault="00295E06">
      <w:pPr>
        <w:numPr>
          <w:ilvl w:val="0"/>
          <w:numId w:val="16"/>
        </w:numPr>
        <w:pBdr>
          <w:top w:val="nil"/>
          <w:left w:val="nil"/>
          <w:bottom w:val="nil"/>
          <w:right w:val="nil"/>
          <w:between w:val="nil"/>
        </w:pBdr>
        <w:spacing w:before="240" w:line="259" w:lineRule="auto"/>
        <w:rPr>
          <w:rFonts w:ascii="Arial" w:eastAsia="Arial" w:hAnsi="Arial" w:cs="Arial"/>
          <w:color w:val="000000"/>
          <w:sz w:val="22"/>
          <w:szCs w:val="22"/>
        </w:rPr>
      </w:pPr>
      <w:r>
        <w:rPr>
          <w:rFonts w:ascii="Arial" w:eastAsia="Arial" w:hAnsi="Arial" w:cs="Arial"/>
          <w:color w:val="000000"/>
          <w:sz w:val="22"/>
          <w:szCs w:val="22"/>
        </w:rPr>
        <w:t>Universalización de los servicios de energía</w:t>
      </w:r>
    </w:p>
    <w:p w:rsidR="00B202A2" w:rsidRDefault="00295E06">
      <w:pPr>
        <w:numPr>
          <w:ilvl w:val="0"/>
          <w:numId w:val="16"/>
        </w:numPr>
        <w:pBdr>
          <w:top w:val="nil"/>
          <w:left w:val="nil"/>
          <w:bottom w:val="nil"/>
          <w:right w:val="nil"/>
          <w:between w:val="nil"/>
        </w:pBdr>
        <w:spacing w:line="259" w:lineRule="auto"/>
        <w:rPr>
          <w:rFonts w:ascii="Arial" w:eastAsia="Arial" w:hAnsi="Arial" w:cs="Arial"/>
          <w:color w:val="000000"/>
          <w:sz w:val="22"/>
          <w:szCs w:val="22"/>
        </w:rPr>
      </w:pPr>
      <w:r>
        <w:rPr>
          <w:rFonts w:ascii="Arial" w:eastAsia="Arial" w:hAnsi="Arial" w:cs="Arial"/>
          <w:color w:val="000000"/>
          <w:sz w:val="22"/>
          <w:szCs w:val="22"/>
        </w:rPr>
        <w:t xml:space="preserve">Energía </w:t>
      </w:r>
      <w:r>
        <w:rPr>
          <w:rFonts w:ascii="Arial" w:eastAsia="Arial" w:hAnsi="Arial" w:cs="Arial"/>
          <w:sz w:val="22"/>
          <w:szCs w:val="22"/>
        </w:rPr>
        <w:t>l</w:t>
      </w:r>
      <w:r>
        <w:rPr>
          <w:rFonts w:ascii="Arial" w:eastAsia="Arial" w:hAnsi="Arial" w:cs="Arial"/>
          <w:color w:val="000000"/>
          <w:sz w:val="22"/>
          <w:szCs w:val="22"/>
        </w:rPr>
        <w:t>impia a largo plazo</w:t>
      </w:r>
    </w:p>
    <w:p w:rsidR="00B202A2" w:rsidRDefault="00295E06">
      <w:pPr>
        <w:numPr>
          <w:ilvl w:val="0"/>
          <w:numId w:val="16"/>
        </w:numPr>
        <w:pBdr>
          <w:top w:val="nil"/>
          <w:left w:val="nil"/>
          <w:bottom w:val="nil"/>
          <w:right w:val="nil"/>
          <w:between w:val="nil"/>
        </w:pBdr>
        <w:spacing w:line="259" w:lineRule="auto"/>
        <w:rPr>
          <w:rFonts w:ascii="Arial" w:eastAsia="Arial" w:hAnsi="Arial" w:cs="Arial"/>
          <w:color w:val="000000"/>
          <w:sz w:val="22"/>
          <w:szCs w:val="22"/>
        </w:rPr>
      </w:pPr>
      <w:r>
        <w:rPr>
          <w:rFonts w:ascii="Arial" w:eastAsia="Arial" w:hAnsi="Arial" w:cs="Arial"/>
          <w:color w:val="000000"/>
          <w:sz w:val="22"/>
          <w:szCs w:val="22"/>
        </w:rPr>
        <w:t>Infraestructura de energía eléctrica para el desarrollo</w:t>
      </w:r>
    </w:p>
    <w:p w:rsidR="00B202A2" w:rsidRDefault="00295E06">
      <w:pPr>
        <w:numPr>
          <w:ilvl w:val="0"/>
          <w:numId w:val="16"/>
        </w:numPr>
        <w:pBdr>
          <w:top w:val="nil"/>
          <w:left w:val="nil"/>
          <w:bottom w:val="nil"/>
          <w:right w:val="nil"/>
          <w:between w:val="nil"/>
        </w:pBdr>
        <w:spacing w:line="259" w:lineRule="auto"/>
        <w:rPr>
          <w:rFonts w:ascii="Arial" w:eastAsia="Arial" w:hAnsi="Arial" w:cs="Arial"/>
          <w:color w:val="000000"/>
          <w:sz w:val="22"/>
          <w:szCs w:val="22"/>
        </w:rPr>
      </w:pPr>
      <w:r>
        <w:rPr>
          <w:rFonts w:ascii="Arial" w:eastAsia="Arial" w:hAnsi="Arial" w:cs="Arial"/>
          <w:color w:val="000000"/>
          <w:sz w:val="22"/>
          <w:szCs w:val="22"/>
        </w:rPr>
        <w:t>Abastecimiento y confiabilidad de combustibles</w:t>
      </w:r>
    </w:p>
    <w:p w:rsidR="00B202A2" w:rsidRDefault="00295E06">
      <w:pPr>
        <w:numPr>
          <w:ilvl w:val="0"/>
          <w:numId w:val="16"/>
        </w:numPr>
        <w:pBdr>
          <w:top w:val="nil"/>
          <w:left w:val="nil"/>
          <w:bottom w:val="nil"/>
          <w:right w:val="nil"/>
          <w:between w:val="nil"/>
        </w:pBdr>
        <w:spacing w:line="259" w:lineRule="auto"/>
        <w:rPr>
          <w:rFonts w:ascii="Arial" w:eastAsia="Arial" w:hAnsi="Arial" w:cs="Arial"/>
          <w:color w:val="000000"/>
          <w:sz w:val="22"/>
          <w:szCs w:val="22"/>
        </w:rPr>
      </w:pPr>
      <w:r>
        <w:rPr>
          <w:rFonts w:ascii="Arial" w:eastAsia="Arial" w:hAnsi="Arial" w:cs="Arial"/>
          <w:color w:val="000000"/>
          <w:sz w:val="22"/>
          <w:szCs w:val="22"/>
        </w:rPr>
        <w:t>Apostamos a la transformación energética en 2050</w:t>
      </w:r>
    </w:p>
    <w:p w:rsidR="00B202A2" w:rsidRDefault="00295E06">
      <w:pPr>
        <w:numPr>
          <w:ilvl w:val="0"/>
          <w:numId w:val="16"/>
        </w:numPr>
        <w:pBdr>
          <w:top w:val="nil"/>
          <w:left w:val="nil"/>
          <w:bottom w:val="nil"/>
          <w:right w:val="nil"/>
          <w:between w:val="nil"/>
        </w:pBdr>
        <w:spacing w:line="259" w:lineRule="auto"/>
        <w:rPr>
          <w:rFonts w:ascii="Arial" w:eastAsia="Arial" w:hAnsi="Arial" w:cs="Arial"/>
          <w:color w:val="000000"/>
          <w:sz w:val="22"/>
          <w:szCs w:val="22"/>
        </w:rPr>
      </w:pPr>
      <w:r>
        <w:rPr>
          <w:rFonts w:ascii="Arial" w:eastAsia="Arial" w:hAnsi="Arial" w:cs="Arial"/>
          <w:color w:val="000000"/>
          <w:sz w:val="22"/>
          <w:szCs w:val="22"/>
        </w:rPr>
        <w:t>Promovemos eficiencia energética y energías renovables no convencionales con incentivos tributarios</w:t>
      </w:r>
    </w:p>
    <w:p w:rsidR="00B202A2" w:rsidRDefault="00295E06">
      <w:pPr>
        <w:numPr>
          <w:ilvl w:val="0"/>
          <w:numId w:val="16"/>
        </w:numPr>
        <w:pBdr>
          <w:top w:val="nil"/>
          <w:left w:val="nil"/>
          <w:bottom w:val="nil"/>
          <w:right w:val="nil"/>
          <w:between w:val="nil"/>
        </w:pBdr>
        <w:spacing w:line="259" w:lineRule="auto"/>
        <w:rPr>
          <w:rFonts w:ascii="Arial" w:eastAsia="Arial" w:hAnsi="Arial" w:cs="Arial"/>
          <w:color w:val="000000"/>
          <w:sz w:val="22"/>
          <w:szCs w:val="22"/>
        </w:rPr>
      </w:pPr>
      <w:r>
        <w:rPr>
          <w:rFonts w:ascii="Arial" w:eastAsia="Arial" w:hAnsi="Arial" w:cs="Arial"/>
          <w:color w:val="000000"/>
          <w:sz w:val="22"/>
          <w:szCs w:val="22"/>
        </w:rPr>
        <w:t>Aprovechamiento sostenible de los recursos mineros</w:t>
      </w:r>
    </w:p>
    <w:p w:rsidR="00B202A2" w:rsidRDefault="00295E06">
      <w:pPr>
        <w:numPr>
          <w:ilvl w:val="0"/>
          <w:numId w:val="16"/>
        </w:numPr>
        <w:pBdr>
          <w:top w:val="nil"/>
          <w:left w:val="nil"/>
          <w:bottom w:val="nil"/>
          <w:right w:val="nil"/>
          <w:between w:val="nil"/>
        </w:pBdr>
        <w:spacing w:after="240" w:line="259" w:lineRule="auto"/>
        <w:rPr>
          <w:rFonts w:ascii="Arial" w:eastAsia="Arial" w:hAnsi="Arial" w:cs="Arial"/>
          <w:color w:val="000000"/>
          <w:sz w:val="22"/>
          <w:szCs w:val="22"/>
        </w:rPr>
      </w:pPr>
      <w:r>
        <w:rPr>
          <w:rFonts w:ascii="Arial" w:eastAsia="Arial" w:hAnsi="Arial" w:cs="Arial"/>
          <w:color w:val="000000"/>
          <w:sz w:val="22"/>
          <w:szCs w:val="22"/>
        </w:rPr>
        <w:t>Mejoramiento del servicio de cara al ciudadano</w:t>
      </w:r>
    </w:p>
    <w:p w:rsidR="00B202A2" w:rsidRDefault="00295E06">
      <w:pPr>
        <w:spacing w:after="240" w:line="259" w:lineRule="auto"/>
        <w:rPr>
          <w:rFonts w:ascii="Arial" w:eastAsia="Arial" w:hAnsi="Arial" w:cs="Arial"/>
        </w:rPr>
      </w:pPr>
      <w:r>
        <w:rPr>
          <w:rFonts w:ascii="Arial" w:eastAsia="Arial" w:hAnsi="Arial" w:cs="Arial"/>
          <w:sz w:val="20"/>
          <w:szCs w:val="20"/>
        </w:rPr>
        <w:t>Fuente:</w:t>
      </w:r>
      <w:hyperlink r:id="rId78">
        <w:r>
          <w:rPr>
            <w:rFonts w:ascii="Arial" w:eastAsia="Arial" w:hAnsi="Arial" w:cs="Arial"/>
            <w:color w:val="1155CC"/>
            <w:sz w:val="20"/>
            <w:szCs w:val="20"/>
          </w:rPr>
          <w:t>https://www1.upme.gov.co/Seguimiento/RendicionCuentas/Documents/Memorias_Rendicion/Informe_Audiencia_Publica_2019.pdf</w:t>
        </w:r>
      </w:hyperlink>
    </w:p>
    <w:p w:rsidR="00B202A2" w:rsidRDefault="00295E06">
      <w:pPr>
        <w:spacing w:after="240" w:line="259" w:lineRule="auto"/>
        <w:rPr>
          <w:rFonts w:ascii="Arial" w:eastAsia="Arial" w:hAnsi="Arial" w:cs="Arial"/>
          <w:b/>
          <w:sz w:val="22"/>
          <w:szCs w:val="22"/>
        </w:rPr>
      </w:pPr>
      <w:r>
        <w:rPr>
          <w:rFonts w:ascii="Arial" w:eastAsia="Arial" w:hAnsi="Arial" w:cs="Arial"/>
          <w:b/>
          <w:sz w:val="22"/>
          <w:szCs w:val="22"/>
        </w:rPr>
        <w:lastRenderedPageBreak/>
        <w:t>Ate</w:t>
      </w:r>
      <w:r>
        <w:rPr>
          <w:rFonts w:ascii="Arial" w:eastAsia="Arial" w:hAnsi="Arial" w:cs="Arial"/>
          <w:b/>
          <w:sz w:val="22"/>
          <w:szCs w:val="22"/>
        </w:rPr>
        <w:t>nción de peticiones, quejas, reclamos, denuncias y solicitudes</w:t>
      </w:r>
    </w:p>
    <w:p w:rsidR="00B202A2" w:rsidRDefault="00295E06">
      <w:pPr>
        <w:jc w:val="both"/>
        <w:rPr>
          <w:rFonts w:ascii="Arial" w:eastAsia="Arial" w:hAnsi="Arial" w:cs="Arial"/>
          <w:sz w:val="22"/>
          <w:szCs w:val="22"/>
        </w:rPr>
      </w:pPr>
      <w:r>
        <w:rPr>
          <w:rFonts w:ascii="Arial" w:eastAsia="Arial" w:hAnsi="Arial" w:cs="Arial"/>
          <w:sz w:val="22"/>
          <w:szCs w:val="22"/>
        </w:rPr>
        <w:t xml:space="preserve"> </w:t>
      </w:r>
    </w:p>
    <w:p w:rsidR="00B202A2" w:rsidRDefault="00295E06">
      <w:pPr>
        <w:jc w:val="both"/>
        <w:rPr>
          <w:rFonts w:ascii="Arial" w:eastAsia="Arial" w:hAnsi="Arial" w:cs="Arial"/>
          <w:sz w:val="22"/>
          <w:szCs w:val="22"/>
        </w:rPr>
      </w:pPr>
      <w:r>
        <w:rPr>
          <w:rFonts w:ascii="Arial" w:eastAsia="Arial" w:hAnsi="Arial" w:cs="Arial"/>
          <w:sz w:val="22"/>
          <w:szCs w:val="22"/>
        </w:rPr>
        <w:t xml:space="preserve">De acuerdo a los informes del área de atención al ciudadano, durante diciembre 2019 a octubre de 2020 se recibieron 1883 PQRDS a través de los diferentes canales, siendo el telefónico el más </w:t>
      </w:r>
      <w:r>
        <w:rPr>
          <w:rFonts w:ascii="Arial" w:eastAsia="Arial" w:hAnsi="Arial" w:cs="Arial"/>
          <w:sz w:val="22"/>
          <w:szCs w:val="22"/>
        </w:rPr>
        <w:t>utilizado por los usuarios, alcanzando la cifra de 755 requerimientos, tal como se muestra en la gráfica.</w:t>
      </w:r>
    </w:p>
    <w:p w:rsidR="00B202A2" w:rsidRDefault="00295E06">
      <w:pPr>
        <w:jc w:val="center"/>
        <w:rPr>
          <w:rFonts w:ascii="Arial" w:eastAsia="Arial" w:hAnsi="Arial" w:cs="Arial"/>
          <w:sz w:val="22"/>
          <w:szCs w:val="22"/>
        </w:rPr>
      </w:pPr>
      <w:r>
        <w:rPr>
          <w:rFonts w:ascii="Arial" w:eastAsia="Arial" w:hAnsi="Arial" w:cs="Arial"/>
          <w:noProof/>
          <w:sz w:val="22"/>
          <w:szCs w:val="22"/>
          <w:lang w:val="en-US"/>
        </w:rPr>
        <w:drawing>
          <wp:inline distT="114300" distB="114300" distL="114300" distR="114300" wp14:anchorId="09CE7963" wp14:editId="5113857C">
            <wp:extent cx="3857625" cy="1743075"/>
            <wp:effectExtent l="0" t="0" r="0" b="0"/>
            <wp:docPr id="118"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79"/>
                    <a:srcRect/>
                    <a:stretch>
                      <a:fillRect/>
                    </a:stretch>
                  </pic:blipFill>
                  <pic:spPr>
                    <a:xfrm>
                      <a:off x="0" y="0"/>
                      <a:ext cx="3857625" cy="1743075"/>
                    </a:xfrm>
                    <a:prstGeom prst="rect">
                      <a:avLst/>
                    </a:prstGeom>
                    <a:ln/>
                  </pic:spPr>
                </pic:pic>
              </a:graphicData>
            </a:graphic>
          </wp:inline>
        </w:drawing>
      </w:r>
    </w:p>
    <w:p w:rsidR="00B202A2" w:rsidRDefault="00295E06">
      <w:pPr>
        <w:jc w:val="both"/>
        <w:rPr>
          <w:rFonts w:ascii="Arial" w:eastAsia="Arial" w:hAnsi="Arial" w:cs="Arial"/>
          <w:sz w:val="22"/>
          <w:szCs w:val="22"/>
        </w:rPr>
      </w:pPr>
      <w:r>
        <w:rPr>
          <w:rFonts w:ascii="Arial" w:eastAsia="Arial" w:hAnsi="Arial" w:cs="Arial"/>
          <w:sz w:val="22"/>
          <w:szCs w:val="22"/>
        </w:rPr>
        <w:t xml:space="preserve"> </w:t>
      </w:r>
    </w:p>
    <w:p w:rsidR="00B202A2" w:rsidRDefault="00295E06">
      <w:pPr>
        <w:jc w:val="center"/>
        <w:rPr>
          <w:rFonts w:ascii="Arial" w:eastAsia="Arial" w:hAnsi="Arial" w:cs="Arial"/>
          <w:sz w:val="22"/>
          <w:szCs w:val="22"/>
        </w:rPr>
      </w:pPr>
      <w:r>
        <w:rPr>
          <w:rFonts w:ascii="Arial" w:eastAsia="Arial" w:hAnsi="Arial" w:cs="Arial"/>
          <w:sz w:val="22"/>
          <w:szCs w:val="22"/>
        </w:rPr>
        <w:t>Fuente: Matriz de Seguimiento de PQRDS UPME</w:t>
      </w:r>
    </w:p>
    <w:p w:rsidR="00B202A2" w:rsidRDefault="00295E06">
      <w:pPr>
        <w:jc w:val="both"/>
        <w:rPr>
          <w:rFonts w:ascii="Arial" w:eastAsia="Arial" w:hAnsi="Arial" w:cs="Arial"/>
          <w:sz w:val="22"/>
          <w:szCs w:val="22"/>
        </w:rPr>
      </w:pPr>
      <w:r>
        <w:rPr>
          <w:rFonts w:ascii="Arial" w:eastAsia="Arial" w:hAnsi="Arial" w:cs="Arial"/>
          <w:sz w:val="22"/>
          <w:szCs w:val="22"/>
        </w:rPr>
        <w:t xml:space="preserve"> </w:t>
      </w:r>
    </w:p>
    <w:p w:rsidR="00B202A2" w:rsidRDefault="00295E06">
      <w:pPr>
        <w:spacing w:after="160"/>
        <w:jc w:val="both"/>
        <w:rPr>
          <w:rFonts w:ascii="Arial" w:eastAsia="Arial" w:hAnsi="Arial" w:cs="Arial"/>
          <w:sz w:val="22"/>
          <w:szCs w:val="22"/>
        </w:rPr>
      </w:pPr>
      <w:r>
        <w:rPr>
          <w:rFonts w:ascii="Arial" w:eastAsia="Arial" w:hAnsi="Arial" w:cs="Arial"/>
          <w:sz w:val="22"/>
          <w:szCs w:val="22"/>
        </w:rPr>
        <w:t>En relación al comportamiento histórico mensual, julio de 2020 tuvo la mayor concentración de solicitudes con 261 en total, cifra que representa el 14% de los 1833 requerimientos, seguido por septiembre y mayo, con 261 y 236 peticiones respectivamente. Ver</w:t>
      </w:r>
      <w:r>
        <w:rPr>
          <w:rFonts w:ascii="Arial" w:eastAsia="Arial" w:hAnsi="Arial" w:cs="Arial"/>
          <w:sz w:val="22"/>
          <w:szCs w:val="22"/>
        </w:rPr>
        <w:t xml:space="preserve"> la siguiente gráfica.</w:t>
      </w:r>
    </w:p>
    <w:p w:rsidR="00B202A2" w:rsidRDefault="00295E06">
      <w:pPr>
        <w:jc w:val="both"/>
        <w:rPr>
          <w:rFonts w:ascii="Arial" w:eastAsia="Arial" w:hAnsi="Arial" w:cs="Arial"/>
          <w:sz w:val="22"/>
          <w:szCs w:val="22"/>
        </w:rPr>
      </w:pPr>
      <w:r>
        <w:rPr>
          <w:rFonts w:ascii="Arial" w:eastAsia="Arial" w:hAnsi="Arial" w:cs="Arial"/>
          <w:sz w:val="22"/>
          <w:szCs w:val="22"/>
        </w:rPr>
        <w:t xml:space="preserve"> </w:t>
      </w:r>
    </w:p>
    <w:p w:rsidR="00B202A2" w:rsidRDefault="00295E06">
      <w:pPr>
        <w:numPr>
          <w:ilvl w:val="0"/>
          <w:numId w:val="26"/>
        </w:numPr>
        <w:jc w:val="both"/>
        <w:rPr>
          <w:rFonts w:ascii="Arial" w:eastAsia="Arial" w:hAnsi="Arial" w:cs="Arial"/>
          <w:sz w:val="22"/>
          <w:szCs w:val="22"/>
        </w:rPr>
      </w:pPr>
      <w:r>
        <w:rPr>
          <w:rFonts w:ascii="Arial" w:eastAsia="Arial" w:hAnsi="Arial" w:cs="Arial"/>
          <w:sz w:val="22"/>
          <w:szCs w:val="22"/>
        </w:rPr>
        <w:t>Atención directa a través de Facebook Live.</w:t>
      </w:r>
    </w:p>
    <w:p w:rsidR="00B202A2" w:rsidRDefault="00295E06">
      <w:pPr>
        <w:jc w:val="both"/>
        <w:rPr>
          <w:rFonts w:ascii="Arial" w:eastAsia="Arial" w:hAnsi="Arial" w:cs="Arial"/>
          <w:sz w:val="22"/>
          <w:szCs w:val="22"/>
        </w:rPr>
      </w:pPr>
      <w:r>
        <w:rPr>
          <w:rFonts w:ascii="Arial" w:eastAsia="Arial" w:hAnsi="Arial" w:cs="Arial"/>
          <w:noProof/>
          <w:sz w:val="22"/>
          <w:szCs w:val="22"/>
          <w:lang w:val="en-US"/>
        </w:rPr>
        <w:drawing>
          <wp:inline distT="114300" distB="114300" distL="114300" distR="114300" wp14:anchorId="74F4BA90" wp14:editId="6BA62251">
            <wp:extent cx="5399730" cy="2171700"/>
            <wp:effectExtent l="0" t="0" r="0" b="0"/>
            <wp:docPr id="9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0"/>
                    <a:srcRect/>
                    <a:stretch>
                      <a:fillRect/>
                    </a:stretch>
                  </pic:blipFill>
                  <pic:spPr>
                    <a:xfrm>
                      <a:off x="0" y="0"/>
                      <a:ext cx="5399730" cy="2171700"/>
                    </a:xfrm>
                    <a:prstGeom prst="rect">
                      <a:avLst/>
                    </a:prstGeom>
                    <a:ln/>
                  </pic:spPr>
                </pic:pic>
              </a:graphicData>
            </a:graphic>
          </wp:inline>
        </w:drawing>
      </w:r>
    </w:p>
    <w:p w:rsidR="00B202A2" w:rsidRDefault="00295E06">
      <w:pPr>
        <w:jc w:val="both"/>
        <w:rPr>
          <w:rFonts w:ascii="Arial" w:eastAsia="Arial" w:hAnsi="Arial" w:cs="Arial"/>
          <w:sz w:val="22"/>
          <w:szCs w:val="22"/>
        </w:rPr>
      </w:pPr>
      <w:r>
        <w:rPr>
          <w:rFonts w:ascii="Arial" w:eastAsia="Arial" w:hAnsi="Arial" w:cs="Arial"/>
          <w:sz w:val="22"/>
          <w:szCs w:val="22"/>
        </w:rPr>
        <w:t xml:space="preserve"> </w:t>
      </w:r>
    </w:p>
    <w:p w:rsidR="00B202A2" w:rsidRDefault="00295E06">
      <w:pPr>
        <w:jc w:val="both"/>
        <w:rPr>
          <w:rFonts w:ascii="Arial" w:eastAsia="Arial" w:hAnsi="Arial" w:cs="Arial"/>
          <w:sz w:val="22"/>
          <w:szCs w:val="22"/>
        </w:rPr>
      </w:pPr>
      <w:r>
        <w:rPr>
          <w:rFonts w:ascii="Arial" w:eastAsia="Arial" w:hAnsi="Arial" w:cs="Arial"/>
          <w:sz w:val="22"/>
          <w:szCs w:val="22"/>
        </w:rPr>
        <w:t>A partir de la emergencia sanitaria decretada por el Gobierno Nacional en el Decreto 491 del 28 de marzo de 2020 con ocasión de la pandemia, surgen nuevos retos, uno de ellos tiene qu</w:t>
      </w:r>
      <w:r>
        <w:rPr>
          <w:rFonts w:ascii="Arial" w:eastAsia="Arial" w:hAnsi="Arial" w:cs="Arial"/>
          <w:sz w:val="22"/>
          <w:szCs w:val="22"/>
        </w:rPr>
        <w:t>e ver, con la atención de los usuarios y grupos de valor de la entidad, en consecuencia, a partir del 3 de abril de 2020 se han venido realizando talleres virtuales a través de facebook Iive, hecho que ha tenido gran aceptación de los ciudadanos y partes i</w:t>
      </w:r>
      <w:r>
        <w:rPr>
          <w:rFonts w:ascii="Arial" w:eastAsia="Arial" w:hAnsi="Arial" w:cs="Arial"/>
          <w:sz w:val="22"/>
          <w:szCs w:val="22"/>
        </w:rPr>
        <w:t>nteresadas, al corte 30 de octubre de 2020, se han realizado realizado 6 facebook live con asistencia de 11791 usuarios en los siguientes temas:</w:t>
      </w:r>
    </w:p>
    <w:p w:rsidR="00B202A2" w:rsidRDefault="00295E06">
      <w:pPr>
        <w:jc w:val="both"/>
        <w:rPr>
          <w:rFonts w:ascii="Arial" w:eastAsia="Arial" w:hAnsi="Arial" w:cs="Arial"/>
          <w:sz w:val="22"/>
          <w:szCs w:val="22"/>
        </w:rPr>
      </w:pPr>
      <w:r>
        <w:rPr>
          <w:rFonts w:ascii="Arial" w:eastAsia="Arial" w:hAnsi="Arial" w:cs="Arial"/>
          <w:sz w:val="22"/>
          <w:szCs w:val="22"/>
        </w:rPr>
        <w:t xml:space="preserve"> </w:t>
      </w:r>
    </w:p>
    <w:p w:rsidR="00B202A2" w:rsidRDefault="00295E06">
      <w:pPr>
        <w:numPr>
          <w:ilvl w:val="0"/>
          <w:numId w:val="4"/>
        </w:numPr>
        <w:spacing w:before="240"/>
        <w:rPr>
          <w:rFonts w:ascii="Arial" w:eastAsia="Arial" w:hAnsi="Arial" w:cs="Arial"/>
          <w:sz w:val="22"/>
          <w:szCs w:val="22"/>
        </w:rPr>
      </w:pPr>
      <w:r>
        <w:rPr>
          <w:rFonts w:ascii="Arial" w:eastAsia="Arial" w:hAnsi="Arial" w:cs="Arial"/>
          <w:sz w:val="22"/>
          <w:szCs w:val="22"/>
        </w:rPr>
        <w:lastRenderedPageBreak/>
        <w:t>Avances de la reglamentación sobre incentivos tributarios en FNCE y EE (3/04/2020)</w:t>
      </w:r>
    </w:p>
    <w:p w:rsidR="00B202A2" w:rsidRDefault="00295E06">
      <w:pPr>
        <w:numPr>
          <w:ilvl w:val="0"/>
          <w:numId w:val="4"/>
        </w:numPr>
        <w:rPr>
          <w:rFonts w:ascii="Arial" w:eastAsia="Arial" w:hAnsi="Arial" w:cs="Arial"/>
          <w:sz w:val="22"/>
          <w:szCs w:val="22"/>
        </w:rPr>
      </w:pPr>
      <w:r>
        <w:rPr>
          <w:rFonts w:ascii="Arial" w:eastAsia="Arial" w:hAnsi="Arial" w:cs="Arial"/>
          <w:sz w:val="22"/>
          <w:szCs w:val="22"/>
        </w:rPr>
        <w:t>Convocatorias (24/04/2020)</w:t>
      </w:r>
    </w:p>
    <w:p w:rsidR="00B202A2" w:rsidRDefault="00295E06">
      <w:pPr>
        <w:numPr>
          <w:ilvl w:val="0"/>
          <w:numId w:val="4"/>
        </w:numPr>
        <w:rPr>
          <w:rFonts w:ascii="Arial" w:eastAsia="Arial" w:hAnsi="Arial" w:cs="Arial"/>
          <w:sz w:val="22"/>
          <w:szCs w:val="22"/>
        </w:rPr>
      </w:pPr>
      <w:r>
        <w:rPr>
          <w:rFonts w:ascii="Arial" w:eastAsia="Arial" w:hAnsi="Arial" w:cs="Arial"/>
          <w:sz w:val="22"/>
          <w:szCs w:val="22"/>
        </w:rPr>
        <w:t>Avances en materia de Registro de proyectos de generación y solicitudes de conexión (8/05/2020)</w:t>
      </w:r>
    </w:p>
    <w:p w:rsidR="00B202A2" w:rsidRDefault="00295E06">
      <w:pPr>
        <w:numPr>
          <w:ilvl w:val="0"/>
          <w:numId w:val="4"/>
        </w:numPr>
        <w:rPr>
          <w:rFonts w:ascii="Arial" w:eastAsia="Arial" w:hAnsi="Arial" w:cs="Arial"/>
          <w:sz w:val="22"/>
          <w:szCs w:val="22"/>
        </w:rPr>
      </w:pPr>
      <w:r>
        <w:rPr>
          <w:rFonts w:ascii="Arial" w:eastAsia="Arial" w:hAnsi="Arial" w:cs="Arial"/>
          <w:sz w:val="22"/>
          <w:szCs w:val="22"/>
        </w:rPr>
        <w:t>Socialización de la convocatoria 01-2020 Baterías SAEB (29/05/2020)</w:t>
      </w:r>
    </w:p>
    <w:p w:rsidR="00B202A2" w:rsidRDefault="00295E06">
      <w:pPr>
        <w:numPr>
          <w:ilvl w:val="0"/>
          <w:numId w:val="4"/>
        </w:numPr>
        <w:rPr>
          <w:rFonts w:ascii="Arial" w:eastAsia="Arial" w:hAnsi="Arial" w:cs="Arial"/>
          <w:sz w:val="22"/>
          <w:szCs w:val="22"/>
        </w:rPr>
      </w:pPr>
      <w:r>
        <w:rPr>
          <w:rFonts w:ascii="Arial" w:eastAsia="Arial" w:hAnsi="Arial" w:cs="Arial"/>
          <w:sz w:val="22"/>
          <w:szCs w:val="22"/>
        </w:rPr>
        <w:t>Convocatoria pública línea de transmisión Rio Córdoba-Bonda (05/08/2020)</w:t>
      </w:r>
    </w:p>
    <w:p w:rsidR="00B202A2" w:rsidRDefault="00295E06">
      <w:pPr>
        <w:numPr>
          <w:ilvl w:val="0"/>
          <w:numId w:val="4"/>
        </w:numPr>
        <w:spacing w:after="240"/>
        <w:rPr>
          <w:rFonts w:ascii="Arial" w:eastAsia="Arial" w:hAnsi="Arial" w:cs="Arial"/>
          <w:sz w:val="22"/>
          <w:szCs w:val="22"/>
        </w:rPr>
      </w:pPr>
      <w:r>
        <w:rPr>
          <w:rFonts w:ascii="Arial" w:eastAsia="Arial" w:hAnsi="Arial" w:cs="Arial"/>
          <w:sz w:val="22"/>
          <w:szCs w:val="22"/>
        </w:rPr>
        <w:t>Taller de socialización de incentivos tributarios Resoluciones UPME 196 y 203 de 2020</w:t>
      </w:r>
    </w:p>
    <w:p w:rsidR="00B202A2" w:rsidRDefault="00295E06">
      <w:pPr>
        <w:spacing w:before="240" w:after="240"/>
        <w:ind w:left="720"/>
        <w:jc w:val="center"/>
        <w:rPr>
          <w:rFonts w:ascii="Arial" w:eastAsia="Arial" w:hAnsi="Arial" w:cs="Arial"/>
          <w:sz w:val="22"/>
          <w:szCs w:val="22"/>
        </w:rPr>
      </w:pPr>
      <w:r>
        <w:rPr>
          <w:rFonts w:ascii="Arial" w:eastAsia="Arial" w:hAnsi="Arial" w:cs="Arial"/>
          <w:noProof/>
          <w:sz w:val="22"/>
          <w:szCs w:val="22"/>
          <w:lang w:val="en-US"/>
        </w:rPr>
        <w:drawing>
          <wp:inline distT="114300" distB="114300" distL="114300" distR="114300" wp14:anchorId="5F7F6EF1" wp14:editId="36CFF495">
            <wp:extent cx="5399730" cy="1638300"/>
            <wp:effectExtent l="0" t="0" r="0" b="0"/>
            <wp:docPr id="11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81"/>
                    <a:srcRect/>
                    <a:stretch>
                      <a:fillRect/>
                    </a:stretch>
                  </pic:blipFill>
                  <pic:spPr>
                    <a:xfrm>
                      <a:off x="0" y="0"/>
                      <a:ext cx="5399730" cy="1638300"/>
                    </a:xfrm>
                    <a:prstGeom prst="rect">
                      <a:avLst/>
                    </a:prstGeom>
                    <a:ln/>
                  </pic:spPr>
                </pic:pic>
              </a:graphicData>
            </a:graphic>
          </wp:inline>
        </w:drawing>
      </w:r>
      <w:r>
        <w:rPr>
          <w:rFonts w:ascii="Arial" w:eastAsia="Arial" w:hAnsi="Arial" w:cs="Arial"/>
          <w:sz w:val="22"/>
          <w:szCs w:val="22"/>
        </w:rPr>
        <w:t xml:space="preserve">Fuente: buzón </w:t>
      </w:r>
      <w:hyperlink r:id="rId82">
        <w:r>
          <w:rPr>
            <w:rFonts w:ascii="Arial" w:eastAsia="Arial" w:hAnsi="Arial" w:cs="Arial"/>
            <w:color w:val="1155CC"/>
            <w:sz w:val="22"/>
            <w:szCs w:val="22"/>
            <w:u w:val="single"/>
          </w:rPr>
          <w:t>upme@upme.gov.co</w:t>
        </w:r>
      </w:hyperlink>
    </w:p>
    <w:p w:rsidR="00B202A2" w:rsidRDefault="00B202A2">
      <w:pPr>
        <w:jc w:val="center"/>
        <w:rPr>
          <w:rFonts w:ascii="Arial" w:eastAsia="Arial" w:hAnsi="Arial" w:cs="Arial"/>
          <w:sz w:val="22"/>
          <w:szCs w:val="22"/>
        </w:rPr>
      </w:pPr>
    </w:p>
    <w:p w:rsidR="00B202A2" w:rsidRDefault="00295E06">
      <w:pPr>
        <w:jc w:val="both"/>
        <w:rPr>
          <w:rFonts w:ascii="Arial" w:eastAsia="Arial" w:hAnsi="Arial" w:cs="Arial"/>
          <w:sz w:val="22"/>
          <w:szCs w:val="22"/>
        </w:rPr>
      </w:pPr>
      <w:r>
        <w:rPr>
          <w:rFonts w:ascii="Arial" w:eastAsia="Arial" w:hAnsi="Arial" w:cs="Arial"/>
          <w:sz w:val="22"/>
          <w:szCs w:val="22"/>
        </w:rPr>
        <w:t>Nuestro reto es incrementar el número de ejercicios virtuales para la próxima vigencia, (uno p</w:t>
      </w:r>
      <w:r>
        <w:rPr>
          <w:rFonts w:ascii="Arial" w:eastAsia="Arial" w:hAnsi="Arial" w:cs="Arial"/>
          <w:sz w:val="22"/>
          <w:szCs w:val="22"/>
        </w:rPr>
        <w:t>or semana), a través de las plataformas  que actualmente existen.</w:t>
      </w:r>
    </w:p>
    <w:p w:rsidR="00B202A2" w:rsidRDefault="00295E06">
      <w:pPr>
        <w:jc w:val="both"/>
        <w:rPr>
          <w:rFonts w:ascii="Arial" w:eastAsia="Arial" w:hAnsi="Arial" w:cs="Arial"/>
          <w:sz w:val="22"/>
          <w:szCs w:val="22"/>
        </w:rPr>
      </w:pPr>
      <w:r>
        <w:rPr>
          <w:rFonts w:ascii="Arial" w:eastAsia="Arial" w:hAnsi="Arial" w:cs="Arial"/>
          <w:sz w:val="22"/>
          <w:szCs w:val="22"/>
        </w:rPr>
        <w:t xml:space="preserve"> </w:t>
      </w:r>
    </w:p>
    <w:p w:rsidR="00B202A2" w:rsidRDefault="00295E06">
      <w:pPr>
        <w:jc w:val="both"/>
        <w:rPr>
          <w:rFonts w:ascii="Arial" w:eastAsia="Arial" w:hAnsi="Arial" w:cs="Arial"/>
          <w:sz w:val="22"/>
          <w:szCs w:val="22"/>
        </w:rPr>
      </w:pPr>
      <w:r>
        <w:rPr>
          <w:rFonts w:ascii="Arial" w:eastAsia="Arial" w:hAnsi="Arial" w:cs="Arial"/>
          <w:sz w:val="22"/>
          <w:szCs w:val="22"/>
        </w:rPr>
        <w:t>En materia de atención al ciudadano, los retos tienen que ver con los siguientes cuatro aspectos:</w:t>
      </w:r>
    </w:p>
    <w:p w:rsidR="00B202A2" w:rsidRDefault="00295E06">
      <w:pPr>
        <w:jc w:val="both"/>
        <w:rPr>
          <w:rFonts w:ascii="Arial" w:eastAsia="Arial" w:hAnsi="Arial" w:cs="Arial"/>
          <w:sz w:val="22"/>
          <w:szCs w:val="22"/>
        </w:rPr>
      </w:pPr>
      <w:r>
        <w:rPr>
          <w:rFonts w:ascii="Arial" w:eastAsia="Arial" w:hAnsi="Arial" w:cs="Arial"/>
          <w:sz w:val="22"/>
          <w:szCs w:val="22"/>
        </w:rPr>
        <w:t xml:space="preserve"> </w:t>
      </w:r>
    </w:p>
    <w:p w:rsidR="00B202A2" w:rsidRDefault="00295E06">
      <w:pPr>
        <w:numPr>
          <w:ilvl w:val="1"/>
          <w:numId w:val="17"/>
        </w:numPr>
        <w:jc w:val="both"/>
        <w:rPr>
          <w:rFonts w:ascii="Arial" w:eastAsia="Arial" w:hAnsi="Arial" w:cs="Arial"/>
          <w:sz w:val="22"/>
          <w:szCs w:val="22"/>
        </w:rPr>
      </w:pPr>
      <w:r>
        <w:rPr>
          <w:rFonts w:ascii="Arial" w:eastAsia="Arial" w:hAnsi="Arial" w:cs="Arial"/>
          <w:sz w:val="22"/>
          <w:szCs w:val="22"/>
        </w:rPr>
        <w:t>Fortalecimiento del recurso humano necesario y competitivo que responda de manera integr</w:t>
      </w:r>
      <w:r>
        <w:rPr>
          <w:rFonts w:ascii="Arial" w:eastAsia="Arial" w:hAnsi="Arial" w:cs="Arial"/>
          <w:sz w:val="22"/>
          <w:szCs w:val="22"/>
        </w:rPr>
        <w:t>al a las exigencias que demandan los usuarios de la UPME, como entidad referente de la planeación del sector minero energético del país.</w:t>
      </w:r>
    </w:p>
    <w:p w:rsidR="00B202A2" w:rsidRDefault="00B202A2">
      <w:pPr>
        <w:ind w:left="1440"/>
        <w:jc w:val="both"/>
        <w:rPr>
          <w:rFonts w:ascii="Arial" w:eastAsia="Arial" w:hAnsi="Arial" w:cs="Arial"/>
          <w:sz w:val="22"/>
          <w:szCs w:val="22"/>
        </w:rPr>
      </w:pPr>
    </w:p>
    <w:p w:rsidR="00B202A2" w:rsidRDefault="00295E06">
      <w:pPr>
        <w:numPr>
          <w:ilvl w:val="1"/>
          <w:numId w:val="17"/>
        </w:numPr>
        <w:jc w:val="both"/>
        <w:rPr>
          <w:rFonts w:ascii="Arial" w:eastAsia="Arial" w:hAnsi="Arial" w:cs="Arial"/>
          <w:sz w:val="22"/>
          <w:szCs w:val="22"/>
        </w:rPr>
      </w:pPr>
      <w:r>
        <w:rPr>
          <w:rFonts w:ascii="Arial" w:eastAsia="Arial" w:hAnsi="Arial" w:cs="Arial"/>
          <w:sz w:val="22"/>
          <w:szCs w:val="22"/>
        </w:rPr>
        <w:t>Adopción de mejores herramientas tecnológicas que faciliten la gestión de Atención al Ciudadano para construir un sist</w:t>
      </w:r>
      <w:r>
        <w:rPr>
          <w:rFonts w:ascii="Arial" w:eastAsia="Arial" w:hAnsi="Arial" w:cs="Arial"/>
          <w:sz w:val="22"/>
          <w:szCs w:val="22"/>
        </w:rPr>
        <w:t>ema adecuado de información sectorial en la UPME que apoye la toma de decisiones de las autoridades, esto implica, entender cómo perciben los productos y servicios los usuarios finales.</w:t>
      </w:r>
    </w:p>
    <w:p w:rsidR="00B202A2" w:rsidRDefault="00B202A2">
      <w:pPr>
        <w:ind w:left="1440"/>
        <w:jc w:val="both"/>
        <w:rPr>
          <w:rFonts w:ascii="Arial" w:eastAsia="Arial" w:hAnsi="Arial" w:cs="Arial"/>
          <w:sz w:val="22"/>
          <w:szCs w:val="22"/>
        </w:rPr>
      </w:pPr>
    </w:p>
    <w:p w:rsidR="00B202A2" w:rsidRDefault="00295E06">
      <w:pPr>
        <w:numPr>
          <w:ilvl w:val="1"/>
          <w:numId w:val="17"/>
        </w:numPr>
        <w:jc w:val="both"/>
        <w:rPr>
          <w:rFonts w:ascii="Arial" w:eastAsia="Arial" w:hAnsi="Arial" w:cs="Arial"/>
          <w:sz w:val="22"/>
          <w:szCs w:val="22"/>
        </w:rPr>
      </w:pPr>
      <w:r>
        <w:rPr>
          <w:rFonts w:ascii="Arial" w:eastAsia="Arial" w:hAnsi="Arial" w:cs="Arial"/>
          <w:sz w:val="22"/>
          <w:szCs w:val="22"/>
        </w:rPr>
        <w:t>Estableciendo en la UPME el gobierno de la información para identific</w:t>
      </w:r>
      <w:r>
        <w:rPr>
          <w:rFonts w:ascii="Arial" w:eastAsia="Arial" w:hAnsi="Arial" w:cs="Arial"/>
          <w:sz w:val="22"/>
          <w:szCs w:val="22"/>
        </w:rPr>
        <w:t>ar que la satisfacción del cliente es un proceso estratégico y por tanto, es necesario un seguimiento riguroso en función de las buenas prácticas internacionales.</w:t>
      </w:r>
    </w:p>
    <w:p w:rsidR="00B202A2" w:rsidRDefault="00B202A2">
      <w:pPr>
        <w:ind w:left="1440" w:firstLine="60"/>
        <w:jc w:val="both"/>
        <w:rPr>
          <w:rFonts w:ascii="Arial" w:eastAsia="Arial" w:hAnsi="Arial" w:cs="Arial"/>
          <w:sz w:val="22"/>
          <w:szCs w:val="22"/>
        </w:rPr>
      </w:pPr>
    </w:p>
    <w:p w:rsidR="00B202A2" w:rsidRDefault="00295E06">
      <w:pPr>
        <w:numPr>
          <w:ilvl w:val="1"/>
          <w:numId w:val="17"/>
        </w:numPr>
        <w:jc w:val="both"/>
        <w:rPr>
          <w:rFonts w:ascii="Arial" w:eastAsia="Arial" w:hAnsi="Arial" w:cs="Arial"/>
          <w:sz w:val="22"/>
          <w:szCs w:val="22"/>
        </w:rPr>
      </w:pPr>
      <w:r>
        <w:rPr>
          <w:rFonts w:ascii="Arial" w:eastAsia="Arial" w:hAnsi="Arial" w:cs="Arial"/>
          <w:sz w:val="22"/>
          <w:szCs w:val="22"/>
        </w:rPr>
        <w:t>Fomentar las buenas prácticas de gestión de información (sobre todo en lo que refiere a difu</w:t>
      </w:r>
      <w:r>
        <w:rPr>
          <w:rFonts w:ascii="Arial" w:eastAsia="Arial" w:hAnsi="Arial" w:cs="Arial"/>
          <w:sz w:val="22"/>
          <w:szCs w:val="22"/>
        </w:rPr>
        <w:t>sión), con el objetivo de promover la credibilidad, la confiabilidad y la transparencia del sector público.</w:t>
      </w:r>
    </w:p>
    <w:p w:rsidR="00B202A2" w:rsidRDefault="00295E06">
      <w:pPr>
        <w:jc w:val="both"/>
        <w:rPr>
          <w:rFonts w:ascii="Arial" w:eastAsia="Arial" w:hAnsi="Arial" w:cs="Arial"/>
          <w:sz w:val="22"/>
          <w:szCs w:val="22"/>
        </w:rPr>
      </w:pPr>
      <w:r>
        <w:rPr>
          <w:rFonts w:ascii="Arial" w:eastAsia="Arial" w:hAnsi="Arial" w:cs="Arial"/>
          <w:sz w:val="22"/>
          <w:szCs w:val="22"/>
        </w:rPr>
        <w:t xml:space="preserve"> </w:t>
      </w:r>
    </w:p>
    <w:p w:rsidR="00B202A2" w:rsidRDefault="00295E06">
      <w:pPr>
        <w:jc w:val="both"/>
        <w:rPr>
          <w:rFonts w:ascii="Arial" w:eastAsia="Arial" w:hAnsi="Arial" w:cs="Arial"/>
          <w:b/>
          <w:color w:val="2E74B5"/>
          <w:sz w:val="22"/>
          <w:szCs w:val="22"/>
        </w:rPr>
      </w:pPr>
      <w:r>
        <w:br w:type="page"/>
      </w:r>
    </w:p>
    <w:p w:rsidR="00B202A2" w:rsidRDefault="00295E06">
      <w:pPr>
        <w:jc w:val="both"/>
        <w:rPr>
          <w:rFonts w:ascii="Arial" w:eastAsia="Arial" w:hAnsi="Arial" w:cs="Arial"/>
          <w:b/>
          <w:sz w:val="22"/>
          <w:szCs w:val="22"/>
        </w:rPr>
      </w:pPr>
      <w:r>
        <w:rPr>
          <w:rFonts w:ascii="Arial" w:eastAsia="Arial" w:hAnsi="Arial" w:cs="Arial"/>
          <w:b/>
          <w:sz w:val="22"/>
          <w:szCs w:val="22"/>
        </w:rPr>
        <w:lastRenderedPageBreak/>
        <w:t>Fortalecimiento de Canales de Atención</w:t>
      </w:r>
    </w:p>
    <w:p w:rsidR="00B202A2" w:rsidRDefault="00295E06">
      <w:pPr>
        <w:jc w:val="both"/>
        <w:rPr>
          <w:rFonts w:ascii="Arial" w:eastAsia="Arial" w:hAnsi="Arial" w:cs="Arial"/>
          <w:sz w:val="22"/>
          <w:szCs w:val="22"/>
        </w:rPr>
      </w:pPr>
      <w:r>
        <w:rPr>
          <w:rFonts w:ascii="Arial" w:eastAsia="Arial" w:hAnsi="Arial" w:cs="Arial"/>
          <w:sz w:val="22"/>
          <w:szCs w:val="22"/>
        </w:rPr>
        <w:t xml:space="preserve"> </w:t>
      </w:r>
    </w:p>
    <w:p w:rsidR="00B202A2" w:rsidRDefault="00295E06">
      <w:pPr>
        <w:jc w:val="both"/>
        <w:rPr>
          <w:rFonts w:ascii="Arial" w:eastAsia="Arial" w:hAnsi="Arial" w:cs="Arial"/>
          <w:sz w:val="22"/>
          <w:szCs w:val="22"/>
        </w:rPr>
      </w:pPr>
      <w:r>
        <w:rPr>
          <w:rFonts w:ascii="Arial" w:eastAsia="Arial" w:hAnsi="Arial" w:cs="Arial"/>
          <w:sz w:val="22"/>
          <w:szCs w:val="22"/>
        </w:rPr>
        <w:t>En procura de mejorar la atención a los ciudadanos, usuarios y grupos de valor de la UPME, la entidad dispuso de herramientas que facilitan el acceso a la información, así las cosas, uno de los logros más recientes, tiene que ver con la puesta en marcha de</w:t>
      </w:r>
      <w:r>
        <w:rPr>
          <w:rFonts w:ascii="Arial" w:eastAsia="Arial" w:hAnsi="Arial" w:cs="Arial"/>
          <w:sz w:val="22"/>
          <w:szCs w:val="22"/>
        </w:rPr>
        <w:t>l portal para hacer seguimiento a las solicitudes de certificados para acceder beneficios tributarios por fuentes no convencionales de energía y eficiencia energética.</w:t>
      </w:r>
    </w:p>
    <w:p w:rsidR="00B202A2" w:rsidRDefault="00295E06">
      <w:pPr>
        <w:spacing w:after="160"/>
        <w:jc w:val="both"/>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noProof/>
          <w:sz w:val="22"/>
          <w:szCs w:val="22"/>
          <w:lang w:val="en-US"/>
        </w:rPr>
        <w:drawing>
          <wp:inline distT="114300" distB="114300" distL="114300" distR="114300" wp14:anchorId="62E6DA95" wp14:editId="4D5C79E5">
            <wp:extent cx="5399730" cy="2870200"/>
            <wp:effectExtent l="0" t="0" r="0" b="0"/>
            <wp:docPr id="120"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83"/>
                    <a:srcRect/>
                    <a:stretch>
                      <a:fillRect/>
                    </a:stretch>
                  </pic:blipFill>
                  <pic:spPr>
                    <a:xfrm>
                      <a:off x="0" y="0"/>
                      <a:ext cx="5399730" cy="2870200"/>
                    </a:xfrm>
                    <a:prstGeom prst="rect">
                      <a:avLst/>
                    </a:prstGeom>
                    <a:ln/>
                  </pic:spPr>
                </pic:pic>
              </a:graphicData>
            </a:graphic>
          </wp:inline>
        </w:drawing>
      </w:r>
    </w:p>
    <w:p w:rsidR="00B202A2" w:rsidRDefault="00B202A2">
      <w:pPr>
        <w:jc w:val="center"/>
        <w:rPr>
          <w:rFonts w:ascii="Arial" w:eastAsia="Arial" w:hAnsi="Arial" w:cs="Arial"/>
          <w:sz w:val="22"/>
          <w:szCs w:val="22"/>
        </w:rPr>
      </w:pPr>
    </w:p>
    <w:p w:rsidR="00B202A2" w:rsidRDefault="00295E06">
      <w:pPr>
        <w:jc w:val="both"/>
        <w:rPr>
          <w:rFonts w:ascii="Arial" w:eastAsia="Arial" w:hAnsi="Arial" w:cs="Arial"/>
          <w:sz w:val="22"/>
          <w:szCs w:val="22"/>
        </w:rPr>
      </w:pPr>
      <w:r>
        <w:rPr>
          <w:rFonts w:ascii="Arial" w:eastAsia="Arial" w:hAnsi="Arial" w:cs="Arial"/>
          <w:sz w:val="22"/>
          <w:szCs w:val="22"/>
        </w:rPr>
        <w:t>Otro de los logros alcanzados en la presente vigencia, fue haber puesto en operación el buscador institucional, la herramienta permite que los usuarios encuentren fácilmente la información que se maneja en la entidad, tales como documentos, reportes, plane</w:t>
      </w:r>
      <w:r>
        <w:rPr>
          <w:rFonts w:ascii="Arial" w:eastAsia="Arial" w:hAnsi="Arial" w:cs="Arial"/>
          <w:sz w:val="22"/>
          <w:szCs w:val="22"/>
        </w:rPr>
        <w:t>s, entre otros, así mismo, el buscador direcciona al usuario para que pueda acceder a los documentos que se encuentra publicados en la biblioteca virtual.</w:t>
      </w:r>
    </w:p>
    <w:p w:rsidR="00B202A2" w:rsidRDefault="00295E06">
      <w:pPr>
        <w:jc w:val="both"/>
        <w:rPr>
          <w:rFonts w:ascii="Arial" w:eastAsia="Arial" w:hAnsi="Arial" w:cs="Arial"/>
          <w:sz w:val="22"/>
          <w:szCs w:val="22"/>
        </w:rPr>
      </w:pPr>
      <w:r>
        <w:rPr>
          <w:rFonts w:ascii="Arial" w:eastAsia="Arial" w:hAnsi="Arial" w:cs="Arial"/>
          <w:sz w:val="22"/>
          <w:szCs w:val="22"/>
        </w:rPr>
        <w:t xml:space="preserve"> </w:t>
      </w:r>
    </w:p>
    <w:p w:rsidR="00B202A2" w:rsidRDefault="00295E06">
      <w:pPr>
        <w:jc w:val="center"/>
        <w:rPr>
          <w:rFonts w:ascii="Arial" w:eastAsia="Arial" w:hAnsi="Arial" w:cs="Arial"/>
          <w:sz w:val="22"/>
          <w:szCs w:val="22"/>
        </w:rPr>
      </w:pPr>
      <w:r>
        <w:rPr>
          <w:rFonts w:ascii="Arial" w:eastAsia="Arial" w:hAnsi="Arial" w:cs="Arial"/>
          <w:sz w:val="22"/>
          <w:szCs w:val="22"/>
        </w:rPr>
        <w:t xml:space="preserve"> </w:t>
      </w:r>
    </w:p>
    <w:p w:rsidR="00B202A2" w:rsidRDefault="00295E06">
      <w:pPr>
        <w:jc w:val="both"/>
        <w:rPr>
          <w:rFonts w:ascii="Arial" w:eastAsia="Arial" w:hAnsi="Arial" w:cs="Arial"/>
          <w:sz w:val="22"/>
          <w:szCs w:val="22"/>
        </w:rPr>
      </w:pPr>
      <w:r>
        <w:rPr>
          <w:rFonts w:ascii="Arial" w:eastAsia="Arial" w:hAnsi="Arial" w:cs="Arial"/>
          <w:sz w:val="22"/>
          <w:szCs w:val="22"/>
        </w:rPr>
        <w:t>Un tercer logro que contribuyó con la mejora de la prestación del servicio al ciudadano, fue la a</w:t>
      </w:r>
      <w:r>
        <w:rPr>
          <w:rFonts w:ascii="Arial" w:eastAsia="Arial" w:hAnsi="Arial" w:cs="Arial"/>
          <w:sz w:val="22"/>
          <w:szCs w:val="22"/>
        </w:rPr>
        <w:t xml:space="preserve">ctualización del apartado en la web </w:t>
      </w:r>
      <w:r>
        <w:rPr>
          <w:rFonts w:ascii="Arial" w:eastAsia="Arial" w:hAnsi="Arial" w:cs="Arial"/>
          <w:i/>
          <w:sz w:val="22"/>
          <w:szCs w:val="22"/>
        </w:rPr>
        <w:t>“Preguntas Frecuentes”,</w:t>
      </w:r>
      <w:r>
        <w:rPr>
          <w:rFonts w:ascii="Arial" w:eastAsia="Arial" w:hAnsi="Arial" w:cs="Arial"/>
          <w:sz w:val="22"/>
          <w:szCs w:val="22"/>
        </w:rPr>
        <w:t xml:space="preserve"> a lo largo de la presente vigencia, 3200 usuarios realizaron sus consultas a través de esta opción, lo que ha permitido disminuir el número de PQRS hasta en un 98% frente a vigencias anteriores.</w:t>
      </w:r>
    </w:p>
    <w:p w:rsidR="00B202A2" w:rsidRDefault="00295E06">
      <w:pPr>
        <w:spacing w:after="160"/>
        <w:jc w:val="center"/>
        <w:rPr>
          <w:rFonts w:ascii="Arial" w:eastAsia="Arial" w:hAnsi="Arial" w:cs="Arial"/>
          <w:sz w:val="22"/>
          <w:szCs w:val="22"/>
        </w:rPr>
      </w:pPr>
      <w:r>
        <w:rPr>
          <w:rFonts w:ascii="Arial" w:eastAsia="Arial" w:hAnsi="Arial" w:cs="Arial"/>
          <w:sz w:val="22"/>
          <w:szCs w:val="22"/>
        </w:rPr>
        <w:t xml:space="preserve"> </w:t>
      </w:r>
    </w:p>
    <w:p w:rsidR="00B202A2" w:rsidRDefault="00295E06">
      <w:pPr>
        <w:jc w:val="both"/>
        <w:rPr>
          <w:rFonts w:ascii="Arial" w:eastAsia="Arial" w:hAnsi="Arial" w:cs="Arial"/>
          <w:sz w:val="22"/>
          <w:szCs w:val="22"/>
        </w:rPr>
      </w:pPr>
      <w:r>
        <w:rPr>
          <w:rFonts w:ascii="Arial" w:eastAsia="Arial" w:hAnsi="Arial" w:cs="Arial"/>
          <w:sz w:val="22"/>
          <w:szCs w:val="22"/>
        </w:rPr>
        <w:t>En relación al fortalecimiento de canales, nuestro reto se concentra en adoptar  herramientas apropiadas y competitivas de cara a las exigencias que demandan los usuarios y grupos de interés como lo propone la definición de las políticas 10 y 12 del Model</w:t>
      </w:r>
      <w:r>
        <w:rPr>
          <w:rFonts w:ascii="Arial" w:eastAsia="Arial" w:hAnsi="Arial" w:cs="Arial"/>
          <w:sz w:val="22"/>
          <w:szCs w:val="22"/>
        </w:rPr>
        <w:t>o Integrado de Planeación y Gestión MIPG, de esta manera, se alcanza la solidez técnica en los ejercicios estadísticos de la UPME, que no se limitan solamente al reporte de los cuadros de salida o bases de datos, sino que es el resultado de la consolidació</w:t>
      </w:r>
      <w:r>
        <w:rPr>
          <w:rFonts w:ascii="Arial" w:eastAsia="Arial" w:hAnsi="Arial" w:cs="Arial"/>
          <w:sz w:val="22"/>
          <w:szCs w:val="22"/>
        </w:rPr>
        <w:t>n de un proceso sistemático de actividades donde el producto o servicio final que se entrega a los usuarios mide la eficacia del ejercicio que se hace y su plan de mejoramiento.</w:t>
      </w:r>
    </w:p>
    <w:p w:rsidR="00B202A2" w:rsidRDefault="00B202A2">
      <w:pPr>
        <w:spacing w:after="160"/>
        <w:jc w:val="both"/>
        <w:rPr>
          <w:rFonts w:ascii="Arial" w:eastAsia="Arial" w:hAnsi="Arial" w:cs="Arial"/>
          <w:sz w:val="22"/>
          <w:szCs w:val="22"/>
        </w:rPr>
      </w:pPr>
    </w:p>
    <w:p w:rsidR="00B202A2" w:rsidRDefault="00B202A2">
      <w:pPr>
        <w:spacing w:after="240"/>
        <w:rPr>
          <w:rFonts w:ascii="Arial" w:eastAsia="Arial" w:hAnsi="Arial" w:cs="Arial"/>
          <w:color w:val="548DD4"/>
          <w:sz w:val="22"/>
          <w:szCs w:val="22"/>
        </w:rPr>
      </w:pPr>
    </w:p>
    <w:p w:rsidR="00B202A2" w:rsidRDefault="00295E06">
      <w:pPr>
        <w:pStyle w:val="Ttulo3"/>
        <w:rPr>
          <w:rFonts w:ascii="Arial" w:eastAsia="Arial" w:hAnsi="Arial" w:cs="Arial"/>
          <w:color w:val="548DD4"/>
          <w:sz w:val="22"/>
          <w:szCs w:val="22"/>
        </w:rPr>
      </w:pPr>
      <w:bookmarkStart w:id="82" w:name="_Toc55494301"/>
      <w:r>
        <w:rPr>
          <w:rFonts w:ascii="Arial" w:eastAsia="Arial" w:hAnsi="Arial" w:cs="Arial"/>
          <w:color w:val="2F5496"/>
          <w:sz w:val="22"/>
          <w:szCs w:val="22"/>
        </w:rPr>
        <w:t>2.8. Modelo Integrado de Planeación y Gestión - MIPG</w:t>
      </w:r>
      <w:bookmarkEnd w:id="82"/>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La Unidad en cumplimien</w:t>
      </w:r>
      <w:r>
        <w:rPr>
          <w:rFonts w:ascii="Arial" w:eastAsia="Arial" w:hAnsi="Arial" w:cs="Arial"/>
          <w:sz w:val="22"/>
          <w:szCs w:val="22"/>
        </w:rPr>
        <w:t xml:space="preserve">to del Decreto 1499 de 2017, está implementando las políticas de gestión, establecidas en el Modelo Integrado de Planeación y Gestión para lo cual realizó en la vigencia 2018, el autodiagnóstico de cada política o tema asociado y se identificaron acciones </w:t>
      </w:r>
      <w:r>
        <w:rPr>
          <w:rFonts w:ascii="Arial" w:eastAsia="Arial" w:hAnsi="Arial" w:cs="Arial"/>
          <w:sz w:val="22"/>
          <w:szCs w:val="22"/>
        </w:rPr>
        <w:t xml:space="preserve">para el cierre de brecha. Igualmente, se ha dado respuesta al Formulario Único Reporte de Avances de la Gestión –FURAG, herramienta en línea de reporte de avances de la gestión, suministrado por el Departamento Administrativo de la Función Pública – DAFP, </w:t>
      </w:r>
      <w:r>
        <w:rPr>
          <w:rFonts w:ascii="Arial" w:eastAsia="Arial" w:hAnsi="Arial" w:cs="Arial"/>
          <w:sz w:val="22"/>
          <w:szCs w:val="22"/>
        </w:rPr>
        <w:t>como insumo para el monitoreo, evaluación y control de los resultados institucionales y sectoriales.</w:t>
      </w: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 xml:space="preserve">El Furag, procesa la información estadísticamente bajo una metodología diseñada por el DAFP para tal fin y se genera resultados detallados en el Índice de </w:t>
      </w:r>
      <w:r>
        <w:rPr>
          <w:rFonts w:ascii="Arial" w:eastAsia="Arial" w:hAnsi="Arial" w:cs="Arial"/>
          <w:sz w:val="22"/>
          <w:szCs w:val="22"/>
        </w:rPr>
        <w:t>Desempeño Institucional – IDI, los índices por dimensiones y los índices por políticas, para la vigencia 2019 se obtuvieron los siguientes resultados.</w:t>
      </w: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 xml:space="preserve"> </w:t>
      </w:r>
    </w:p>
    <w:p w:rsidR="00B202A2" w:rsidRDefault="00295E06">
      <w:pPr>
        <w:spacing w:before="240" w:after="240"/>
        <w:jc w:val="both"/>
        <w:rPr>
          <w:rFonts w:ascii="Arial" w:eastAsia="Arial" w:hAnsi="Arial" w:cs="Arial"/>
          <w:b/>
          <w:sz w:val="22"/>
          <w:szCs w:val="22"/>
        </w:rPr>
      </w:pPr>
      <w:r>
        <w:rPr>
          <w:rFonts w:ascii="Arial" w:eastAsia="Arial" w:hAnsi="Arial" w:cs="Arial"/>
          <w:b/>
          <w:sz w:val="22"/>
          <w:szCs w:val="22"/>
        </w:rPr>
        <w:t>Índice de Desempeño Institucional</w:t>
      </w:r>
    </w:p>
    <w:p w:rsidR="00B202A2" w:rsidRDefault="00295E06">
      <w:pPr>
        <w:spacing w:before="240" w:after="240"/>
        <w:jc w:val="both"/>
        <w:rPr>
          <w:rFonts w:ascii="Arial" w:eastAsia="Arial" w:hAnsi="Arial" w:cs="Arial"/>
          <w:color w:val="548DD4"/>
          <w:sz w:val="22"/>
          <w:szCs w:val="22"/>
        </w:rPr>
      </w:pPr>
      <w:r>
        <w:rPr>
          <w:rFonts w:ascii="Arial" w:eastAsia="Arial" w:hAnsi="Arial" w:cs="Arial"/>
          <w:color w:val="548DD4"/>
          <w:sz w:val="22"/>
          <w:szCs w:val="22"/>
        </w:rPr>
        <w:t xml:space="preserve"> </w:t>
      </w:r>
      <w:r>
        <w:rPr>
          <w:rFonts w:ascii="Arial" w:eastAsia="Arial" w:hAnsi="Arial" w:cs="Arial"/>
          <w:noProof/>
          <w:color w:val="548DD4"/>
          <w:sz w:val="22"/>
          <w:szCs w:val="22"/>
          <w:lang w:val="en-US"/>
        </w:rPr>
        <w:drawing>
          <wp:inline distT="114300" distB="114300" distL="114300" distR="114300" wp14:anchorId="6FBD1204" wp14:editId="43691CC3">
            <wp:extent cx="5343525" cy="2200275"/>
            <wp:effectExtent l="0" t="0" r="0" b="0"/>
            <wp:docPr id="12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84"/>
                    <a:srcRect/>
                    <a:stretch>
                      <a:fillRect/>
                    </a:stretch>
                  </pic:blipFill>
                  <pic:spPr>
                    <a:xfrm>
                      <a:off x="0" y="0"/>
                      <a:ext cx="5343525" cy="2200275"/>
                    </a:xfrm>
                    <a:prstGeom prst="rect">
                      <a:avLst/>
                    </a:prstGeom>
                    <a:ln/>
                  </pic:spPr>
                </pic:pic>
              </a:graphicData>
            </a:graphic>
          </wp:inline>
        </w:drawing>
      </w:r>
    </w:p>
    <w:p w:rsidR="00B202A2" w:rsidRDefault="00295E06">
      <w:pPr>
        <w:spacing w:before="240" w:after="240"/>
        <w:jc w:val="both"/>
        <w:rPr>
          <w:rFonts w:ascii="Arial" w:eastAsia="Arial" w:hAnsi="Arial" w:cs="Arial"/>
          <w:color w:val="548DD4"/>
          <w:sz w:val="22"/>
          <w:szCs w:val="22"/>
        </w:rPr>
      </w:pPr>
      <w:r>
        <w:rPr>
          <w:rFonts w:ascii="Arial" w:eastAsia="Arial" w:hAnsi="Arial" w:cs="Arial"/>
          <w:color w:val="548DD4"/>
          <w:sz w:val="22"/>
          <w:szCs w:val="22"/>
        </w:rPr>
        <w:t xml:space="preserve"> </w:t>
      </w:r>
      <w:r>
        <w:br w:type="page"/>
      </w:r>
    </w:p>
    <w:p w:rsidR="00B202A2" w:rsidRDefault="00B202A2">
      <w:pPr>
        <w:spacing w:before="240" w:after="240"/>
        <w:jc w:val="both"/>
        <w:rPr>
          <w:rFonts w:ascii="Arial" w:eastAsia="Arial" w:hAnsi="Arial" w:cs="Arial"/>
          <w:color w:val="548DD4"/>
          <w:sz w:val="22"/>
          <w:szCs w:val="22"/>
        </w:rPr>
      </w:pPr>
    </w:p>
    <w:p w:rsidR="00B202A2" w:rsidRDefault="00295E06">
      <w:pPr>
        <w:rPr>
          <w:rFonts w:ascii="Arial" w:eastAsia="Arial" w:hAnsi="Arial" w:cs="Arial"/>
          <w:b/>
          <w:sz w:val="22"/>
          <w:szCs w:val="22"/>
        </w:rPr>
      </w:pPr>
      <w:bookmarkStart w:id="83" w:name="_heading=h.xof6t5tmo1fj" w:colFirst="0" w:colLast="0"/>
      <w:bookmarkEnd w:id="83"/>
      <w:r>
        <w:rPr>
          <w:rFonts w:ascii="Arial" w:eastAsia="Arial" w:hAnsi="Arial" w:cs="Arial"/>
          <w:b/>
          <w:sz w:val="22"/>
          <w:szCs w:val="22"/>
        </w:rPr>
        <w:t>Índices de las dimensiones de Gestión y Desempeño</w:t>
      </w:r>
    </w:p>
    <w:p w:rsidR="00B202A2" w:rsidRDefault="00295E06">
      <w:pPr>
        <w:spacing w:before="240" w:after="240"/>
        <w:rPr>
          <w:rFonts w:ascii="Arial" w:eastAsia="Arial" w:hAnsi="Arial" w:cs="Arial"/>
          <w:color w:val="548DD4"/>
          <w:sz w:val="22"/>
          <w:szCs w:val="22"/>
        </w:rPr>
      </w:pPr>
      <w:bookmarkStart w:id="84" w:name="_heading=h.qstyrdqdle3e" w:colFirst="0" w:colLast="0"/>
      <w:bookmarkEnd w:id="84"/>
      <w:r>
        <w:rPr>
          <w:rFonts w:ascii="Arial" w:eastAsia="Arial" w:hAnsi="Arial" w:cs="Arial"/>
          <w:color w:val="548DD4"/>
          <w:sz w:val="22"/>
          <w:szCs w:val="22"/>
        </w:rPr>
        <w:t xml:space="preserve"> </w:t>
      </w:r>
      <w:r>
        <w:rPr>
          <w:rFonts w:ascii="Arial" w:eastAsia="Arial" w:hAnsi="Arial" w:cs="Arial"/>
          <w:noProof/>
          <w:color w:val="548DD4"/>
          <w:sz w:val="22"/>
          <w:szCs w:val="22"/>
          <w:lang w:val="en-US"/>
        </w:rPr>
        <w:drawing>
          <wp:inline distT="114300" distB="114300" distL="114300" distR="114300" wp14:anchorId="328141AD" wp14:editId="23C165B6">
            <wp:extent cx="5781675" cy="2466975"/>
            <wp:effectExtent l="0" t="0" r="0" b="0"/>
            <wp:docPr id="11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85"/>
                    <a:srcRect/>
                    <a:stretch>
                      <a:fillRect/>
                    </a:stretch>
                  </pic:blipFill>
                  <pic:spPr>
                    <a:xfrm>
                      <a:off x="0" y="0"/>
                      <a:ext cx="5781675" cy="2466975"/>
                    </a:xfrm>
                    <a:prstGeom prst="rect">
                      <a:avLst/>
                    </a:prstGeom>
                    <a:ln/>
                  </pic:spPr>
                </pic:pic>
              </a:graphicData>
            </a:graphic>
          </wp:inline>
        </w:drawing>
      </w:r>
    </w:p>
    <w:p w:rsidR="00B202A2" w:rsidRDefault="00295E06">
      <w:pPr>
        <w:rPr>
          <w:rFonts w:ascii="Arial" w:eastAsia="Arial" w:hAnsi="Arial" w:cs="Arial"/>
          <w:color w:val="548DD4"/>
          <w:sz w:val="22"/>
          <w:szCs w:val="22"/>
        </w:rPr>
      </w:pPr>
      <w:bookmarkStart w:id="85" w:name="_heading=h.j02gq0goqohq" w:colFirst="0" w:colLast="0"/>
      <w:bookmarkEnd w:id="85"/>
      <w:r>
        <w:rPr>
          <w:rFonts w:ascii="Arial" w:eastAsia="Arial" w:hAnsi="Arial" w:cs="Arial"/>
          <w:color w:val="548DD4"/>
          <w:sz w:val="22"/>
          <w:szCs w:val="22"/>
        </w:rPr>
        <w:t xml:space="preserve"> </w:t>
      </w:r>
    </w:p>
    <w:p w:rsidR="00B202A2" w:rsidRDefault="00295E06">
      <w:pPr>
        <w:rPr>
          <w:rFonts w:ascii="Arial" w:eastAsia="Arial" w:hAnsi="Arial" w:cs="Arial"/>
          <w:b/>
          <w:sz w:val="22"/>
          <w:szCs w:val="22"/>
        </w:rPr>
      </w:pPr>
      <w:r>
        <w:rPr>
          <w:rFonts w:ascii="Arial" w:eastAsia="Arial" w:hAnsi="Arial" w:cs="Arial"/>
          <w:b/>
          <w:sz w:val="22"/>
          <w:szCs w:val="22"/>
        </w:rPr>
        <w:t>Índices por política</w:t>
      </w:r>
    </w:p>
    <w:p w:rsidR="00B202A2" w:rsidRDefault="00295E06">
      <w:pPr>
        <w:spacing w:before="240" w:after="240"/>
        <w:rPr>
          <w:rFonts w:ascii="Arial" w:eastAsia="Arial" w:hAnsi="Arial" w:cs="Arial"/>
          <w:color w:val="548DD4"/>
          <w:sz w:val="22"/>
          <w:szCs w:val="22"/>
        </w:rPr>
      </w:pPr>
      <w:r>
        <w:rPr>
          <w:rFonts w:ascii="Arial" w:eastAsia="Arial" w:hAnsi="Arial" w:cs="Arial"/>
          <w:color w:val="548DD4"/>
          <w:sz w:val="22"/>
          <w:szCs w:val="22"/>
        </w:rPr>
        <w:t xml:space="preserve"> </w:t>
      </w:r>
      <w:r>
        <w:rPr>
          <w:rFonts w:ascii="Arial" w:eastAsia="Arial" w:hAnsi="Arial" w:cs="Arial"/>
          <w:noProof/>
          <w:color w:val="548DD4"/>
          <w:sz w:val="22"/>
          <w:szCs w:val="22"/>
          <w:lang w:val="en-US"/>
        </w:rPr>
        <w:drawing>
          <wp:inline distT="114300" distB="114300" distL="114300" distR="114300" wp14:anchorId="4D67C51E" wp14:editId="2101ED1D">
            <wp:extent cx="5372100" cy="2028825"/>
            <wp:effectExtent l="0" t="0" r="0" b="0"/>
            <wp:docPr id="11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86"/>
                    <a:srcRect/>
                    <a:stretch>
                      <a:fillRect/>
                    </a:stretch>
                  </pic:blipFill>
                  <pic:spPr>
                    <a:xfrm>
                      <a:off x="0" y="0"/>
                      <a:ext cx="5372100" cy="2028825"/>
                    </a:xfrm>
                    <a:prstGeom prst="rect">
                      <a:avLst/>
                    </a:prstGeom>
                    <a:ln/>
                  </pic:spPr>
                </pic:pic>
              </a:graphicData>
            </a:graphic>
          </wp:inline>
        </w:drawing>
      </w:r>
    </w:p>
    <w:p w:rsidR="00B202A2" w:rsidRDefault="00295E06">
      <w:pPr>
        <w:jc w:val="both"/>
        <w:rPr>
          <w:rFonts w:ascii="Arial" w:eastAsia="Arial" w:hAnsi="Arial" w:cs="Arial"/>
          <w:sz w:val="22"/>
          <w:szCs w:val="22"/>
        </w:rPr>
      </w:pPr>
      <w:bookmarkStart w:id="86" w:name="_heading=h.52b30r1j6nvr" w:colFirst="0" w:colLast="0"/>
      <w:bookmarkEnd w:id="86"/>
      <w:r>
        <w:rPr>
          <w:rFonts w:ascii="Arial" w:eastAsia="Arial" w:hAnsi="Arial" w:cs="Arial"/>
          <w:sz w:val="22"/>
          <w:szCs w:val="22"/>
        </w:rPr>
        <w:t>De acuerdo con los resultados de los índices, el DAFP realizó recomendaciones que han sido consideradas por la UPME. Igualmente, se han documentado acciones a partir de los resultados de las evaluaciones del MIPG por parte de Contro</w:t>
      </w:r>
      <w:r>
        <w:rPr>
          <w:rFonts w:ascii="Arial" w:eastAsia="Arial" w:hAnsi="Arial" w:cs="Arial"/>
          <w:sz w:val="22"/>
          <w:szCs w:val="22"/>
        </w:rPr>
        <w:t>l Interno. Estas acciones en conjunto permitirán avanzar en la implementación del MIPG y en consecuencia mejorar la gestión institucional.</w:t>
      </w:r>
    </w:p>
    <w:p w:rsidR="00B202A2" w:rsidRDefault="00B202A2">
      <w:pPr>
        <w:rPr>
          <w:rFonts w:ascii="Arial" w:eastAsia="Arial" w:hAnsi="Arial" w:cs="Arial"/>
          <w:sz w:val="22"/>
          <w:szCs w:val="22"/>
        </w:rPr>
      </w:pPr>
      <w:bookmarkStart w:id="87" w:name="_heading=h.13rkyq63p6uz" w:colFirst="0" w:colLast="0"/>
      <w:bookmarkEnd w:id="87"/>
    </w:p>
    <w:p w:rsidR="00B202A2" w:rsidRDefault="00295E06">
      <w:pPr>
        <w:pStyle w:val="Ttulo1"/>
        <w:spacing w:before="0"/>
        <w:rPr>
          <w:rFonts w:ascii="Arial" w:eastAsia="Arial" w:hAnsi="Arial" w:cs="Arial"/>
          <w:color w:val="2F5496"/>
          <w:sz w:val="22"/>
          <w:szCs w:val="22"/>
        </w:rPr>
      </w:pPr>
      <w:bookmarkStart w:id="88" w:name="_Toc55494302"/>
      <w:r>
        <w:rPr>
          <w:rFonts w:ascii="Arial" w:eastAsia="Arial" w:hAnsi="Arial" w:cs="Arial"/>
          <w:color w:val="2F5496"/>
          <w:sz w:val="22"/>
          <w:szCs w:val="22"/>
        </w:rPr>
        <w:t>2.9. Estado General del Sistema de Control Interno</w:t>
      </w:r>
      <w:bookmarkEnd w:id="88"/>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En cumplimiento con las directrices dadas por la Presidencia de la República y el Departamento Administrativo de la Función Pública, según el artículo 156 del Decreto 2106 de 2019, se realizó la evaluación del estado del Sistema de Control Interno de la UP</w:t>
      </w:r>
      <w:r>
        <w:rPr>
          <w:rFonts w:ascii="Arial" w:eastAsia="Arial" w:hAnsi="Arial" w:cs="Arial"/>
          <w:sz w:val="22"/>
          <w:szCs w:val="22"/>
        </w:rPr>
        <w:t xml:space="preserve">ME, en donde la entidad obtuvo una calificación del 50%, lo que indica que los </w:t>
      </w:r>
      <w:r>
        <w:rPr>
          <w:rFonts w:ascii="Arial" w:eastAsia="Arial" w:hAnsi="Arial" w:cs="Arial"/>
          <w:sz w:val="22"/>
          <w:szCs w:val="22"/>
        </w:rPr>
        <w:lastRenderedPageBreak/>
        <w:t>componentes del Sistema y sus lineamientos, no están presentes, funcionando y operando en su totalidad y de manera articulada con el Modelo Integrado de Planeación y Gestión – M</w:t>
      </w:r>
      <w:r>
        <w:rPr>
          <w:rFonts w:ascii="Arial" w:eastAsia="Arial" w:hAnsi="Arial" w:cs="Arial"/>
          <w:sz w:val="22"/>
          <w:szCs w:val="22"/>
        </w:rPr>
        <w:t>IPG, además se identificaron brechas en cada una de las dimensiones del Modelo, lo cual no permite su completa articulación y requiere acciones dirigidas a fortalecer o mejorar su diseño y ejecución. Los resultados se publicaron el 30 de julio de 2020 en:</w:t>
      </w:r>
      <w:hyperlink r:id="rId87">
        <w:r>
          <w:rPr>
            <w:rFonts w:ascii="Arial" w:eastAsia="Arial" w:hAnsi="Arial" w:cs="Arial"/>
            <w:sz w:val="22"/>
            <w:szCs w:val="22"/>
          </w:rPr>
          <w:t xml:space="preserve"> </w:t>
        </w:r>
      </w:hyperlink>
      <w:hyperlink r:id="rId88">
        <w:r>
          <w:rPr>
            <w:rFonts w:ascii="Arial" w:eastAsia="Arial" w:hAnsi="Arial" w:cs="Arial"/>
            <w:color w:val="1155CC"/>
            <w:sz w:val="22"/>
            <w:szCs w:val="22"/>
            <w:u w:val="single"/>
          </w:rPr>
          <w:t>https://www1.upme.gov.co/Seguimiento/Documents/InformesControlInterno/Evaluacion_Independiente_Estado_SCI_I_2020.pdf</w:t>
        </w:r>
      </w:hyperlink>
    </w:p>
    <w:p w:rsidR="00B202A2" w:rsidRDefault="00295E06">
      <w:pPr>
        <w:spacing w:before="240" w:after="240"/>
        <w:jc w:val="both"/>
        <w:rPr>
          <w:rFonts w:ascii="Arial" w:eastAsia="Arial" w:hAnsi="Arial" w:cs="Arial"/>
          <w:b/>
          <w:sz w:val="22"/>
          <w:szCs w:val="22"/>
        </w:rPr>
      </w:pPr>
      <w:r>
        <w:rPr>
          <w:rFonts w:ascii="Arial" w:eastAsia="Arial" w:hAnsi="Arial" w:cs="Arial"/>
          <w:sz w:val="22"/>
          <w:szCs w:val="22"/>
        </w:rPr>
        <w:t>En dicho Informe se presentaron recomendaciones para  fortalecer las actividades de monitoreo de la segunda línea de defensa, dirigidas a valorar la eficiencia y efectividad de los procesos, el nivel de cumplimiento de los planes, programas y proyectos y l</w:t>
      </w:r>
      <w:r>
        <w:rPr>
          <w:rFonts w:ascii="Arial" w:eastAsia="Arial" w:hAnsi="Arial" w:cs="Arial"/>
          <w:sz w:val="22"/>
          <w:szCs w:val="22"/>
        </w:rPr>
        <w:t>os resultados de la gestión, con el fin de lograr un nivel aceptable en las funciones de aseguramiento y un control interno efectivo en la entidad.</w:t>
      </w:r>
    </w:p>
    <w:p w:rsidR="00B202A2" w:rsidRDefault="00295E06">
      <w:pPr>
        <w:spacing w:before="240" w:after="240"/>
        <w:jc w:val="both"/>
        <w:rPr>
          <w:rFonts w:ascii="Arial" w:eastAsia="Arial" w:hAnsi="Arial" w:cs="Arial"/>
          <w:b/>
          <w:sz w:val="22"/>
          <w:szCs w:val="22"/>
        </w:rPr>
      </w:pPr>
      <w:r>
        <w:rPr>
          <w:rFonts w:ascii="Arial" w:eastAsia="Arial" w:hAnsi="Arial" w:cs="Arial"/>
          <w:sz w:val="22"/>
          <w:szCs w:val="22"/>
        </w:rPr>
        <w:t>En este sentido, la UPME se encuentra adelantando diferentes acciones y estrategias para fortalecer el Siste</w:t>
      </w:r>
      <w:r>
        <w:rPr>
          <w:rFonts w:ascii="Arial" w:eastAsia="Arial" w:hAnsi="Arial" w:cs="Arial"/>
          <w:sz w:val="22"/>
          <w:szCs w:val="22"/>
        </w:rPr>
        <w:t>ma de Control Interno; mediante la adopción de controles al interior de los procesos, optimización de los recursos, seguimientos periódicos a la gestión y monitoreo de los riesgos, en aras de cumplir los objetivos institucionales y el establecimiento de la</w:t>
      </w:r>
      <w:r>
        <w:rPr>
          <w:rFonts w:ascii="Arial" w:eastAsia="Arial" w:hAnsi="Arial" w:cs="Arial"/>
          <w:sz w:val="22"/>
          <w:szCs w:val="22"/>
        </w:rPr>
        <w:t xml:space="preserve"> cultura del autocontrol.</w:t>
      </w:r>
    </w:p>
    <w:p w:rsidR="00B202A2" w:rsidRDefault="00B202A2">
      <w:pPr>
        <w:pStyle w:val="Ttulo3"/>
        <w:rPr>
          <w:rFonts w:ascii="Arial" w:eastAsia="Arial" w:hAnsi="Arial" w:cs="Arial"/>
          <w:sz w:val="22"/>
          <w:szCs w:val="22"/>
        </w:rPr>
      </w:pPr>
    </w:p>
    <w:p w:rsidR="00B202A2" w:rsidRDefault="00295E06">
      <w:pPr>
        <w:pStyle w:val="Ttulo3"/>
        <w:rPr>
          <w:rFonts w:ascii="Arial" w:eastAsia="Arial" w:hAnsi="Arial" w:cs="Arial"/>
          <w:sz w:val="22"/>
          <w:szCs w:val="22"/>
        </w:rPr>
      </w:pPr>
      <w:bookmarkStart w:id="89" w:name="_heading=h.yvbugl9ar55a" w:colFirst="0" w:colLast="0"/>
      <w:bookmarkStart w:id="90" w:name="_Toc55494303"/>
      <w:bookmarkEnd w:id="89"/>
      <w:r>
        <w:rPr>
          <w:rFonts w:ascii="Arial" w:eastAsia="Arial" w:hAnsi="Arial" w:cs="Arial"/>
          <w:sz w:val="22"/>
          <w:szCs w:val="22"/>
        </w:rPr>
        <w:t>Auditorías Internas</w:t>
      </w:r>
      <w:bookmarkEnd w:id="90"/>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El Programa Anual de Auditoría Interna – PAAI aprobado en enero de 2019 por el Comité Institucional de Control Interno fue elaborado bajo la metodología de priorización para determinar los procesos que cuentan</w:t>
      </w:r>
      <w:r>
        <w:rPr>
          <w:rFonts w:ascii="Arial" w:eastAsia="Arial" w:hAnsi="Arial" w:cs="Arial"/>
          <w:sz w:val="22"/>
          <w:szCs w:val="22"/>
        </w:rPr>
        <w:t xml:space="preserve"> con mayor relevancia para el cumplimiento de la misión, los objetivos estratégicos y aquellos que presentan un alto nivel de riesgo, entre otros factores, el cual, a 31 de diciembre de 2019 presentó cumplimiento del 89% en razón a que dos (2) auditorías s</w:t>
      </w:r>
      <w:r>
        <w:rPr>
          <w:rFonts w:ascii="Arial" w:eastAsia="Arial" w:hAnsi="Arial" w:cs="Arial"/>
          <w:sz w:val="22"/>
          <w:szCs w:val="22"/>
        </w:rPr>
        <w:t>e reprogramaron para la siguiente vigencia. Los informes de auditoría e informes de ley se publican en el sitio web de la Unidad en</w:t>
      </w:r>
      <w:hyperlink r:id="rId89">
        <w:r>
          <w:rPr>
            <w:rFonts w:ascii="Arial" w:eastAsia="Arial" w:hAnsi="Arial" w:cs="Arial"/>
            <w:sz w:val="22"/>
            <w:szCs w:val="22"/>
          </w:rPr>
          <w:t xml:space="preserve"> </w:t>
        </w:r>
      </w:hyperlink>
      <w:hyperlink r:id="rId90">
        <w:r>
          <w:rPr>
            <w:rFonts w:ascii="Arial" w:eastAsia="Arial" w:hAnsi="Arial" w:cs="Arial"/>
            <w:color w:val="1155CC"/>
            <w:sz w:val="22"/>
            <w:szCs w:val="22"/>
            <w:u w:val="single"/>
          </w:rPr>
          <w:t>https://www1.upme.gov.co/Seguimiento/Paginas/Informes-de-Control-Interno.aspx</w:t>
        </w:r>
      </w:hyperlink>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Igualmente, para la vigencia de 2020 el Comité Institucional de Control Interno aprobó el Programa de Audito</w:t>
      </w:r>
      <w:r>
        <w:rPr>
          <w:rFonts w:ascii="Arial" w:eastAsia="Arial" w:hAnsi="Arial" w:cs="Arial"/>
          <w:sz w:val="22"/>
          <w:szCs w:val="22"/>
        </w:rPr>
        <w:t>rías, el cual, con ocasión de la emergencia sanitaria decretada por el Gobierno Nacional por causa del Coronavirus COVID -19 y las medidas transitorias para el trabajo virtual en casa, se hizo necesario realizar algunas modificaciones, especialmente en aqu</w:t>
      </w:r>
      <w:r>
        <w:rPr>
          <w:rFonts w:ascii="Arial" w:eastAsia="Arial" w:hAnsi="Arial" w:cs="Arial"/>
          <w:sz w:val="22"/>
          <w:szCs w:val="22"/>
        </w:rPr>
        <w:t>ellas auditorías que requerían actividades presenciales y verificaciones en puesto de trabajo, las cuales fueron aprobadas por el Comité de Institucional de Control Interno.</w:t>
      </w:r>
    </w:p>
    <w:p w:rsidR="00B202A2" w:rsidRDefault="00B202A2">
      <w:pPr>
        <w:spacing w:before="240" w:after="240"/>
        <w:jc w:val="both"/>
        <w:rPr>
          <w:rFonts w:ascii="Arial" w:eastAsia="Arial" w:hAnsi="Arial" w:cs="Arial"/>
          <w:sz w:val="22"/>
          <w:szCs w:val="22"/>
        </w:rPr>
      </w:pPr>
    </w:p>
    <w:p w:rsidR="00B202A2" w:rsidRDefault="00295E06">
      <w:pPr>
        <w:pStyle w:val="Ttulo3"/>
        <w:rPr>
          <w:rFonts w:ascii="Arial" w:eastAsia="Arial" w:hAnsi="Arial" w:cs="Arial"/>
          <w:sz w:val="22"/>
          <w:szCs w:val="22"/>
        </w:rPr>
      </w:pPr>
      <w:bookmarkStart w:id="91" w:name="_Toc55494304"/>
      <w:r>
        <w:rPr>
          <w:rFonts w:ascii="Arial" w:eastAsia="Arial" w:hAnsi="Arial" w:cs="Arial"/>
          <w:sz w:val="22"/>
          <w:szCs w:val="22"/>
        </w:rPr>
        <w:t>Planes de Mejoramiento</w:t>
      </w:r>
      <w:bookmarkEnd w:id="91"/>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 xml:space="preserve">La Unidad cuenta con un plan de mejoramiento suscrito por </w:t>
      </w:r>
      <w:r>
        <w:rPr>
          <w:rFonts w:ascii="Arial" w:eastAsia="Arial" w:hAnsi="Arial" w:cs="Arial"/>
          <w:sz w:val="22"/>
          <w:szCs w:val="22"/>
        </w:rPr>
        <w:t xml:space="preserve">los líderes de los procesos con acciones tendientes a subsanar o eliminar las causas de las oportunidades de mejora y hallazgos identificados en las auditorías internas, el cual fue objeto de  seguimiento en el mes de julio de 2020, en donde  se evidenció </w:t>
      </w:r>
      <w:r>
        <w:rPr>
          <w:rFonts w:ascii="Arial" w:eastAsia="Arial" w:hAnsi="Arial" w:cs="Arial"/>
          <w:sz w:val="22"/>
          <w:szCs w:val="22"/>
        </w:rPr>
        <w:t xml:space="preserve">que del total de 179 acciones suscritas, el 51% se concentran en los procesos de apoyo (Talento Humano, </w:t>
      </w:r>
      <w:r>
        <w:rPr>
          <w:rFonts w:ascii="Arial" w:eastAsia="Arial" w:hAnsi="Arial" w:cs="Arial"/>
          <w:sz w:val="22"/>
          <w:szCs w:val="22"/>
        </w:rPr>
        <w:lastRenderedPageBreak/>
        <w:t>Financiera y Administrativa) y el 37% se ubican en los procesos misionales (PEI Hidrocarburos, Demanda y Prospectiva, PEI Energía Eléctrica y Gestión de</w:t>
      </w:r>
      <w:r>
        <w:rPr>
          <w:rFonts w:ascii="Arial" w:eastAsia="Arial" w:hAnsi="Arial" w:cs="Arial"/>
          <w:sz w:val="22"/>
          <w:szCs w:val="22"/>
        </w:rPr>
        <w:t xml:space="preserve"> Información).</w:t>
      </w:r>
    </w:p>
    <w:p w:rsidR="00B202A2" w:rsidRDefault="00295E06">
      <w:pPr>
        <w:spacing w:before="240" w:after="240"/>
        <w:jc w:val="both"/>
        <w:rPr>
          <w:rFonts w:ascii="Arial" w:eastAsia="Arial" w:hAnsi="Arial" w:cs="Arial"/>
          <w:color w:val="FF0000"/>
          <w:sz w:val="22"/>
          <w:szCs w:val="22"/>
        </w:rPr>
      </w:pPr>
      <w:r>
        <w:rPr>
          <w:rFonts w:ascii="Arial" w:eastAsia="Arial" w:hAnsi="Arial" w:cs="Arial"/>
          <w:sz w:val="22"/>
          <w:szCs w:val="22"/>
        </w:rPr>
        <w:t>Así mismo se identificó que 21 acciones fueron eficaces para subsanar los hallazgos y las oportunidades de mejora identificadas, mientras que 109 permanecen abiertas por no alcanzar con el grado de cumplimiento de la acción propuesta o no fu</w:t>
      </w:r>
      <w:r>
        <w:rPr>
          <w:rFonts w:ascii="Arial" w:eastAsia="Arial" w:hAnsi="Arial" w:cs="Arial"/>
          <w:sz w:val="22"/>
          <w:szCs w:val="22"/>
        </w:rPr>
        <w:t>eron eficaces, aclarando que 49 acciones son nuevas y no presentaron avance en la autoevaluación.</w:t>
      </w:r>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Igualmente, se cuenta con un Plan de Mejoramiento Institucional suscrito con la Contraloría General de la República, el cual a 31 de diciembre de 2018 present</w:t>
      </w:r>
      <w:r>
        <w:rPr>
          <w:rFonts w:ascii="Arial" w:eastAsia="Arial" w:hAnsi="Arial" w:cs="Arial"/>
          <w:sz w:val="22"/>
          <w:szCs w:val="22"/>
        </w:rPr>
        <w:t>aba 20 hallazgos y 38 acciones de mejora, producto de auditorías de las vigencias 2014, 2015 y 2018 y atendiendo los lineamientos impartidos por la CGR mediante la Circular 05 de 2019, en la que se le asignó a los Jefes de Control Interno la competencia de</w:t>
      </w:r>
      <w:r>
        <w:rPr>
          <w:rFonts w:ascii="Arial" w:eastAsia="Arial" w:hAnsi="Arial" w:cs="Arial"/>
          <w:sz w:val="22"/>
          <w:szCs w:val="22"/>
        </w:rPr>
        <w:t xml:space="preserve"> informar  las acciones cumplidas, se realizó el  seguimiento correspondiente y a la fecha del presente informe se ha certificado el cumplimiento de 37 acciones quedando una acción en proceso de cumpliento del 95%.</w:t>
      </w:r>
    </w:p>
    <w:p w:rsidR="00B202A2" w:rsidRDefault="00295E06">
      <w:pPr>
        <w:spacing w:before="240" w:after="240"/>
        <w:jc w:val="both"/>
        <w:rPr>
          <w:rFonts w:ascii="Arial" w:eastAsia="Arial" w:hAnsi="Arial" w:cs="Arial"/>
          <w:color w:val="FF0000"/>
          <w:sz w:val="22"/>
          <w:szCs w:val="22"/>
        </w:rPr>
      </w:pPr>
      <w:r>
        <w:rPr>
          <w:rFonts w:ascii="Arial" w:eastAsia="Arial" w:hAnsi="Arial" w:cs="Arial"/>
          <w:color w:val="FF0000"/>
          <w:sz w:val="22"/>
          <w:szCs w:val="22"/>
        </w:rPr>
        <w:t xml:space="preserve"> </w:t>
      </w:r>
    </w:p>
    <w:p w:rsidR="00B202A2" w:rsidRDefault="00295E06">
      <w:pPr>
        <w:pStyle w:val="Ttulo3"/>
        <w:rPr>
          <w:rFonts w:ascii="Arial" w:eastAsia="Arial" w:hAnsi="Arial" w:cs="Arial"/>
          <w:sz w:val="22"/>
          <w:szCs w:val="22"/>
        </w:rPr>
      </w:pPr>
      <w:bookmarkStart w:id="92" w:name="_Toc55494305"/>
      <w:r>
        <w:rPr>
          <w:rFonts w:ascii="Arial" w:eastAsia="Arial" w:hAnsi="Arial" w:cs="Arial"/>
          <w:sz w:val="22"/>
          <w:szCs w:val="22"/>
        </w:rPr>
        <w:t>Auditorías Externas</w:t>
      </w:r>
      <w:bookmarkEnd w:id="92"/>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Durante la vigencia</w:t>
      </w:r>
      <w:r>
        <w:rPr>
          <w:rFonts w:ascii="Arial" w:eastAsia="Arial" w:hAnsi="Arial" w:cs="Arial"/>
          <w:sz w:val="22"/>
          <w:szCs w:val="22"/>
        </w:rPr>
        <w:t xml:space="preserve"> 2019 la Contraloría General de la República - CGR, no desarrolló auditoría en la Unidad, sin embargo se dio respuesta a los diferentes requerimientos de información que el organismo de control presentó en ejercicio de su misión constitucional de vigilanci</w:t>
      </w:r>
      <w:r>
        <w:rPr>
          <w:rFonts w:ascii="Arial" w:eastAsia="Arial" w:hAnsi="Arial" w:cs="Arial"/>
          <w:sz w:val="22"/>
          <w:szCs w:val="22"/>
        </w:rPr>
        <w:t>a y control de los recursos públicos.</w:t>
      </w:r>
    </w:p>
    <w:p w:rsidR="00B202A2" w:rsidRDefault="00295E06">
      <w:pPr>
        <w:spacing w:before="240" w:after="240"/>
        <w:jc w:val="both"/>
        <w:rPr>
          <w:rFonts w:ascii="Arial" w:eastAsia="Arial" w:hAnsi="Arial" w:cs="Arial"/>
          <w:b/>
          <w:sz w:val="22"/>
          <w:szCs w:val="22"/>
        </w:rPr>
      </w:pPr>
      <w:r>
        <w:rPr>
          <w:rFonts w:ascii="Arial" w:eastAsia="Arial" w:hAnsi="Arial" w:cs="Arial"/>
          <w:sz w:val="22"/>
          <w:szCs w:val="22"/>
        </w:rPr>
        <w:t>Los informes de auditoría realizados por la CGR y los certificados de cumplimiento de la rendición de cuenta de las últimas vigencias se encuentran publicados para consulta en el link:</w:t>
      </w:r>
      <w:hyperlink r:id="rId91">
        <w:r>
          <w:rPr>
            <w:rFonts w:ascii="Arial" w:eastAsia="Arial" w:hAnsi="Arial" w:cs="Arial"/>
            <w:sz w:val="22"/>
            <w:szCs w:val="22"/>
          </w:rPr>
          <w:t xml:space="preserve"> </w:t>
        </w:r>
      </w:hyperlink>
      <w:hyperlink r:id="rId92">
        <w:r>
          <w:rPr>
            <w:rFonts w:ascii="Arial" w:eastAsia="Arial" w:hAnsi="Arial" w:cs="Arial"/>
            <w:color w:val="1155CC"/>
            <w:sz w:val="22"/>
            <w:szCs w:val="22"/>
            <w:u w:val="single"/>
          </w:rPr>
          <w:t>https://www1.upme.gov.co/Seguimiento/Entes_de_control/Paginas/Autoridades-e</w:t>
        </w:r>
        <w:r>
          <w:rPr>
            <w:rFonts w:ascii="Arial" w:eastAsia="Arial" w:hAnsi="Arial" w:cs="Arial"/>
            <w:color w:val="1155CC"/>
            <w:sz w:val="22"/>
            <w:szCs w:val="22"/>
            <w:u w:val="single"/>
          </w:rPr>
          <w:t>xternas.aspx</w:t>
        </w:r>
      </w:hyperlink>
    </w:p>
    <w:p w:rsidR="00B202A2" w:rsidRDefault="00295E06">
      <w:pPr>
        <w:spacing w:before="240" w:after="240"/>
        <w:jc w:val="both"/>
        <w:rPr>
          <w:rFonts w:ascii="Arial" w:eastAsia="Arial" w:hAnsi="Arial" w:cs="Arial"/>
          <w:sz w:val="22"/>
          <w:szCs w:val="22"/>
        </w:rPr>
      </w:pPr>
      <w:r>
        <w:rPr>
          <w:rFonts w:ascii="Arial" w:eastAsia="Arial" w:hAnsi="Arial" w:cs="Arial"/>
          <w:sz w:val="22"/>
          <w:szCs w:val="22"/>
        </w:rPr>
        <w:t>A la fecha del presente informe, se encuentra en curso la auditoría de cumplimiento sobre las vigencias 2018 – 2019 con el objetivo de evaluar el cumplimiento de la normatividad aplicable en la ejecución de los recursos públicos en las vigenci</w:t>
      </w:r>
      <w:r>
        <w:rPr>
          <w:rFonts w:ascii="Arial" w:eastAsia="Arial" w:hAnsi="Arial" w:cs="Arial"/>
          <w:sz w:val="22"/>
          <w:szCs w:val="22"/>
        </w:rPr>
        <w:t>as auditadas.</w:t>
      </w:r>
    </w:p>
    <w:p w:rsidR="00B202A2" w:rsidRDefault="00295E06">
      <w:pPr>
        <w:spacing w:before="240" w:after="240"/>
        <w:jc w:val="both"/>
        <w:rPr>
          <w:rFonts w:ascii="Arial" w:eastAsia="Arial" w:hAnsi="Arial" w:cs="Arial"/>
          <w:b/>
          <w:sz w:val="22"/>
          <w:szCs w:val="22"/>
        </w:rPr>
      </w:pPr>
      <w:r>
        <w:rPr>
          <w:rFonts w:ascii="Arial" w:eastAsia="Arial" w:hAnsi="Arial" w:cs="Arial"/>
          <w:b/>
          <w:sz w:val="22"/>
          <w:szCs w:val="22"/>
        </w:rPr>
        <w:t xml:space="preserve"> </w:t>
      </w:r>
    </w:p>
    <w:p w:rsidR="00B202A2" w:rsidRDefault="00295E06">
      <w:pPr>
        <w:spacing w:before="240" w:after="240"/>
        <w:rPr>
          <w:rFonts w:ascii="Arial" w:eastAsia="Arial" w:hAnsi="Arial" w:cs="Arial"/>
          <w:sz w:val="22"/>
          <w:szCs w:val="22"/>
        </w:rPr>
      </w:pPr>
      <w:r>
        <w:rPr>
          <w:rFonts w:ascii="Arial" w:eastAsia="Arial" w:hAnsi="Arial" w:cs="Arial"/>
          <w:sz w:val="22"/>
          <w:szCs w:val="22"/>
        </w:rPr>
        <w:t xml:space="preserve"> </w:t>
      </w:r>
    </w:p>
    <w:p w:rsidR="00B202A2" w:rsidRDefault="00B202A2">
      <w:pPr>
        <w:rPr>
          <w:rFonts w:ascii="Arial" w:eastAsia="Arial" w:hAnsi="Arial" w:cs="Arial"/>
          <w:sz w:val="22"/>
          <w:szCs w:val="22"/>
        </w:rPr>
      </w:pPr>
    </w:p>
    <w:sectPr w:rsidR="00B202A2">
      <w:type w:val="continuous"/>
      <w:pgSz w:w="11900" w:h="16840"/>
      <w:pgMar w:top="1417" w:right="1701" w:bottom="1417" w:left="1701" w:header="708" w:footer="708"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5E06" w:rsidRDefault="00295E06">
      <w:r>
        <w:separator/>
      </w:r>
    </w:p>
  </w:endnote>
  <w:endnote w:type="continuationSeparator" w:id="0">
    <w:p w:rsidR="00295E06" w:rsidRDefault="00295E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w:panose1 w:val="00000000000000000000"/>
    <w:charset w:val="00"/>
    <w:family w:val="roman"/>
    <w:notTrueType/>
    <w:pitch w:val="default"/>
  </w:font>
  <w:font w:name="Lucida Grande">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5E06" w:rsidRDefault="00295E06">
      <w:r>
        <w:separator/>
      </w:r>
    </w:p>
  </w:footnote>
  <w:footnote w:type="continuationSeparator" w:id="0">
    <w:p w:rsidR="00295E06" w:rsidRDefault="00295E06">
      <w:r>
        <w:continuationSeparator/>
      </w:r>
    </w:p>
  </w:footnote>
  <w:footnote w:id="1">
    <w:p w:rsidR="00B202A2" w:rsidRDefault="00295E06">
      <w:pPr>
        <w:pBdr>
          <w:top w:val="nil"/>
          <w:left w:val="nil"/>
          <w:bottom w:val="nil"/>
          <w:right w:val="nil"/>
          <w:between w:val="nil"/>
        </w:pBdr>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color w:val="000000"/>
          <w:sz w:val="20"/>
          <w:szCs w:val="20"/>
        </w:rPr>
        <w:t xml:space="preserve"> Datos con fecha de corte 16 de septiembre de 2020.</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02A2" w:rsidRDefault="00B202A2">
    <w:pPr>
      <w:rPr>
        <w:rFonts w:ascii="Arial" w:eastAsia="Arial" w:hAnsi="Arial" w:cs="Arial"/>
        <w:b/>
        <w:color w:val="002060"/>
        <w:sz w:val="22"/>
        <w:szCs w:val="22"/>
      </w:rPr>
    </w:pPr>
  </w:p>
  <w:p w:rsidR="00B202A2" w:rsidRDefault="00B202A2">
    <w:pPr>
      <w:rPr>
        <w:rFonts w:ascii="Arial" w:eastAsia="Arial" w:hAnsi="Arial" w:cs="Arial"/>
        <w:b/>
        <w:color w:val="002060"/>
        <w:sz w:val="22"/>
        <w:szCs w:val="22"/>
      </w:rPr>
    </w:pPr>
  </w:p>
  <w:p w:rsidR="00B202A2" w:rsidRDefault="00B202A2">
    <w:pPr>
      <w:rPr>
        <w:rFonts w:ascii="Arial" w:eastAsia="Arial" w:hAnsi="Arial" w:cs="Arial"/>
        <w:b/>
        <w:color w:val="002060"/>
        <w:sz w:val="18"/>
        <w:szCs w:val="18"/>
      </w:rPr>
    </w:pPr>
  </w:p>
  <w:p w:rsidR="00B202A2" w:rsidRDefault="00295E06">
    <w:pPr>
      <w:jc w:val="center"/>
      <w:rPr>
        <w:rFonts w:ascii="Arial" w:eastAsia="Arial" w:hAnsi="Arial" w:cs="Arial"/>
        <w:b/>
        <w:color w:val="3D85C6"/>
        <w:sz w:val="18"/>
        <w:szCs w:val="18"/>
      </w:rPr>
    </w:pPr>
    <w:r>
      <w:rPr>
        <w:rFonts w:ascii="Arial" w:eastAsia="Arial" w:hAnsi="Arial" w:cs="Arial"/>
        <w:b/>
        <w:color w:val="3D85C6"/>
        <w:sz w:val="18"/>
        <w:szCs w:val="18"/>
      </w:rPr>
      <w:t>La planeación del sector minero energético en la transición energética de cara al ciudadano</w:t>
    </w:r>
  </w:p>
  <w:p w:rsidR="00B202A2" w:rsidRDefault="00B202A2">
    <w:pPr>
      <w:jc w:val="center"/>
      <w:rPr>
        <w:rFonts w:ascii="Arial" w:eastAsia="Arial" w:hAnsi="Arial" w:cs="Arial"/>
        <w:b/>
        <w:color w:val="3D85C6"/>
        <w:sz w:val="18"/>
        <w:szCs w:val="18"/>
      </w:rPr>
    </w:pPr>
  </w:p>
  <w:p w:rsidR="00B202A2" w:rsidRDefault="00295E06">
    <w:pPr>
      <w:jc w:val="center"/>
      <w:rPr>
        <w:rFonts w:ascii="Arial" w:eastAsia="Arial" w:hAnsi="Arial" w:cs="Arial"/>
        <w:b/>
        <w:color w:val="3D85C6"/>
        <w:sz w:val="18"/>
        <w:szCs w:val="18"/>
      </w:rPr>
    </w:pPr>
    <w:r>
      <w:rPr>
        <w:rFonts w:ascii="Arial" w:eastAsia="Arial" w:hAnsi="Arial" w:cs="Arial"/>
        <w:b/>
        <w:color w:val="3D85C6"/>
        <w:sz w:val="18"/>
        <w:szCs w:val="18"/>
      </w:rPr>
      <w:t xml:space="preserve">  Periodo a rendir. 1 de diciembre de 2019  al 31 de octubre de  2020</w:t>
    </w:r>
  </w:p>
  <w:p w:rsidR="00B202A2" w:rsidRDefault="00B202A2">
    <w:pPr>
      <w:spacing w:line="305" w:lineRule="auto"/>
      <w:jc w:val="both"/>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F17CE"/>
    <w:multiLevelType w:val="multilevel"/>
    <w:tmpl w:val="DA2439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7E4F87"/>
    <w:multiLevelType w:val="multilevel"/>
    <w:tmpl w:val="6F4E5DFE"/>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545F45"/>
    <w:multiLevelType w:val="multilevel"/>
    <w:tmpl w:val="6C02F754"/>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CEE3815"/>
    <w:multiLevelType w:val="multilevel"/>
    <w:tmpl w:val="6CA21732"/>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45254D3"/>
    <w:multiLevelType w:val="multilevel"/>
    <w:tmpl w:val="DCCAB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4872948"/>
    <w:multiLevelType w:val="multilevel"/>
    <w:tmpl w:val="C92A03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A154B76"/>
    <w:multiLevelType w:val="multilevel"/>
    <w:tmpl w:val="45D8CA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0312DE0"/>
    <w:multiLevelType w:val="multilevel"/>
    <w:tmpl w:val="6EA2A750"/>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411676A"/>
    <w:multiLevelType w:val="multilevel"/>
    <w:tmpl w:val="2F785A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4B20525"/>
    <w:multiLevelType w:val="multilevel"/>
    <w:tmpl w:val="1C1A8FC6"/>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AF52A8A"/>
    <w:multiLevelType w:val="multilevel"/>
    <w:tmpl w:val="532C58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F185669"/>
    <w:multiLevelType w:val="multilevel"/>
    <w:tmpl w:val="85F0C4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141362D"/>
    <w:multiLevelType w:val="multilevel"/>
    <w:tmpl w:val="2220AC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F4F7546"/>
    <w:multiLevelType w:val="multilevel"/>
    <w:tmpl w:val="B5B42C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A0A1A57"/>
    <w:multiLevelType w:val="multilevel"/>
    <w:tmpl w:val="69F081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0E706BC"/>
    <w:multiLevelType w:val="multilevel"/>
    <w:tmpl w:val="FD0E98FC"/>
    <w:lvl w:ilvl="0">
      <w:start w:val="1"/>
      <w:numFmt w:val="decimal"/>
      <w:lvlText w:val="%1."/>
      <w:lvlJc w:val="left"/>
      <w:pPr>
        <w:ind w:left="720" w:hanging="360"/>
      </w:pPr>
    </w:lvl>
    <w:lvl w:ilvl="1">
      <w:start w:val="6"/>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16" w15:restartNumberingAfterBreak="0">
    <w:nsid w:val="51421BAC"/>
    <w:multiLevelType w:val="multilevel"/>
    <w:tmpl w:val="9BC080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56A0FAD"/>
    <w:multiLevelType w:val="multilevel"/>
    <w:tmpl w:val="355EAB5E"/>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F24397E"/>
    <w:multiLevelType w:val="multilevel"/>
    <w:tmpl w:val="88DE23D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9" w15:restartNumberingAfterBreak="0">
    <w:nsid w:val="5F952E6F"/>
    <w:multiLevelType w:val="multilevel"/>
    <w:tmpl w:val="0C64B7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D5F1F59"/>
    <w:multiLevelType w:val="multilevel"/>
    <w:tmpl w:val="AF305C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F997ED4"/>
    <w:multiLevelType w:val="multilevel"/>
    <w:tmpl w:val="AE8A91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F9A3005"/>
    <w:multiLevelType w:val="multilevel"/>
    <w:tmpl w:val="C00AF13C"/>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0B75BC8"/>
    <w:multiLevelType w:val="multilevel"/>
    <w:tmpl w:val="B6B01056"/>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1564876"/>
    <w:multiLevelType w:val="multilevel"/>
    <w:tmpl w:val="2DDE0A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34A2F4A"/>
    <w:multiLevelType w:val="multilevel"/>
    <w:tmpl w:val="ED5C83EE"/>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B74737B"/>
    <w:multiLevelType w:val="multilevel"/>
    <w:tmpl w:val="009485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5"/>
  </w:num>
  <w:num w:numId="2">
    <w:abstractNumId w:val="16"/>
  </w:num>
  <w:num w:numId="3">
    <w:abstractNumId w:val="17"/>
  </w:num>
  <w:num w:numId="4">
    <w:abstractNumId w:val="21"/>
  </w:num>
  <w:num w:numId="5">
    <w:abstractNumId w:val="3"/>
  </w:num>
  <w:num w:numId="6">
    <w:abstractNumId w:val="8"/>
  </w:num>
  <w:num w:numId="7">
    <w:abstractNumId w:val="18"/>
  </w:num>
  <w:num w:numId="8">
    <w:abstractNumId w:val="4"/>
  </w:num>
  <w:num w:numId="9">
    <w:abstractNumId w:val="2"/>
  </w:num>
  <w:num w:numId="10">
    <w:abstractNumId w:val="20"/>
  </w:num>
  <w:num w:numId="11">
    <w:abstractNumId w:val="23"/>
  </w:num>
  <w:num w:numId="12">
    <w:abstractNumId w:val="5"/>
  </w:num>
  <w:num w:numId="13">
    <w:abstractNumId w:val="0"/>
  </w:num>
  <w:num w:numId="14">
    <w:abstractNumId w:val="14"/>
  </w:num>
  <w:num w:numId="15">
    <w:abstractNumId w:val="22"/>
  </w:num>
  <w:num w:numId="16">
    <w:abstractNumId w:val="1"/>
  </w:num>
  <w:num w:numId="17">
    <w:abstractNumId w:val="11"/>
  </w:num>
  <w:num w:numId="18">
    <w:abstractNumId w:val="13"/>
  </w:num>
  <w:num w:numId="19">
    <w:abstractNumId w:val="25"/>
  </w:num>
  <w:num w:numId="20">
    <w:abstractNumId w:val="24"/>
  </w:num>
  <w:num w:numId="21">
    <w:abstractNumId w:val="12"/>
  </w:num>
  <w:num w:numId="22">
    <w:abstractNumId w:val="10"/>
  </w:num>
  <w:num w:numId="23">
    <w:abstractNumId w:val="26"/>
  </w:num>
  <w:num w:numId="24">
    <w:abstractNumId w:val="7"/>
  </w:num>
  <w:num w:numId="25">
    <w:abstractNumId w:val="9"/>
  </w:num>
  <w:num w:numId="26">
    <w:abstractNumId w:val="6"/>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02A2"/>
    <w:rsid w:val="00295E06"/>
    <w:rsid w:val="00880F61"/>
    <w:rsid w:val="00B202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D76521-A941-42EC-AF39-BEC64F4AD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Cambria"/>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4030A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tulo2">
    <w:name w:val="heading 2"/>
    <w:basedOn w:val="Normal"/>
    <w:next w:val="Normal"/>
    <w:link w:val="Ttulo2Car"/>
    <w:uiPriority w:val="9"/>
    <w:unhideWhenUsed/>
    <w:qFormat/>
    <w:rsid w:val="004030A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unhideWhenUsed/>
    <w:qFormat/>
    <w:pPr>
      <w:keepNext/>
      <w:keepLines/>
      <w:spacing w:before="240" w:after="40"/>
      <w:outlineLvl w:val="3"/>
    </w:pPr>
    <w:rPr>
      <w:b/>
    </w:rPr>
  </w:style>
  <w:style w:type="paragraph" w:styleId="Ttulo5">
    <w:name w:val="heading 5"/>
    <w:basedOn w:val="Normal"/>
    <w:next w:val="Normal"/>
    <w:uiPriority w:val="9"/>
    <w:unhideWhenUsed/>
    <w:qFormat/>
    <w:pPr>
      <w:keepNext/>
      <w:keepLines/>
      <w:spacing w:before="220" w:after="40"/>
      <w:outlineLvl w:val="4"/>
    </w:pPr>
    <w:rPr>
      <w:b/>
      <w:sz w:val="22"/>
      <w:szCs w:val="22"/>
    </w:rPr>
  </w:style>
  <w:style w:type="paragraph" w:styleId="Ttulo6">
    <w:name w:val="heading 6"/>
    <w:basedOn w:val="Normal"/>
    <w:next w:val="Normal"/>
    <w:uiPriority w:val="9"/>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NormalWeb">
    <w:name w:val="Normal (Web)"/>
    <w:basedOn w:val="Normal"/>
    <w:uiPriority w:val="99"/>
    <w:semiHidden/>
    <w:unhideWhenUsed/>
    <w:qFormat/>
    <w:rsid w:val="00602A78"/>
    <w:pPr>
      <w:spacing w:before="100" w:beforeAutospacing="1" w:after="100" w:afterAutospacing="1"/>
    </w:pPr>
    <w:rPr>
      <w:rFonts w:ascii="Times" w:hAnsi="Times" w:cs="Times New Roman"/>
      <w:sz w:val="20"/>
      <w:szCs w:val="20"/>
    </w:rPr>
  </w:style>
  <w:style w:type="character" w:styleId="Hipervnculo">
    <w:name w:val="Hyperlink"/>
    <w:basedOn w:val="Fuentedeprrafopredeter"/>
    <w:uiPriority w:val="99"/>
    <w:unhideWhenUsed/>
    <w:rsid w:val="00602A78"/>
    <w:rPr>
      <w:color w:val="0000FF"/>
      <w:u w:val="single"/>
    </w:rPr>
  </w:style>
  <w:style w:type="paragraph" w:styleId="Textocomentario">
    <w:name w:val="annotation text"/>
    <w:basedOn w:val="Normal"/>
    <w:link w:val="TextocomentarioCar"/>
    <w:uiPriority w:val="99"/>
    <w:unhideWhenUsed/>
    <w:rsid w:val="006F575A"/>
    <w:rPr>
      <w:rFonts w:eastAsiaTheme="minorHAnsi"/>
      <w:sz w:val="20"/>
      <w:szCs w:val="20"/>
    </w:rPr>
  </w:style>
  <w:style w:type="character" w:customStyle="1" w:styleId="TextocomentarioCar">
    <w:name w:val="Texto comentario Car"/>
    <w:basedOn w:val="Fuentedeprrafopredeter"/>
    <w:link w:val="Textocomentario"/>
    <w:uiPriority w:val="99"/>
    <w:rsid w:val="006F575A"/>
    <w:rPr>
      <w:rFonts w:eastAsiaTheme="minorHAnsi"/>
      <w:sz w:val="20"/>
      <w:szCs w:val="20"/>
      <w:lang w:eastAsia="en-US"/>
    </w:rPr>
  </w:style>
  <w:style w:type="character" w:styleId="nfasis">
    <w:name w:val="Emphasis"/>
    <w:basedOn w:val="Fuentedeprrafopredeter"/>
    <w:uiPriority w:val="20"/>
    <w:qFormat/>
    <w:rsid w:val="006F575A"/>
    <w:rPr>
      <w:i/>
      <w:iCs/>
    </w:rPr>
  </w:style>
  <w:style w:type="paragraph" w:styleId="Prrafodelista">
    <w:name w:val="List Paragraph"/>
    <w:basedOn w:val="Normal"/>
    <w:link w:val="PrrafodelistaCar"/>
    <w:uiPriority w:val="34"/>
    <w:qFormat/>
    <w:rsid w:val="00784176"/>
    <w:pPr>
      <w:spacing w:after="160" w:line="259" w:lineRule="auto"/>
      <w:ind w:left="720"/>
      <w:contextualSpacing/>
    </w:pPr>
    <w:rPr>
      <w:rFonts w:eastAsiaTheme="minorHAnsi"/>
      <w:sz w:val="22"/>
      <w:szCs w:val="22"/>
      <w:lang w:val="es-CO"/>
    </w:rPr>
  </w:style>
  <w:style w:type="character" w:customStyle="1" w:styleId="PrrafodelistaCar">
    <w:name w:val="Párrafo de lista Car"/>
    <w:link w:val="Prrafodelista"/>
    <w:uiPriority w:val="34"/>
    <w:rsid w:val="00196542"/>
    <w:rPr>
      <w:rFonts w:eastAsiaTheme="minorHAnsi"/>
      <w:sz w:val="22"/>
      <w:szCs w:val="22"/>
      <w:lang w:val="es-CO" w:eastAsia="en-US"/>
    </w:rPr>
  </w:style>
  <w:style w:type="table" w:styleId="Tablaconcuadrcula">
    <w:name w:val="Table Grid"/>
    <w:basedOn w:val="Tablanormal"/>
    <w:uiPriority w:val="59"/>
    <w:rsid w:val="005C0D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047C2B"/>
    <w:pPr>
      <w:tabs>
        <w:tab w:val="center" w:pos="4419"/>
        <w:tab w:val="right" w:pos="8838"/>
      </w:tabs>
    </w:pPr>
  </w:style>
  <w:style w:type="character" w:customStyle="1" w:styleId="EncabezadoCar">
    <w:name w:val="Encabezado Car"/>
    <w:basedOn w:val="Fuentedeprrafopredeter"/>
    <w:link w:val="Encabezado"/>
    <w:uiPriority w:val="99"/>
    <w:rsid w:val="00047C2B"/>
  </w:style>
  <w:style w:type="paragraph" w:styleId="Piedepgina">
    <w:name w:val="footer"/>
    <w:basedOn w:val="Normal"/>
    <w:link w:val="PiedepginaCar"/>
    <w:uiPriority w:val="99"/>
    <w:unhideWhenUsed/>
    <w:rsid w:val="00047C2B"/>
    <w:pPr>
      <w:tabs>
        <w:tab w:val="center" w:pos="4419"/>
        <w:tab w:val="right" w:pos="8838"/>
      </w:tabs>
    </w:pPr>
  </w:style>
  <w:style w:type="character" w:customStyle="1" w:styleId="PiedepginaCar">
    <w:name w:val="Pie de página Car"/>
    <w:basedOn w:val="Fuentedeprrafopredeter"/>
    <w:link w:val="Piedepgina"/>
    <w:uiPriority w:val="99"/>
    <w:rsid w:val="00047C2B"/>
  </w:style>
  <w:style w:type="paragraph" w:styleId="TDC1">
    <w:name w:val="toc 1"/>
    <w:basedOn w:val="Normal"/>
    <w:next w:val="Normal"/>
    <w:autoRedefine/>
    <w:uiPriority w:val="39"/>
    <w:unhideWhenUsed/>
    <w:rsid w:val="004030AD"/>
    <w:pPr>
      <w:spacing w:before="360"/>
    </w:pPr>
    <w:rPr>
      <w:rFonts w:asciiTheme="majorHAnsi" w:hAnsiTheme="majorHAnsi"/>
      <w:b/>
      <w:caps/>
    </w:rPr>
  </w:style>
  <w:style w:type="paragraph" w:styleId="TDC2">
    <w:name w:val="toc 2"/>
    <w:basedOn w:val="Normal"/>
    <w:next w:val="Normal"/>
    <w:autoRedefine/>
    <w:uiPriority w:val="39"/>
    <w:unhideWhenUsed/>
    <w:rsid w:val="004030AD"/>
    <w:pPr>
      <w:spacing w:before="240"/>
    </w:pPr>
    <w:rPr>
      <w:b/>
      <w:sz w:val="20"/>
      <w:szCs w:val="20"/>
    </w:rPr>
  </w:style>
  <w:style w:type="paragraph" w:styleId="TDC3">
    <w:name w:val="toc 3"/>
    <w:basedOn w:val="Normal"/>
    <w:next w:val="Normal"/>
    <w:autoRedefine/>
    <w:uiPriority w:val="39"/>
    <w:unhideWhenUsed/>
    <w:rsid w:val="004030AD"/>
    <w:pPr>
      <w:ind w:left="240"/>
    </w:pPr>
    <w:rPr>
      <w:sz w:val="20"/>
      <w:szCs w:val="20"/>
    </w:rPr>
  </w:style>
  <w:style w:type="paragraph" w:styleId="TDC4">
    <w:name w:val="toc 4"/>
    <w:basedOn w:val="Normal"/>
    <w:next w:val="Normal"/>
    <w:autoRedefine/>
    <w:uiPriority w:val="39"/>
    <w:unhideWhenUsed/>
    <w:rsid w:val="004030AD"/>
    <w:pPr>
      <w:ind w:left="480"/>
    </w:pPr>
    <w:rPr>
      <w:sz w:val="20"/>
      <w:szCs w:val="20"/>
    </w:rPr>
  </w:style>
  <w:style w:type="paragraph" w:styleId="TDC5">
    <w:name w:val="toc 5"/>
    <w:basedOn w:val="Normal"/>
    <w:next w:val="Normal"/>
    <w:autoRedefine/>
    <w:uiPriority w:val="39"/>
    <w:unhideWhenUsed/>
    <w:rsid w:val="004030AD"/>
    <w:pPr>
      <w:ind w:left="720"/>
    </w:pPr>
    <w:rPr>
      <w:sz w:val="20"/>
      <w:szCs w:val="20"/>
    </w:rPr>
  </w:style>
  <w:style w:type="paragraph" w:styleId="TDC6">
    <w:name w:val="toc 6"/>
    <w:basedOn w:val="Normal"/>
    <w:next w:val="Normal"/>
    <w:autoRedefine/>
    <w:uiPriority w:val="39"/>
    <w:unhideWhenUsed/>
    <w:rsid w:val="004030AD"/>
    <w:pPr>
      <w:ind w:left="960"/>
    </w:pPr>
    <w:rPr>
      <w:sz w:val="20"/>
      <w:szCs w:val="20"/>
    </w:rPr>
  </w:style>
  <w:style w:type="paragraph" w:styleId="TDC7">
    <w:name w:val="toc 7"/>
    <w:basedOn w:val="Normal"/>
    <w:next w:val="Normal"/>
    <w:autoRedefine/>
    <w:uiPriority w:val="39"/>
    <w:unhideWhenUsed/>
    <w:rsid w:val="004030AD"/>
    <w:pPr>
      <w:ind w:left="1200"/>
    </w:pPr>
    <w:rPr>
      <w:sz w:val="20"/>
      <w:szCs w:val="20"/>
    </w:rPr>
  </w:style>
  <w:style w:type="paragraph" w:styleId="TDC8">
    <w:name w:val="toc 8"/>
    <w:basedOn w:val="Normal"/>
    <w:next w:val="Normal"/>
    <w:autoRedefine/>
    <w:uiPriority w:val="39"/>
    <w:unhideWhenUsed/>
    <w:rsid w:val="004030AD"/>
    <w:pPr>
      <w:ind w:left="1440"/>
    </w:pPr>
    <w:rPr>
      <w:sz w:val="20"/>
      <w:szCs w:val="20"/>
    </w:rPr>
  </w:style>
  <w:style w:type="paragraph" w:styleId="TDC9">
    <w:name w:val="toc 9"/>
    <w:basedOn w:val="Normal"/>
    <w:next w:val="Normal"/>
    <w:autoRedefine/>
    <w:uiPriority w:val="39"/>
    <w:unhideWhenUsed/>
    <w:rsid w:val="004030AD"/>
    <w:pPr>
      <w:ind w:left="1680"/>
    </w:pPr>
    <w:rPr>
      <w:sz w:val="20"/>
      <w:szCs w:val="20"/>
    </w:rPr>
  </w:style>
  <w:style w:type="character" w:customStyle="1" w:styleId="Ttulo1Car">
    <w:name w:val="Título 1 Car"/>
    <w:basedOn w:val="Fuentedeprrafopredeter"/>
    <w:link w:val="Ttulo1"/>
    <w:uiPriority w:val="9"/>
    <w:rsid w:val="004030AD"/>
    <w:rPr>
      <w:rFonts w:asciiTheme="majorHAnsi" w:eastAsiaTheme="majorEastAsia" w:hAnsiTheme="majorHAnsi" w:cstheme="majorBidi"/>
      <w:b/>
      <w:bCs/>
      <w:color w:val="345A8A" w:themeColor="accent1" w:themeShade="B5"/>
      <w:sz w:val="32"/>
      <w:szCs w:val="32"/>
    </w:rPr>
  </w:style>
  <w:style w:type="character" w:customStyle="1" w:styleId="Ttulo2Car">
    <w:name w:val="Título 2 Car"/>
    <w:basedOn w:val="Fuentedeprrafopredeter"/>
    <w:link w:val="Ttulo2"/>
    <w:uiPriority w:val="9"/>
    <w:rsid w:val="004030AD"/>
    <w:rPr>
      <w:rFonts w:asciiTheme="majorHAnsi" w:eastAsiaTheme="majorEastAsia" w:hAnsiTheme="majorHAnsi" w:cstheme="majorBidi"/>
      <w:b/>
      <w:bCs/>
      <w:color w:val="4F81BD" w:themeColor="accent1"/>
      <w:sz w:val="26"/>
      <w:szCs w:val="26"/>
    </w:rPr>
  </w:style>
  <w:style w:type="paragraph" w:styleId="Textodeglobo">
    <w:name w:val="Balloon Text"/>
    <w:basedOn w:val="Normal"/>
    <w:link w:val="TextodegloboCar"/>
    <w:uiPriority w:val="99"/>
    <w:semiHidden/>
    <w:unhideWhenUsed/>
    <w:rsid w:val="004030A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4030AD"/>
    <w:rPr>
      <w:rFonts w:ascii="Lucida Grande" w:hAnsi="Lucida Grande" w:cs="Lucida Grande"/>
      <w:sz w:val="18"/>
      <w:szCs w:val="18"/>
    </w:rPr>
  </w:style>
  <w:style w:type="character" w:styleId="Refdecomentario">
    <w:name w:val="annotation reference"/>
    <w:basedOn w:val="Fuentedeprrafopredeter"/>
    <w:uiPriority w:val="99"/>
    <w:semiHidden/>
    <w:unhideWhenUsed/>
    <w:rsid w:val="009F1B96"/>
    <w:rPr>
      <w:sz w:val="16"/>
      <w:szCs w:val="16"/>
    </w:rPr>
  </w:style>
  <w:style w:type="paragraph" w:styleId="Asuntodelcomentario">
    <w:name w:val="annotation subject"/>
    <w:basedOn w:val="Textocomentario"/>
    <w:next w:val="Textocomentario"/>
    <w:link w:val="AsuntodelcomentarioCar"/>
    <w:uiPriority w:val="99"/>
    <w:semiHidden/>
    <w:unhideWhenUsed/>
    <w:rsid w:val="009F1B96"/>
    <w:rPr>
      <w:rFonts w:eastAsiaTheme="minorEastAsia"/>
      <w:b/>
      <w:bCs/>
      <w:lang w:eastAsia="es-ES"/>
    </w:rPr>
  </w:style>
  <w:style w:type="character" w:customStyle="1" w:styleId="AsuntodelcomentarioCar">
    <w:name w:val="Asunto del comentario Car"/>
    <w:basedOn w:val="TextocomentarioCar"/>
    <w:link w:val="Asuntodelcomentario"/>
    <w:uiPriority w:val="99"/>
    <w:semiHidden/>
    <w:rsid w:val="009F1B96"/>
    <w:rPr>
      <w:rFonts w:eastAsiaTheme="minorHAnsi"/>
      <w:b/>
      <w:bCs/>
      <w:sz w:val="20"/>
      <w:szCs w:val="20"/>
      <w:lang w:eastAsia="en-US"/>
    </w:rPr>
  </w:style>
  <w:style w:type="paragraph" w:styleId="Revisin">
    <w:name w:val="Revision"/>
    <w:hidden/>
    <w:uiPriority w:val="99"/>
    <w:semiHidden/>
    <w:rsid w:val="009F1B96"/>
  </w:style>
  <w:style w:type="character" w:customStyle="1" w:styleId="apple-tab-span">
    <w:name w:val="apple-tab-span"/>
    <w:basedOn w:val="Fuentedeprrafopredeter"/>
    <w:rsid w:val="00D5015D"/>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table" w:customStyle="1" w:styleId="ab">
    <w:basedOn w:val="TableNormal0"/>
    <w:tblPr>
      <w:tblStyleRowBandSize w:val="1"/>
      <w:tblStyleColBandSize w:val="1"/>
      <w:tblCellMar>
        <w:top w:w="100" w:type="dxa"/>
        <w:left w:w="100" w:type="dxa"/>
        <w:bottom w:w="100" w:type="dxa"/>
        <w:right w:w="100" w:type="dxa"/>
      </w:tblCellMar>
    </w:tblPr>
  </w:style>
  <w:style w:type="table" w:customStyle="1" w:styleId="ac">
    <w:basedOn w:val="TableNormal0"/>
    <w:tblPr>
      <w:tblStyleRowBandSize w:val="1"/>
      <w:tblStyleColBandSize w:val="1"/>
      <w:tblCellMar>
        <w:top w:w="100" w:type="dxa"/>
        <w:left w:w="100" w:type="dxa"/>
        <w:bottom w:w="100" w:type="dxa"/>
        <w:right w:w="100" w:type="dxa"/>
      </w:tblCellMar>
    </w:tblPr>
  </w:style>
  <w:style w:type="table" w:customStyle="1" w:styleId="ad">
    <w:basedOn w:val="TableNormal0"/>
    <w:tblPr>
      <w:tblStyleRowBandSize w:val="1"/>
      <w:tblStyleColBandSize w:val="1"/>
      <w:tblCellMar>
        <w:top w:w="100" w:type="dxa"/>
        <w:left w:w="100" w:type="dxa"/>
        <w:bottom w:w="100" w:type="dxa"/>
        <w:right w:w="100" w:type="dxa"/>
      </w:tblCellMar>
    </w:tblPr>
  </w:style>
  <w:style w:type="table" w:customStyle="1" w:styleId="ae">
    <w:basedOn w:val="TableNormal0"/>
    <w:tblPr>
      <w:tblStyleRowBandSize w:val="1"/>
      <w:tblStyleColBandSize w:val="1"/>
      <w:tblCellMar>
        <w:top w:w="100" w:type="dxa"/>
        <w:left w:w="100" w:type="dxa"/>
        <w:bottom w:w="100" w:type="dxa"/>
        <w:right w:w="100" w:type="dxa"/>
      </w:tblCellMar>
    </w:tblPr>
  </w:style>
  <w:style w:type="table" w:customStyle="1" w:styleId="af">
    <w:basedOn w:val="TableNormal0"/>
    <w:tblPr>
      <w:tblStyleRowBandSize w:val="1"/>
      <w:tblStyleColBandSize w:val="1"/>
      <w:tblCellMar>
        <w:top w:w="100" w:type="dxa"/>
        <w:left w:w="100" w:type="dxa"/>
        <w:bottom w:w="100" w:type="dxa"/>
        <w:right w:w="100" w:type="dxa"/>
      </w:tblCellMar>
    </w:tblPr>
  </w:style>
  <w:style w:type="table" w:customStyle="1" w:styleId="af0">
    <w:basedOn w:val="TableNormal0"/>
    <w:tblPr>
      <w:tblStyleRowBandSize w:val="1"/>
      <w:tblStyleColBandSize w:val="1"/>
      <w:tblCellMar>
        <w:top w:w="100" w:type="dxa"/>
        <w:left w:w="100" w:type="dxa"/>
        <w:bottom w:w="100" w:type="dxa"/>
        <w:right w:w="100" w:type="dxa"/>
      </w:tblCellMar>
    </w:tblPr>
  </w:style>
  <w:style w:type="table" w:customStyle="1" w:styleId="af1">
    <w:basedOn w:val="TableNormal0"/>
    <w:tblPr>
      <w:tblStyleRowBandSize w:val="1"/>
      <w:tblStyleColBandSize w:val="1"/>
      <w:tblCellMar>
        <w:top w:w="100" w:type="dxa"/>
        <w:left w:w="100" w:type="dxa"/>
        <w:bottom w:w="100" w:type="dxa"/>
        <w:right w:w="100" w:type="dxa"/>
      </w:tblCellMar>
    </w:tblPr>
  </w:style>
  <w:style w:type="table" w:customStyle="1" w:styleId="af2">
    <w:basedOn w:val="TableNormal0"/>
    <w:tblPr>
      <w:tblStyleRowBandSize w:val="1"/>
      <w:tblStyleColBandSize w:val="1"/>
      <w:tblCellMar>
        <w:top w:w="100" w:type="dxa"/>
        <w:left w:w="100" w:type="dxa"/>
        <w:bottom w:w="100" w:type="dxa"/>
        <w:right w:w="100" w:type="dxa"/>
      </w:tblCellMar>
    </w:tblPr>
  </w:style>
  <w:style w:type="table" w:customStyle="1" w:styleId="af3">
    <w:basedOn w:val="TableNormal0"/>
    <w:tblPr>
      <w:tblStyleRowBandSize w:val="1"/>
      <w:tblStyleColBandSize w:val="1"/>
      <w:tblCellMar>
        <w:top w:w="100" w:type="dxa"/>
        <w:left w:w="100" w:type="dxa"/>
        <w:bottom w:w="100" w:type="dxa"/>
        <w:right w:w="100" w:type="dxa"/>
      </w:tblCellMar>
    </w:tblPr>
  </w:style>
  <w:style w:type="table" w:customStyle="1" w:styleId="af4">
    <w:basedOn w:val="TableNormal0"/>
    <w:tblPr>
      <w:tblStyleRowBandSize w:val="1"/>
      <w:tblStyleColBandSize w:val="1"/>
      <w:tblCellMar>
        <w:top w:w="100" w:type="dxa"/>
        <w:left w:w="100" w:type="dxa"/>
        <w:bottom w:w="100" w:type="dxa"/>
        <w:right w:w="100" w:type="dxa"/>
      </w:tblCellMar>
    </w:tblPr>
  </w:style>
  <w:style w:type="table" w:customStyle="1" w:styleId="af5">
    <w:basedOn w:val="TableNormal0"/>
    <w:tblPr>
      <w:tblStyleRowBandSize w:val="1"/>
      <w:tblStyleColBandSize w:val="1"/>
      <w:tblCellMar>
        <w:top w:w="100" w:type="dxa"/>
        <w:left w:w="100" w:type="dxa"/>
        <w:bottom w:w="100" w:type="dxa"/>
        <w:right w:w="100" w:type="dxa"/>
      </w:tblCellMar>
    </w:tblPr>
  </w:style>
  <w:style w:type="table" w:customStyle="1" w:styleId="af6">
    <w:basedOn w:val="TableNormal0"/>
    <w:tblPr>
      <w:tblStyleRowBandSize w:val="1"/>
      <w:tblStyleColBandSize w:val="1"/>
      <w:tblCellMar>
        <w:top w:w="100" w:type="dxa"/>
        <w:left w:w="100" w:type="dxa"/>
        <w:bottom w:w="100" w:type="dxa"/>
        <w:right w:w="100" w:type="dxa"/>
      </w:tblCellMar>
    </w:tblPr>
  </w:style>
  <w:style w:type="table" w:customStyle="1" w:styleId="af7">
    <w:basedOn w:val="TableNormal0"/>
    <w:tblPr>
      <w:tblStyleRowBandSize w:val="1"/>
      <w:tblStyleColBandSize w:val="1"/>
      <w:tblCellMar>
        <w:top w:w="100" w:type="dxa"/>
        <w:left w:w="100" w:type="dxa"/>
        <w:bottom w:w="100" w:type="dxa"/>
        <w:right w:w="100" w:type="dxa"/>
      </w:tblCellMar>
    </w:tblPr>
  </w:style>
  <w:style w:type="table" w:customStyle="1" w:styleId="af8">
    <w:basedOn w:val="TableNormal0"/>
    <w:tblPr>
      <w:tblStyleRowBandSize w:val="1"/>
      <w:tblStyleColBandSize w:val="1"/>
      <w:tblCellMar>
        <w:top w:w="100" w:type="dxa"/>
        <w:left w:w="100" w:type="dxa"/>
        <w:bottom w:w="100" w:type="dxa"/>
        <w:right w:w="100" w:type="dxa"/>
      </w:tblCellMar>
    </w:tblPr>
  </w:style>
  <w:style w:type="table" w:customStyle="1" w:styleId="af9">
    <w:basedOn w:val="TableNormal0"/>
    <w:tblPr>
      <w:tblStyleRowBandSize w:val="1"/>
      <w:tblStyleColBandSize w:val="1"/>
      <w:tblCellMar>
        <w:top w:w="100" w:type="dxa"/>
        <w:left w:w="100" w:type="dxa"/>
        <w:bottom w:w="100" w:type="dxa"/>
        <w:right w:w="100" w:type="dxa"/>
      </w:tblCellMar>
    </w:tblPr>
  </w:style>
  <w:style w:type="table" w:customStyle="1" w:styleId="afa">
    <w:basedOn w:val="TableNormal0"/>
    <w:tblPr>
      <w:tblStyleRowBandSize w:val="1"/>
      <w:tblStyleColBandSize w:val="1"/>
      <w:tblCellMar>
        <w:top w:w="100" w:type="dxa"/>
        <w:left w:w="100" w:type="dxa"/>
        <w:bottom w:w="100" w:type="dxa"/>
        <w:right w:w="100" w:type="dxa"/>
      </w:tblCellMar>
    </w:tblPr>
  </w:style>
  <w:style w:type="table" w:customStyle="1" w:styleId="afb">
    <w:basedOn w:val="TableNormal0"/>
    <w:tblPr>
      <w:tblStyleRowBandSize w:val="1"/>
      <w:tblStyleColBandSize w:val="1"/>
      <w:tblCellMar>
        <w:top w:w="100" w:type="dxa"/>
        <w:left w:w="100" w:type="dxa"/>
        <w:bottom w:w="100" w:type="dxa"/>
        <w:right w:w="100" w:type="dxa"/>
      </w:tblCellMar>
    </w:tblPr>
  </w:style>
  <w:style w:type="table" w:customStyle="1" w:styleId="afc">
    <w:basedOn w:val="TableNormal0"/>
    <w:tblPr>
      <w:tblStyleRowBandSize w:val="1"/>
      <w:tblStyleColBandSize w:val="1"/>
      <w:tblCellMar>
        <w:top w:w="100" w:type="dxa"/>
        <w:left w:w="100" w:type="dxa"/>
        <w:bottom w:w="100" w:type="dxa"/>
        <w:right w:w="100" w:type="dxa"/>
      </w:tblCellMar>
    </w:tblPr>
  </w:style>
  <w:style w:type="paragraph" w:styleId="Textonotapie">
    <w:name w:val="footnote text"/>
    <w:basedOn w:val="Normal"/>
    <w:link w:val="TextonotapieCar"/>
    <w:uiPriority w:val="99"/>
    <w:semiHidden/>
    <w:unhideWhenUsed/>
    <w:qFormat/>
    <w:rsid w:val="003F4239"/>
    <w:rPr>
      <w:rFonts w:asciiTheme="minorHAnsi" w:eastAsiaTheme="minorHAnsi" w:hAnsiTheme="minorHAnsi" w:cstheme="minorBidi"/>
      <w:sz w:val="20"/>
      <w:szCs w:val="20"/>
      <w:lang w:val="es-CO"/>
    </w:rPr>
  </w:style>
  <w:style w:type="character" w:customStyle="1" w:styleId="TextonotapieCar">
    <w:name w:val="Texto nota pie Car"/>
    <w:basedOn w:val="Fuentedeprrafopredeter"/>
    <w:link w:val="Textonotapie"/>
    <w:uiPriority w:val="99"/>
    <w:semiHidden/>
    <w:rsid w:val="003F4239"/>
    <w:rPr>
      <w:rFonts w:asciiTheme="minorHAnsi" w:eastAsiaTheme="minorHAnsi" w:hAnsiTheme="minorHAnsi" w:cstheme="minorBidi"/>
      <w:sz w:val="20"/>
      <w:szCs w:val="20"/>
      <w:lang w:val="es-CO" w:eastAsia="en-US"/>
    </w:rPr>
  </w:style>
  <w:style w:type="paragraph" w:styleId="Sinespaciado">
    <w:name w:val="No Spacing"/>
    <w:uiPriority w:val="1"/>
    <w:qFormat/>
    <w:rsid w:val="003F4239"/>
    <w:pPr>
      <w:tabs>
        <w:tab w:val="left" w:pos="708"/>
      </w:tabs>
      <w:suppressAutoHyphens/>
    </w:pPr>
    <w:rPr>
      <w:rFonts w:ascii="Times New Roman" w:eastAsia="Times New Roman" w:hAnsi="Times New Roman" w:cs="Times New Roman"/>
      <w:lang w:val="es-ES" w:eastAsia="zh-CN"/>
    </w:rPr>
  </w:style>
  <w:style w:type="character" w:styleId="Refdenotaalpie">
    <w:name w:val="footnote reference"/>
    <w:basedOn w:val="Fuentedeprrafopredeter"/>
    <w:uiPriority w:val="99"/>
    <w:semiHidden/>
    <w:unhideWhenUsed/>
    <w:rsid w:val="003F4239"/>
    <w:rPr>
      <w:vertAlign w:val="superscript"/>
    </w:rPr>
  </w:style>
  <w:style w:type="paragraph" w:styleId="TtuloTDC">
    <w:name w:val="TOC Heading"/>
    <w:basedOn w:val="Ttulo1"/>
    <w:next w:val="Normal"/>
    <w:uiPriority w:val="39"/>
    <w:unhideWhenUsed/>
    <w:qFormat/>
    <w:rsid w:val="00C834AD"/>
    <w:pPr>
      <w:spacing w:before="240" w:line="259" w:lineRule="auto"/>
      <w:outlineLvl w:val="9"/>
    </w:pPr>
    <w:rPr>
      <w:b w:val="0"/>
      <w:bCs w:val="0"/>
      <w:color w:val="365F91" w:themeColor="accent1" w:themeShade="BF"/>
      <w:lang w:val="es-CO"/>
    </w:rPr>
  </w:style>
  <w:style w:type="character" w:customStyle="1" w:styleId="UnresolvedMention">
    <w:name w:val="Unresolved Mention"/>
    <w:basedOn w:val="Fuentedeprrafopredeter"/>
    <w:uiPriority w:val="99"/>
    <w:semiHidden/>
    <w:unhideWhenUsed/>
    <w:rsid w:val="00B25D73"/>
    <w:rPr>
      <w:color w:val="605E5C"/>
      <w:shd w:val="clear" w:color="auto" w:fill="E1DFDD"/>
    </w:rPr>
  </w:style>
  <w:style w:type="table" w:customStyle="1" w:styleId="afd">
    <w:basedOn w:val="TableNormal0"/>
    <w:tblPr>
      <w:tblStyleRowBandSize w:val="1"/>
      <w:tblStyleColBandSize w:val="1"/>
      <w:tblCellMar>
        <w:top w:w="100" w:type="dxa"/>
        <w:left w:w="100" w:type="dxa"/>
        <w:bottom w:w="100" w:type="dxa"/>
        <w:right w:w="100" w:type="dxa"/>
      </w:tblCellMar>
    </w:tblPr>
  </w:style>
  <w:style w:type="table" w:customStyle="1" w:styleId="afe">
    <w:basedOn w:val="TableNormal0"/>
    <w:tblPr>
      <w:tblStyleRowBandSize w:val="1"/>
      <w:tblStyleColBandSize w:val="1"/>
      <w:tblCellMar>
        <w:top w:w="100" w:type="dxa"/>
        <w:left w:w="100" w:type="dxa"/>
        <w:bottom w:w="100" w:type="dxa"/>
        <w:right w:w="100" w:type="dxa"/>
      </w:tblCellMar>
    </w:tblPr>
  </w:style>
  <w:style w:type="table" w:customStyle="1" w:styleId="aff">
    <w:basedOn w:val="TableNormal0"/>
    <w:tblPr>
      <w:tblStyleRowBandSize w:val="1"/>
      <w:tblStyleColBandSize w:val="1"/>
      <w:tblCellMar>
        <w:top w:w="100" w:type="dxa"/>
        <w:left w:w="100" w:type="dxa"/>
        <w:bottom w:w="100" w:type="dxa"/>
        <w:right w:w="100" w:type="dxa"/>
      </w:tblCellMar>
    </w:tblPr>
  </w:style>
  <w:style w:type="table" w:customStyle="1" w:styleId="aff0">
    <w:basedOn w:val="TableNormal0"/>
    <w:tblPr>
      <w:tblStyleRowBandSize w:val="1"/>
      <w:tblStyleColBandSize w:val="1"/>
      <w:tblCellMar>
        <w:top w:w="100" w:type="dxa"/>
        <w:left w:w="100" w:type="dxa"/>
        <w:bottom w:w="100" w:type="dxa"/>
        <w:right w:w="100" w:type="dxa"/>
      </w:tblCellMar>
    </w:tblPr>
  </w:style>
  <w:style w:type="table" w:customStyle="1" w:styleId="aff1">
    <w:basedOn w:val="TableNormal0"/>
    <w:tblPr>
      <w:tblStyleRowBandSize w:val="1"/>
      <w:tblStyleColBandSize w:val="1"/>
      <w:tblCellMar>
        <w:top w:w="100" w:type="dxa"/>
        <w:left w:w="100" w:type="dxa"/>
        <w:bottom w:w="100" w:type="dxa"/>
        <w:right w:w="100" w:type="dxa"/>
      </w:tblCellMar>
    </w:tblPr>
  </w:style>
  <w:style w:type="table" w:customStyle="1" w:styleId="aff2">
    <w:basedOn w:val="TableNormal0"/>
    <w:tblPr>
      <w:tblStyleRowBandSize w:val="1"/>
      <w:tblStyleColBandSize w:val="1"/>
      <w:tblCellMar>
        <w:top w:w="100" w:type="dxa"/>
        <w:left w:w="100" w:type="dxa"/>
        <w:bottom w:w="100" w:type="dxa"/>
        <w:right w:w="100" w:type="dxa"/>
      </w:tblCellMar>
    </w:tblPr>
  </w:style>
  <w:style w:type="table" w:customStyle="1" w:styleId="aff3">
    <w:basedOn w:val="TableNormal0"/>
    <w:tblPr>
      <w:tblStyleRowBandSize w:val="1"/>
      <w:tblStyleColBandSize w:val="1"/>
      <w:tblCellMar>
        <w:top w:w="100" w:type="dxa"/>
        <w:left w:w="100" w:type="dxa"/>
        <w:bottom w:w="100" w:type="dxa"/>
        <w:right w:w="100" w:type="dxa"/>
      </w:tblCellMar>
    </w:tblPr>
  </w:style>
  <w:style w:type="table" w:customStyle="1" w:styleId="aff4">
    <w:basedOn w:val="TableNormal0"/>
    <w:tblPr>
      <w:tblStyleRowBandSize w:val="1"/>
      <w:tblStyleColBandSize w:val="1"/>
      <w:tblCellMar>
        <w:left w:w="70" w:type="dxa"/>
        <w:right w:w="70" w:type="dxa"/>
      </w:tblCellMar>
    </w:tblPr>
  </w:style>
  <w:style w:type="table" w:customStyle="1" w:styleId="aff5">
    <w:basedOn w:val="TableNormal0"/>
    <w:tblPr>
      <w:tblStyleRowBandSize w:val="1"/>
      <w:tblStyleColBandSize w:val="1"/>
      <w:tblCellMar>
        <w:left w:w="70" w:type="dxa"/>
        <w:right w:w="70" w:type="dxa"/>
      </w:tblCellMar>
    </w:tblPr>
  </w:style>
  <w:style w:type="table" w:customStyle="1" w:styleId="aff6">
    <w:basedOn w:val="TableNormal0"/>
    <w:tblPr>
      <w:tblStyleRowBandSize w:val="1"/>
      <w:tblStyleColBandSize w:val="1"/>
      <w:tblCellMar>
        <w:left w:w="70" w:type="dxa"/>
        <w:right w:w="70" w:type="dxa"/>
      </w:tblCellMar>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CellMar>
        <w:top w:w="100" w:type="dxa"/>
        <w:left w:w="100" w:type="dxa"/>
        <w:bottom w:w="100" w:type="dxa"/>
        <w:right w:w="100" w:type="dxa"/>
      </w:tblCellMar>
    </w:tblPr>
  </w:style>
  <w:style w:type="table" w:customStyle="1" w:styleId="aff9">
    <w:basedOn w:val="TableNormal0"/>
    <w:tblPr>
      <w:tblStyleRowBandSize w:val="1"/>
      <w:tblStyleColBandSize w:val="1"/>
      <w:tblCellMar>
        <w:top w:w="100" w:type="dxa"/>
        <w:left w:w="100" w:type="dxa"/>
        <w:bottom w:w="100" w:type="dxa"/>
        <w:right w:w="100" w:type="dxa"/>
      </w:tblCellMar>
    </w:tblPr>
  </w:style>
  <w:style w:type="table" w:customStyle="1" w:styleId="affa">
    <w:basedOn w:val="TableNormal0"/>
    <w:tblPr>
      <w:tblStyleRowBandSize w:val="1"/>
      <w:tblStyleColBandSize w:val="1"/>
      <w:tblCellMar>
        <w:top w:w="100" w:type="dxa"/>
        <w:left w:w="100" w:type="dxa"/>
        <w:bottom w:w="100" w:type="dxa"/>
        <w:right w:w="100" w:type="dxa"/>
      </w:tblCellMar>
    </w:tblPr>
  </w:style>
  <w:style w:type="table" w:customStyle="1" w:styleId="affb">
    <w:basedOn w:val="TableNormal0"/>
    <w:tblPr>
      <w:tblStyleRowBandSize w:val="1"/>
      <w:tblStyleColBandSize w:val="1"/>
      <w:tblCellMar>
        <w:top w:w="100" w:type="dxa"/>
        <w:left w:w="100" w:type="dxa"/>
        <w:bottom w:w="100" w:type="dxa"/>
        <w:right w:w="100" w:type="dxa"/>
      </w:tblCellMar>
    </w:tblPr>
  </w:style>
  <w:style w:type="table" w:customStyle="1" w:styleId="affc">
    <w:basedOn w:val="TableNormal0"/>
    <w:tblPr>
      <w:tblStyleRowBandSize w:val="1"/>
      <w:tblStyleColBandSize w:val="1"/>
      <w:tblCellMar>
        <w:top w:w="100" w:type="dxa"/>
        <w:left w:w="100" w:type="dxa"/>
        <w:bottom w:w="100" w:type="dxa"/>
        <w:right w:w="100" w:type="dxa"/>
      </w:tblCellMar>
    </w:tblPr>
  </w:style>
  <w:style w:type="table" w:customStyle="1" w:styleId="affd">
    <w:basedOn w:val="TableNormal0"/>
    <w:tblPr>
      <w:tblStyleRowBandSize w:val="1"/>
      <w:tblStyleColBandSize w:val="1"/>
      <w:tblCellMar>
        <w:top w:w="100" w:type="dxa"/>
        <w:left w:w="100" w:type="dxa"/>
        <w:bottom w:w="100" w:type="dxa"/>
        <w:right w:w="100" w:type="dxa"/>
      </w:tblCellMar>
    </w:tblPr>
  </w:style>
  <w:style w:type="table" w:customStyle="1" w:styleId="affe">
    <w:basedOn w:val="TableNormal0"/>
    <w:tblPr>
      <w:tblStyleRowBandSize w:val="1"/>
      <w:tblStyleColBandSize w:val="1"/>
      <w:tblCellMar>
        <w:top w:w="100" w:type="dxa"/>
        <w:left w:w="100" w:type="dxa"/>
        <w:bottom w:w="100" w:type="dxa"/>
        <w:right w:w="100" w:type="dxa"/>
      </w:tblCellMar>
    </w:tblPr>
  </w:style>
  <w:style w:type="table" w:customStyle="1" w:styleId="afff">
    <w:basedOn w:val="TableNormal0"/>
    <w:tblPr>
      <w:tblStyleRowBandSize w:val="1"/>
      <w:tblStyleColBandSize w:val="1"/>
      <w:tblCellMar>
        <w:top w:w="100" w:type="dxa"/>
        <w:left w:w="100" w:type="dxa"/>
        <w:bottom w:w="100" w:type="dxa"/>
        <w:right w:w="100" w:type="dxa"/>
      </w:tblCellMar>
    </w:tblPr>
  </w:style>
  <w:style w:type="table" w:customStyle="1" w:styleId="afff0">
    <w:basedOn w:val="TableNormal0"/>
    <w:tblPr>
      <w:tblStyleRowBandSize w:val="1"/>
      <w:tblStyleColBandSize w:val="1"/>
      <w:tblCellMar>
        <w:top w:w="100" w:type="dxa"/>
        <w:left w:w="100" w:type="dxa"/>
        <w:bottom w:w="100" w:type="dxa"/>
        <w:right w:w="100" w:type="dxa"/>
      </w:tblCellMar>
    </w:tblPr>
  </w:style>
  <w:style w:type="table" w:customStyle="1" w:styleId="afff1">
    <w:basedOn w:val="TableNormal0"/>
    <w:tblPr>
      <w:tblStyleRowBandSize w:val="1"/>
      <w:tblStyleColBandSize w:val="1"/>
      <w:tblCellMar>
        <w:top w:w="100" w:type="dxa"/>
        <w:left w:w="100" w:type="dxa"/>
        <w:bottom w:w="100" w:type="dxa"/>
        <w:right w:w="100" w:type="dxa"/>
      </w:tblCellMar>
    </w:tblPr>
  </w:style>
  <w:style w:type="table" w:customStyle="1" w:styleId="afff2">
    <w:basedOn w:val="TableNormal0"/>
    <w:tblPr>
      <w:tblStyleRowBandSize w:val="1"/>
      <w:tblStyleColBandSize w:val="1"/>
      <w:tblCellMar>
        <w:top w:w="100" w:type="dxa"/>
        <w:left w:w="100" w:type="dxa"/>
        <w:bottom w:w="100" w:type="dxa"/>
        <w:right w:w="100" w:type="dxa"/>
      </w:tblCellMar>
    </w:tblPr>
  </w:style>
  <w:style w:type="table" w:customStyle="1" w:styleId="afff3">
    <w:basedOn w:val="TableNormal0"/>
    <w:tblPr>
      <w:tblStyleRowBandSize w:val="1"/>
      <w:tblStyleColBandSize w:val="1"/>
      <w:tblCellMar>
        <w:top w:w="100" w:type="dxa"/>
        <w:left w:w="100" w:type="dxa"/>
        <w:bottom w:w="100" w:type="dxa"/>
        <w:right w:w="100" w:type="dxa"/>
      </w:tblCellMar>
    </w:tblPr>
  </w:style>
  <w:style w:type="table" w:customStyle="1" w:styleId="afff4">
    <w:basedOn w:val="TableNormal0"/>
    <w:tblPr>
      <w:tblStyleRowBandSize w:val="1"/>
      <w:tblStyleColBandSize w:val="1"/>
      <w:tblCellMar>
        <w:top w:w="100" w:type="dxa"/>
        <w:left w:w="100" w:type="dxa"/>
        <w:bottom w:w="100" w:type="dxa"/>
        <w:right w:w="100" w:type="dxa"/>
      </w:tblCellMar>
    </w:tblPr>
  </w:style>
  <w:style w:type="table" w:customStyle="1" w:styleId="afff5">
    <w:basedOn w:val="TableNormal0"/>
    <w:tblPr>
      <w:tblStyleRowBandSize w:val="1"/>
      <w:tblStyleColBandSize w:val="1"/>
      <w:tblCellMar>
        <w:top w:w="100" w:type="dxa"/>
        <w:left w:w="100" w:type="dxa"/>
        <w:bottom w:w="100" w:type="dxa"/>
        <w:right w:w="100" w:type="dxa"/>
      </w:tblCellMar>
    </w:tblPr>
  </w:style>
  <w:style w:type="table" w:customStyle="1" w:styleId="afff6">
    <w:basedOn w:val="TableNormal0"/>
    <w:tblPr>
      <w:tblStyleRowBandSize w:val="1"/>
      <w:tblStyleColBandSize w:val="1"/>
      <w:tblCellMar>
        <w:top w:w="100" w:type="dxa"/>
        <w:left w:w="100" w:type="dxa"/>
        <w:bottom w:w="100" w:type="dxa"/>
        <w:right w:w="100" w:type="dxa"/>
      </w:tblCellMar>
    </w:tblPr>
  </w:style>
  <w:style w:type="table" w:customStyle="1" w:styleId="afff7">
    <w:basedOn w:val="TableNormal0"/>
    <w:tblPr>
      <w:tblStyleRowBandSize w:val="1"/>
      <w:tblStyleColBandSize w:val="1"/>
      <w:tblCellMar>
        <w:top w:w="100" w:type="dxa"/>
        <w:left w:w="100" w:type="dxa"/>
        <w:bottom w:w="100" w:type="dxa"/>
        <w:right w:w="100" w:type="dxa"/>
      </w:tblCellMar>
    </w:tblPr>
  </w:style>
  <w:style w:type="table" w:customStyle="1" w:styleId="afff8">
    <w:basedOn w:val="TableNormal0"/>
    <w:tblPr>
      <w:tblStyleRowBandSize w:val="1"/>
      <w:tblStyleColBandSize w:val="1"/>
      <w:tblCellMar>
        <w:top w:w="100" w:type="dxa"/>
        <w:left w:w="100" w:type="dxa"/>
        <w:bottom w:w="100" w:type="dxa"/>
        <w:right w:w="100" w:type="dxa"/>
      </w:tblCellMar>
    </w:tblPr>
  </w:style>
  <w:style w:type="table" w:customStyle="1" w:styleId="afff9">
    <w:basedOn w:val="TableNormal0"/>
    <w:tblPr>
      <w:tblStyleRowBandSize w:val="1"/>
      <w:tblStyleColBandSize w:val="1"/>
      <w:tblCellMar>
        <w:top w:w="100" w:type="dxa"/>
        <w:left w:w="100" w:type="dxa"/>
        <w:bottom w:w="100" w:type="dxa"/>
        <w:right w:w="100" w:type="dxa"/>
      </w:tblCellMar>
    </w:tblPr>
  </w:style>
  <w:style w:type="table" w:customStyle="1" w:styleId="afffa">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www1.upme.gov.co/Normatividad/057-2020.pdf" TargetMode="External"/><Relationship Id="rId21" Type="http://schemas.openxmlformats.org/officeDocument/2006/relationships/chart" Target="charts/chart7.xml"/><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image" Target="media/image61.png"/><Relationship Id="rId89" Type="http://schemas.openxmlformats.org/officeDocument/2006/relationships/hyperlink" Target="https://www1.upme.gov.co/Seguimiento/Paginas/Informes-de-Control-Interno.aspx" TargetMode="External"/><Relationship Id="rId16" Type="http://schemas.openxmlformats.org/officeDocument/2006/relationships/chart" Target="charts/chart2.xml"/><Relationship Id="rId11" Type="http://schemas.openxmlformats.org/officeDocument/2006/relationships/image" Target="media/image2.png"/><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53.png"/><Relationship Id="rId79" Type="http://schemas.openxmlformats.org/officeDocument/2006/relationships/image" Target="media/image57.png"/><Relationship Id="rId5" Type="http://schemas.openxmlformats.org/officeDocument/2006/relationships/webSettings" Target="webSettings.xml"/><Relationship Id="rId90" Type="http://schemas.openxmlformats.org/officeDocument/2006/relationships/hyperlink" Target="https://www1.upme.gov.co/Seguimiento/Paginas/Informes-de-Control-Interno.aspx" TargetMode="External"/><Relationship Id="rId95" Type="http://schemas.openxmlformats.org/officeDocument/2006/relationships/customXml" Target="../customXml/item2.xml"/><Relationship Id="rId22" Type="http://schemas.openxmlformats.org/officeDocument/2006/relationships/chart" Target="charts/chart8.xml"/><Relationship Id="rId27" Type="http://schemas.openxmlformats.org/officeDocument/2006/relationships/image" Target="media/image6.png"/><Relationship Id="rId43" Type="http://schemas.openxmlformats.org/officeDocument/2006/relationships/image" Target="media/image22.png"/><Relationship Id="rId48" Type="http://schemas.openxmlformats.org/officeDocument/2006/relationships/image" Target="media/image27.png"/><Relationship Id="rId64" Type="http://schemas.openxmlformats.org/officeDocument/2006/relationships/image" Target="media/image43.png"/><Relationship Id="rId69" Type="http://schemas.openxmlformats.org/officeDocument/2006/relationships/image" Target="media/image48.png"/><Relationship Id="rId80" Type="http://schemas.openxmlformats.org/officeDocument/2006/relationships/image" Target="media/image58.png"/><Relationship Id="rId85" Type="http://schemas.openxmlformats.org/officeDocument/2006/relationships/image" Target="media/image6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chart" Target="charts/chart3.xml"/><Relationship Id="rId25" Type="http://schemas.openxmlformats.org/officeDocument/2006/relationships/hyperlink" Target="https://www1.upme.gov.co/Normatividad/057-2020.pdf"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chart" Target="charts/chart6.xml"/><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image" Target="media/image60.png"/><Relationship Id="rId88" Type="http://schemas.openxmlformats.org/officeDocument/2006/relationships/hyperlink" Target="https://www1.upme.gov.co/Seguimiento/Documents/InformesControlInterno/Evaluacion_Independiente_Estado_SCI_I_2020.pdf" TargetMode="External"/><Relationship Id="rId91" Type="http://schemas.openxmlformats.org/officeDocument/2006/relationships/hyperlink" Target="https://www1.upme.gov.co/Seguimiento/Entes_de_control/Paginas/Autoridades-externas.aspx" TargetMode="External"/><Relationship Id="rId9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hyperlink" Target="https://minciencias.gov.co/" TargetMode="Externa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hyperlink" Target="https://www1.upme.gov.co/Seguimiento/RendicionCuentas/Documents/Memorias_Rendicion/Informe_Audiencia_Publica_2019.pdf" TargetMode="External"/><Relationship Id="rId81" Type="http://schemas.openxmlformats.org/officeDocument/2006/relationships/image" Target="media/image59.png"/><Relationship Id="rId86" Type="http://schemas.openxmlformats.org/officeDocument/2006/relationships/image" Target="media/image63.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chart" Target="charts/chart4.xml"/><Relationship Id="rId39" Type="http://schemas.openxmlformats.org/officeDocument/2006/relationships/image" Target="media/image18.png"/><Relationship Id="rId34" Type="http://schemas.openxmlformats.org/officeDocument/2006/relationships/image" Target="media/image13.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5.png"/><Relationship Id="rId97" Type="http://schemas.openxmlformats.org/officeDocument/2006/relationships/customXml" Target="../customXml/item4.xml"/><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hyperlink" Target="https://www1.upme.gov.co/Seguimiento/Entes_de_control/Paginas/Autoridades-externas.aspx" TargetMode="External"/><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image" Target="media/image5.png"/><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image" Target="media/image45.png"/><Relationship Id="rId87" Type="http://schemas.openxmlformats.org/officeDocument/2006/relationships/hyperlink" Target="https://www1.upme.gov.co/Seguimiento/Documents/InformesControlInterno/Evaluacion_Independiente_Estado_SCI_I_2020.pdf" TargetMode="External"/><Relationship Id="rId61" Type="http://schemas.openxmlformats.org/officeDocument/2006/relationships/image" Target="media/image40.png"/><Relationship Id="rId82" Type="http://schemas.openxmlformats.org/officeDocument/2006/relationships/hyperlink" Target="mailto:upme@upme.gov.co" TargetMode="External"/><Relationship Id="rId19" Type="http://schemas.openxmlformats.org/officeDocument/2006/relationships/chart" Target="charts/chart5.xml"/><Relationship Id="rId14" Type="http://schemas.openxmlformats.org/officeDocument/2006/relationships/hyperlink" Target="https://www1.upme.gov.co/simco/Paginas/home.aspx" TargetMode="External"/><Relationship Id="rId30" Type="http://schemas.openxmlformats.org/officeDocument/2006/relationships/image" Target="media/image9.png"/><Relationship Id="rId35" Type="http://schemas.openxmlformats.org/officeDocument/2006/relationships/image" Target="media/image14.png"/><Relationship Id="rId56" Type="http://schemas.openxmlformats.org/officeDocument/2006/relationships/image" Target="media/image35.png"/><Relationship Id="rId77" Type="http://schemas.openxmlformats.org/officeDocument/2006/relationships/image" Target="media/image56.png"/><Relationship Id="rId8" Type="http://schemas.openxmlformats.org/officeDocument/2006/relationships/image" Target="media/image1.jpg"/><Relationship Id="rId51" Type="http://schemas.openxmlformats.org/officeDocument/2006/relationships/image" Target="media/image30.png"/><Relationship Id="rId72" Type="http://schemas.openxmlformats.org/officeDocument/2006/relationships/image" Target="media/image51.png"/><Relationship Id="rId93"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srvarchivos\jgarcia\Sistema%20de%20Gesti&#243;n%20Ambiental\Seguimiento%20Servicios%20P&#250;blicos\Seguimiento%20de%20consumo%20servicios%20p&#250;blico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srvarchivos\jgarcia\Sistema%20de%20Gesti&#243;n%20Ambiental\Seguimiento%20Servicios%20P&#250;blicos\Seguimiento%20de%20consumo%20servicios%20p&#250;blico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srvarchivos\jgarcia\Sistema%20de%20Gesti&#243;n%20Ambiental\Gesti&#243;n%20Integral%20de%20Residuos%20S&#243;lidos\Registro%20Generaci&#243;n%20Residuos%20Aprovechables%20y%20Ordinario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stefanygarcia\Downloads\FORMATO%20GENERACIO&#769;N%20DE%20RECIDUOS%20APROBECHABLES%20Y%20ORD.%20202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BACKUP%20MYRIAN%20FLOREZ\MYRIAN%20UPME\GESTION_ADMINISTRATIVA\VIGENCIA_2020\Planes\GIT_GA\TAREAS%20SGRAL\rendicion%20de%20cuentas\FORMATO%20GENERACI&#211;N%20DE%20RECIDUOS%20APROBECHABLES%20Y%20ORD.%20202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BACKUP%20MYRIAN%20FLOREZ\MYRIAN%20UPME\GESTION_ADMINISTRATIVA\VIGENCIA_2020\Planes\GIT_GA\TAREAS%20SGRAL\rendicion%20de%20cuentas\FORMATO%20GENERACI&#211;N%20DE%20RECIDUOS%20APROBECHABLES%20Y%20ORD.%202020.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E0279579\AppData\Local\Microsoft\Windows\INetCache\Content.Outlook\29H1HGH6\FORMATO%20DE%20SEGUIMIENTO%20DE%20ENERG&#205;A%20Y%20AGUA%20ENERO%20-%20OCTUBRE%202020.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E0279579\AppData\Local\Microsoft\Windows\INetCache\Content.Outlook\29H1HGH6\FORMATO%20DE%20SEGUIMIENTO%20DE%20ENERG&#205;A%20Y%20AGUA%20ENERO%20-%20OCTUBRE%202020.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E0279579\AppData\Local\Microsoft\Windows\INetCache\Content.Outlook\29H1HGH6\FORMATO%20DE%20SEGUIMIENTO%20DE%20ENERG&#205;A%20Y%20AGUA%20ENERO%20-%20OCTUBRE%202020.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Arial Narrow" panose="020B0606020202030204" pitchFamily="34" charset="0"/>
                <a:ea typeface="+mn-ea"/>
                <a:cs typeface="+mn-cs"/>
              </a:defRPr>
            </a:pPr>
            <a:r>
              <a:rPr lang="en-US" sz="1000"/>
              <a:t>Histórico del Consumo de Energía</a:t>
            </a:r>
            <a:r>
              <a:rPr lang="es-CO" sz="1000"/>
              <a:t> (kW) </a:t>
            </a:r>
          </a:p>
          <a:p>
            <a:pPr>
              <a:defRPr sz="1000"/>
            </a:pPr>
            <a:r>
              <a:rPr lang="en-US" sz="1000"/>
              <a:t>2015-2019</a:t>
            </a:r>
            <a:endParaRPr lang="es-CO" sz="1000"/>
          </a:p>
        </c:rich>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Arial Narrow" panose="020B0606020202030204" pitchFamily="34" charset="0"/>
              <a:ea typeface="+mn-ea"/>
              <a:cs typeface="+mn-cs"/>
            </a:defRPr>
          </a:pPr>
          <a:endParaRPr lang="en-US"/>
        </a:p>
      </c:txPr>
    </c:title>
    <c:autoTitleDeleted val="0"/>
    <c:plotArea>
      <c:layout/>
      <c:barChart>
        <c:barDir val="col"/>
        <c:grouping val="clustered"/>
        <c:varyColors val="0"/>
        <c:ser>
          <c:idx val="1"/>
          <c:order val="0"/>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Hoja1!$A$3:$E$3</c:f>
              <c:numCache>
                <c:formatCode>General</c:formatCode>
                <c:ptCount val="5"/>
                <c:pt idx="0">
                  <c:v>2015</c:v>
                </c:pt>
                <c:pt idx="1">
                  <c:v>2016</c:v>
                </c:pt>
                <c:pt idx="2">
                  <c:v>2017</c:v>
                </c:pt>
                <c:pt idx="3">
                  <c:v>2018</c:v>
                </c:pt>
                <c:pt idx="4">
                  <c:v>2019</c:v>
                </c:pt>
              </c:numCache>
            </c:numRef>
          </c:cat>
          <c:val>
            <c:numRef>
              <c:f>Hoja1!$A$4:$E$4</c:f>
              <c:numCache>
                <c:formatCode>General</c:formatCode>
                <c:ptCount val="5"/>
                <c:pt idx="0">
                  <c:v>154680</c:v>
                </c:pt>
                <c:pt idx="1">
                  <c:v>149097</c:v>
                </c:pt>
                <c:pt idx="2">
                  <c:v>155460</c:v>
                </c:pt>
                <c:pt idx="3">
                  <c:v>159856</c:v>
                </c:pt>
                <c:pt idx="4">
                  <c:v>161875</c:v>
                </c:pt>
              </c:numCache>
            </c:numRef>
          </c:val>
          <c:extLst>
            <c:ext xmlns:c16="http://schemas.microsoft.com/office/drawing/2014/chart" uri="{C3380CC4-5D6E-409C-BE32-E72D297353CC}">
              <c16:uniqueId val="{00000000-B441-4110-A5F2-3428EF1F2D8C}"/>
            </c:ext>
          </c:extLst>
        </c:ser>
        <c:dLbls>
          <c:showLegendKey val="0"/>
          <c:showVal val="0"/>
          <c:showCatName val="0"/>
          <c:showSerName val="0"/>
          <c:showPercent val="0"/>
          <c:showBubbleSize val="0"/>
        </c:dLbls>
        <c:gapWidth val="219"/>
        <c:overlap val="-27"/>
        <c:axId val="-2084662752"/>
        <c:axId val="-2088077456"/>
      </c:barChart>
      <c:catAx>
        <c:axId val="-2084662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Arial Narrow" panose="020B0606020202030204" pitchFamily="34" charset="0"/>
                <a:ea typeface="+mn-ea"/>
                <a:cs typeface="+mn-cs"/>
              </a:defRPr>
            </a:pPr>
            <a:endParaRPr lang="en-US"/>
          </a:p>
        </c:txPr>
        <c:crossAx val="-2088077456"/>
        <c:crosses val="autoZero"/>
        <c:auto val="1"/>
        <c:lblAlgn val="ctr"/>
        <c:lblOffset val="100"/>
        <c:noMultiLvlLbl val="0"/>
      </c:catAx>
      <c:valAx>
        <c:axId val="-2088077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Arial Narrow" panose="020B0606020202030204" pitchFamily="34" charset="0"/>
                <a:ea typeface="+mn-ea"/>
                <a:cs typeface="+mn-cs"/>
              </a:defRPr>
            </a:pPr>
            <a:endParaRPr lang="en-US"/>
          </a:p>
        </c:txPr>
        <c:crossAx val="-2084662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solidFill>
            <a:sysClr val="windowText" lastClr="000000"/>
          </a:solidFill>
          <a:latin typeface="Arial Narrow" panose="020B060602020203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20" b="0" i="0" u="none" strike="noStrike" kern="1200" spc="0" baseline="0">
                <a:solidFill>
                  <a:sysClr val="windowText" lastClr="000000"/>
                </a:solidFill>
                <a:latin typeface="Arial Narrow" panose="020B0606020202030204" pitchFamily="34" charset="0"/>
                <a:ea typeface="+mn-ea"/>
                <a:cs typeface="+mn-cs"/>
              </a:defRPr>
            </a:pPr>
            <a:r>
              <a:rPr lang="en-US" sz="1000"/>
              <a:t>Histórico del Consumo de Agua (m3)</a:t>
            </a:r>
          </a:p>
          <a:p>
            <a:pPr>
              <a:defRPr/>
            </a:pPr>
            <a:r>
              <a:rPr lang="en-US" sz="1000"/>
              <a:t>2015-2019</a:t>
            </a:r>
          </a:p>
        </c:rich>
      </c:tx>
      <c:overlay val="0"/>
      <c:spPr>
        <a:noFill/>
        <a:ln>
          <a:noFill/>
        </a:ln>
        <a:effectLst/>
      </c:spPr>
      <c:txPr>
        <a:bodyPr rot="0" spcFirstLastPara="1" vertOverflow="ellipsis" vert="horz" wrap="square" anchor="ctr" anchorCtr="1"/>
        <a:lstStyle/>
        <a:p>
          <a:pPr>
            <a:defRPr sz="720" b="0" i="0" u="none" strike="noStrike" kern="1200" spc="0" baseline="0">
              <a:solidFill>
                <a:sysClr val="windowText" lastClr="000000"/>
              </a:solidFill>
              <a:latin typeface="Arial Narrow" panose="020B0606020202030204" pitchFamily="34" charset="0"/>
              <a:ea typeface="+mn-ea"/>
              <a:cs typeface="+mn-cs"/>
            </a:defRPr>
          </a:pPr>
          <a:endParaRPr lang="en-US"/>
        </a:p>
      </c:txPr>
    </c:title>
    <c:autoTitleDeleted val="0"/>
    <c:plotArea>
      <c:layout/>
      <c:barChart>
        <c:barDir val="col"/>
        <c:grouping val="clustered"/>
        <c:varyColors val="0"/>
        <c:ser>
          <c:idx val="0"/>
          <c:order val="0"/>
          <c:tx>
            <c:strRef>
              <c:f>Hoja1!$G$2</c:f>
              <c:strCache>
                <c:ptCount val="1"/>
                <c:pt idx="0">
                  <c:v>Histórico del Consumo de Agua (m3)</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Hoja1!$G$3:$K$3</c:f>
              <c:numCache>
                <c:formatCode>General</c:formatCode>
                <c:ptCount val="5"/>
                <c:pt idx="0">
                  <c:v>2015</c:v>
                </c:pt>
                <c:pt idx="1">
                  <c:v>2016</c:v>
                </c:pt>
                <c:pt idx="2">
                  <c:v>2017</c:v>
                </c:pt>
                <c:pt idx="3">
                  <c:v>2018</c:v>
                </c:pt>
                <c:pt idx="4">
                  <c:v>2019</c:v>
                </c:pt>
              </c:numCache>
            </c:numRef>
          </c:cat>
          <c:val>
            <c:numRef>
              <c:f>Hoja1!$G$4:$K$4</c:f>
              <c:numCache>
                <c:formatCode>General</c:formatCode>
                <c:ptCount val="5"/>
                <c:pt idx="0">
                  <c:v>887</c:v>
                </c:pt>
                <c:pt idx="1">
                  <c:v>889</c:v>
                </c:pt>
                <c:pt idx="2">
                  <c:v>938</c:v>
                </c:pt>
                <c:pt idx="3">
                  <c:v>1305</c:v>
                </c:pt>
                <c:pt idx="4">
                  <c:v>1193</c:v>
                </c:pt>
              </c:numCache>
            </c:numRef>
          </c:val>
          <c:extLst>
            <c:ext xmlns:c16="http://schemas.microsoft.com/office/drawing/2014/chart" uri="{C3380CC4-5D6E-409C-BE32-E72D297353CC}">
              <c16:uniqueId val="{00000000-499E-4B7B-A155-8E7E9971E5A4}"/>
            </c:ext>
          </c:extLst>
        </c:ser>
        <c:dLbls>
          <c:showLegendKey val="0"/>
          <c:showVal val="0"/>
          <c:showCatName val="0"/>
          <c:showSerName val="0"/>
          <c:showPercent val="0"/>
          <c:showBubbleSize val="0"/>
        </c:dLbls>
        <c:gapWidth val="219"/>
        <c:overlap val="-27"/>
        <c:axId val="-2102843664"/>
        <c:axId val="-2099099184"/>
      </c:barChart>
      <c:catAx>
        <c:axId val="-2102843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en-US"/>
          </a:p>
        </c:txPr>
        <c:crossAx val="-2099099184"/>
        <c:crosses val="autoZero"/>
        <c:auto val="1"/>
        <c:lblAlgn val="ctr"/>
        <c:lblOffset val="100"/>
        <c:noMultiLvlLbl val="0"/>
      </c:catAx>
      <c:valAx>
        <c:axId val="-2099099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Arial Narrow" panose="020B0606020202030204" pitchFamily="34" charset="0"/>
                <a:ea typeface="+mn-ea"/>
                <a:cs typeface="+mn-cs"/>
              </a:defRPr>
            </a:pPr>
            <a:endParaRPr lang="en-US"/>
          </a:p>
        </c:txPr>
        <c:crossAx val="-2102843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solidFill>
            <a:sysClr val="windowText" lastClr="000000"/>
          </a:solidFill>
          <a:latin typeface="Arial Narrow" panose="020B060602020203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Arial Narrow" panose="020B0606020202030204" pitchFamily="34" charset="0"/>
                <a:ea typeface="+mn-ea"/>
                <a:cs typeface="+mn-cs"/>
              </a:defRPr>
            </a:pPr>
            <a:r>
              <a:rPr lang="es-CO" sz="1000"/>
              <a:t>Residuos Sólidos generados por la UPME 2018- 2019 (kg)</a:t>
            </a:r>
          </a:p>
        </c:rich>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Arial Narrow" panose="020B0606020202030204" pitchFamily="34" charset="0"/>
              <a:ea typeface="+mn-ea"/>
              <a:cs typeface="+mn-cs"/>
            </a:defRPr>
          </a:pPr>
          <a:endParaRPr lang="en-US"/>
        </a:p>
      </c:txPr>
    </c:title>
    <c:autoTitleDeleted val="0"/>
    <c:plotArea>
      <c:layout/>
      <c:barChart>
        <c:barDir val="col"/>
        <c:grouping val="clustered"/>
        <c:varyColors val="0"/>
        <c:ser>
          <c:idx val="0"/>
          <c:order val="0"/>
          <c:tx>
            <c:strRef>
              <c:f>'Informes 2018 - 2019'!$F$2</c:f>
              <c:strCache>
                <c:ptCount val="1"/>
                <c:pt idx="0">
                  <c:v>2018 Ordinarios </c:v>
                </c:pt>
              </c:strCache>
            </c:strRef>
          </c:tx>
          <c:spPr>
            <a:solidFill>
              <a:srgbClr val="003E6C"/>
            </a:solidFill>
            <a:ln>
              <a:solidFill>
                <a:srgbClr val="00206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'Informes 2018 - 2019'!$E$3:$E$7</c:f>
              <c:strCache>
                <c:ptCount val="5"/>
                <c:pt idx="0">
                  <c:v>Agosto</c:v>
                </c:pt>
                <c:pt idx="1">
                  <c:v>Septiembre</c:v>
                </c:pt>
                <c:pt idx="2">
                  <c:v>Octubre</c:v>
                </c:pt>
                <c:pt idx="3">
                  <c:v>Noviembre </c:v>
                </c:pt>
                <c:pt idx="4">
                  <c:v>Diciembre</c:v>
                </c:pt>
              </c:strCache>
            </c:strRef>
          </c:cat>
          <c:val>
            <c:numRef>
              <c:f>'Informes 2018 - 2019'!$F$3:$F$7</c:f>
              <c:numCache>
                <c:formatCode>General</c:formatCode>
                <c:ptCount val="5"/>
                <c:pt idx="0">
                  <c:v>367.51</c:v>
                </c:pt>
                <c:pt idx="1">
                  <c:v>352.67999999999989</c:v>
                </c:pt>
                <c:pt idx="2">
                  <c:v>336.87999999999988</c:v>
                </c:pt>
                <c:pt idx="3">
                  <c:v>294.32999999999993</c:v>
                </c:pt>
                <c:pt idx="4">
                  <c:v>295.97000000000003</c:v>
                </c:pt>
              </c:numCache>
            </c:numRef>
          </c:val>
          <c:extLst>
            <c:ext xmlns:c16="http://schemas.microsoft.com/office/drawing/2014/chart" uri="{C3380CC4-5D6E-409C-BE32-E72D297353CC}">
              <c16:uniqueId val="{00000000-B7F4-4F70-AAE6-A070BD3A7AC9}"/>
            </c:ext>
          </c:extLst>
        </c:ser>
        <c:ser>
          <c:idx val="1"/>
          <c:order val="1"/>
          <c:tx>
            <c:strRef>
              <c:f>'Informes 2018 - 2019'!$G$2</c:f>
              <c:strCache>
                <c:ptCount val="1"/>
                <c:pt idx="0">
                  <c:v>2019 Ordinarios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'Informes 2018 - 2019'!$E$3:$E$7</c:f>
              <c:strCache>
                <c:ptCount val="5"/>
                <c:pt idx="0">
                  <c:v>Agosto</c:v>
                </c:pt>
                <c:pt idx="1">
                  <c:v>Septiembre</c:v>
                </c:pt>
                <c:pt idx="2">
                  <c:v>Octubre</c:v>
                </c:pt>
                <c:pt idx="3">
                  <c:v>Noviembre </c:v>
                </c:pt>
                <c:pt idx="4">
                  <c:v>Diciembre</c:v>
                </c:pt>
              </c:strCache>
            </c:strRef>
          </c:cat>
          <c:val>
            <c:numRef>
              <c:f>'Informes 2018 - 2019'!$G$3:$G$7</c:f>
              <c:numCache>
                <c:formatCode>General</c:formatCode>
                <c:ptCount val="5"/>
                <c:pt idx="0">
                  <c:v>216.91</c:v>
                </c:pt>
                <c:pt idx="1">
                  <c:v>237.25</c:v>
                </c:pt>
                <c:pt idx="2">
                  <c:v>245.07</c:v>
                </c:pt>
                <c:pt idx="3">
                  <c:v>207.86</c:v>
                </c:pt>
                <c:pt idx="4">
                  <c:v>223.5</c:v>
                </c:pt>
              </c:numCache>
            </c:numRef>
          </c:val>
          <c:extLst>
            <c:ext xmlns:c16="http://schemas.microsoft.com/office/drawing/2014/chart" uri="{C3380CC4-5D6E-409C-BE32-E72D297353CC}">
              <c16:uniqueId val="{00000001-B7F4-4F70-AAE6-A070BD3A7AC9}"/>
            </c:ext>
          </c:extLst>
        </c:ser>
        <c:ser>
          <c:idx val="2"/>
          <c:order val="2"/>
          <c:tx>
            <c:strRef>
              <c:f>'Informes 2018 - 2019'!$F$9</c:f>
              <c:strCache>
                <c:ptCount val="1"/>
                <c:pt idx="0">
                  <c:v>2018 Aprovechables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'Informes 2018 - 2019'!$F$10:$F$14</c:f>
              <c:numCache>
                <c:formatCode>General</c:formatCode>
                <c:ptCount val="5"/>
                <c:pt idx="0">
                  <c:v>57.890000000000008</c:v>
                </c:pt>
                <c:pt idx="1">
                  <c:v>59.51</c:v>
                </c:pt>
                <c:pt idx="2">
                  <c:v>155.91</c:v>
                </c:pt>
                <c:pt idx="3">
                  <c:v>75.900000000000006</c:v>
                </c:pt>
                <c:pt idx="4">
                  <c:v>204.81</c:v>
                </c:pt>
              </c:numCache>
            </c:numRef>
          </c:val>
          <c:extLst>
            <c:ext xmlns:c16="http://schemas.microsoft.com/office/drawing/2014/chart" uri="{C3380CC4-5D6E-409C-BE32-E72D297353CC}">
              <c16:uniqueId val="{00000002-B7F4-4F70-AAE6-A070BD3A7AC9}"/>
            </c:ext>
          </c:extLst>
        </c:ser>
        <c:ser>
          <c:idx val="3"/>
          <c:order val="3"/>
          <c:tx>
            <c:strRef>
              <c:f>'Informes 2018 - 2019'!$G$9</c:f>
              <c:strCache>
                <c:ptCount val="1"/>
                <c:pt idx="0">
                  <c:v>2019 Aprovechables</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'Informes 2018 - 2019'!$G$10:$G$14</c:f>
              <c:numCache>
                <c:formatCode>General</c:formatCode>
                <c:ptCount val="5"/>
                <c:pt idx="0">
                  <c:v>82.44</c:v>
                </c:pt>
                <c:pt idx="1">
                  <c:v>99.75</c:v>
                </c:pt>
                <c:pt idx="2">
                  <c:v>106.5</c:v>
                </c:pt>
                <c:pt idx="3">
                  <c:v>84.950000000000017</c:v>
                </c:pt>
                <c:pt idx="4">
                  <c:v>239.51</c:v>
                </c:pt>
              </c:numCache>
            </c:numRef>
          </c:val>
          <c:extLst>
            <c:ext xmlns:c16="http://schemas.microsoft.com/office/drawing/2014/chart" uri="{C3380CC4-5D6E-409C-BE32-E72D297353CC}">
              <c16:uniqueId val="{00000003-B7F4-4F70-AAE6-A070BD3A7AC9}"/>
            </c:ext>
          </c:extLst>
        </c:ser>
        <c:dLbls>
          <c:showLegendKey val="0"/>
          <c:showVal val="0"/>
          <c:showCatName val="0"/>
          <c:showSerName val="0"/>
          <c:showPercent val="0"/>
          <c:showBubbleSize val="0"/>
        </c:dLbls>
        <c:gapWidth val="219"/>
        <c:overlap val="-27"/>
        <c:axId val="-2086912016"/>
        <c:axId val="-2084366528"/>
      </c:barChart>
      <c:catAx>
        <c:axId val="-2086912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ysClr val="windowText" lastClr="000000"/>
                </a:solidFill>
                <a:latin typeface="Arial Narrow" panose="020B0606020202030204" pitchFamily="34" charset="0"/>
                <a:ea typeface="+mn-ea"/>
                <a:cs typeface="+mn-cs"/>
              </a:defRPr>
            </a:pPr>
            <a:endParaRPr lang="en-US"/>
          </a:p>
        </c:txPr>
        <c:crossAx val="-2084366528"/>
        <c:crosses val="autoZero"/>
        <c:auto val="1"/>
        <c:lblAlgn val="ctr"/>
        <c:lblOffset val="100"/>
        <c:noMultiLvlLbl val="0"/>
      </c:catAx>
      <c:valAx>
        <c:axId val="-2084366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en-US"/>
          </a:p>
        </c:txPr>
        <c:crossAx val="-2086912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500" b="0">
          <a:solidFill>
            <a:sysClr val="windowText" lastClr="000000"/>
          </a:solidFill>
          <a:latin typeface="Arial Narrow" panose="020B060602020203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solidFill>
                <a:latin typeface="Arial Narrow" panose="020B0606020202030204" pitchFamily="34" charset="0"/>
                <a:ea typeface="+mn-ea"/>
                <a:cs typeface="+mn-cs"/>
              </a:defRPr>
            </a:pPr>
            <a:r>
              <a:rPr lang="es-CO" sz="1000"/>
              <a:t>Generación de Residuos por la UPME para la vigencia 2019</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solidFill>
              <a:latin typeface="Arial Narrow" panose="020B0606020202030204" pitchFamily="34" charset="0"/>
              <a:ea typeface="+mn-ea"/>
              <a:cs typeface="+mn-cs"/>
            </a:defRPr>
          </a:pPr>
          <a:endParaRPr lang="en-US"/>
        </a:p>
      </c:txPr>
    </c:title>
    <c:autoTitleDeleted val="0"/>
    <c:plotArea>
      <c:layout/>
      <c:barChart>
        <c:barDir val="col"/>
        <c:grouping val="clustered"/>
        <c:varyColors val="0"/>
        <c:ser>
          <c:idx val="0"/>
          <c:order val="0"/>
          <c:tx>
            <c:strRef>
              <c:f>'Informes 2018 - 2019'!$B$10</c:f>
              <c:strCache>
                <c:ptCount val="1"/>
                <c:pt idx="0">
                  <c:v>Residuos Ordinarios</c:v>
                </c:pt>
              </c:strCache>
            </c:strRef>
          </c:tx>
          <c:spPr>
            <a:solidFill>
              <a:schemeClr val="accent1"/>
            </a:solidFill>
            <a:ln>
              <a:noFill/>
            </a:ln>
            <a:effectLst/>
          </c:spPr>
          <c:invertIfNegative val="0"/>
          <c:cat>
            <c:numRef>
              <c:f>'Informes 2018 - 2019'!$A$11:$A$22</c:f>
              <c:numCache>
                <c:formatCode>mmm\-yy</c:formatCode>
                <c:ptCount val="12"/>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numCache>
            </c:numRef>
          </c:cat>
          <c:val>
            <c:numRef>
              <c:f>'Informes 2018 - 2019'!$B$11:$B$22</c:f>
              <c:numCache>
                <c:formatCode>0.0</c:formatCode>
                <c:ptCount val="12"/>
                <c:pt idx="0">
                  <c:v>226.21</c:v>
                </c:pt>
                <c:pt idx="1">
                  <c:v>233.57</c:v>
                </c:pt>
                <c:pt idx="2">
                  <c:v>242.63</c:v>
                </c:pt>
                <c:pt idx="3">
                  <c:v>218.4</c:v>
                </c:pt>
                <c:pt idx="4">
                  <c:v>246.12</c:v>
                </c:pt>
                <c:pt idx="5">
                  <c:v>224.35000000000011</c:v>
                </c:pt>
                <c:pt idx="6">
                  <c:v>246.66</c:v>
                </c:pt>
                <c:pt idx="7">
                  <c:v>216.91</c:v>
                </c:pt>
                <c:pt idx="8">
                  <c:v>237.25</c:v>
                </c:pt>
                <c:pt idx="9">
                  <c:v>245.07</c:v>
                </c:pt>
                <c:pt idx="10">
                  <c:v>207.86</c:v>
                </c:pt>
                <c:pt idx="11">
                  <c:v>223.5</c:v>
                </c:pt>
              </c:numCache>
            </c:numRef>
          </c:val>
          <c:extLst>
            <c:ext xmlns:c16="http://schemas.microsoft.com/office/drawing/2014/chart" uri="{C3380CC4-5D6E-409C-BE32-E72D297353CC}">
              <c16:uniqueId val="{00000000-FC3E-4910-A29D-654DCF7A445B}"/>
            </c:ext>
          </c:extLst>
        </c:ser>
        <c:ser>
          <c:idx val="1"/>
          <c:order val="1"/>
          <c:tx>
            <c:strRef>
              <c:f>'Informes 2018 - 2019'!$C$10</c:f>
              <c:strCache>
                <c:ptCount val="1"/>
                <c:pt idx="0">
                  <c:v>Residuos Aprovechables</c:v>
                </c:pt>
              </c:strCache>
            </c:strRef>
          </c:tx>
          <c:spPr>
            <a:solidFill>
              <a:schemeClr val="accent2"/>
            </a:solidFill>
            <a:ln>
              <a:noFill/>
            </a:ln>
            <a:effectLst/>
          </c:spPr>
          <c:invertIfNegative val="0"/>
          <c:cat>
            <c:numRef>
              <c:f>'Informes 2018 - 2019'!$A$11:$A$22</c:f>
              <c:numCache>
                <c:formatCode>mmm\-yy</c:formatCode>
                <c:ptCount val="12"/>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numCache>
            </c:numRef>
          </c:cat>
          <c:val>
            <c:numRef>
              <c:f>'Informes 2018 - 2019'!$C$11:$C$22</c:f>
              <c:numCache>
                <c:formatCode>0.0</c:formatCode>
                <c:ptCount val="12"/>
                <c:pt idx="0">
                  <c:v>175.88</c:v>
                </c:pt>
                <c:pt idx="1">
                  <c:v>98.21</c:v>
                </c:pt>
                <c:pt idx="2">
                  <c:v>156.16</c:v>
                </c:pt>
                <c:pt idx="3">
                  <c:v>109.53</c:v>
                </c:pt>
                <c:pt idx="4">
                  <c:v>103.74</c:v>
                </c:pt>
                <c:pt idx="5">
                  <c:v>105.3</c:v>
                </c:pt>
                <c:pt idx="6">
                  <c:v>140.35000000000011</c:v>
                </c:pt>
                <c:pt idx="7">
                  <c:v>82.44</c:v>
                </c:pt>
                <c:pt idx="8">
                  <c:v>99.75</c:v>
                </c:pt>
                <c:pt idx="9">
                  <c:v>106.5</c:v>
                </c:pt>
                <c:pt idx="10">
                  <c:v>84.950000000000017</c:v>
                </c:pt>
                <c:pt idx="11">
                  <c:v>239.51</c:v>
                </c:pt>
              </c:numCache>
            </c:numRef>
          </c:val>
          <c:extLst>
            <c:ext xmlns:c16="http://schemas.microsoft.com/office/drawing/2014/chart" uri="{C3380CC4-5D6E-409C-BE32-E72D297353CC}">
              <c16:uniqueId val="{00000001-FC3E-4910-A29D-654DCF7A445B}"/>
            </c:ext>
          </c:extLst>
        </c:ser>
        <c:dLbls>
          <c:showLegendKey val="0"/>
          <c:showVal val="0"/>
          <c:showCatName val="0"/>
          <c:showSerName val="0"/>
          <c:showPercent val="0"/>
          <c:showBubbleSize val="0"/>
        </c:dLbls>
        <c:gapWidth val="219"/>
        <c:overlap val="-27"/>
        <c:axId val="-2085263120"/>
        <c:axId val="-2081147104"/>
      </c:barChart>
      <c:dateAx>
        <c:axId val="-2085263120"/>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en-US"/>
          </a:p>
        </c:txPr>
        <c:crossAx val="-2081147104"/>
        <c:crosses val="autoZero"/>
        <c:auto val="1"/>
        <c:lblOffset val="100"/>
        <c:baseTimeUnit val="months"/>
      </c:dateAx>
      <c:valAx>
        <c:axId val="-20811471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Arial Narrow" panose="020B0606020202030204" pitchFamily="34" charset="0"/>
                <a:ea typeface="+mn-ea"/>
                <a:cs typeface="+mn-cs"/>
              </a:defRPr>
            </a:pPr>
            <a:endParaRPr lang="en-US"/>
          </a:p>
        </c:txPr>
        <c:crossAx val="-2085263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Arial Narrow" panose="020B060602020203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b="0">
          <a:solidFill>
            <a:schemeClr val="tx1"/>
          </a:solidFill>
          <a:latin typeface="Arial Narrow" panose="020B060602020203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400" b="1" i="0" baseline="0">
                <a:effectLst/>
              </a:rPr>
              <a:t>Generación de residuos por la UPME para la vigencia 2020</a:t>
            </a:r>
            <a:endParaRPr lang="es-CO"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Hoja2!$B$1</c:f>
              <c:strCache>
                <c:ptCount val="1"/>
                <c:pt idx="0">
                  <c:v>Organicos / Ordinarios (Kg)</c:v>
                </c:pt>
              </c:strCache>
            </c:strRef>
          </c:tx>
          <c:spPr>
            <a:solidFill>
              <a:schemeClr val="accent1"/>
            </a:solidFill>
            <a:ln>
              <a:noFill/>
            </a:ln>
            <a:effectLst/>
          </c:spPr>
          <c:invertIfNegative val="0"/>
          <c:cat>
            <c:strRef>
              <c:f>Hoja2!$A$2:$A$11</c:f>
              <c:strCache>
                <c:ptCount val="10"/>
                <c:pt idx="0">
                  <c:v>ENERO </c:v>
                </c:pt>
                <c:pt idx="1">
                  <c:v>FEBRERO</c:v>
                </c:pt>
                <c:pt idx="2">
                  <c:v>MARZO</c:v>
                </c:pt>
                <c:pt idx="3">
                  <c:v>ABRIL</c:v>
                </c:pt>
                <c:pt idx="4">
                  <c:v>MAYO</c:v>
                </c:pt>
                <c:pt idx="5">
                  <c:v>JUNIO</c:v>
                </c:pt>
                <c:pt idx="6">
                  <c:v>JULIO</c:v>
                </c:pt>
                <c:pt idx="7">
                  <c:v>AGOSTO</c:v>
                </c:pt>
                <c:pt idx="8">
                  <c:v>SEPTIEMBRE</c:v>
                </c:pt>
                <c:pt idx="9">
                  <c:v>OCTUBRE</c:v>
                </c:pt>
              </c:strCache>
            </c:strRef>
          </c:cat>
          <c:val>
            <c:numRef>
              <c:f>Hoja2!$B$2:$B$11</c:f>
              <c:numCache>
                <c:formatCode>General</c:formatCode>
                <c:ptCount val="10"/>
                <c:pt idx="0">
                  <c:v>214.91</c:v>
                </c:pt>
                <c:pt idx="1">
                  <c:v>234.76</c:v>
                </c:pt>
                <c:pt idx="2">
                  <c:v>105.43</c:v>
                </c:pt>
                <c:pt idx="3">
                  <c:v>10.59</c:v>
                </c:pt>
                <c:pt idx="4">
                  <c:v>7.8199999999999976</c:v>
                </c:pt>
                <c:pt idx="5">
                  <c:v>11.33</c:v>
                </c:pt>
                <c:pt idx="6">
                  <c:v>14.34</c:v>
                </c:pt>
                <c:pt idx="7">
                  <c:v>40.94</c:v>
                </c:pt>
                <c:pt idx="8">
                  <c:v>86.050000000000011</c:v>
                </c:pt>
                <c:pt idx="9">
                  <c:v>26.830000000000009</c:v>
                </c:pt>
              </c:numCache>
            </c:numRef>
          </c:val>
          <c:extLst>
            <c:ext xmlns:c16="http://schemas.microsoft.com/office/drawing/2014/chart" uri="{C3380CC4-5D6E-409C-BE32-E72D297353CC}">
              <c16:uniqueId val="{00000000-09FD-408B-BC55-ADF9435FC32D}"/>
            </c:ext>
          </c:extLst>
        </c:ser>
        <c:ser>
          <c:idx val="1"/>
          <c:order val="1"/>
          <c:tx>
            <c:strRef>
              <c:f>Hoja2!$C$1</c:f>
              <c:strCache>
                <c:ptCount val="1"/>
                <c:pt idx="0">
                  <c:v>Reciclaje
(Kg)</c:v>
                </c:pt>
              </c:strCache>
            </c:strRef>
          </c:tx>
          <c:spPr>
            <a:solidFill>
              <a:schemeClr val="accent2"/>
            </a:solidFill>
            <a:ln>
              <a:noFill/>
            </a:ln>
            <a:effectLst/>
          </c:spPr>
          <c:invertIfNegative val="0"/>
          <c:cat>
            <c:strRef>
              <c:f>Hoja2!$A$2:$A$11</c:f>
              <c:strCache>
                <c:ptCount val="10"/>
                <c:pt idx="0">
                  <c:v>ENERO </c:v>
                </c:pt>
                <c:pt idx="1">
                  <c:v>FEBRERO</c:v>
                </c:pt>
                <c:pt idx="2">
                  <c:v>MARZO</c:v>
                </c:pt>
                <c:pt idx="3">
                  <c:v>ABRIL</c:v>
                </c:pt>
                <c:pt idx="4">
                  <c:v>MAYO</c:v>
                </c:pt>
                <c:pt idx="5">
                  <c:v>JUNIO</c:v>
                </c:pt>
                <c:pt idx="6">
                  <c:v>JULIO</c:v>
                </c:pt>
                <c:pt idx="7">
                  <c:v>AGOSTO</c:v>
                </c:pt>
                <c:pt idx="8">
                  <c:v>SEPTIEMBRE</c:v>
                </c:pt>
                <c:pt idx="9">
                  <c:v>OCTUBRE</c:v>
                </c:pt>
              </c:strCache>
            </c:strRef>
          </c:cat>
          <c:val>
            <c:numRef>
              <c:f>Hoja2!$C$2:$C$11</c:f>
              <c:numCache>
                <c:formatCode>General</c:formatCode>
                <c:ptCount val="10"/>
                <c:pt idx="0">
                  <c:v>287.2</c:v>
                </c:pt>
                <c:pt idx="1">
                  <c:v>477.18</c:v>
                </c:pt>
                <c:pt idx="2">
                  <c:v>177.76</c:v>
                </c:pt>
                <c:pt idx="3">
                  <c:v>0</c:v>
                </c:pt>
                <c:pt idx="4">
                  <c:v>0</c:v>
                </c:pt>
                <c:pt idx="5">
                  <c:v>0</c:v>
                </c:pt>
                <c:pt idx="6">
                  <c:v>28.72</c:v>
                </c:pt>
                <c:pt idx="7">
                  <c:v>15.79</c:v>
                </c:pt>
                <c:pt idx="8">
                  <c:v>62.89</c:v>
                </c:pt>
                <c:pt idx="9">
                  <c:v>12.4</c:v>
                </c:pt>
              </c:numCache>
            </c:numRef>
          </c:val>
          <c:extLst>
            <c:ext xmlns:c16="http://schemas.microsoft.com/office/drawing/2014/chart" uri="{C3380CC4-5D6E-409C-BE32-E72D297353CC}">
              <c16:uniqueId val="{00000001-09FD-408B-BC55-ADF9435FC32D}"/>
            </c:ext>
          </c:extLst>
        </c:ser>
        <c:dLbls>
          <c:showLegendKey val="0"/>
          <c:showVal val="0"/>
          <c:showCatName val="0"/>
          <c:showSerName val="0"/>
          <c:showPercent val="0"/>
          <c:showBubbleSize val="0"/>
        </c:dLbls>
        <c:gapWidth val="235"/>
        <c:overlap val="-17"/>
        <c:axId val="-2081524576"/>
        <c:axId val="-2135438304"/>
      </c:barChart>
      <c:catAx>
        <c:axId val="-2081524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135438304"/>
        <c:crosses val="autoZero"/>
        <c:auto val="1"/>
        <c:lblAlgn val="ctr"/>
        <c:lblOffset val="100"/>
        <c:noMultiLvlLbl val="0"/>
      </c:catAx>
      <c:valAx>
        <c:axId val="-2135438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1524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_tradnl" sz="1800" b="1" i="0" baseline="0">
                <a:effectLst/>
              </a:rPr>
              <a:t>Residuos aprovechables</a:t>
            </a:r>
            <a:endParaRPr lang="es-CO">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B207-4955-97A4-58A47ACB25B2}"/>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B207-4955-97A4-58A47ACB25B2}"/>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B207-4955-97A4-58A47ACB25B2}"/>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B207-4955-97A4-58A47ACB25B2}"/>
              </c:ext>
            </c:extLst>
          </c:dPt>
          <c:dPt>
            <c:idx val="4"/>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9-B207-4955-97A4-58A47ACB25B2}"/>
              </c:ext>
            </c:extLst>
          </c:dPt>
          <c:dPt>
            <c:idx val="5"/>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B-B207-4955-97A4-58A47ACB25B2}"/>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01-B207-4955-97A4-58A47ACB25B2}"/>
                </c:ext>
              </c:extLst>
            </c:dLbl>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07-B207-4955-97A4-58A47ACB25B2}"/>
                </c:ext>
              </c:extLst>
            </c:dLbl>
            <c:dLbl>
              <c:idx val="4"/>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09-B207-4955-97A4-58A47ACB25B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Hoja2!$K$3:$K$8</c:f>
              <c:strCache>
                <c:ptCount val="6"/>
                <c:pt idx="0">
                  <c:v>Plástico</c:v>
                </c:pt>
                <c:pt idx="1">
                  <c:v>Vidrio</c:v>
                </c:pt>
                <c:pt idx="2">
                  <c:v>Metales </c:v>
                </c:pt>
                <c:pt idx="3">
                  <c:v>Papel </c:v>
                </c:pt>
                <c:pt idx="4">
                  <c:v>Cartón</c:v>
                </c:pt>
                <c:pt idx="5">
                  <c:v>Periódico</c:v>
                </c:pt>
              </c:strCache>
            </c:strRef>
          </c:cat>
          <c:val>
            <c:numRef>
              <c:f>Hoja2!$L$3:$L$8</c:f>
              <c:numCache>
                <c:formatCode>0%</c:formatCode>
                <c:ptCount val="6"/>
                <c:pt idx="0">
                  <c:v>0.15</c:v>
                </c:pt>
                <c:pt idx="1">
                  <c:v>0</c:v>
                </c:pt>
                <c:pt idx="2">
                  <c:v>0</c:v>
                </c:pt>
                <c:pt idx="3">
                  <c:v>0.75</c:v>
                </c:pt>
                <c:pt idx="4">
                  <c:v>0.09</c:v>
                </c:pt>
                <c:pt idx="5">
                  <c:v>0</c:v>
                </c:pt>
              </c:numCache>
            </c:numRef>
          </c:val>
          <c:extLst>
            <c:ext xmlns:c16="http://schemas.microsoft.com/office/drawing/2014/chart" uri="{C3380CC4-5D6E-409C-BE32-E72D297353CC}">
              <c16:uniqueId val="{0000000C-B207-4955-97A4-58A47ACB25B2}"/>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n-US"/>
              <a:t>Consumo Energía Piso 9 (kW)</a:t>
            </a:r>
            <a:endParaRPr lang="es-CO"/>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'REGISTRO AGUA-ENERGÍA 2019'!$A$7:$A$16</c:f>
              <c:strCache>
                <c:ptCount val="10"/>
                <c:pt idx="0">
                  <c:v>13 dic 2019 - 15 enero 2020</c:v>
                </c:pt>
                <c:pt idx="1">
                  <c:v>15 enero - 12 febrero</c:v>
                </c:pt>
                <c:pt idx="2">
                  <c:v>12 febrero - 11 marzo</c:v>
                </c:pt>
                <c:pt idx="3">
                  <c:v>11 marzo - 14 abril</c:v>
                </c:pt>
                <c:pt idx="4">
                  <c:v>14 ABRIL - 12 MAYO</c:v>
                </c:pt>
                <c:pt idx="5">
                  <c:v>12 mayo - 10 junio</c:v>
                </c:pt>
                <c:pt idx="6">
                  <c:v>10 junio - 13 julio</c:v>
                </c:pt>
                <c:pt idx="7">
                  <c:v>13 julio - 12 agosto</c:v>
                </c:pt>
                <c:pt idx="8">
                  <c:v>12 agosto - 14 septiembre</c:v>
                </c:pt>
                <c:pt idx="9">
                  <c:v>14 septiembre- 13 octubre</c:v>
                </c:pt>
              </c:strCache>
            </c:strRef>
          </c:cat>
          <c:val>
            <c:numRef>
              <c:f>'REGISTRO AGUA-ENERGÍA 2019'!$B$7:$B$16</c:f>
              <c:numCache>
                <c:formatCode>_-* #,##0_-;\-* #,##0_-;_-* "-"??_-;_-@_-</c:formatCode>
                <c:ptCount val="10"/>
                <c:pt idx="0">
                  <c:v>14280</c:v>
                </c:pt>
                <c:pt idx="1">
                  <c:v>13920</c:v>
                </c:pt>
                <c:pt idx="2">
                  <c:v>13680</c:v>
                </c:pt>
                <c:pt idx="3">
                  <c:v>15569</c:v>
                </c:pt>
                <c:pt idx="4">
                  <c:v>11706</c:v>
                </c:pt>
                <c:pt idx="5">
                  <c:v>11820</c:v>
                </c:pt>
                <c:pt idx="6">
                  <c:v>12282</c:v>
                </c:pt>
                <c:pt idx="7">
                  <c:v>12600</c:v>
                </c:pt>
                <c:pt idx="8">
                  <c:v>13920</c:v>
                </c:pt>
                <c:pt idx="9">
                  <c:v>12480</c:v>
                </c:pt>
              </c:numCache>
            </c:numRef>
          </c:val>
          <c:extLst>
            <c:ext xmlns:c16="http://schemas.microsoft.com/office/drawing/2014/chart" uri="{C3380CC4-5D6E-409C-BE32-E72D297353CC}">
              <c16:uniqueId val="{00000000-70F7-42B6-9C9F-94367872A26D}"/>
            </c:ext>
          </c:extLst>
        </c:ser>
        <c:dLbls>
          <c:showLegendKey val="0"/>
          <c:showVal val="0"/>
          <c:showCatName val="0"/>
          <c:showSerName val="0"/>
          <c:showPercent val="0"/>
          <c:showBubbleSize val="0"/>
        </c:dLbls>
        <c:gapWidth val="219"/>
        <c:overlap val="-27"/>
        <c:axId val="-2087363856"/>
        <c:axId val="-2085474512"/>
      </c:barChart>
      <c:catAx>
        <c:axId val="-2087363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085474512"/>
        <c:crosses val="autoZero"/>
        <c:auto val="1"/>
        <c:lblAlgn val="ctr"/>
        <c:lblOffset val="100"/>
        <c:noMultiLvlLbl val="0"/>
      </c:catAx>
      <c:valAx>
        <c:axId val="-2085474512"/>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08736385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0" i="0" baseline="0">
                <a:effectLst/>
              </a:rPr>
              <a:t>Consumo Energía otras oficinas (kW)</a:t>
            </a:r>
            <a:endParaRPr lang="es-CO" sz="10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'REGISTRO AGUA-ENERGÍA 2019'!$A$24:$A$30</c:f>
              <c:strCache>
                <c:ptCount val="7"/>
                <c:pt idx="0">
                  <c:v>13 dic. 2019 - 15 ene. 2020 of. 808</c:v>
                </c:pt>
                <c:pt idx="1">
                  <c:v>13 mrzo - 12 mayo of. 902</c:v>
                </c:pt>
                <c:pt idx="2">
                  <c:v>12 mayo - 10 junio of. 902</c:v>
                </c:pt>
                <c:pt idx="3">
                  <c:v>10 junio - 13 julio</c:v>
                </c:pt>
                <c:pt idx="4">
                  <c:v>13 julio - 12 agosto</c:v>
                </c:pt>
                <c:pt idx="5">
                  <c:v>12 agosto - 14 septiembre</c:v>
                </c:pt>
                <c:pt idx="6">
                  <c:v>14 septiembre - 13 octubre</c:v>
                </c:pt>
              </c:strCache>
            </c:strRef>
          </c:cat>
          <c:val>
            <c:numRef>
              <c:f>'REGISTRO AGUA-ENERGÍA 2019'!$B$24:$B$30</c:f>
              <c:numCache>
                <c:formatCode>_-* #,##0_-;\-* #,##0_-;_-* "-"??_-;_-@_-</c:formatCode>
                <c:ptCount val="7"/>
                <c:pt idx="0">
                  <c:v>413</c:v>
                </c:pt>
                <c:pt idx="1">
                  <c:v>1384</c:v>
                </c:pt>
                <c:pt idx="2">
                  <c:v>775</c:v>
                </c:pt>
                <c:pt idx="3">
                  <c:v>844</c:v>
                </c:pt>
                <c:pt idx="4">
                  <c:v>850</c:v>
                </c:pt>
                <c:pt idx="5">
                  <c:v>886</c:v>
                </c:pt>
                <c:pt idx="6">
                  <c:v>1074</c:v>
                </c:pt>
              </c:numCache>
            </c:numRef>
          </c:val>
          <c:extLst>
            <c:ext xmlns:c16="http://schemas.microsoft.com/office/drawing/2014/chart" uri="{C3380CC4-5D6E-409C-BE32-E72D297353CC}">
              <c16:uniqueId val="{00000000-27EC-4BAD-B391-B85BF1D3F96D}"/>
            </c:ext>
          </c:extLst>
        </c:ser>
        <c:dLbls>
          <c:showLegendKey val="0"/>
          <c:showVal val="0"/>
          <c:showCatName val="0"/>
          <c:showSerName val="0"/>
          <c:showPercent val="0"/>
          <c:showBubbleSize val="0"/>
        </c:dLbls>
        <c:gapWidth val="219"/>
        <c:overlap val="-27"/>
        <c:axId val="-2131614320"/>
        <c:axId val="-2098666784"/>
      </c:barChart>
      <c:catAx>
        <c:axId val="-2131614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098666784"/>
        <c:crosses val="autoZero"/>
        <c:auto val="1"/>
        <c:lblAlgn val="ctr"/>
        <c:lblOffset val="100"/>
        <c:noMultiLvlLbl val="0"/>
      </c:catAx>
      <c:valAx>
        <c:axId val="-2098666784"/>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161432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_tradnl" sz="1100" b="0" i="0" baseline="0">
                <a:effectLst/>
              </a:rPr>
              <a:t>Consumo de agua Piso 9</a:t>
            </a:r>
            <a:endParaRPr lang="es-CO" sz="10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'REGISTRO AGUA-ENERGÍA 2019'!$A$37:$A$40</c:f>
              <c:strCache>
                <c:ptCount val="4"/>
                <c:pt idx="0">
                  <c:v>enero 4 - marzo 4</c:v>
                </c:pt>
                <c:pt idx="1">
                  <c:v>marzo 4 - abril 30</c:v>
                </c:pt>
                <c:pt idx="2">
                  <c:v>mayo 5 - julio 2</c:v>
                </c:pt>
                <c:pt idx="3">
                  <c:v>3 julio - 01 septiembre</c:v>
                </c:pt>
              </c:strCache>
            </c:strRef>
          </c:cat>
          <c:val>
            <c:numRef>
              <c:f>'REGISTRO AGUA-ENERGÍA 2019'!$B$37:$B$40</c:f>
              <c:numCache>
                <c:formatCode>_-* #,##0_-;\-* #,##0_-;_-* "-"??_-;_-@_-</c:formatCode>
                <c:ptCount val="4"/>
                <c:pt idx="0">
                  <c:v>171</c:v>
                </c:pt>
                <c:pt idx="1">
                  <c:v>45</c:v>
                </c:pt>
                <c:pt idx="2">
                  <c:v>41</c:v>
                </c:pt>
                <c:pt idx="3">
                  <c:v>23</c:v>
                </c:pt>
              </c:numCache>
            </c:numRef>
          </c:val>
          <c:extLst>
            <c:ext xmlns:c16="http://schemas.microsoft.com/office/drawing/2014/chart" uri="{C3380CC4-5D6E-409C-BE32-E72D297353CC}">
              <c16:uniqueId val="{00000000-23A0-413D-A616-6D6A103427F5}"/>
            </c:ext>
          </c:extLst>
        </c:ser>
        <c:dLbls>
          <c:showLegendKey val="0"/>
          <c:showVal val="0"/>
          <c:showCatName val="0"/>
          <c:showSerName val="0"/>
          <c:showPercent val="0"/>
          <c:showBubbleSize val="0"/>
        </c:dLbls>
        <c:gapWidth val="219"/>
        <c:overlap val="-27"/>
        <c:axId val="-2131124880"/>
        <c:axId val="-2137731392"/>
      </c:barChart>
      <c:catAx>
        <c:axId val="-2131124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137731392"/>
        <c:crosses val="autoZero"/>
        <c:auto val="1"/>
        <c:lblAlgn val="ctr"/>
        <c:lblOffset val="100"/>
        <c:noMultiLvlLbl val="0"/>
      </c:catAx>
      <c:valAx>
        <c:axId val="-2137731392"/>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112488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ipoInforme xmlns="6a420177-36b5-4f22-bf74-34bb153cb375">Informe de rendición de cuentas</TipoInforme>
    <AnioInformeGestion xmlns="6a420177-36b5-4f22-bf74-34bb153cb375">2020</AnioInformeGestion>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go:docsCustomData xmlns:go="http://customooxmlschemas.google.com/" roundtripDataSignature="AMtx7mgIMKFX3H3Z8LqIpMepb/Tzirgvlw==">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</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o" ma:contentTypeID="0x01010070989D9314DF4B4CBFCDF087148D8D42" ma:contentTypeVersion="2" ma:contentTypeDescription="Crear nuevo documento." ma:contentTypeScope="" ma:versionID="4946fae78fd200f33b2b3b1867d41480">
  <xsd:schema xmlns:xsd="http://www.w3.org/2001/XMLSchema" xmlns:xs="http://www.w3.org/2001/XMLSchema" xmlns:p="http://schemas.microsoft.com/office/2006/metadata/properties" xmlns:ns2="6a420177-36b5-4f22-bf74-34bb153cb375" targetNamespace="http://schemas.microsoft.com/office/2006/metadata/properties" ma:root="true" ma:fieldsID="8abf3833cc62103a072377e19e81924e" ns2:_="">
    <xsd:import namespace="6a420177-36b5-4f22-bf74-34bb153cb375"/>
    <xsd:element name="properties">
      <xsd:complexType>
        <xsd:sequence>
          <xsd:element name="documentManagement">
            <xsd:complexType>
              <xsd:all>
                <xsd:element ref="ns2:AnioInformeGestion" minOccurs="0"/>
                <xsd:element ref="ns2:TipoInfor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420177-36b5-4f22-bf74-34bb153cb375" elementFormDefault="qualified">
    <xsd:import namespace="http://schemas.microsoft.com/office/2006/documentManagement/types"/>
    <xsd:import namespace="http://schemas.microsoft.com/office/infopath/2007/PartnerControls"/>
    <xsd:element name="AnioInformeGestion" ma:index="8" nillable="true" ma:displayName="AnioInformeGestion" ma:format="Dropdown" ma:internalName="AnioInformeGestion">
      <xsd:simpleType>
        <xsd:restriction base="dms:Choice">
          <xsd:enumeration value="2000"/>
          <xsd:enumeration value="2001"/>
          <xsd:enumeration value="2002"/>
          <xsd:enumeration value="2003"/>
          <xsd:enumeration value="2004"/>
          <xsd:enumeration value="2005"/>
          <xsd:enumeration value="2006"/>
          <xsd:enumeration value="2007"/>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restriction>
      </xsd:simpleType>
    </xsd:element>
    <xsd:element name="TipoInforme" ma:index="9" nillable="true" ma:displayName="TipoInforme" ma:format="Dropdown" ma:internalName="TipoInforme">
      <xsd:simpleType>
        <xsd:restriction base="dms:Choice">
          <xsd:enumeration value="Informe de gestión"/>
          <xsd:enumeration value="Informe al congreso"/>
          <xsd:enumeration value="Informe de empalme"/>
          <xsd:enumeration value="Informe de rendición de cuenta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D1A609-3091-4DF7-995B-C8F2A27C22E2}"/>
</file>

<file path=customXml/itemProps2.xml><?xml version="1.0" encoding="utf-8"?>
<ds:datastoreItem xmlns:ds="http://schemas.openxmlformats.org/officeDocument/2006/customXml" ds:itemID="{C1BF13E2-EFCF-4E26-9D8D-D8870B4E9CAF}"/>
</file>

<file path=customXml/itemProps3.xml><?xml version="1.0" encoding="utf-8"?>
<ds:datastoreItem xmlns:ds="http://schemas.openxmlformats.org/officeDocument/2006/customXml" ds:itemID="{11111111-1234-1234-1234-123412341234}"/>
</file>

<file path=customXml/itemProps4.xml><?xml version="1.0" encoding="utf-8"?>
<ds:datastoreItem xmlns:ds="http://schemas.openxmlformats.org/officeDocument/2006/customXml" ds:itemID="{0D870E73-7E7D-4436-85A5-4876298D4665}"/>
</file>

<file path=docProps/app.xml><?xml version="1.0" encoding="utf-8"?>
<Properties xmlns="http://schemas.openxmlformats.org/officeDocument/2006/extended-properties" xmlns:vt="http://schemas.openxmlformats.org/officeDocument/2006/docPropsVTypes">
  <Template>Normal</Template>
  <TotalTime>3</TotalTime>
  <Pages>88</Pages>
  <Words>19133</Words>
  <Characters>109063</Characters>
  <Application>Microsoft Office Word</Application>
  <DocSecurity>0</DocSecurity>
  <Lines>908</Lines>
  <Paragraphs>255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rendición de cuentas 1 de Dic 2019 al 31 de Oct 2020</dc:title>
  <dc:creator>UPME</dc:creator>
  <cp:lastModifiedBy>Oliver Diglesias</cp:lastModifiedBy>
  <cp:revision>2</cp:revision>
  <dcterms:created xsi:type="dcterms:W3CDTF">2020-11-04T02:43:00Z</dcterms:created>
  <dcterms:modified xsi:type="dcterms:W3CDTF">2020-11-05T23:45:00Z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0x01010070989D9314DF4B4CBFCDF087148D8D42</vt:lpwstr>
  </property>
</Properties>
</file>